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2EA3F">
      <w:pPr>
        <w:widowControl w:val="0"/>
        <w:spacing w:before="0" w:after="0"/>
        <w:ind w:firstLine="3654" w:firstLineChars="1300"/>
        <w:jc w:val="both"/>
        <w:rPr>
          <w:rFonts w:ascii="宋体" w:hAnsi="宋体" w:eastAsia="宋体" w:cs="宋体"/>
          <w:color w:val="FF0000"/>
          <w:kern w:val="2"/>
          <w:sz w:val="21"/>
          <w:szCs w:val="21"/>
          <w:lang w:eastAsia="zh-CN"/>
        </w:rPr>
      </w:pPr>
      <w:bookmarkStart w:id="102" w:name="_GoBack"/>
      <w:bookmarkEnd w:id="102"/>
      <w:r>
        <w:rPr>
          <w:rFonts w:hint="eastAsia" w:ascii="宋体" w:hAnsi="宋体" w:eastAsia="黑体" w:cs="黑体"/>
          <w:b/>
          <w:bCs/>
          <w:color w:val="FF0000"/>
          <w:kern w:val="44"/>
          <w:sz w:val="28"/>
          <w:szCs w:val="44"/>
          <w:lang w:eastAsia="zh-CN" w:bidi="ar"/>
        </w:rPr>
        <w:t>特别警示条款</w:t>
      </w:r>
    </w:p>
    <w:p w14:paraId="2997B5D6">
      <w:pPr>
        <w:widowControl w:val="0"/>
        <w:spacing w:after="240" w:afterLines="100" w:line="400" w:lineRule="exact"/>
        <w:ind w:firstLine="422" w:firstLineChars="200"/>
        <w:jc w:val="both"/>
        <w:rPr>
          <w:rFonts w:ascii="宋体" w:hAnsi="宋体" w:eastAsia="宋体" w:cs="宋体"/>
          <w:b/>
          <w:bCs/>
          <w:color w:val="FF0000"/>
          <w:kern w:val="2"/>
          <w:sz w:val="21"/>
          <w:szCs w:val="21"/>
          <w:lang w:eastAsia="zh-CN"/>
        </w:rPr>
      </w:pPr>
      <w:r>
        <w:rPr>
          <w:rFonts w:hint="eastAsia" w:ascii="宋体" w:hAnsi="宋体" w:eastAsia="宋体" w:cs="宋体"/>
          <w:b/>
          <w:bCs/>
          <w:color w:val="FF0000"/>
          <w:kern w:val="2"/>
          <w:sz w:val="21"/>
          <w:szCs w:val="21"/>
          <w:lang w:eastAsia="zh-CN" w:bidi="ar"/>
        </w:rPr>
        <w:t>本项目为自行采购项目，参照《深圳经济特区政府采购条例》、《深圳经济特区政府采购条例实施细则》及政府采购其他法律法规，按照采购人内控制度，通过公开招标方式确定中标供应商。参与本项目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8453"/>
      </w:tblGrid>
      <w:tr w14:paraId="7DD8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611F544">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序号</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076C85B1">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b/>
                <w:bCs/>
                <w:color w:val="FF0000"/>
                <w:kern w:val="2"/>
                <w:sz w:val="21"/>
                <w:szCs w:val="21"/>
                <w:lang w:eastAsia="zh-CN" w:bidi="ar"/>
              </w:rPr>
              <w:t>供应商参与投标禁止情形</w:t>
            </w:r>
          </w:p>
        </w:tc>
      </w:tr>
      <w:tr w14:paraId="5E5DC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93CE59E">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1</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7290B36C">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与其他投标供应商的法定代表人、主要经营负责人、投标授权代表人、项目负责人、主要技术人员为</w:t>
            </w:r>
            <w:r>
              <w:rPr>
                <w:rFonts w:hint="eastAsia" w:ascii="宋体" w:hAnsi="宋体" w:eastAsia="宋体" w:cs="宋体"/>
                <w:b/>
                <w:bCs/>
                <w:color w:val="FF0000"/>
                <w:kern w:val="2"/>
                <w:sz w:val="21"/>
                <w:szCs w:val="21"/>
                <w:lang w:eastAsia="zh-CN" w:bidi="ar"/>
              </w:rPr>
              <w:t>同一人、属同一单位或者在同一单位缴纳社会保险</w:t>
            </w:r>
            <w:r>
              <w:rPr>
                <w:rFonts w:hint="eastAsia" w:ascii="宋体" w:hAnsi="宋体" w:eastAsia="宋体" w:cs="宋体"/>
                <w:color w:val="FF0000"/>
                <w:kern w:val="2"/>
                <w:sz w:val="21"/>
                <w:szCs w:val="21"/>
                <w:lang w:eastAsia="zh-CN" w:bidi="ar"/>
              </w:rPr>
              <w:t>。</w:t>
            </w:r>
          </w:p>
        </w:tc>
      </w:tr>
      <w:tr w14:paraId="4A17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DA05588">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2</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612C2AE5">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参与本项目采购活动时，与其他投标供应商存在单位负责人为</w:t>
            </w:r>
            <w:r>
              <w:rPr>
                <w:rFonts w:hint="eastAsia" w:ascii="宋体" w:hAnsi="宋体" w:eastAsia="宋体" w:cs="宋体"/>
                <w:b/>
                <w:bCs/>
                <w:color w:val="FF0000"/>
                <w:kern w:val="2"/>
                <w:sz w:val="21"/>
                <w:szCs w:val="21"/>
                <w:lang w:eastAsia="zh-CN" w:bidi="ar"/>
              </w:rPr>
              <w:t>同一人或直接控股、管理关系</w:t>
            </w:r>
            <w:r>
              <w:rPr>
                <w:rFonts w:hint="eastAsia" w:ascii="宋体" w:hAnsi="宋体" w:eastAsia="宋体" w:cs="宋体"/>
                <w:color w:val="FF0000"/>
                <w:kern w:val="2"/>
                <w:sz w:val="21"/>
                <w:szCs w:val="21"/>
                <w:lang w:eastAsia="zh-CN" w:bidi="ar"/>
              </w:rPr>
              <w:t>。</w:t>
            </w:r>
          </w:p>
        </w:tc>
      </w:tr>
      <w:tr w14:paraId="64A9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9BAD918">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3</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5347892A">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与其他投标供应商的投标文件或部分投标文件</w:t>
            </w:r>
            <w:r>
              <w:rPr>
                <w:rFonts w:hint="eastAsia" w:ascii="宋体" w:hAnsi="宋体" w:eastAsia="宋体" w:cs="宋体"/>
                <w:b/>
                <w:bCs/>
                <w:color w:val="FF0000"/>
                <w:kern w:val="2"/>
                <w:sz w:val="21"/>
                <w:szCs w:val="21"/>
                <w:lang w:eastAsia="zh-CN" w:bidi="ar"/>
              </w:rPr>
              <w:t>相互混装或存在非正常一致</w:t>
            </w:r>
            <w:r>
              <w:rPr>
                <w:rFonts w:hint="eastAsia" w:ascii="宋体" w:hAnsi="宋体" w:eastAsia="宋体" w:cs="宋体"/>
                <w:color w:val="FF0000"/>
                <w:kern w:val="2"/>
                <w:sz w:val="21"/>
                <w:szCs w:val="21"/>
                <w:lang w:eastAsia="zh-CN" w:bidi="ar"/>
              </w:rPr>
              <w:t>。</w:t>
            </w:r>
          </w:p>
        </w:tc>
      </w:tr>
      <w:tr w14:paraId="2B9C4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CC8BA03">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4</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69C6D3CF">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与其他投标供应商的投标文件由</w:t>
            </w:r>
            <w:r>
              <w:rPr>
                <w:rFonts w:hint="eastAsia" w:ascii="宋体" w:hAnsi="宋体" w:eastAsia="宋体" w:cs="宋体"/>
                <w:b/>
                <w:bCs/>
                <w:color w:val="FF0000"/>
                <w:kern w:val="2"/>
                <w:sz w:val="21"/>
                <w:szCs w:val="21"/>
                <w:lang w:eastAsia="zh-CN" w:bidi="ar"/>
              </w:rPr>
              <w:t>同一单位或者同一人编制</w:t>
            </w:r>
            <w:r>
              <w:rPr>
                <w:rFonts w:hint="eastAsia" w:ascii="宋体" w:hAnsi="宋体" w:eastAsia="宋体" w:cs="宋体"/>
                <w:color w:val="FF0000"/>
                <w:kern w:val="2"/>
                <w:sz w:val="21"/>
                <w:szCs w:val="21"/>
                <w:lang w:eastAsia="zh-CN" w:bidi="ar"/>
              </w:rPr>
              <w:t>，或者使用</w:t>
            </w:r>
            <w:r>
              <w:rPr>
                <w:rFonts w:hint="eastAsia" w:ascii="宋体" w:hAnsi="宋体" w:eastAsia="宋体" w:cs="宋体"/>
                <w:b/>
                <w:bCs/>
                <w:color w:val="FF0000"/>
                <w:kern w:val="2"/>
                <w:sz w:val="21"/>
                <w:szCs w:val="21"/>
                <w:lang w:eastAsia="zh-CN" w:bidi="ar"/>
              </w:rPr>
              <w:t>同一设备编制</w:t>
            </w:r>
            <w:r>
              <w:rPr>
                <w:rFonts w:hint="eastAsia" w:ascii="宋体" w:hAnsi="宋体" w:eastAsia="宋体" w:cs="宋体"/>
                <w:color w:val="FF0000"/>
                <w:kern w:val="2"/>
                <w:sz w:val="21"/>
                <w:szCs w:val="21"/>
                <w:lang w:eastAsia="zh-CN" w:bidi="ar"/>
              </w:rPr>
              <w:t>。</w:t>
            </w:r>
          </w:p>
        </w:tc>
      </w:tr>
      <w:tr w14:paraId="2FF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630CAF1D">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5</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65D4452F">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提供</w:t>
            </w:r>
            <w:r>
              <w:rPr>
                <w:rFonts w:hint="eastAsia" w:ascii="宋体" w:hAnsi="宋体" w:eastAsia="宋体" w:cs="宋体"/>
                <w:b/>
                <w:bCs/>
                <w:color w:val="FF0000"/>
                <w:kern w:val="2"/>
                <w:sz w:val="21"/>
                <w:szCs w:val="21"/>
                <w:lang w:eastAsia="zh-CN" w:bidi="ar"/>
              </w:rPr>
              <w:t>未经出具机构核实</w:t>
            </w:r>
            <w:r>
              <w:rPr>
                <w:rFonts w:hint="eastAsia" w:ascii="宋体" w:hAnsi="宋体" w:eastAsia="宋体" w:cs="宋体"/>
                <w:color w:val="FF0000"/>
                <w:kern w:val="2"/>
                <w:sz w:val="21"/>
                <w:szCs w:val="21"/>
                <w:lang w:eastAsia="zh-CN" w:bidi="ar"/>
              </w:rPr>
              <w:t>的虚假的检验检测报告、业绩材料、社保缴纳证明、学历学位证书、职称认证证书等材料。</w:t>
            </w:r>
          </w:p>
        </w:tc>
      </w:tr>
      <w:tr w14:paraId="1A7A8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BCB0793">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6</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2EF41729">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擅自将投标密钥或电子营业执照出借他人使用或未妥善保管。</w:t>
            </w:r>
          </w:p>
        </w:tc>
      </w:tr>
    </w:tbl>
    <w:p w14:paraId="6B31BA5F">
      <w:pPr>
        <w:widowControl w:val="0"/>
        <w:ind w:firstLine="420" w:firstLineChars="200"/>
        <w:jc w:val="both"/>
        <w:rPr>
          <w:rFonts w:ascii="宋体" w:hAnsi="宋体" w:eastAsia="宋体" w:cs="宋体"/>
          <w:color w:val="FF0000"/>
          <w:kern w:val="2"/>
          <w:sz w:val="21"/>
          <w:szCs w:val="21"/>
          <w:lang w:eastAsia="zh-CN"/>
        </w:rPr>
      </w:pPr>
    </w:p>
    <w:p w14:paraId="35A2EC90">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一、</w:t>
      </w:r>
      <w:r>
        <w:rPr>
          <w:rFonts w:hint="eastAsia" w:ascii="宋体" w:hAnsi="宋体" w:eastAsia="宋体" w:cs="宋体"/>
          <w:b/>
          <w:bCs/>
          <w:color w:val="FF0000"/>
          <w:kern w:val="2"/>
          <w:sz w:val="21"/>
          <w:szCs w:val="21"/>
          <w:lang w:eastAsia="zh-CN" w:bidi="ar"/>
        </w:rPr>
        <w:t>《深圳经济特区政府采购条例》第五十七条</w:t>
      </w:r>
      <w:r>
        <w:rPr>
          <w:rFonts w:hint="eastAsia" w:ascii="宋体" w:hAnsi="宋体" w:eastAsia="宋体" w:cs="宋体"/>
          <w:color w:val="FF0000"/>
          <w:kern w:val="2"/>
          <w:sz w:val="21"/>
          <w:szCs w:val="21"/>
          <w:lang w:eastAsia="zh-CN" w:bidi="ar"/>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3FAC919C">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（一）在采购活动中应当回避而未回避的；</w:t>
      </w:r>
    </w:p>
    <w:p w14:paraId="10B4A298">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（二）未按本条例规定签订、履行采购合同，造成严重后果的；</w:t>
      </w:r>
    </w:p>
    <w:p w14:paraId="7C07397A">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（三）隐瞒真实情况，提供虚假资料的；</w:t>
      </w:r>
    </w:p>
    <w:p w14:paraId="22E2A775">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（四）以非法手段排斥其他供应商参与竞争的；</w:t>
      </w:r>
    </w:p>
    <w:p w14:paraId="1FF28138">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（五）与其他采购参加人串通投标的；</w:t>
      </w:r>
    </w:p>
    <w:p w14:paraId="16E28987">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（六）恶意投诉的；</w:t>
      </w:r>
    </w:p>
    <w:p w14:paraId="01F12ECF">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（七）向采购项目相关人行贿或者提供其他不当利益的；</w:t>
      </w:r>
    </w:p>
    <w:p w14:paraId="64132D92">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（八）阻碍、抗拒主管部门监督检查的；</w:t>
      </w:r>
    </w:p>
    <w:p w14:paraId="3E501E93">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（九）其他违反本条例规定的行为。</w:t>
      </w:r>
    </w:p>
    <w:p w14:paraId="2D9E6AF3">
      <w:pPr>
        <w:widowControl w:val="0"/>
        <w:ind w:firstLine="422" w:firstLineChars="200"/>
        <w:jc w:val="both"/>
        <w:rPr>
          <w:rFonts w:ascii="宋体" w:hAnsi="宋体" w:eastAsia="宋体" w:cs="宋体"/>
          <w:color w:val="FF0000"/>
          <w:kern w:val="2"/>
          <w:sz w:val="21"/>
          <w:szCs w:val="21"/>
          <w:lang w:eastAsia="zh-CN"/>
        </w:rPr>
      </w:pPr>
      <w:r>
        <w:rPr>
          <w:rFonts w:hint="eastAsia" w:ascii="宋体" w:hAnsi="宋体" w:eastAsia="宋体" w:cs="宋体"/>
          <w:b/>
          <w:bCs/>
          <w:color w:val="FF0000"/>
          <w:kern w:val="2"/>
          <w:sz w:val="21"/>
          <w:szCs w:val="21"/>
          <w:lang w:eastAsia="zh-CN" w:bidi="ar"/>
        </w:rPr>
        <w:t xml:space="preserve">二、《深圳经济特区政府采购条例实施细则》第七十五条 </w:t>
      </w:r>
      <w:r>
        <w:rPr>
          <w:rFonts w:hint="eastAsia" w:ascii="宋体" w:hAnsi="宋体" w:eastAsia="宋体" w:cs="宋体"/>
          <w:color w:val="FF0000"/>
          <w:kern w:val="2"/>
          <w:sz w:val="21"/>
          <w:szCs w:val="21"/>
          <w:lang w:eastAsia="zh-CN" w:bidi="ar"/>
        </w:rPr>
        <w:t>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0D0E57D9">
      <w:pPr>
        <w:widowControl w:val="0"/>
        <w:ind w:firstLine="422" w:firstLineChars="200"/>
        <w:jc w:val="both"/>
        <w:rPr>
          <w:rFonts w:ascii="宋体" w:hAnsi="宋体" w:eastAsia="宋体" w:cs="宋体"/>
          <w:color w:val="FF0000"/>
          <w:kern w:val="2"/>
          <w:sz w:val="21"/>
          <w:szCs w:val="21"/>
          <w:lang w:eastAsia="zh-CN"/>
        </w:rPr>
      </w:pPr>
      <w:r>
        <w:rPr>
          <w:rFonts w:hint="eastAsia" w:ascii="宋体" w:hAnsi="宋体" w:eastAsia="宋体" w:cs="宋体"/>
          <w:b/>
          <w:bCs/>
          <w:color w:val="FF0000"/>
          <w:kern w:val="2"/>
          <w:sz w:val="21"/>
          <w:szCs w:val="21"/>
          <w:lang w:eastAsia="zh-CN" w:bidi="ar"/>
        </w:rPr>
        <w:t xml:space="preserve">三、《深圳经济特区政府采购条例实施细则》第七十七条 </w:t>
      </w:r>
      <w:r>
        <w:rPr>
          <w:rFonts w:hint="eastAsia" w:ascii="宋体" w:hAnsi="宋体" w:eastAsia="宋体" w:cs="宋体"/>
          <w:color w:val="FF0000"/>
          <w:kern w:val="2"/>
          <w:sz w:val="21"/>
          <w:szCs w:val="21"/>
          <w:lang w:eastAsia="zh-CN" w:bidi="ar"/>
        </w:rPr>
        <w:t>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7785F52E">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投标供应商不能提供项目负责人或者主要技术人员的劳动合同、社会保险等劳动关系证明材料的，视为存在前款第（三）项规定的情形。</w:t>
      </w:r>
    </w:p>
    <w:p w14:paraId="4801792F">
      <w:pPr>
        <w:widowControl w:val="0"/>
        <w:ind w:firstLine="422" w:firstLineChars="200"/>
        <w:jc w:val="both"/>
        <w:rPr>
          <w:rFonts w:eastAsia="宋体"/>
          <w:bCs/>
          <w:color w:val="FF0000"/>
          <w:kern w:val="2"/>
          <w:sz w:val="21"/>
          <w:szCs w:val="21"/>
          <w:lang w:eastAsia="zh-CN"/>
        </w:rPr>
      </w:pPr>
      <w:r>
        <w:rPr>
          <w:rFonts w:hint="eastAsia" w:eastAsia="宋体" w:cs="宋体"/>
          <w:b/>
          <w:color w:val="FF0000"/>
          <w:kern w:val="2"/>
          <w:sz w:val="21"/>
          <w:szCs w:val="21"/>
          <w:lang w:eastAsia="zh-CN" w:bidi="ar"/>
        </w:rPr>
        <w:t>四、根据《深圳经济特区政府采购条例实施细则》第七十五条规定</w:t>
      </w:r>
      <w:r>
        <w:rPr>
          <w:rFonts w:hint="eastAsia" w:eastAsia="宋体" w:cs="宋体"/>
          <w:bCs/>
          <w:color w:val="FF0000"/>
          <w:kern w:val="2"/>
          <w:sz w:val="21"/>
          <w:szCs w:val="21"/>
          <w:lang w:eastAsia="zh-CN" w:bidi="ar"/>
        </w:rPr>
        <w:t>，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eastAsia="宋体" w:cs="宋体"/>
          <w:color w:val="FF0000"/>
          <w:kern w:val="2"/>
          <w:sz w:val="21"/>
          <w:szCs w:val="21"/>
          <w:lang w:eastAsia="zh-CN" w:bidi="ar"/>
        </w:rPr>
        <w:t>取消参与本市政府采购资格</w:t>
      </w:r>
      <w:r>
        <w:rPr>
          <w:rFonts w:hint="eastAsia" w:hAnsi="宋体" w:eastAsia="宋体" w:cs="宋体"/>
          <w:color w:val="FF0000"/>
          <w:kern w:val="2"/>
          <w:sz w:val="21"/>
          <w:szCs w:val="21"/>
          <w:lang w:eastAsia="zh-CN" w:bidi="ar"/>
        </w:rPr>
        <w:t>、</w:t>
      </w:r>
      <w:r>
        <w:rPr>
          <w:rFonts w:hint="eastAsia" w:ascii="宋体" w:hAnsi="宋体" w:eastAsia="宋体" w:cs="宋体"/>
          <w:color w:val="FF0000"/>
          <w:kern w:val="2"/>
          <w:sz w:val="21"/>
          <w:szCs w:val="21"/>
          <w:lang w:eastAsia="zh-CN" w:bidi="ar"/>
        </w:rPr>
        <w:t>依法吊销其营业</w:t>
      </w:r>
      <w:r>
        <w:rPr>
          <w:rFonts w:hint="eastAsia" w:hAnsi="宋体" w:eastAsia="宋体" w:cs="宋体"/>
          <w:color w:val="FF0000"/>
          <w:kern w:val="2"/>
          <w:sz w:val="21"/>
          <w:szCs w:val="21"/>
          <w:lang w:eastAsia="zh-CN" w:bidi="ar"/>
        </w:rPr>
        <w:t>执照等行政处罚，</w:t>
      </w:r>
      <w:r>
        <w:rPr>
          <w:rFonts w:hint="eastAsia" w:ascii="宋体" w:hAnsi="宋体" w:eastAsia="宋体" w:cs="宋体"/>
          <w:color w:val="FF0000"/>
          <w:kern w:val="2"/>
          <w:sz w:val="21"/>
          <w:szCs w:val="21"/>
          <w:lang w:eastAsia="zh-CN" w:bidi="ar"/>
        </w:rPr>
        <w:t>构成犯罪的，依法追究刑事责任</w:t>
      </w:r>
      <w:r>
        <w:rPr>
          <w:rFonts w:hint="eastAsia" w:eastAsia="宋体" w:cs="宋体"/>
          <w:bCs/>
          <w:color w:val="FF0000"/>
          <w:kern w:val="2"/>
          <w:sz w:val="21"/>
          <w:szCs w:val="21"/>
          <w:lang w:eastAsia="zh-CN" w:bidi="ar"/>
        </w:rPr>
        <w:t>，请各供应商独立编制、上传投标文件，妥善保管和使用电子秘钥。</w:t>
      </w:r>
    </w:p>
    <w:p w14:paraId="50AE3171">
      <w:pPr>
        <w:widowControl w:val="0"/>
        <w:ind w:firstLine="422" w:firstLineChars="200"/>
        <w:jc w:val="both"/>
        <w:rPr>
          <w:rFonts w:eastAsia="宋体"/>
          <w:kern w:val="2"/>
          <w:sz w:val="21"/>
          <w:szCs w:val="21"/>
          <w:lang w:eastAsia="zh-CN"/>
        </w:rPr>
      </w:pPr>
      <w:r>
        <w:rPr>
          <w:rFonts w:hint="eastAsia" w:eastAsia="宋体" w:cs="宋体"/>
          <w:b/>
          <w:color w:val="FF0000"/>
          <w:kern w:val="2"/>
          <w:sz w:val="21"/>
          <w:szCs w:val="21"/>
          <w:lang w:eastAsia="zh-CN" w:bidi="ar"/>
        </w:rPr>
        <w:t>五、请投标供应商阅读《采购违法行为风险知悉确认书》（内容详见“投标文件”中节点“投标人认为需要加以说明的其他内容”），并经各投标供应商负责人签字并加盖单位公章后，扫描上传至投标文件一并提交。</w:t>
      </w:r>
    </w:p>
    <w:p w14:paraId="00001046">
      <w:pPr>
        <w:widowControl/>
        <w:spacing w:beforeAutospacing="1" w:afterAutospacing="1"/>
        <w:jc w:val="left"/>
        <w:outlineLvl w:val="1"/>
        <w:rPr>
          <w:rFonts w:ascii="黑体" w:hAnsi="宋体" w:eastAsia="黑体" w:cs="黑体"/>
          <w:sz w:val="21"/>
          <w:szCs w:val="21"/>
          <w:lang w:eastAsia="zh-CN"/>
        </w:rPr>
      </w:pPr>
      <w:r>
        <w:rPr>
          <w:rFonts w:hint="eastAsia" w:eastAsia="宋体" w:cs="宋体"/>
          <w:b/>
          <w:color w:val="FF0000"/>
          <w:kern w:val="2"/>
          <w:sz w:val="21"/>
          <w:szCs w:val="21"/>
          <w:lang w:eastAsia="zh-CN" w:bidi="ar"/>
        </w:rPr>
        <w:t>注：“特别警示条款”和《采购违法行为风险知悉确认书》用于对供应商违法行为的提醒，不作为供应商资格性审查及符合性审查条件。</w:t>
      </w:r>
    </w:p>
    <w:p w14:paraId="0088F0D6">
      <w:pPr>
        <w:widowControl w:val="0"/>
        <w:jc w:val="both"/>
        <w:rPr>
          <w:rFonts w:ascii="方正小标宋简体" w:hAnsi="方正小标宋简体" w:eastAsia="方正小标宋简体" w:cs="方正小标宋简体"/>
          <w:bCs/>
          <w:color w:val="000000"/>
          <w:kern w:val="2"/>
          <w:sz w:val="21"/>
          <w:szCs w:val="21"/>
          <w:lang w:eastAsia="zh-CN"/>
        </w:rPr>
      </w:pPr>
      <w:r>
        <w:rPr>
          <w:rFonts w:hint="eastAsia" w:ascii="方正小标宋简体" w:hAnsi="方正小标宋简体" w:eastAsia="方正小标宋简体" w:cs="方正小标宋简体"/>
          <w:bCs/>
          <w:color w:val="000000"/>
          <w:kern w:val="2"/>
          <w:sz w:val="21"/>
          <w:szCs w:val="21"/>
          <w:lang w:eastAsia="zh-CN"/>
        </w:rPr>
        <w:br w:type="page"/>
      </w:r>
    </w:p>
    <w:p w14:paraId="5710DB50">
      <w:pPr>
        <w:widowControl/>
        <w:spacing w:before="100" w:beforeAutospacing="1" w:after="100" w:afterAutospacing="1"/>
        <w:jc w:val="center"/>
        <w:outlineLvl w:val="1"/>
        <w:rPr>
          <w:rFonts w:ascii="方正小标宋简体" w:hAnsi="方正小标宋简体" w:eastAsia="方正小标宋简体" w:cs="方正小标宋简体"/>
          <w:bCs/>
          <w:color w:val="000000"/>
          <w:kern w:val="2"/>
          <w:sz w:val="44"/>
          <w:szCs w:val="44"/>
          <w:lang w:eastAsia="zh-CN"/>
        </w:rPr>
      </w:pPr>
      <w:r>
        <w:rPr>
          <w:rFonts w:hint="eastAsia" w:ascii="方正小标宋简体" w:hAnsi="方正小标宋简体" w:eastAsia="方正小标宋简体" w:cs="方正小标宋简体"/>
          <w:bCs/>
          <w:color w:val="000000"/>
          <w:kern w:val="2"/>
          <w:sz w:val="44"/>
          <w:szCs w:val="44"/>
          <w:lang w:eastAsia="zh-CN"/>
        </w:rPr>
        <w:t>招标文件信息</w:t>
      </w:r>
    </w:p>
    <w:tbl>
      <w:tblPr>
        <w:tblStyle w:val="4"/>
        <w:tblW w:w="5000" w:type="pct"/>
        <w:jc w:val="center"/>
        <w:tblCellSpacing w:w="0" w:type="dxa"/>
        <w:tblLayout w:type="fixed"/>
        <w:tblCellMar>
          <w:top w:w="45" w:type="dxa"/>
          <w:left w:w="45" w:type="dxa"/>
          <w:bottom w:w="45" w:type="dxa"/>
          <w:right w:w="45" w:type="dxa"/>
        </w:tblCellMar>
      </w:tblPr>
      <w:tblGrid>
        <w:gridCol w:w="3141"/>
        <w:gridCol w:w="6020"/>
      </w:tblGrid>
      <w:tr w14:paraId="7C65301A">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40F98D61">
            <w:pPr>
              <w:widowControl/>
              <w:jc w:val="right"/>
              <w:rPr>
                <w:rFonts w:eastAsia="宋体"/>
                <w:kern w:val="2"/>
                <w:sz w:val="30"/>
                <w:szCs w:val="30"/>
                <w:lang w:eastAsia="zh-CN"/>
              </w:rPr>
            </w:pPr>
            <w:r>
              <w:rPr>
                <w:rFonts w:ascii="宋体" w:hAnsi="宋体" w:eastAsia="宋体" w:cs="宋体"/>
                <w:sz w:val="30"/>
                <w:szCs w:val="30"/>
                <w:lang w:eastAsia="zh-CN"/>
              </w:rPr>
              <w:t>项目编号：</w:t>
            </w:r>
          </w:p>
        </w:tc>
        <w:tc>
          <w:tcPr>
            <w:tcW w:w="5220" w:type="dxa"/>
            <w:shd w:val="clear" w:color="auto" w:fill="auto"/>
            <w:vAlign w:val="center"/>
          </w:tcPr>
          <w:p w14:paraId="70306E32">
            <w:pPr>
              <w:widowControl/>
              <w:jc w:val="left"/>
              <w:rPr>
                <w:rFonts w:eastAsia="宋体"/>
                <w:kern w:val="2"/>
                <w:sz w:val="30"/>
                <w:szCs w:val="30"/>
                <w:lang w:eastAsia="zh-CN"/>
              </w:rPr>
            </w:pPr>
            <w:r>
              <w:rPr>
                <w:rFonts w:hint="eastAsia" w:eastAsia="宋体"/>
                <w:kern w:val="2"/>
                <w:sz w:val="30"/>
                <w:szCs w:val="30"/>
                <w:lang w:eastAsia="zh-CN"/>
              </w:rPr>
              <w:t>SZZXCG-2025-00417</w:t>
            </w:r>
          </w:p>
        </w:tc>
      </w:tr>
      <w:tr w14:paraId="786ACCF2">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65AD3E3F">
            <w:pPr>
              <w:widowControl/>
              <w:jc w:val="right"/>
              <w:rPr>
                <w:rFonts w:eastAsia="宋体"/>
                <w:kern w:val="2"/>
                <w:sz w:val="30"/>
                <w:szCs w:val="30"/>
                <w:lang w:eastAsia="zh-CN"/>
              </w:rPr>
            </w:pPr>
            <w:r>
              <w:rPr>
                <w:rFonts w:ascii="宋体" w:hAnsi="宋体" w:eastAsia="宋体" w:cs="宋体"/>
                <w:sz w:val="30"/>
                <w:szCs w:val="30"/>
                <w:lang w:eastAsia="zh-CN"/>
              </w:rPr>
              <w:t>项目名称：</w:t>
            </w:r>
          </w:p>
        </w:tc>
        <w:tc>
          <w:tcPr>
            <w:tcW w:w="5220" w:type="dxa"/>
            <w:shd w:val="clear" w:color="auto" w:fill="auto"/>
            <w:vAlign w:val="center"/>
          </w:tcPr>
          <w:p w14:paraId="39214D3A">
            <w:pPr>
              <w:widowControl/>
              <w:jc w:val="left"/>
              <w:rPr>
                <w:rFonts w:eastAsia="宋体"/>
                <w:kern w:val="2"/>
                <w:sz w:val="30"/>
                <w:szCs w:val="30"/>
                <w:lang w:eastAsia="zh-CN"/>
              </w:rPr>
            </w:pPr>
            <w:r>
              <w:rPr>
                <w:rFonts w:eastAsia="宋体"/>
                <w:kern w:val="2"/>
                <w:sz w:val="30"/>
                <w:szCs w:val="30"/>
                <w:lang w:eastAsia="zh-CN"/>
              </w:rPr>
              <w:t>香港中文大学（深圳）书院家具项目</w:t>
            </w:r>
          </w:p>
        </w:tc>
      </w:tr>
      <w:tr w14:paraId="62355D6B">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5A7046FB">
            <w:pPr>
              <w:widowControl/>
              <w:jc w:val="right"/>
              <w:rPr>
                <w:rFonts w:eastAsia="宋体"/>
                <w:kern w:val="2"/>
                <w:sz w:val="30"/>
                <w:szCs w:val="30"/>
                <w:lang w:eastAsia="zh-CN"/>
              </w:rPr>
            </w:pPr>
            <w:r>
              <w:rPr>
                <w:rFonts w:ascii="宋体" w:hAnsi="宋体" w:eastAsia="宋体" w:cs="宋体"/>
                <w:sz w:val="30"/>
                <w:szCs w:val="30"/>
                <w:lang w:eastAsia="zh-CN"/>
              </w:rPr>
              <w:t>包 号：</w:t>
            </w:r>
          </w:p>
        </w:tc>
        <w:tc>
          <w:tcPr>
            <w:tcW w:w="5220" w:type="dxa"/>
            <w:shd w:val="clear" w:color="auto" w:fill="auto"/>
            <w:vAlign w:val="center"/>
          </w:tcPr>
          <w:p w14:paraId="7FE870EB">
            <w:pPr>
              <w:widowControl/>
              <w:jc w:val="left"/>
              <w:rPr>
                <w:rFonts w:eastAsia="宋体"/>
                <w:kern w:val="2"/>
                <w:sz w:val="30"/>
                <w:szCs w:val="30"/>
                <w:lang w:eastAsia="zh-CN"/>
              </w:rPr>
            </w:pPr>
            <w:r>
              <w:rPr>
                <w:rFonts w:ascii="宋体" w:hAnsi="宋体" w:eastAsia="宋体" w:cs="宋体"/>
                <w:sz w:val="30"/>
                <w:szCs w:val="30"/>
                <w:lang w:eastAsia="zh-CN"/>
              </w:rPr>
              <w:t>A</w:t>
            </w:r>
          </w:p>
        </w:tc>
      </w:tr>
      <w:tr w14:paraId="7537AEA8">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92E21A5">
            <w:pPr>
              <w:widowControl/>
              <w:jc w:val="right"/>
              <w:rPr>
                <w:rFonts w:eastAsia="宋体"/>
                <w:kern w:val="2"/>
                <w:sz w:val="30"/>
                <w:szCs w:val="30"/>
                <w:lang w:eastAsia="zh-CN"/>
              </w:rPr>
            </w:pPr>
            <w:r>
              <w:rPr>
                <w:rFonts w:ascii="宋体" w:hAnsi="宋体" w:eastAsia="宋体" w:cs="宋体"/>
                <w:sz w:val="30"/>
                <w:szCs w:val="30"/>
                <w:lang w:eastAsia="zh-CN"/>
              </w:rPr>
              <w:t>项目类型：</w:t>
            </w:r>
          </w:p>
        </w:tc>
        <w:tc>
          <w:tcPr>
            <w:tcW w:w="5220" w:type="dxa"/>
            <w:shd w:val="clear" w:color="auto" w:fill="auto"/>
            <w:vAlign w:val="center"/>
          </w:tcPr>
          <w:p w14:paraId="01A79D2B">
            <w:pPr>
              <w:widowControl/>
              <w:jc w:val="left"/>
              <w:rPr>
                <w:rFonts w:eastAsia="宋体"/>
                <w:kern w:val="2"/>
                <w:sz w:val="30"/>
                <w:szCs w:val="30"/>
                <w:lang w:eastAsia="zh-CN"/>
              </w:rPr>
            </w:pPr>
            <w:r>
              <w:rPr>
                <w:rFonts w:eastAsia="宋体"/>
                <w:kern w:val="2"/>
                <w:sz w:val="30"/>
                <w:szCs w:val="30"/>
                <w:lang w:eastAsia="zh-CN"/>
              </w:rPr>
              <w:t>货物类</w:t>
            </w:r>
          </w:p>
        </w:tc>
      </w:tr>
      <w:tr w14:paraId="07FC2713">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78E3143E">
            <w:pPr>
              <w:widowControl/>
              <w:jc w:val="right"/>
              <w:rPr>
                <w:rFonts w:eastAsia="宋体"/>
                <w:kern w:val="2"/>
                <w:sz w:val="30"/>
                <w:szCs w:val="30"/>
                <w:lang w:eastAsia="zh-CN"/>
              </w:rPr>
            </w:pPr>
            <w:r>
              <w:rPr>
                <w:rFonts w:ascii="宋体" w:hAnsi="宋体" w:eastAsia="宋体" w:cs="宋体"/>
                <w:sz w:val="30"/>
                <w:szCs w:val="30"/>
                <w:lang w:eastAsia="zh-CN"/>
              </w:rPr>
              <w:t>采购方式：</w:t>
            </w:r>
          </w:p>
        </w:tc>
        <w:tc>
          <w:tcPr>
            <w:tcW w:w="5220" w:type="dxa"/>
            <w:shd w:val="clear" w:color="auto" w:fill="auto"/>
            <w:vAlign w:val="center"/>
          </w:tcPr>
          <w:p w14:paraId="17CE81D7">
            <w:pPr>
              <w:widowControl/>
              <w:jc w:val="left"/>
              <w:rPr>
                <w:rFonts w:eastAsia="宋体"/>
                <w:kern w:val="2"/>
                <w:sz w:val="30"/>
                <w:szCs w:val="30"/>
                <w:lang w:eastAsia="zh-CN"/>
              </w:rPr>
            </w:pPr>
            <w:r>
              <w:rPr>
                <w:rFonts w:ascii="宋体" w:hAnsi="宋体" w:eastAsia="宋体" w:cs="宋体"/>
                <w:sz w:val="30"/>
                <w:szCs w:val="30"/>
                <w:lang w:eastAsia="zh-CN"/>
              </w:rPr>
              <w:t>公开</w:t>
            </w:r>
            <w:r>
              <w:rPr>
                <w:rFonts w:hint="eastAsia" w:ascii="宋体" w:hAnsi="宋体" w:eastAsia="宋体" w:cs="宋体"/>
                <w:sz w:val="30"/>
                <w:szCs w:val="30"/>
                <w:lang w:eastAsia="zh-CN"/>
              </w:rPr>
              <w:t>招标</w:t>
            </w:r>
          </w:p>
        </w:tc>
      </w:tr>
      <w:tr w14:paraId="322BEF18">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86FAAB3">
            <w:pPr>
              <w:widowControl/>
              <w:jc w:val="right"/>
              <w:rPr>
                <w:rFonts w:eastAsia="宋体"/>
                <w:kern w:val="2"/>
                <w:sz w:val="30"/>
                <w:szCs w:val="30"/>
                <w:lang w:eastAsia="zh-CN"/>
              </w:rPr>
            </w:pPr>
            <w:r>
              <w:rPr>
                <w:rFonts w:ascii="宋体" w:hAnsi="宋体" w:eastAsia="宋体" w:cs="宋体"/>
                <w:sz w:val="30"/>
                <w:szCs w:val="30"/>
                <w:lang w:eastAsia="zh-CN"/>
              </w:rPr>
              <w:t>货币类型：</w:t>
            </w:r>
          </w:p>
        </w:tc>
        <w:tc>
          <w:tcPr>
            <w:tcW w:w="5220" w:type="dxa"/>
            <w:shd w:val="clear" w:color="auto" w:fill="auto"/>
            <w:vAlign w:val="center"/>
          </w:tcPr>
          <w:p w14:paraId="114EDC93">
            <w:pPr>
              <w:widowControl/>
              <w:jc w:val="left"/>
              <w:rPr>
                <w:rFonts w:eastAsia="宋体"/>
                <w:kern w:val="2"/>
                <w:sz w:val="30"/>
                <w:szCs w:val="30"/>
                <w:lang w:eastAsia="zh-CN"/>
              </w:rPr>
            </w:pPr>
            <w:r>
              <w:rPr>
                <w:rFonts w:ascii="宋体" w:hAnsi="宋体" w:eastAsia="宋体" w:cs="宋体"/>
                <w:sz w:val="30"/>
                <w:szCs w:val="30"/>
                <w:lang w:eastAsia="zh-CN"/>
              </w:rPr>
              <w:t>人民币</w:t>
            </w:r>
          </w:p>
        </w:tc>
      </w:tr>
      <w:tr w14:paraId="3762466B">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6E59F23">
            <w:pPr>
              <w:widowControl/>
              <w:jc w:val="right"/>
              <w:rPr>
                <w:rFonts w:eastAsia="宋体"/>
                <w:kern w:val="2"/>
                <w:sz w:val="30"/>
                <w:szCs w:val="30"/>
                <w:lang w:eastAsia="zh-CN"/>
              </w:rPr>
            </w:pPr>
            <w:r>
              <w:rPr>
                <w:rFonts w:ascii="宋体" w:hAnsi="宋体" w:eastAsia="宋体" w:cs="宋体"/>
                <w:sz w:val="30"/>
                <w:szCs w:val="30"/>
                <w:lang w:eastAsia="zh-CN"/>
              </w:rPr>
              <w:t>评标方法：</w:t>
            </w:r>
          </w:p>
        </w:tc>
        <w:tc>
          <w:tcPr>
            <w:tcW w:w="5220" w:type="dxa"/>
            <w:shd w:val="clear" w:color="auto" w:fill="auto"/>
            <w:vAlign w:val="center"/>
          </w:tcPr>
          <w:p w14:paraId="3AB4BB48">
            <w:pPr>
              <w:widowControl/>
              <w:jc w:val="left"/>
              <w:rPr>
                <w:rFonts w:eastAsia="宋体"/>
                <w:kern w:val="2"/>
                <w:sz w:val="30"/>
                <w:szCs w:val="30"/>
                <w:lang w:eastAsia="zh-CN"/>
              </w:rPr>
            </w:pPr>
            <w:r>
              <w:rPr>
                <w:rFonts w:ascii="宋体" w:hAnsi="宋体" w:eastAsia="宋体" w:cs="宋体"/>
                <w:sz w:val="30"/>
                <w:szCs w:val="30"/>
                <w:lang w:eastAsia="zh-CN" w:bidi="ar"/>
              </w:rPr>
              <w:t>综合评分法</w:t>
            </w:r>
          </w:p>
        </w:tc>
      </w:tr>
    </w:tbl>
    <w:p w14:paraId="69F4DDBD">
      <w:pPr>
        <w:widowControl w:val="0"/>
        <w:spacing w:beforeAutospacing="1" w:afterAutospacing="1"/>
        <w:jc w:val="center"/>
        <w:outlineLvl w:val="1"/>
        <w:rPr>
          <w:rFonts w:ascii="黑体" w:hAnsi="黑体" w:eastAsia="黑体"/>
          <w:sz w:val="40"/>
          <w:szCs w:val="40"/>
          <w:lang w:eastAsia="zh-CN"/>
        </w:rPr>
      </w:pPr>
    </w:p>
    <w:p w14:paraId="2F0809CD">
      <w:pPr>
        <w:widowControl w:val="0"/>
        <w:spacing w:line="360" w:lineRule="auto"/>
        <w:jc w:val="both"/>
        <w:rPr>
          <w:rFonts w:eastAsia="宋体"/>
          <w:b/>
          <w:bCs/>
          <w:kern w:val="2"/>
          <w:lang w:eastAsia="zh-CN"/>
        </w:rPr>
      </w:pPr>
      <w:r>
        <w:rPr>
          <w:rFonts w:eastAsia="宋体"/>
          <w:b/>
          <w:bCs/>
          <w:kern w:val="2"/>
          <w:lang w:eastAsia="zh-CN"/>
        </w:rPr>
        <w:br w:type="page"/>
      </w:r>
    </w:p>
    <w:p w14:paraId="79B0A18B">
      <w:pPr>
        <w:widowControl w:val="0"/>
        <w:spacing w:beforeAutospacing="1" w:afterAutospacing="1"/>
        <w:jc w:val="center"/>
        <w:outlineLvl w:val="1"/>
        <w:rPr>
          <w:rFonts w:ascii="黑体" w:hAnsi="黑体" w:eastAsia="黑体"/>
          <w:sz w:val="40"/>
          <w:szCs w:val="40"/>
          <w:lang w:eastAsia="zh-CN"/>
        </w:rPr>
      </w:pPr>
      <w:r>
        <w:rPr>
          <w:rFonts w:hint="eastAsia" w:ascii="黑体" w:hAnsi="黑体" w:eastAsia="黑体"/>
          <w:sz w:val="40"/>
          <w:szCs w:val="40"/>
          <w:lang w:eastAsia="zh-CN"/>
        </w:rPr>
        <w:t>资格性审查表</w:t>
      </w:r>
    </w:p>
    <w:tbl>
      <w:tblPr>
        <w:tblStyle w:val="4"/>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21"/>
        <w:gridCol w:w="8566"/>
      </w:tblGrid>
      <w:tr w14:paraId="4EC20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693" w:type="dxa"/>
            <w:tcBorders>
              <w:top w:val="single" w:color="000000" w:sz="8" w:space="0"/>
              <w:left w:val="single" w:color="000000" w:sz="8" w:space="0"/>
              <w:bottom w:val="single" w:color="000000" w:sz="8" w:space="0"/>
              <w:right w:val="single" w:color="000000" w:sz="8" w:space="0"/>
            </w:tcBorders>
            <w:shd w:val="clear" w:color="auto" w:fill="E6EFFA"/>
            <w:vAlign w:val="top"/>
          </w:tcPr>
          <w:p w14:paraId="7E3DC881">
            <w:pPr>
              <w:widowControl w:val="0"/>
              <w:jc w:val="center"/>
              <w:rPr>
                <w:rFonts w:ascii="宋体" w:hAnsi="宋体" w:eastAsia="宋体"/>
                <w:kern w:val="2"/>
                <w:sz w:val="21"/>
                <w:szCs w:val="21"/>
                <w:lang w:eastAsia="zh-CN"/>
              </w:rPr>
            </w:pPr>
            <w:r>
              <w:rPr>
                <w:rFonts w:ascii="宋体" w:hAnsi="宋体" w:eastAsia="宋体"/>
                <w:kern w:val="2"/>
                <w:sz w:val="21"/>
                <w:szCs w:val="21"/>
                <w:lang w:eastAsia="zh-CN"/>
              </w:rPr>
              <w:t>序号</w:t>
            </w:r>
          </w:p>
        </w:tc>
        <w:tc>
          <w:tcPr>
            <w:tcW w:w="8229"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924F2C2">
            <w:pPr>
              <w:widowControl w:val="0"/>
              <w:jc w:val="center"/>
              <w:rPr>
                <w:rFonts w:ascii="宋体" w:hAnsi="宋体" w:eastAsia="宋体" w:cs="宋体"/>
                <w:kern w:val="2"/>
                <w:sz w:val="21"/>
                <w:szCs w:val="21"/>
                <w:lang w:eastAsia="zh-CN"/>
              </w:rPr>
            </w:pPr>
            <w:r>
              <w:rPr>
                <w:rFonts w:ascii="宋体" w:hAnsi="宋体" w:eastAsia="宋体"/>
                <w:kern w:val="2"/>
                <w:sz w:val="21"/>
                <w:szCs w:val="21"/>
                <w:lang w:eastAsia="zh-CN"/>
              </w:rPr>
              <w:t>内容</w:t>
            </w:r>
          </w:p>
        </w:tc>
      </w:tr>
      <w:tr w14:paraId="461FA4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93" w:type="dxa"/>
            <w:tcBorders>
              <w:top w:val="single" w:color="000000" w:sz="8" w:space="0"/>
              <w:left w:val="single" w:color="000000" w:sz="8" w:space="0"/>
              <w:bottom w:val="single" w:color="000000" w:sz="8" w:space="0"/>
              <w:right w:val="single" w:color="000000" w:sz="8" w:space="0"/>
            </w:tcBorders>
            <w:vAlign w:val="top"/>
          </w:tcPr>
          <w:p w14:paraId="6BAC6621">
            <w:pPr>
              <w:widowControl w:val="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8229" w:type="dxa"/>
            <w:tcBorders>
              <w:top w:val="single" w:color="000000" w:sz="8" w:space="0"/>
              <w:left w:val="single" w:color="000000" w:sz="8" w:space="0"/>
              <w:bottom w:val="single" w:color="000000" w:sz="8" w:space="0"/>
              <w:right w:val="single" w:color="000000" w:sz="8" w:space="0"/>
            </w:tcBorders>
          </w:tcPr>
          <w:p w14:paraId="41073E95">
            <w:pPr>
              <w:widowControl w:val="0"/>
              <w:jc w:val="both"/>
              <w:rPr>
                <w:rFonts w:ascii="宋体" w:hAnsi="宋体" w:eastAsia="宋体" w:cs="宋体"/>
                <w:kern w:val="2"/>
                <w:sz w:val="21"/>
                <w:szCs w:val="21"/>
                <w:lang w:eastAsia="zh-CN"/>
              </w:rPr>
            </w:pPr>
            <w:r>
              <w:rPr>
                <w:rFonts w:ascii="宋体" w:hAnsi="宋体" w:eastAsia="宋体" w:cs="宋体"/>
                <w:sz w:val="21"/>
                <w:szCs w:val="21"/>
                <w:lang w:eastAsia="zh-CN"/>
              </w:rPr>
              <w:t>投标人不</w:t>
            </w:r>
            <w:r>
              <w:rPr>
                <w:rFonts w:hint="eastAsia" w:ascii="宋体" w:hAnsi="宋体" w:eastAsia="宋体" w:cs="宋体"/>
                <w:sz w:val="21"/>
                <w:szCs w:val="21"/>
                <w:lang w:eastAsia="zh-CN"/>
              </w:rPr>
              <w:t>符合</w:t>
            </w:r>
            <w:r>
              <w:rPr>
                <w:rFonts w:ascii="宋体" w:hAnsi="宋体" w:eastAsia="宋体" w:cs="宋体"/>
                <w:sz w:val="21"/>
                <w:szCs w:val="21"/>
                <w:lang w:eastAsia="zh-CN"/>
              </w:rPr>
              <w:t>资格要求，或未提交相应的资格证明资料（详见</w:t>
            </w:r>
            <w:r>
              <w:rPr>
                <w:rFonts w:hint="eastAsia" w:ascii="宋体" w:hAnsi="宋体" w:eastAsia="宋体" w:cs="宋体"/>
                <w:sz w:val="21"/>
                <w:szCs w:val="21"/>
                <w:lang w:eastAsia="zh-CN"/>
              </w:rPr>
              <w:t>招标</w:t>
            </w:r>
            <w:r>
              <w:rPr>
                <w:rFonts w:ascii="宋体" w:hAnsi="宋体" w:eastAsia="宋体" w:cs="宋体"/>
                <w:sz w:val="21"/>
                <w:szCs w:val="21"/>
                <w:lang w:eastAsia="zh-CN"/>
              </w:rPr>
              <w:t>公告</w:t>
            </w:r>
            <w:r>
              <w:rPr>
                <w:rFonts w:hint="eastAsia" w:ascii="宋体" w:hAnsi="宋体" w:eastAsia="宋体"/>
                <w:kern w:val="2"/>
                <w:sz w:val="21"/>
                <w:szCs w:val="21"/>
                <w:lang w:eastAsia="zh-CN"/>
              </w:rPr>
              <w:t>投标人资格要求</w:t>
            </w:r>
            <w:r>
              <w:rPr>
                <w:rFonts w:ascii="宋体" w:hAnsi="宋体" w:eastAsia="宋体" w:cs="宋体"/>
                <w:sz w:val="21"/>
                <w:szCs w:val="21"/>
                <w:lang w:eastAsia="zh-CN"/>
              </w:rPr>
              <w:t>）</w:t>
            </w:r>
          </w:p>
        </w:tc>
      </w:tr>
    </w:tbl>
    <w:p w14:paraId="6D8451FC">
      <w:pPr>
        <w:widowControl w:val="0"/>
        <w:spacing w:before="280" w:beforeAutospacing="1" w:afterAutospacing="1"/>
        <w:jc w:val="center"/>
        <w:outlineLvl w:val="1"/>
        <w:rPr>
          <w:rFonts w:ascii="黑体" w:hAnsi="黑体" w:eastAsia="黑体"/>
          <w:sz w:val="40"/>
          <w:szCs w:val="40"/>
          <w:lang w:eastAsia="zh-CN"/>
        </w:rPr>
      </w:pPr>
      <w:r>
        <w:rPr>
          <w:rFonts w:hint="eastAsia" w:ascii="黑体" w:hAnsi="黑体" w:eastAsia="黑体"/>
          <w:sz w:val="40"/>
          <w:szCs w:val="40"/>
          <w:lang w:eastAsia="zh-CN"/>
        </w:rPr>
        <w:t>符合性审查表</w:t>
      </w:r>
    </w:p>
    <w:tbl>
      <w:tblPr>
        <w:tblStyle w:val="4"/>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92"/>
        <w:gridCol w:w="8595"/>
      </w:tblGrid>
      <w:tr w14:paraId="43BDB7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675" w:type="dxa"/>
            <w:tcBorders>
              <w:top w:val="single" w:color="000000" w:sz="8" w:space="0"/>
              <w:left w:val="single" w:color="000000" w:sz="8" w:space="0"/>
              <w:bottom w:val="single" w:color="000000" w:sz="8" w:space="0"/>
              <w:right w:val="single" w:color="000000" w:sz="8" w:space="0"/>
            </w:tcBorders>
            <w:shd w:val="clear" w:color="auto" w:fill="E6EFFA"/>
          </w:tcPr>
          <w:p w14:paraId="25CF61B4">
            <w:pPr>
              <w:widowControl/>
              <w:jc w:val="center"/>
              <w:rPr>
                <w:rFonts w:ascii="宋体" w:hAnsi="宋体" w:eastAsia="宋体" w:cs="宋体"/>
                <w:sz w:val="21"/>
                <w:szCs w:val="21"/>
                <w:lang w:eastAsia="zh-CN"/>
              </w:rPr>
            </w:pPr>
            <w:r>
              <w:rPr>
                <w:rFonts w:ascii="宋体" w:hAnsi="宋体" w:eastAsia="宋体" w:cs="宋体"/>
                <w:sz w:val="21"/>
                <w:szCs w:val="21"/>
                <w:lang w:eastAsia="zh-CN"/>
              </w:rPr>
              <w:t>序号</w:t>
            </w:r>
          </w:p>
        </w:tc>
        <w:tc>
          <w:tcPr>
            <w:tcW w:w="8386"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99897F3">
            <w:pPr>
              <w:widowControl/>
              <w:jc w:val="center"/>
              <w:rPr>
                <w:rFonts w:ascii="宋体" w:hAnsi="宋体" w:eastAsia="宋体"/>
                <w:kern w:val="2"/>
                <w:sz w:val="21"/>
                <w:szCs w:val="21"/>
                <w:lang w:eastAsia="zh-CN"/>
              </w:rPr>
            </w:pPr>
            <w:r>
              <w:rPr>
                <w:rFonts w:ascii="宋体" w:hAnsi="宋体" w:eastAsia="宋体" w:cs="宋体"/>
                <w:sz w:val="21"/>
                <w:szCs w:val="21"/>
                <w:lang w:eastAsia="zh-CN"/>
              </w:rPr>
              <w:t>内容</w:t>
            </w:r>
          </w:p>
        </w:tc>
      </w:tr>
      <w:tr w14:paraId="3F5DC1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41AF4C8E">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1</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5ED81C24">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不得将一个包内容拆开投标；</w:t>
            </w:r>
          </w:p>
        </w:tc>
      </w:tr>
      <w:tr w14:paraId="5463F5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52684552">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2</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4E420008">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对同一项目投标时，不得提供两套以上的投标方案（招标文件另有规定的除外）；</w:t>
            </w:r>
          </w:p>
        </w:tc>
      </w:tr>
      <w:tr w14:paraId="6F9371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4B5BC0F1">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3</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05F7B595">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分项报价或投标总价不得高于相应预算金额（或设定的预算金额下的最高限价）；</w:t>
            </w:r>
          </w:p>
        </w:tc>
      </w:tr>
      <w:tr w14:paraId="7F603F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1436" w:hRule="atLeast"/>
          <w:jc w:val="center"/>
        </w:trPr>
        <w:tc>
          <w:tcPr>
            <w:tcW w:w="675" w:type="dxa"/>
            <w:tcBorders>
              <w:top w:val="single" w:color="000000" w:sz="8" w:space="0"/>
              <w:left w:val="single" w:color="000000" w:sz="8" w:space="0"/>
              <w:bottom w:val="single" w:color="000000" w:sz="8" w:space="0"/>
              <w:right w:val="single" w:color="000000" w:sz="8" w:space="0"/>
            </w:tcBorders>
          </w:tcPr>
          <w:p w14:paraId="3652F584">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4</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33E9F475">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r>
      <w:tr w14:paraId="2C8EB2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35140B84">
            <w:pPr>
              <w:widowControl w:val="0"/>
              <w:jc w:val="center"/>
              <w:rPr>
                <w:rFonts w:ascii="宋体" w:hAnsi="宋体" w:eastAsia="宋体"/>
                <w:kern w:val="2"/>
                <w:sz w:val="21"/>
                <w:szCs w:val="21"/>
                <w:lang w:eastAsia="zh-CN"/>
              </w:rPr>
            </w:pPr>
            <w:r>
              <w:rPr>
                <w:rFonts w:eastAsia="宋体"/>
                <w:kern w:val="2"/>
                <w:sz w:val="21"/>
                <w:szCs w:val="21"/>
                <w:lang w:eastAsia="zh-CN"/>
              </w:rPr>
              <w:t>5</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0099DE46">
            <w:pPr>
              <w:widowControl w:val="0"/>
              <w:jc w:val="both"/>
              <w:rPr>
                <w:rFonts w:ascii="宋体" w:hAnsi="宋体" w:eastAsia="宋体"/>
                <w:kern w:val="2"/>
                <w:sz w:val="21"/>
                <w:szCs w:val="21"/>
                <w:lang w:eastAsia="zh-CN"/>
              </w:rPr>
            </w:pPr>
            <w:r>
              <w:rPr>
                <w:rFonts w:hint="eastAsia" w:eastAsia="宋体"/>
                <w:kern w:val="2"/>
                <w:sz w:val="21"/>
                <w:lang w:eastAsia="zh-C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600D1E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7AFA10CD">
            <w:pPr>
              <w:widowControl w:val="0"/>
              <w:jc w:val="center"/>
              <w:rPr>
                <w:rFonts w:ascii="宋体" w:hAnsi="宋体" w:eastAsia="宋体"/>
                <w:kern w:val="2"/>
                <w:sz w:val="21"/>
                <w:szCs w:val="21"/>
                <w:lang w:eastAsia="zh-CN"/>
              </w:rPr>
            </w:pPr>
            <w:r>
              <w:rPr>
                <w:rFonts w:eastAsia="宋体"/>
                <w:kern w:val="2"/>
                <w:sz w:val="21"/>
                <w:szCs w:val="21"/>
                <w:lang w:eastAsia="zh-CN"/>
              </w:rPr>
              <w:t>6</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4527AB39">
            <w:pPr>
              <w:widowControl w:val="0"/>
              <w:jc w:val="both"/>
              <w:rPr>
                <w:rFonts w:ascii="宋体" w:hAnsi="宋体" w:eastAsia="宋体"/>
                <w:kern w:val="2"/>
                <w:sz w:val="21"/>
                <w:szCs w:val="21"/>
                <w:lang w:eastAsia="zh-CN"/>
              </w:rPr>
            </w:pPr>
            <w:r>
              <w:rPr>
                <w:rFonts w:hint="eastAsia" w:eastAsia="宋体"/>
                <w:kern w:val="2"/>
                <w:sz w:val="21"/>
                <w:lang w:eastAsia="zh-CN"/>
              </w:rPr>
              <w:t>未按招标文件所提供的样式填写《投标函》；未按招标文件所提供的《采购投标及履约承诺函》进行承诺；未按招标文件对投标文件组成的要求提供投标文件；</w:t>
            </w:r>
          </w:p>
        </w:tc>
      </w:tr>
      <w:tr w14:paraId="51A05F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59C6BAFB">
            <w:pPr>
              <w:widowControl w:val="0"/>
              <w:jc w:val="center"/>
              <w:rPr>
                <w:rFonts w:ascii="宋体" w:hAnsi="宋体" w:eastAsia="宋体"/>
                <w:kern w:val="2"/>
                <w:sz w:val="21"/>
                <w:szCs w:val="21"/>
                <w:lang w:eastAsia="zh-CN"/>
              </w:rPr>
            </w:pPr>
            <w:r>
              <w:rPr>
                <w:rFonts w:eastAsia="宋体"/>
                <w:kern w:val="2"/>
                <w:sz w:val="21"/>
                <w:szCs w:val="21"/>
                <w:lang w:eastAsia="zh-CN"/>
              </w:rPr>
              <w:t>7</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7DB375A4">
            <w:pPr>
              <w:widowControl w:val="0"/>
              <w:jc w:val="both"/>
              <w:rPr>
                <w:rFonts w:ascii="宋体" w:hAnsi="宋体" w:eastAsia="宋体"/>
                <w:kern w:val="2"/>
                <w:sz w:val="21"/>
                <w:szCs w:val="21"/>
                <w:lang w:eastAsia="zh-CN"/>
              </w:rPr>
            </w:pPr>
            <w:r>
              <w:rPr>
                <w:rFonts w:hint="eastAsia" w:eastAsia="宋体"/>
                <w:kern w:val="2"/>
                <w:sz w:val="21"/>
                <w:lang w:eastAsia="zh-CN"/>
              </w:rPr>
              <w:t>采购标的/所投产品/货物清单/报价等任意一类有缺漏项或响应不全，或者对招标文件规定的项目需求内容或者需求数量进行修改，评审委员会判定投标响应不满足采购需求；</w:t>
            </w:r>
          </w:p>
        </w:tc>
      </w:tr>
      <w:tr w14:paraId="0A0B05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11762A75">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8</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22A533B6">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投标文件电子文档不得带病毒；</w:t>
            </w:r>
          </w:p>
        </w:tc>
      </w:tr>
      <w:tr w14:paraId="32A220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5239B98D">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9</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0011C110">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投标文件用不属于本公司的电子密钥进行加密；</w:t>
            </w:r>
          </w:p>
        </w:tc>
      </w:tr>
      <w:tr w14:paraId="72212A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3B874CF0">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10</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45BD9702">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法律、法规、规章、规范性文件规定的其他情形。</w:t>
            </w:r>
          </w:p>
        </w:tc>
      </w:tr>
    </w:tbl>
    <w:p w14:paraId="2E53DF88">
      <w:pPr>
        <w:widowControl w:val="0"/>
        <w:spacing w:beforeAutospacing="1" w:afterAutospacing="1"/>
        <w:jc w:val="center"/>
        <w:outlineLvl w:val="1"/>
        <w:rPr>
          <w:rFonts w:ascii="黑体" w:hAnsi="黑体" w:eastAsia="黑体"/>
          <w:sz w:val="40"/>
          <w:szCs w:val="40"/>
          <w:lang w:eastAsia="zh-CN"/>
        </w:rPr>
      </w:pPr>
    </w:p>
    <w:p w14:paraId="115D6B43">
      <w:pPr>
        <w:widowControl w:val="0"/>
        <w:spacing w:line="360" w:lineRule="auto"/>
        <w:jc w:val="both"/>
        <w:rPr>
          <w:rFonts w:eastAsia="宋体"/>
          <w:b/>
          <w:bCs/>
          <w:kern w:val="2"/>
          <w:lang w:eastAsia="zh-CN"/>
        </w:rPr>
      </w:pPr>
      <w:r>
        <w:rPr>
          <w:rFonts w:eastAsia="宋体"/>
          <w:b/>
          <w:bCs/>
          <w:kern w:val="2"/>
          <w:lang w:eastAsia="zh-CN"/>
        </w:rPr>
        <w:br w:type="page"/>
      </w:r>
    </w:p>
    <w:p w14:paraId="42137A58">
      <w:pPr>
        <w:widowControl w:val="0"/>
        <w:spacing w:beforeAutospacing="1" w:afterAutospacing="1"/>
        <w:jc w:val="center"/>
        <w:outlineLvl w:val="1"/>
        <w:rPr>
          <w:rFonts w:ascii="黑体" w:hAnsi="黑体" w:eastAsia="黑体"/>
          <w:sz w:val="40"/>
          <w:szCs w:val="40"/>
          <w:lang w:eastAsia="zh-CN"/>
        </w:rPr>
      </w:pPr>
      <w:r>
        <w:rPr>
          <w:rFonts w:hint="eastAsia" w:ascii="黑体" w:hAnsi="黑体" w:eastAsia="黑体"/>
          <w:sz w:val="40"/>
          <w:szCs w:val="40"/>
          <w:lang w:eastAsia="zh-CN"/>
        </w:rPr>
        <w:t>评标信息</w:t>
      </w:r>
    </w:p>
    <w:tbl>
      <w:tblPr>
        <w:tblStyle w:val="4"/>
        <w:tblW w:w="5000" w:type="pct"/>
        <w:jc w:val="center"/>
        <w:tblCellSpacing w:w="0" w:type="dxa"/>
        <w:tblLayout w:type="fixed"/>
        <w:tblCellMar>
          <w:top w:w="45" w:type="dxa"/>
          <w:left w:w="45" w:type="dxa"/>
          <w:bottom w:w="45" w:type="dxa"/>
          <w:right w:w="45" w:type="dxa"/>
        </w:tblCellMar>
      </w:tblPr>
      <w:tblGrid>
        <w:gridCol w:w="9161"/>
      </w:tblGrid>
      <w:tr w14:paraId="7AE66749">
        <w:tblPrEx>
          <w:tblCellMar>
            <w:top w:w="45" w:type="dxa"/>
            <w:left w:w="45" w:type="dxa"/>
            <w:bottom w:w="45" w:type="dxa"/>
            <w:right w:w="45" w:type="dxa"/>
          </w:tblCellMar>
        </w:tblPrEx>
        <w:trPr>
          <w:tblCellSpacing w:w="0" w:type="dxa"/>
          <w:jc w:val="center"/>
        </w:trPr>
        <w:tc>
          <w:tcPr>
            <w:tcW w:w="9072" w:type="dxa"/>
            <w:vAlign w:val="center"/>
          </w:tcPr>
          <w:p w14:paraId="3AA49E48">
            <w:pPr>
              <w:widowControl/>
              <w:jc w:val="left"/>
              <w:rPr>
                <w:rFonts w:ascii="宋体" w:hAnsi="宋体" w:eastAsia="宋体"/>
                <w:b/>
                <w:bCs/>
                <w:kern w:val="2"/>
                <w:lang w:eastAsia="zh-CN"/>
              </w:rPr>
            </w:pPr>
            <w:r>
              <w:rPr>
                <w:rFonts w:ascii="宋体" w:hAnsi="宋体" w:eastAsia="宋体"/>
                <w:b/>
                <w:bCs/>
                <w:kern w:val="2"/>
                <w:sz w:val="21"/>
                <w:lang w:eastAsia="zh-CN"/>
              </w:rPr>
              <w:t>评标方法：综合评分法</w:t>
            </w:r>
          </w:p>
        </w:tc>
      </w:tr>
      <w:tr w14:paraId="427F39E6">
        <w:tblPrEx>
          <w:tblCellMar>
            <w:top w:w="45" w:type="dxa"/>
            <w:left w:w="45" w:type="dxa"/>
            <w:bottom w:w="45" w:type="dxa"/>
            <w:right w:w="45" w:type="dxa"/>
          </w:tblCellMar>
        </w:tblPrEx>
        <w:trPr>
          <w:tblCellSpacing w:w="0" w:type="dxa"/>
          <w:jc w:val="center"/>
        </w:trPr>
        <w:tc>
          <w:tcPr>
            <w:tcW w:w="9072" w:type="dxa"/>
            <w:vAlign w:val="center"/>
          </w:tcPr>
          <w:p w14:paraId="1CED0925">
            <w:pPr>
              <w:widowControl w:val="0"/>
              <w:ind w:firstLine="420"/>
              <w:jc w:val="both"/>
              <w:rPr>
                <w:rFonts w:ascii="宋体" w:hAnsi="宋体" w:eastAsia="宋体"/>
                <w:kern w:val="2"/>
                <w:sz w:val="21"/>
                <w:szCs w:val="21"/>
                <w:lang w:eastAsia="zh-CN"/>
              </w:rPr>
            </w:pPr>
            <w:r>
              <w:rPr>
                <w:rFonts w:ascii="宋体" w:hAnsi="宋体" w:eastAsia="宋体"/>
                <w:kern w:val="2"/>
                <w:sz w:val="21"/>
                <w:szCs w:val="21"/>
                <w:lang w:eastAsia="zh-CN"/>
              </w:rPr>
              <w:t>综合评分法，是指</w:t>
            </w:r>
            <w:r>
              <w:rPr>
                <w:rFonts w:hint="eastAsia" w:ascii="宋体" w:hAnsi="宋体" w:eastAsia="宋体"/>
                <w:sz w:val="21"/>
                <w:szCs w:val="21"/>
                <w:lang w:eastAsia="zh-CN"/>
              </w:rPr>
              <w:t>投标文件满足招标文件全部实质性要求</w:t>
            </w:r>
            <w:r>
              <w:rPr>
                <w:rFonts w:ascii="宋体" w:hAnsi="宋体" w:eastAsia="宋体"/>
                <w:kern w:val="2"/>
                <w:sz w:val="21"/>
                <w:szCs w:val="21"/>
                <w:lang w:eastAsia="zh-CN"/>
              </w:rPr>
              <w:t>，且按照</w:t>
            </w:r>
            <w:r>
              <w:rPr>
                <w:rFonts w:hint="eastAsia" w:ascii="宋体" w:hAnsi="宋体" w:eastAsia="宋体"/>
                <w:kern w:val="2"/>
                <w:sz w:val="21"/>
                <w:szCs w:val="21"/>
                <w:lang w:eastAsia="zh-CN"/>
              </w:rPr>
              <w:t>招标文件规定的各项因素进行综合评审，评标总得分排名前列</w:t>
            </w:r>
            <w:r>
              <w:rPr>
                <w:rFonts w:ascii="宋体" w:hAnsi="宋体" w:eastAsia="宋体"/>
                <w:kern w:val="2"/>
                <w:sz w:val="21"/>
                <w:szCs w:val="21"/>
                <w:lang w:eastAsia="zh-CN"/>
              </w:rPr>
              <w:t>的投标人为中标候选人的评标方法。</w:t>
            </w:r>
          </w:p>
          <w:p w14:paraId="2F0CCDE6">
            <w:pPr>
              <w:widowControl w:val="0"/>
              <w:ind w:firstLine="420"/>
              <w:jc w:val="both"/>
              <w:rPr>
                <w:rFonts w:ascii="宋体" w:hAnsi="宋体" w:eastAsia="宋体"/>
                <w:kern w:val="2"/>
                <w:sz w:val="21"/>
                <w:szCs w:val="21"/>
                <w:lang w:eastAsia="zh-CN"/>
              </w:rPr>
            </w:pPr>
            <w:r>
              <w:rPr>
                <w:rFonts w:ascii="宋体" w:hAnsi="宋体" w:eastAsia="宋体"/>
                <w:kern w:val="2"/>
                <w:sz w:val="21"/>
                <w:szCs w:val="21"/>
                <w:lang w:eastAsia="zh-CN"/>
              </w:rPr>
              <w:t>价格分计算方法：</w:t>
            </w:r>
          </w:p>
          <w:p w14:paraId="50CD7BCC">
            <w:pPr>
              <w:widowControl/>
              <w:ind w:left="420"/>
              <w:jc w:val="left"/>
              <w:rPr>
                <w:rFonts w:ascii="宋体" w:hAnsi="宋体" w:eastAsia="宋体"/>
                <w:kern w:val="2"/>
                <w:sz w:val="21"/>
                <w:szCs w:val="21"/>
                <w:lang w:eastAsia="zh-CN"/>
              </w:rPr>
            </w:pPr>
            <w:r>
              <w:rPr>
                <w:rFonts w:ascii="宋体" w:hAnsi="宋体" w:eastAsia="宋体"/>
                <w:kern w:val="2"/>
                <w:sz w:val="21"/>
                <w:szCs w:val="21"/>
                <w:lang w:eastAsia="zh-CN"/>
              </w:rPr>
              <w:t xml:space="preserve">采用低价优先法计算，即满足招标文件要求且投标价格最低的投标报价为评标基准价，其价格分为满分。其他投标人的价格分统一按照下列公式计算： </w:t>
            </w:r>
            <w:r>
              <w:rPr>
                <w:rFonts w:ascii="宋体" w:hAnsi="宋体" w:eastAsia="宋体"/>
                <w:kern w:val="2"/>
                <w:sz w:val="21"/>
                <w:szCs w:val="21"/>
                <w:lang w:eastAsia="zh-CN"/>
              </w:rPr>
              <w:br w:type="textWrapping"/>
            </w:r>
            <w:r>
              <w:rPr>
                <w:rFonts w:ascii="宋体" w:hAnsi="宋体" w:eastAsia="宋体"/>
                <w:kern w:val="2"/>
                <w:sz w:val="21"/>
                <w:szCs w:val="21"/>
                <w:lang w:eastAsia="zh-CN"/>
              </w:rPr>
              <w:t xml:space="preserve">投标报价得分=(评标基准价／投标报价)×100 </w:t>
            </w:r>
            <w:r>
              <w:rPr>
                <w:rFonts w:ascii="宋体" w:hAnsi="宋体" w:eastAsia="宋体"/>
                <w:kern w:val="2"/>
                <w:sz w:val="21"/>
                <w:szCs w:val="21"/>
                <w:lang w:eastAsia="zh-CN"/>
              </w:rPr>
              <w:br w:type="textWrapping"/>
            </w:r>
            <w:r>
              <w:rPr>
                <w:rFonts w:ascii="宋体" w:hAnsi="宋体" w:eastAsia="宋体"/>
                <w:kern w:val="2"/>
                <w:sz w:val="21"/>
                <w:szCs w:val="21"/>
                <w:lang w:eastAsia="zh-CN"/>
              </w:rPr>
              <w:t xml:space="preserve">评标总得分＝F1×A1＋F2×A2＋……＋Fn×An </w:t>
            </w:r>
            <w:r>
              <w:rPr>
                <w:rFonts w:ascii="宋体" w:hAnsi="宋体" w:eastAsia="宋体"/>
                <w:kern w:val="2"/>
                <w:sz w:val="21"/>
                <w:szCs w:val="21"/>
                <w:lang w:eastAsia="zh-CN"/>
              </w:rPr>
              <w:br w:type="textWrapping"/>
            </w:r>
            <w:r>
              <w:rPr>
                <w:rFonts w:ascii="宋体" w:hAnsi="宋体" w:eastAsia="宋体"/>
                <w:kern w:val="2"/>
                <w:sz w:val="21"/>
                <w:szCs w:val="21"/>
                <w:lang w:eastAsia="zh-CN"/>
              </w:rPr>
              <w:t xml:space="preserve">F1、F2……Fn分别为各项评审因素的得分； </w:t>
            </w:r>
            <w:r>
              <w:rPr>
                <w:rFonts w:ascii="宋体" w:hAnsi="宋体" w:eastAsia="宋体"/>
                <w:kern w:val="2"/>
                <w:sz w:val="21"/>
                <w:szCs w:val="21"/>
                <w:lang w:eastAsia="zh-CN"/>
              </w:rPr>
              <w:br w:type="textWrapping"/>
            </w:r>
            <w:r>
              <w:rPr>
                <w:rFonts w:ascii="宋体" w:hAnsi="宋体" w:eastAsia="宋体"/>
                <w:kern w:val="2"/>
                <w:sz w:val="21"/>
                <w:szCs w:val="21"/>
                <w:lang w:eastAsia="zh-CN"/>
              </w:rPr>
              <w:t xml:space="preserve">A1、A2、……An 分别为各项评审因素所占的权重(A1＋A2＋……＋An＝1)。 </w:t>
            </w:r>
            <w:r>
              <w:rPr>
                <w:rFonts w:ascii="宋体" w:hAnsi="宋体" w:eastAsia="宋体"/>
                <w:kern w:val="2"/>
                <w:sz w:val="21"/>
                <w:szCs w:val="21"/>
                <w:lang w:eastAsia="zh-CN"/>
              </w:rPr>
              <w:br w:type="textWrapping"/>
            </w:r>
            <w:r>
              <w:rPr>
                <w:rFonts w:ascii="宋体" w:hAnsi="宋体" w:eastAsia="宋体"/>
                <w:kern w:val="2"/>
                <w:sz w:val="21"/>
                <w:szCs w:val="21"/>
                <w:lang w:eastAsia="zh-CN"/>
              </w:rPr>
              <w:t>评标过程中，不得去掉报价中的最高报价和最低报价。</w:t>
            </w:r>
          </w:p>
          <w:p w14:paraId="16E8EA4C">
            <w:pPr>
              <w:widowControl/>
              <w:ind w:left="420"/>
              <w:jc w:val="left"/>
              <w:rPr>
                <w:rFonts w:ascii="宋体" w:hAnsi="宋体" w:eastAsia="宋体"/>
                <w:kern w:val="2"/>
                <w:sz w:val="21"/>
                <w:szCs w:val="21"/>
                <w:lang w:eastAsia="zh-CN"/>
              </w:rPr>
            </w:pPr>
            <w:r>
              <w:rPr>
                <w:rFonts w:hint="eastAsia" w:ascii="宋体" w:hAnsi="宋体" w:eastAsia="宋体"/>
                <w:kern w:val="2"/>
                <w:sz w:val="21"/>
                <w:szCs w:val="21"/>
                <w:lang w:eastAsia="zh-CN"/>
              </w:rPr>
              <w:t>因落实政府采购政策进行价格调整的，以调整后的价格计算评标基准价和投标报价。</w:t>
            </w:r>
          </w:p>
          <w:p w14:paraId="01ADA1DE">
            <w:pPr>
              <w:widowControl/>
              <w:ind w:left="420"/>
              <w:jc w:val="left"/>
              <w:rPr>
                <w:rFonts w:ascii="宋体" w:hAnsi="宋体" w:eastAsia="宋体"/>
                <w:lang w:eastAsia="zh-CN"/>
              </w:rPr>
            </w:pPr>
          </w:p>
          <w:p w14:paraId="76587010">
            <w:pPr>
              <w:widowControl w:val="0"/>
              <w:spacing w:line="360" w:lineRule="auto"/>
              <w:jc w:val="both"/>
              <w:rPr>
                <w:rFonts w:ascii="宋体" w:hAnsi="宋体" w:eastAsia="宋体"/>
                <w:b/>
                <w:bCs/>
                <w:kern w:val="2"/>
                <w:lang w:eastAsia="zh-CN"/>
              </w:rPr>
            </w:pPr>
            <w:r>
              <w:rPr>
                <w:rFonts w:hint="eastAsia" w:ascii="宋体" w:hAnsi="宋体" w:eastAsia="宋体"/>
                <w:b/>
                <w:bCs/>
                <w:kern w:val="2"/>
                <w:sz w:val="22"/>
                <w:lang w:eastAsia="zh-CN"/>
              </w:rPr>
              <w:t>注：投标人的“投标技术响应”“技术要求偏离表中偏离情况”等必须与客观实际保持一致，响应不实且情节严重的，经查实，将依法记入供应商诚信档案或受到行政处罚。</w:t>
            </w:r>
          </w:p>
        </w:tc>
      </w:tr>
    </w:tbl>
    <w:tbl>
      <w:tblPr>
        <w:tblStyle w:val="4"/>
        <w:tblpPr w:leftFromText="180" w:rightFromText="180" w:vertAnchor="text" w:tblpXSpec="center"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557"/>
        <w:gridCol w:w="1597"/>
        <w:gridCol w:w="902"/>
        <w:gridCol w:w="721"/>
        <w:gridCol w:w="4764"/>
      </w:tblGrid>
      <w:tr w14:paraId="2493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Align w:val="center"/>
          </w:tcPr>
          <w:p w14:paraId="00793891">
            <w:pPr>
              <w:widowControl w:val="0"/>
              <w:jc w:val="center"/>
              <w:rPr>
                <w:rFonts w:eastAsia="宋体"/>
                <w:b/>
                <w:bCs/>
                <w:kern w:val="2"/>
                <w:sz w:val="21"/>
                <w:lang w:eastAsia="zh-CN"/>
              </w:rPr>
            </w:pPr>
            <w:r>
              <w:rPr>
                <w:rFonts w:hint="eastAsia" w:eastAsia="宋体"/>
                <w:b/>
                <w:bCs/>
                <w:kern w:val="2"/>
                <w:sz w:val="21"/>
                <w:lang w:eastAsia="zh-CN"/>
              </w:rPr>
              <w:t>序号</w:t>
            </w:r>
          </w:p>
        </w:tc>
        <w:tc>
          <w:tcPr>
            <w:tcW w:w="3692" w:type="dxa"/>
            <w:gridSpan w:val="4"/>
            <w:vAlign w:val="center"/>
          </w:tcPr>
          <w:p w14:paraId="243E4A3F">
            <w:pPr>
              <w:widowControl w:val="0"/>
              <w:jc w:val="center"/>
              <w:rPr>
                <w:rFonts w:eastAsia="宋体"/>
                <w:b/>
                <w:bCs/>
                <w:kern w:val="2"/>
                <w:sz w:val="21"/>
                <w:lang w:eastAsia="zh-CN"/>
              </w:rPr>
            </w:pPr>
            <w:r>
              <w:rPr>
                <w:rFonts w:hint="eastAsia" w:eastAsia="宋体"/>
                <w:b/>
                <w:bCs/>
                <w:kern w:val="2"/>
                <w:sz w:val="21"/>
                <w:lang w:eastAsia="zh-CN"/>
              </w:rPr>
              <w:t>评分项</w:t>
            </w:r>
          </w:p>
        </w:tc>
        <w:tc>
          <w:tcPr>
            <w:tcW w:w="4656" w:type="dxa"/>
            <w:vAlign w:val="center"/>
          </w:tcPr>
          <w:p w14:paraId="6221F343">
            <w:pPr>
              <w:widowControl w:val="0"/>
              <w:jc w:val="center"/>
              <w:rPr>
                <w:rFonts w:eastAsia="宋体"/>
                <w:b/>
                <w:bCs/>
                <w:kern w:val="2"/>
                <w:sz w:val="21"/>
                <w:lang w:eastAsia="zh-CN"/>
              </w:rPr>
            </w:pPr>
            <w:r>
              <w:rPr>
                <w:rFonts w:hint="eastAsia" w:eastAsia="宋体"/>
                <w:b/>
                <w:bCs/>
                <w:kern w:val="2"/>
                <w:sz w:val="21"/>
                <w:lang w:eastAsia="zh-CN"/>
              </w:rPr>
              <w:t>权重（%）</w:t>
            </w:r>
          </w:p>
        </w:tc>
      </w:tr>
      <w:tr w14:paraId="4A16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Align w:val="center"/>
          </w:tcPr>
          <w:p w14:paraId="7D90EC23">
            <w:pPr>
              <w:widowControl w:val="0"/>
              <w:jc w:val="center"/>
              <w:rPr>
                <w:rFonts w:eastAsia="宋体"/>
                <w:b/>
                <w:bCs/>
                <w:kern w:val="2"/>
                <w:sz w:val="21"/>
                <w:lang w:eastAsia="zh-CN"/>
              </w:rPr>
            </w:pPr>
            <w:r>
              <w:rPr>
                <w:rFonts w:eastAsia="宋体"/>
                <w:b/>
                <w:bCs/>
                <w:kern w:val="2"/>
                <w:sz w:val="21"/>
                <w:lang w:eastAsia="zh-CN"/>
              </w:rPr>
              <w:t>1</w:t>
            </w:r>
          </w:p>
        </w:tc>
        <w:tc>
          <w:tcPr>
            <w:tcW w:w="3692" w:type="dxa"/>
            <w:gridSpan w:val="4"/>
            <w:vAlign w:val="center"/>
          </w:tcPr>
          <w:p w14:paraId="611EA38B">
            <w:pPr>
              <w:widowControl w:val="0"/>
              <w:jc w:val="center"/>
              <w:rPr>
                <w:rFonts w:eastAsia="宋体"/>
                <w:b/>
                <w:bCs/>
                <w:kern w:val="2"/>
                <w:sz w:val="21"/>
                <w:lang w:eastAsia="zh-CN"/>
              </w:rPr>
            </w:pPr>
            <w:r>
              <w:rPr>
                <w:rFonts w:hint="eastAsia" w:eastAsia="宋体"/>
                <w:b/>
                <w:bCs/>
                <w:kern w:val="2"/>
                <w:sz w:val="21"/>
                <w:lang w:eastAsia="zh-CN"/>
              </w:rPr>
              <w:t>价格</w:t>
            </w:r>
          </w:p>
        </w:tc>
        <w:tc>
          <w:tcPr>
            <w:tcW w:w="4656" w:type="dxa"/>
            <w:vAlign w:val="center"/>
          </w:tcPr>
          <w:p w14:paraId="50F41C21">
            <w:pPr>
              <w:widowControl w:val="0"/>
              <w:jc w:val="center"/>
              <w:rPr>
                <w:rFonts w:eastAsia="宋体"/>
                <w:b/>
                <w:bCs/>
                <w:kern w:val="2"/>
                <w:sz w:val="21"/>
                <w:lang w:eastAsia="zh-CN"/>
              </w:rPr>
            </w:pPr>
            <w:r>
              <w:rPr>
                <w:rFonts w:hint="eastAsia" w:eastAsia="宋体"/>
                <w:b/>
                <w:bCs/>
                <w:kern w:val="2"/>
                <w:sz w:val="21"/>
                <w:lang w:eastAsia="zh-CN"/>
              </w:rPr>
              <w:t>40</w:t>
            </w:r>
          </w:p>
        </w:tc>
      </w:tr>
      <w:tr w14:paraId="51833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Align w:val="center"/>
          </w:tcPr>
          <w:p w14:paraId="04A3770A">
            <w:pPr>
              <w:widowControl w:val="0"/>
              <w:jc w:val="center"/>
              <w:rPr>
                <w:rFonts w:eastAsia="宋体"/>
                <w:b/>
                <w:bCs/>
                <w:kern w:val="2"/>
                <w:sz w:val="21"/>
                <w:lang w:eastAsia="zh-CN"/>
              </w:rPr>
            </w:pPr>
            <w:r>
              <w:rPr>
                <w:rFonts w:eastAsia="宋体"/>
                <w:b/>
                <w:bCs/>
                <w:kern w:val="2"/>
                <w:sz w:val="21"/>
                <w:lang w:eastAsia="zh-CN"/>
              </w:rPr>
              <w:t>2</w:t>
            </w:r>
          </w:p>
        </w:tc>
        <w:tc>
          <w:tcPr>
            <w:tcW w:w="3692" w:type="dxa"/>
            <w:gridSpan w:val="4"/>
            <w:vAlign w:val="center"/>
          </w:tcPr>
          <w:p w14:paraId="0BBE3155">
            <w:pPr>
              <w:widowControl w:val="0"/>
              <w:jc w:val="center"/>
              <w:rPr>
                <w:rFonts w:eastAsia="宋体"/>
                <w:b/>
                <w:bCs/>
                <w:kern w:val="2"/>
                <w:sz w:val="21"/>
                <w:lang w:eastAsia="zh-CN"/>
              </w:rPr>
            </w:pPr>
            <w:r>
              <w:rPr>
                <w:rFonts w:hint="eastAsia" w:eastAsia="宋体"/>
                <w:b/>
                <w:bCs/>
                <w:kern w:val="2"/>
                <w:sz w:val="21"/>
                <w:lang w:eastAsia="zh-CN"/>
              </w:rPr>
              <w:t>技术部分</w:t>
            </w:r>
          </w:p>
        </w:tc>
        <w:tc>
          <w:tcPr>
            <w:tcW w:w="4656" w:type="dxa"/>
            <w:vAlign w:val="center"/>
          </w:tcPr>
          <w:p w14:paraId="0EB750F3">
            <w:pPr>
              <w:widowControl w:val="0"/>
              <w:jc w:val="center"/>
              <w:rPr>
                <w:rFonts w:eastAsia="宋体"/>
                <w:b/>
                <w:bCs/>
                <w:kern w:val="2"/>
                <w:sz w:val="21"/>
                <w:lang w:eastAsia="zh-CN"/>
              </w:rPr>
            </w:pPr>
            <w:r>
              <w:rPr>
                <w:rFonts w:hint="eastAsia" w:eastAsia="宋体"/>
                <w:b/>
                <w:bCs/>
                <w:kern w:val="2"/>
                <w:sz w:val="21"/>
                <w:lang w:eastAsia="zh-CN"/>
              </w:rPr>
              <w:t>4</w:t>
            </w:r>
            <w:r>
              <w:rPr>
                <w:rFonts w:eastAsia="宋体"/>
                <w:b/>
                <w:bCs/>
                <w:kern w:val="2"/>
                <w:sz w:val="21"/>
                <w:lang w:eastAsia="zh-CN"/>
              </w:rPr>
              <w:t>3</w:t>
            </w:r>
          </w:p>
        </w:tc>
      </w:tr>
      <w:tr w14:paraId="3545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Merge w:val="restart"/>
            <w:vAlign w:val="center"/>
          </w:tcPr>
          <w:p w14:paraId="22B003D1">
            <w:pPr>
              <w:widowControl w:val="0"/>
              <w:jc w:val="both"/>
              <w:rPr>
                <w:rFonts w:eastAsia="宋体"/>
                <w:kern w:val="2"/>
                <w:sz w:val="21"/>
                <w:lang w:eastAsia="zh-CN"/>
              </w:rPr>
            </w:pPr>
          </w:p>
        </w:tc>
        <w:tc>
          <w:tcPr>
            <w:tcW w:w="544" w:type="dxa"/>
            <w:vAlign w:val="center"/>
          </w:tcPr>
          <w:p w14:paraId="1E7C8943">
            <w:pPr>
              <w:widowControl w:val="0"/>
              <w:jc w:val="center"/>
              <w:rPr>
                <w:rFonts w:eastAsia="宋体"/>
                <w:kern w:val="2"/>
                <w:sz w:val="21"/>
                <w:lang w:eastAsia="zh-CN"/>
              </w:rPr>
            </w:pPr>
            <w:r>
              <w:rPr>
                <w:rFonts w:hint="eastAsia" w:eastAsia="宋体"/>
                <w:kern w:val="2"/>
                <w:sz w:val="21"/>
                <w:lang w:eastAsia="zh-CN"/>
              </w:rPr>
              <w:t>序号</w:t>
            </w:r>
          </w:p>
        </w:tc>
        <w:tc>
          <w:tcPr>
            <w:tcW w:w="1561" w:type="dxa"/>
            <w:vAlign w:val="center"/>
          </w:tcPr>
          <w:p w14:paraId="72899B50">
            <w:pPr>
              <w:widowControl w:val="0"/>
              <w:jc w:val="center"/>
              <w:rPr>
                <w:rFonts w:eastAsia="宋体"/>
                <w:kern w:val="2"/>
                <w:sz w:val="21"/>
                <w:lang w:eastAsia="zh-CN"/>
              </w:rPr>
            </w:pPr>
            <w:r>
              <w:rPr>
                <w:rFonts w:hint="eastAsia" w:eastAsia="宋体"/>
                <w:kern w:val="2"/>
                <w:sz w:val="21"/>
                <w:lang w:eastAsia="zh-CN"/>
              </w:rPr>
              <w:t>评审因素</w:t>
            </w:r>
          </w:p>
        </w:tc>
        <w:tc>
          <w:tcPr>
            <w:tcW w:w="882" w:type="dxa"/>
            <w:vAlign w:val="center"/>
          </w:tcPr>
          <w:p w14:paraId="19A08B3E">
            <w:pPr>
              <w:widowControl w:val="0"/>
              <w:jc w:val="center"/>
              <w:rPr>
                <w:rFonts w:eastAsia="宋体"/>
                <w:kern w:val="2"/>
                <w:sz w:val="21"/>
                <w:lang w:eastAsia="zh-CN"/>
              </w:rPr>
            </w:pPr>
            <w:r>
              <w:rPr>
                <w:rFonts w:hint="eastAsia" w:eastAsia="宋体"/>
                <w:kern w:val="2"/>
                <w:sz w:val="21"/>
                <w:lang w:eastAsia="zh-CN"/>
              </w:rPr>
              <w:t>权重（%）</w:t>
            </w:r>
          </w:p>
        </w:tc>
        <w:tc>
          <w:tcPr>
            <w:tcW w:w="705" w:type="dxa"/>
            <w:vAlign w:val="center"/>
          </w:tcPr>
          <w:p w14:paraId="50EAE5CE">
            <w:pPr>
              <w:widowControl w:val="0"/>
              <w:jc w:val="center"/>
              <w:rPr>
                <w:rFonts w:eastAsia="宋体"/>
                <w:kern w:val="2"/>
                <w:sz w:val="21"/>
                <w:lang w:eastAsia="zh-CN"/>
              </w:rPr>
            </w:pPr>
            <w:r>
              <w:rPr>
                <w:rFonts w:hint="eastAsia" w:eastAsia="宋体"/>
                <w:kern w:val="2"/>
                <w:sz w:val="21"/>
                <w:lang w:eastAsia="zh-CN"/>
              </w:rPr>
              <w:t>评分方式</w:t>
            </w:r>
          </w:p>
        </w:tc>
        <w:tc>
          <w:tcPr>
            <w:tcW w:w="4656" w:type="dxa"/>
            <w:vAlign w:val="center"/>
          </w:tcPr>
          <w:p w14:paraId="72C4C06C">
            <w:pPr>
              <w:widowControl w:val="0"/>
              <w:jc w:val="center"/>
              <w:rPr>
                <w:rFonts w:eastAsia="宋体"/>
                <w:kern w:val="2"/>
                <w:sz w:val="21"/>
                <w:lang w:eastAsia="zh-CN"/>
              </w:rPr>
            </w:pPr>
            <w:r>
              <w:rPr>
                <w:rFonts w:hint="eastAsia" w:eastAsia="宋体"/>
                <w:kern w:val="2"/>
                <w:sz w:val="21"/>
                <w:lang w:eastAsia="zh-CN"/>
              </w:rPr>
              <w:t>评分准则</w:t>
            </w:r>
          </w:p>
        </w:tc>
      </w:tr>
      <w:tr w14:paraId="6A1A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Merge w:val="continue"/>
            <w:vAlign w:val="center"/>
          </w:tcPr>
          <w:p w14:paraId="4D331FBA">
            <w:pPr>
              <w:widowControl w:val="0"/>
              <w:jc w:val="both"/>
              <w:rPr>
                <w:rFonts w:eastAsia="宋体"/>
                <w:kern w:val="2"/>
                <w:sz w:val="21"/>
                <w:lang w:eastAsia="zh-CN"/>
              </w:rPr>
            </w:pPr>
          </w:p>
        </w:tc>
        <w:tc>
          <w:tcPr>
            <w:tcW w:w="544" w:type="dxa"/>
            <w:vAlign w:val="center"/>
          </w:tcPr>
          <w:p w14:paraId="7C62C27B">
            <w:pPr>
              <w:widowControl w:val="0"/>
              <w:jc w:val="center"/>
              <w:rPr>
                <w:rFonts w:eastAsia="宋体"/>
                <w:kern w:val="2"/>
                <w:sz w:val="21"/>
                <w:lang w:eastAsia="zh-CN"/>
              </w:rPr>
            </w:pPr>
            <w:r>
              <w:rPr>
                <w:rFonts w:eastAsia="宋体"/>
                <w:kern w:val="2"/>
                <w:sz w:val="21"/>
                <w:lang w:eastAsia="zh-CN"/>
              </w:rPr>
              <w:t>1</w:t>
            </w:r>
          </w:p>
        </w:tc>
        <w:tc>
          <w:tcPr>
            <w:tcW w:w="1561" w:type="dxa"/>
            <w:vAlign w:val="center"/>
          </w:tcPr>
          <w:p w14:paraId="158AB3B7">
            <w:pPr>
              <w:widowControl w:val="0"/>
              <w:jc w:val="center"/>
              <w:rPr>
                <w:rFonts w:eastAsia="宋体"/>
                <w:kern w:val="2"/>
                <w:sz w:val="21"/>
                <w:lang w:eastAsia="zh-CN"/>
              </w:rPr>
            </w:pPr>
            <w:r>
              <w:rPr>
                <w:rFonts w:hint="eastAsia" w:eastAsia="宋体"/>
                <w:kern w:val="2"/>
                <w:sz w:val="21"/>
                <w:lang w:eastAsia="zh-CN"/>
              </w:rPr>
              <w:t>技术保障措施</w:t>
            </w:r>
          </w:p>
        </w:tc>
        <w:tc>
          <w:tcPr>
            <w:tcW w:w="882" w:type="dxa"/>
            <w:vAlign w:val="center"/>
          </w:tcPr>
          <w:p w14:paraId="43CCD400">
            <w:pPr>
              <w:widowControl w:val="0"/>
              <w:jc w:val="center"/>
              <w:rPr>
                <w:rFonts w:eastAsia="宋体"/>
                <w:kern w:val="2"/>
                <w:sz w:val="21"/>
                <w:lang w:eastAsia="zh-CN"/>
              </w:rPr>
            </w:pPr>
            <w:r>
              <w:rPr>
                <w:rFonts w:eastAsia="宋体"/>
                <w:kern w:val="2"/>
                <w:sz w:val="21"/>
                <w:lang w:eastAsia="zh-CN"/>
              </w:rPr>
              <w:t>6</w:t>
            </w:r>
          </w:p>
        </w:tc>
        <w:tc>
          <w:tcPr>
            <w:tcW w:w="705" w:type="dxa"/>
            <w:vAlign w:val="center"/>
          </w:tcPr>
          <w:p w14:paraId="6D7AE670">
            <w:pPr>
              <w:widowControl w:val="0"/>
              <w:jc w:val="center"/>
              <w:rPr>
                <w:rFonts w:eastAsia="宋体"/>
                <w:kern w:val="2"/>
                <w:sz w:val="21"/>
                <w:lang w:eastAsia="zh-CN"/>
              </w:rPr>
            </w:pPr>
            <w:r>
              <w:rPr>
                <w:rFonts w:hint="eastAsia" w:eastAsia="宋体"/>
                <w:kern w:val="2"/>
                <w:sz w:val="21"/>
                <w:lang w:eastAsia="zh-CN"/>
              </w:rPr>
              <w:t>专家打分</w:t>
            </w:r>
          </w:p>
        </w:tc>
        <w:tc>
          <w:tcPr>
            <w:tcW w:w="4656" w:type="dxa"/>
            <w:vAlign w:val="center"/>
          </w:tcPr>
          <w:p w14:paraId="46E173D6">
            <w:pPr>
              <w:widowControl w:val="0"/>
              <w:jc w:val="both"/>
              <w:rPr>
                <w:rFonts w:eastAsia="宋体"/>
                <w:kern w:val="2"/>
                <w:sz w:val="21"/>
                <w:lang w:eastAsia="zh-CN"/>
              </w:rPr>
            </w:pPr>
            <w:r>
              <w:rPr>
                <w:rFonts w:hint="eastAsia" w:eastAsia="宋体"/>
                <w:kern w:val="2"/>
                <w:sz w:val="21"/>
                <w:lang w:eastAsia="zh-CN"/>
              </w:rPr>
              <w:t>（一）评分内容</w:t>
            </w:r>
          </w:p>
          <w:p w14:paraId="27DEBC99">
            <w:pPr>
              <w:widowControl w:val="0"/>
              <w:jc w:val="both"/>
              <w:rPr>
                <w:rFonts w:eastAsia="宋体"/>
                <w:kern w:val="2"/>
                <w:sz w:val="21"/>
                <w:lang w:eastAsia="zh-CN"/>
              </w:rPr>
            </w:pPr>
            <w:r>
              <w:rPr>
                <w:rFonts w:hint="eastAsia" w:eastAsia="宋体"/>
                <w:kern w:val="2"/>
                <w:sz w:val="21"/>
                <w:lang w:eastAsia="zh-CN"/>
              </w:rPr>
              <w:t xml:space="preserve">投标人或所投产品的制造商（与“分项报价表”中“制造商名称”一致）具备以下设备： </w:t>
            </w:r>
          </w:p>
          <w:p w14:paraId="13EEBFE0">
            <w:pPr>
              <w:widowControl w:val="0"/>
              <w:autoSpaceDE w:val="0"/>
              <w:autoSpaceDN w:val="0"/>
              <w:adjustRightInd w:val="0"/>
              <w:jc w:val="left"/>
              <w:textAlignment w:val="baseline"/>
              <w:rPr>
                <w:rFonts w:eastAsia="宋体"/>
                <w:kern w:val="2"/>
                <w:sz w:val="21"/>
                <w:lang w:eastAsia="zh-CN"/>
              </w:rPr>
            </w:pPr>
            <w:r>
              <w:rPr>
                <w:rFonts w:hint="eastAsia" w:eastAsia="宋体"/>
                <w:kern w:val="2"/>
                <w:sz w:val="21"/>
                <w:lang w:eastAsia="zh-CN"/>
              </w:rPr>
              <w:t>（1）全自动数控裁板锯</w:t>
            </w:r>
          </w:p>
          <w:p w14:paraId="6BB1A4C6">
            <w:pPr>
              <w:widowControl w:val="0"/>
              <w:autoSpaceDE w:val="0"/>
              <w:autoSpaceDN w:val="0"/>
              <w:adjustRightInd w:val="0"/>
              <w:jc w:val="left"/>
              <w:textAlignment w:val="baseline"/>
              <w:rPr>
                <w:rFonts w:eastAsia="宋体"/>
                <w:kern w:val="2"/>
                <w:sz w:val="21"/>
                <w:lang w:eastAsia="zh-CN"/>
              </w:rPr>
            </w:pPr>
            <w:r>
              <w:rPr>
                <w:rFonts w:hint="eastAsia" w:eastAsia="宋体"/>
                <w:kern w:val="2"/>
                <w:sz w:val="21"/>
                <w:lang w:eastAsia="zh-CN"/>
              </w:rPr>
              <w:t>（2）加工中心</w:t>
            </w:r>
          </w:p>
          <w:p w14:paraId="5705E3B7">
            <w:pPr>
              <w:widowControl w:val="0"/>
              <w:autoSpaceDE w:val="0"/>
              <w:autoSpaceDN w:val="0"/>
              <w:adjustRightInd w:val="0"/>
              <w:jc w:val="left"/>
              <w:textAlignment w:val="baseline"/>
              <w:rPr>
                <w:rFonts w:eastAsia="宋体"/>
                <w:kern w:val="2"/>
                <w:sz w:val="21"/>
                <w:lang w:eastAsia="zh-CN"/>
              </w:rPr>
            </w:pPr>
            <w:r>
              <w:rPr>
                <w:rFonts w:hint="eastAsia" w:eastAsia="宋体"/>
                <w:kern w:val="2"/>
                <w:sz w:val="21"/>
                <w:lang w:eastAsia="zh-CN"/>
              </w:rPr>
              <w:t>（3）多排钻</w:t>
            </w:r>
          </w:p>
          <w:p w14:paraId="1720AD6A">
            <w:pPr>
              <w:widowControl w:val="0"/>
              <w:autoSpaceDE w:val="0"/>
              <w:autoSpaceDN w:val="0"/>
              <w:adjustRightInd w:val="0"/>
              <w:jc w:val="left"/>
              <w:textAlignment w:val="baseline"/>
              <w:rPr>
                <w:rFonts w:eastAsia="宋体"/>
                <w:kern w:val="2"/>
                <w:sz w:val="21"/>
                <w:lang w:eastAsia="zh-CN"/>
              </w:rPr>
            </w:pPr>
            <w:r>
              <w:rPr>
                <w:rFonts w:hint="eastAsia" w:eastAsia="宋体"/>
                <w:kern w:val="2"/>
                <w:sz w:val="21"/>
                <w:lang w:eastAsia="zh-CN"/>
              </w:rPr>
              <w:t>（4）直线封边机</w:t>
            </w:r>
          </w:p>
          <w:p w14:paraId="1610EBEE">
            <w:pPr>
              <w:widowControl w:val="0"/>
              <w:autoSpaceDE w:val="0"/>
              <w:autoSpaceDN w:val="0"/>
              <w:adjustRightInd w:val="0"/>
              <w:jc w:val="left"/>
              <w:textAlignment w:val="baseline"/>
              <w:rPr>
                <w:rFonts w:eastAsia="宋体"/>
                <w:kern w:val="2"/>
                <w:sz w:val="21"/>
                <w:lang w:eastAsia="zh-CN"/>
              </w:rPr>
            </w:pPr>
            <w:r>
              <w:rPr>
                <w:rFonts w:hint="eastAsia" w:eastAsia="宋体"/>
                <w:kern w:val="2"/>
                <w:sz w:val="21"/>
                <w:lang w:eastAsia="zh-CN"/>
              </w:rPr>
              <w:t>（5）机床</w:t>
            </w:r>
          </w:p>
          <w:p w14:paraId="332DA06C">
            <w:pPr>
              <w:widowControl w:val="0"/>
              <w:autoSpaceDE w:val="0"/>
              <w:autoSpaceDN w:val="0"/>
              <w:adjustRightInd w:val="0"/>
              <w:jc w:val="left"/>
              <w:textAlignment w:val="baseline"/>
              <w:rPr>
                <w:rFonts w:eastAsia="宋体"/>
                <w:kern w:val="2"/>
                <w:sz w:val="21"/>
                <w:lang w:eastAsia="zh-CN"/>
              </w:rPr>
            </w:pPr>
            <w:r>
              <w:rPr>
                <w:rFonts w:hint="eastAsia" w:eastAsia="宋体"/>
                <w:kern w:val="2"/>
                <w:sz w:val="21"/>
                <w:lang w:eastAsia="zh-CN"/>
              </w:rPr>
              <w:t>（6）双端铣</w:t>
            </w:r>
          </w:p>
          <w:p w14:paraId="0CD79961">
            <w:pPr>
              <w:widowControl w:val="0"/>
              <w:jc w:val="both"/>
              <w:rPr>
                <w:rFonts w:eastAsia="宋体"/>
                <w:kern w:val="2"/>
                <w:sz w:val="21"/>
                <w:lang w:eastAsia="zh-CN"/>
              </w:rPr>
            </w:pPr>
            <w:r>
              <w:rPr>
                <w:rFonts w:hint="eastAsia" w:eastAsia="宋体"/>
                <w:kern w:val="2"/>
                <w:sz w:val="21"/>
                <w:lang w:eastAsia="zh-CN"/>
              </w:rPr>
              <w:t>上述设备全部满足得</w:t>
            </w:r>
            <w:r>
              <w:rPr>
                <w:rFonts w:eastAsia="宋体"/>
                <w:kern w:val="2"/>
                <w:sz w:val="21"/>
                <w:lang w:eastAsia="zh-CN"/>
              </w:rPr>
              <w:t>100</w:t>
            </w:r>
            <w:r>
              <w:rPr>
                <w:rFonts w:hint="eastAsia" w:eastAsia="宋体"/>
                <w:kern w:val="2"/>
                <w:sz w:val="21"/>
                <w:lang w:eastAsia="zh-CN"/>
              </w:rPr>
              <w:t>分，每少一项设备扣</w:t>
            </w:r>
            <w:r>
              <w:rPr>
                <w:rFonts w:eastAsia="宋体"/>
                <w:kern w:val="2"/>
                <w:sz w:val="21"/>
                <w:lang w:eastAsia="zh-CN"/>
              </w:rPr>
              <w:t>17</w:t>
            </w:r>
            <w:r>
              <w:rPr>
                <w:rFonts w:hint="eastAsia" w:eastAsia="宋体"/>
                <w:kern w:val="2"/>
                <w:sz w:val="21"/>
                <w:lang w:eastAsia="zh-CN"/>
              </w:rPr>
              <w:t>分，扣完为止。</w:t>
            </w:r>
          </w:p>
          <w:p w14:paraId="51233593">
            <w:pPr>
              <w:widowControl w:val="0"/>
              <w:jc w:val="both"/>
              <w:rPr>
                <w:rFonts w:eastAsia="宋体"/>
                <w:kern w:val="2"/>
                <w:sz w:val="21"/>
                <w:lang w:eastAsia="zh-CN"/>
              </w:rPr>
            </w:pPr>
            <w:r>
              <w:rPr>
                <w:rFonts w:hint="eastAsia" w:eastAsia="宋体"/>
                <w:kern w:val="2"/>
                <w:sz w:val="21"/>
                <w:lang w:eastAsia="zh-CN"/>
              </w:rPr>
              <w:t>（二）评分依据：</w:t>
            </w:r>
          </w:p>
          <w:p w14:paraId="00C6AC90">
            <w:pPr>
              <w:widowControl w:val="0"/>
              <w:jc w:val="both"/>
              <w:rPr>
                <w:rFonts w:eastAsia="宋体"/>
                <w:kern w:val="2"/>
                <w:sz w:val="21"/>
                <w:lang w:eastAsia="zh-CN"/>
              </w:rPr>
            </w:pPr>
            <w:r>
              <w:rPr>
                <w:rFonts w:hint="eastAsia" w:eastAsia="宋体"/>
                <w:kern w:val="2"/>
                <w:sz w:val="21"/>
                <w:lang w:eastAsia="zh-CN"/>
              </w:rPr>
              <w:t>1、如设备自有，需提供投标截止日前的购买合同关键页及购买发票(抬头名称为投标人或投标产品的制造商);如设备为租赁，需提供投标截止日前的与出租方签订的租赁合同关键页、合同期间任一时间段的租金发票。属于相同（或同种）功能设备但名称不完全一致的需同时提供承诺函(格式自拟)，以证明是相同（或同种）功能设备，由专家判断是否得分，未提供承诺或承诺内容不满足要求的不得分。</w:t>
            </w:r>
          </w:p>
          <w:p w14:paraId="5AB810FE">
            <w:pPr>
              <w:widowControl w:val="0"/>
              <w:jc w:val="both"/>
              <w:rPr>
                <w:rFonts w:eastAsia="宋体"/>
                <w:kern w:val="2"/>
                <w:sz w:val="21"/>
                <w:lang w:eastAsia="zh-CN"/>
              </w:rPr>
            </w:pPr>
            <w:r>
              <w:rPr>
                <w:rFonts w:hint="eastAsia" w:eastAsia="宋体"/>
                <w:kern w:val="2"/>
                <w:sz w:val="21"/>
                <w:lang w:eastAsia="zh-CN"/>
              </w:rPr>
              <w:t>2、自有和租赁设备均需满足以下两项：</w:t>
            </w:r>
          </w:p>
          <w:p w14:paraId="1CD35830">
            <w:pPr>
              <w:widowControl w:val="0"/>
              <w:jc w:val="both"/>
              <w:rPr>
                <w:rFonts w:eastAsia="宋体"/>
                <w:kern w:val="2"/>
                <w:sz w:val="21"/>
                <w:lang w:eastAsia="zh-CN"/>
              </w:rPr>
            </w:pPr>
            <w:r>
              <w:rPr>
                <w:rFonts w:hint="eastAsia" w:eastAsia="宋体"/>
                <w:kern w:val="2"/>
                <w:sz w:val="21"/>
                <w:lang w:eastAsia="zh-CN"/>
              </w:rPr>
              <w:t>①提供设备放在生产车间的实物水印照片，水印照片应包含位置定位，时间信息；</w:t>
            </w:r>
          </w:p>
          <w:p w14:paraId="3CA5E09A">
            <w:pPr>
              <w:widowControl w:val="0"/>
              <w:jc w:val="both"/>
              <w:rPr>
                <w:rFonts w:eastAsia="宋体"/>
                <w:kern w:val="2"/>
                <w:sz w:val="21"/>
                <w:lang w:eastAsia="zh-CN"/>
              </w:rPr>
            </w:pPr>
            <w:r>
              <w:rPr>
                <w:rFonts w:hint="eastAsia" w:eastAsia="宋体"/>
                <w:kern w:val="2"/>
                <w:sz w:val="21"/>
                <w:lang w:eastAsia="zh-CN"/>
              </w:rPr>
              <w:t>②投标人需承诺投标文件中提供的设备实物照片为设备的现场拍摄真实照片（非网络图片），且承诺实物照片中的设备与购买（或租赁）合同中的设备为相同（或同种）设备且品牌一致，提供承诺函（格式自拟），未提供承诺或承诺内容不满足要求的不得分；</w:t>
            </w:r>
          </w:p>
          <w:p w14:paraId="7BAB684F">
            <w:pPr>
              <w:widowControl w:val="0"/>
              <w:jc w:val="both"/>
              <w:rPr>
                <w:rFonts w:eastAsia="宋体"/>
                <w:kern w:val="2"/>
                <w:sz w:val="21"/>
                <w:lang w:eastAsia="zh-CN"/>
              </w:rPr>
            </w:pPr>
            <w:r>
              <w:rPr>
                <w:rFonts w:hint="eastAsia" w:eastAsia="宋体"/>
                <w:kern w:val="2"/>
                <w:sz w:val="21"/>
                <w:lang w:eastAsia="zh-CN"/>
              </w:rPr>
              <w:t>3、证明材料需提供扫描件。如前后投标人或投标产品制造商名称有变更的，提供市场监督管理局或工商行政管理部门出具的“公司准予变更登记通知书”或“变更（备案）通知书”。</w:t>
            </w:r>
          </w:p>
          <w:p w14:paraId="6B05A755">
            <w:pPr>
              <w:widowControl w:val="0"/>
              <w:jc w:val="both"/>
              <w:rPr>
                <w:rFonts w:eastAsia="宋体"/>
                <w:kern w:val="2"/>
                <w:sz w:val="21"/>
                <w:lang w:eastAsia="zh-CN"/>
              </w:rPr>
            </w:pPr>
            <w:r>
              <w:rPr>
                <w:rFonts w:hint="eastAsia" w:eastAsia="宋体"/>
                <w:kern w:val="2"/>
                <w:sz w:val="21"/>
                <w:lang w:eastAsia="zh-CN"/>
              </w:rPr>
              <w:t>4、未按要求提供相关证明材料或提供的证明材料不完整、不清晰的或无法判断的均不得分。</w:t>
            </w:r>
          </w:p>
        </w:tc>
      </w:tr>
      <w:tr w14:paraId="0BA0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Merge w:val="continue"/>
            <w:vAlign w:val="center"/>
          </w:tcPr>
          <w:p w14:paraId="30978527">
            <w:pPr>
              <w:widowControl w:val="0"/>
              <w:jc w:val="both"/>
              <w:rPr>
                <w:rFonts w:eastAsia="宋体"/>
                <w:kern w:val="2"/>
                <w:sz w:val="21"/>
                <w:lang w:eastAsia="zh-CN"/>
              </w:rPr>
            </w:pPr>
          </w:p>
        </w:tc>
        <w:tc>
          <w:tcPr>
            <w:tcW w:w="544" w:type="dxa"/>
            <w:vAlign w:val="center"/>
          </w:tcPr>
          <w:p w14:paraId="3DA1909B">
            <w:pPr>
              <w:widowControl w:val="0"/>
              <w:jc w:val="center"/>
              <w:rPr>
                <w:rFonts w:eastAsia="宋体"/>
                <w:kern w:val="2"/>
                <w:sz w:val="21"/>
                <w:lang w:eastAsia="zh-CN"/>
              </w:rPr>
            </w:pPr>
            <w:r>
              <w:rPr>
                <w:rFonts w:eastAsia="宋体"/>
                <w:kern w:val="2"/>
                <w:sz w:val="21"/>
                <w:lang w:eastAsia="zh-CN"/>
              </w:rPr>
              <w:t>2</w:t>
            </w:r>
          </w:p>
        </w:tc>
        <w:tc>
          <w:tcPr>
            <w:tcW w:w="1561" w:type="dxa"/>
            <w:vAlign w:val="center"/>
          </w:tcPr>
          <w:p w14:paraId="5C984CD9">
            <w:pPr>
              <w:widowControl w:val="0"/>
              <w:jc w:val="center"/>
              <w:rPr>
                <w:rFonts w:eastAsia="宋体"/>
                <w:kern w:val="2"/>
                <w:sz w:val="21"/>
                <w:lang w:eastAsia="zh-CN"/>
              </w:rPr>
            </w:pPr>
            <w:r>
              <w:rPr>
                <w:rFonts w:hint="eastAsia" w:eastAsia="宋体"/>
                <w:kern w:val="2"/>
                <w:sz w:val="21"/>
                <w:lang w:eastAsia="zh-CN"/>
              </w:rPr>
              <w:t>技术要求偏离情况</w:t>
            </w:r>
          </w:p>
        </w:tc>
        <w:tc>
          <w:tcPr>
            <w:tcW w:w="882" w:type="dxa"/>
            <w:vAlign w:val="center"/>
          </w:tcPr>
          <w:p w14:paraId="413AD5DB">
            <w:pPr>
              <w:widowControl w:val="0"/>
              <w:jc w:val="center"/>
              <w:rPr>
                <w:rFonts w:eastAsia="宋体"/>
                <w:kern w:val="2"/>
                <w:sz w:val="21"/>
                <w:lang w:eastAsia="zh-CN"/>
              </w:rPr>
            </w:pPr>
            <w:r>
              <w:rPr>
                <w:rFonts w:eastAsia="宋体"/>
                <w:kern w:val="2"/>
                <w:sz w:val="21"/>
                <w:lang w:eastAsia="zh-CN"/>
              </w:rPr>
              <w:t>34</w:t>
            </w:r>
          </w:p>
        </w:tc>
        <w:tc>
          <w:tcPr>
            <w:tcW w:w="705" w:type="dxa"/>
            <w:vAlign w:val="center"/>
          </w:tcPr>
          <w:p w14:paraId="68F4237D">
            <w:pPr>
              <w:widowControl w:val="0"/>
              <w:jc w:val="center"/>
              <w:rPr>
                <w:rFonts w:eastAsia="宋体"/>
                <w:kern w:val="2"/>
                <w:sz w:val="21"/>
                <w:lang w:eastAsia="zh-CN"/>
              </w:rPr>
            </w:pPr>
            <w:r>
              <w:rPr>
                <w:rFonts w:hint="eastAsia" w:eastAsia="宋体"/>
                <w:kern w:val="2"/>
                <w:sz w:val="21"/>
                <w:lang w:eastAsia="zh-CN"/>
              </w:rPr>
              <w:t>专家打分</w:t>
            </w:r>
          </w:p>
        </w:tc>
        <w:tc>
          <w:tcPr>
            <w:tcW w:w="4656" w:type="dxa"/>
            <w:vAlign w:val="center"/>
          </w:tcPr>
          <w:p w14:paraId="19612080">
            <w:pPr>
              <w:widowControl w:val="0"/>
              <w:ind w:firstLine="0" w:firstLineChars="0"/>
              <w:jc w:val="both"/>
              <w:rPr>
                <w:rFonts w:eastAsia="宋体"/>
                <w:kern w:val="2"/>
                <w:sz w:val="21"/>
                <w:lang w:eastAsia="zh-CN"/>
              </w:rPr>
            </w:pPr>
            <w:r>
              <w:rPr>
                <w:rFonts w:hint="eastAsia" w:eastAsia="宋体"/>
                <w:kern w:val="2"/>
                <w:sz w:val="21"/>
                <w:lang w:eastAsia="zh-CN"/>
              </w:rPr>
              <w:t>（一）评分内容</w:t>
            </w:r>
          </w:p>
          <w:p w14:paraId="3A1861C4">
            <w:pPr>
              <w:widowControl w:val="0"/>
              <w:jc w:val="both"/>
              <w:rPr>
                <w:rFonts w:eastAsia="宋体"/>
                <w:kern w:val="2"/>
                <w:sz w:val="21"/>
                <w:lang w:eastAsia="zh-CN"/>
              </w:rPr>
            </w:pPr>
            <w:r>
              <w:rPr>
                <w:rFonts w:hint="eastAsia" w:eastAsia="宋体"/>
                <w:kern w:val="2"/>
                <w:sz w:val="21"/>
                <w:lang w:eastAsia="zh-CN"/>
              </w:rPr>
              <w:t>投标人应如实填写《技术要求偏离表》，评审委员会根据技术需求参数响应情况进行打分。</w:t>
            </w:r>
          </w:p>
          <w:p w14:paraId="3CD2CE8D">
            <w:pPr>
              <w:widowControl w:val="0"/>
              <w:jc w:val="both"/>
              <w:rPr>
                <w:rFonts w:eastAsia="宋体"/>
                <w:kern w:val="2"/>
                <w:sz w:val="21"/>
                <w:lang w:eastAsia="zh-CN"/>
              </w:rPr>
            </w:pPr>
            <w:r>
              <w:rPr>
                <w:rFonts w:hint="eastAsia" w:eastAsia="宋体"/>
                <w:kern w:val="2"/>
                <w:sz w:val="21"/>
                <w:lang w:eastAsia="zh-CN"/>
              </w:rPr>
              <w:t>（二）评分依据</w:t>
            </w:r>
          </w:p>
          <w:p w14:paraId="28EE5E7A">
            <w:pPr>
              <w:widowControl w:val="0"/>
              <w:jc w:val="both"/>
              <w:rPr>
                <w:rFonts w:eastAsia="宋体"/>
                <w:kern w:val="2"/>
                <w:sz w:val="21"/>
                <w:lang w:eastAsia="zh-CN"/>
              </w:rPr>
            </w:pPr>
            <w:r>
              <w:rPr>
                <w:rFonts w:hint="eastAsia" w:eastAsia="宋体"/>
                <w:kern w:val="2"/>
                <w:sz w:val="21"/>
                <w:lang w:eastAsia="zh-CN"/>
              </w:rPr>
              <w:t>各项技术参数指标及要求全部满足的得100分，所有标注“▲”的重要参数每项负偏离扣</w:t>
            </w:r>
            <w:r>
              <w:rPr>
                <w:rFonts w:eastAsia="宋体"/>
                <w:kern w:val="2"/>
                <w:sz w:val="21"/>
                <w:lang w:eastAsia="zh-CN"/>
              </w:rPr>
              <w:t>10</w:t>
            </w:r>
            <w:r>
              <w:rPr>
                <w:rFonts w:hint="eastAsia" w:eastAsia="宋体"/>
                <w:kern w:val="2"/>
                <w:sz w:val="21"/>
                <w:lang w:eastAsia="zh-CN"/>
              </w:rPr>
              <w:t>分，一般参数每项负偏离扣2</w:t>
            </w:r>
            <w:r>
              <w:rPr>
                <w:rFonts w:eastAsia="宋体"/>
                <w:kern w:val="2"/>
                <w:sz w:val="21"/>
                <w:lang w:eastAsia="zh-CN"/>
              </w:rPr>
              <w:t>.7</w:t>
            </w:r>
            <w:r>
              <w:rPr>
                <w:rFonts w:hint="eastAsia" w:eastAsia="宋体"/>
                <w:kern w:val="2"/>
                <w:sz w:val="21"/>
                <w:lang w:eastAsia="zh-CN"/>
              </w:rPr>
              <w:t>分，扣完为止。</w:t>
            </w:r>
          </w:p>
        </w:tc>
      </w:tr>
      <w:tr w14:paraId="157E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Merge w:val="continue"/>
            <w:vAlign w:val="center"/>
          </w:tcPr>
          <w:p w14:paraId="5FCF4251">
            <w:pPr>
              <w:widowControl w:val="0"/>
              <w:jc w:val="both"/>
              <w:rPr>
                <w:rFonts w:eastAsia="宋体"/>
                <w:kern w:val="2"/>
                <w:sz w:val="21"/>
                <w:lang w:eastAsia="zh-CN"/>
              </w:rPr>
            </w:pPr>
          </w:p>
        </w:tc>
        <w:tc>
          <w:tcPr>
            <w:tcW w:w="544" w:type="dxa"/>
            <w:vAlign w:val="center"/>
          </w:tcPr>
          <w:p w14:paraId="5AB53DB4">
            <w:pPr>
              <w:widowControl w:val="0"/>
              <w:jc w:val="center"/>
              <w:rPr>
                <w:rFonts w:eastAsia="宋体"/>
                <w:kern w:val="2"/>
                <w:sz w:val="21"/>
                <w:lang w:eastAsia="zh-CN"/>
              </w:rPr>
            </w:pPr>
            <w:r>
              <w:rPr>
                <w:rFonts w:eastAsia="宋体"/>
                <w:kern w:val="2"/>
                <w:sz w:val="21"/>
                <w:lang w:eastAsia="zh-CN"/>
              </w:rPr>
              <w:t>3</w:t>
            </w:r>
          </w:p>
        </w:tc>
        <w:tc>
          <w:tcPr>
            <w:tcW w:w="1561" w:type="dxa"/>
            <w:vAlign w:val="center"/>
          </w:tcPr>
          <w:p w14:paraId="340156E0">
            <w:pPr>
              <w:widowControl w:val="0"/>
              <w:jc w:val="center"/>
              <w:rPr>
                <w:rFonts w:eastAsia="宋体"/>
                <w:kern w:val="2"/>
                <w:sz w:val="21"/>
                <w:lang w:eastAsia="zh-CN"/>
              </w:rPr>
            </w:pPr>
            <w:r>
              <w:rPr>
                <w:rFonts w:hint="eastAsia" w:eastAsia="宋体"/>
                <w:kern w:val="2"/>
                <w:sz w:val="21"/>
                <w:lang w:eastAsia="zh-CN"/>
              </w:rPr>
              <w:t>项目实施方案</w:t>
            </w:r>
          </w:p>
        </w:tc>
        <w:tc>
          <w:tcPr>
            <w:tcW w:w="882" w:type="dxa"/>
            <w:vAlign w:val="center"/>
          </w:tcPr>
          <w:p w14:paraId="286366FE">
            <w:pPr>
              <w:widowControl w:val="0"/>
              <w:jc w:val="center"/>
              <w:rPr>
                <w:rFonts w:eastAsia="宋体"/>
                <w:kern w:val="2"/>
                <w:sz w:val="21"/>
                <w:lang w:eastAsia="zh-CN"/>
              </w:rPr>
            </w:pPr>
            <w:r>
              <w:rPr>
                <w:rFonts w:eastAsia="宋体"/>
                <w:kern w:val="2"/>
                <w:sz w:val="21"/>
                <w:lang w:eastAsia="zh-CN"/>
              </w:rPr>
              <w:t>3</w:t>
            </w:r>
          </w:p>
        </w:tc>
        <w:tc>
          <w:tcPr>
            <w:tcW w:w="705" w:type="dxa"/>
            <w:vAlign w:val="center"/>
          </w:tcPr>
          <w:p w14:paraId="61A82F82">
            <w:pPr>
              <w:widowControl w:val="0"/>
              <w:jc w:val="center"/>
              <w:rPr>
                <w:rFonts w:eastAsia="宋体"/>
                <w:kern w:val="2"/>
                <w:sz w:val="21"/>
                <w:lang w:eastAsia="zh-CN"/>
              </w:rPr>
            </w:pPr>
            <w:r>
              <w:rPr>
                <w:rFonts w:hint="eastAsia" w:eastAsia="宋体"/>
                <w:kern w:val="2"/>
                <w:sz w:val="21"/>
                <w:lang w:eastAsia="zh-CN"/>
              </w:rPr>
              <w:t>专家打分</w:t>
            </w:r>
          </w:p>
        </w:tc>
        <w:tc>
          <w:tcPr>
            <w:tcW w:w="4656" w:type="dxa"/>
            <w:vAlign w:val="center"/>
          </w:tcPr>
          <w:p w14:paraId="274F3F97">
            <w:pPr>
              <w:widowControl w:val="0"/>
              <w:jc w:val="both"/>
              <w:rPr>
                <w:rFonts w:eastAsia="宋体"/>
                <w:kern w:val="2"/>
                <w:sz w:val="21"/>
                <w:lang w:eastAsia="zh-CN"/>
              </w:rPr>
            </w:pPr>
            <w:r>
              <w:rPr>
                <w:rFonts w:hint="eastAsia" w:eastAsia="宋体"/>
                <w:kern w:val="2"/>
                <w:sz w:val="21"/>
                <w:lang w:eastAsia="zh-CN"/>
              </w:rPr>
              <w:t xml:space="preserve">（一）评分内容 </w:t>
            </w:r>
          </w:p>
          <w:p w14:paraId="58BD5535">
            <w:pPr>
              <w:widowControl w:val="0"/>
              <w:jc w:val="both"/>
              <w:rPr>
                <w:rFonts w:eastAsia="宋体"/>
                <w:kern w:val="2"/>
                <w:sz w:val="21"/>
                <w:lang w:eastAsia="zh-CN"/>
              </w:rPr>
            </w:pPr>
            <w:r>
              <w:rPr>
                <w:rFonts w:hint="eastAsia" w:eastAsia="宋体"/>
                <w:kern w:val="2"/>
                <w:sz w:val="21"/>
                <w:lang w:eastAsia="zh-CN"/>
              </w:rPr>
              <w:t>投标人结合本项目特点，制定出相应的项目实施方案。</w:t>
            </w:r>
          </w:p>
          <w:p w14:paraId="061540DC">
            <w:pPr>
              <w:widowControl w:val="0"/>
              <w:jc w:val="both"/>
              <w:rPr>
                <w:rFonts w:eastAsia="宋体"/>
                <w:kern w:val="2"/>
                <w:sz w:val="21"/>
                <w:lang w:eastAsia="zh-CN"/>
              </w:rPr>
            </w:pPr>
            <w:r>
              <w:rPr>
                <w:rFonts w:hint="eastAsia" w:eastAsia="宋体"/>
                <w:kern w:val="2"/>
                <w:sz w:val="21"/>
                <w:lang w:eastAsia="zh-CN"/>
              </w:rPr>
              <w:t>1.评审委员会对实施方案内容进行比较和评价：</w:t>
            </w:r>
          </w:p>
          <w:p w14:paraId="07E72FC6">
            <w:pPr>
              <w:widowControl w:val="0"/>
              <w:jc w:val="both"/>
              <w:rPr>
                <w:rFonts w:eastAsia="宋体"/>
                <w:kern w:val="2"/>
                <w:sz w:val="21"/>
                <w:lang w:eastAsia="zh-CN"/>
              </w:rPr>
            </w:pPr>
            <w:r>
              <w:rPr>
                <w:rFonts w:hint="eastAsia" w:eastAsia="宋体"/>
                <w:kern w:val="2"/>
                <w:sz w:val="21"/>
                <w:lang w:eastAsia="zh-CN"/>
              </w:rPr>
              <w:t>（1）供货方案（根据交货期提供方案）；</w:t>
            </w:r>
          </w:p>
          <w:p w14:paraId="64B47A9F">
            <w:pPr>
              <w:widowControl w:val="0"/>
              <w:jc w:val="both"/>
              <w:rPr>
                <w:rFonts w:eastAsia="宋体"/>
                <w:kern w:val="2"/>
                <w:sz w:val="21"/>
                <w:lang w:eastAsia="zh-CN"/>
              </w:rPr>
            </w:pPr>
            <w:r>
              <w:rPr>
                <w:rFonts w:hint="eastAsia" w:eastAsia="宋体"/>
                <w:kern w:val="2"/>
                <w:sz w:val="21"/>
                <w:lang w:eastAsia="zh-CN"/>
              </w:rPr>
              <w:t>（2）质量保障措施（体现原材料采购及来料质检、设计、生产工艺、环保及品质管理等)；</w:t>
            </w:r>
          </w:p>
          <w:p w14:paraId="618DDED9">
            <w:pPr>
              <w:widowControl w:val="0"/>
              <w:jc w:val="both"/>
              <w:rPr>
                <w:rFonts w:eastAsia="宋体"/>
                <w:kern w:val="2"/>
                <w:sz w:val="21"/>
                <w:lang w:eastAsia="zh-CN"/>
              </w:rPr>
            </w:pPr>
            <w:r>
              <w:rPr>
                <w:rFonts w:hint="eastAsia" w:eastAsia="宋体"/>
                <w:kern w:val="2"/>
                <w:sz w:val="21"/>
                <w:lang w:eastAsia="zh-CN"/>
              </w:rPr>
              <w:t>（3）安装保障措施（体现人员安排、现场安装环境保护措施等）；</w:t>
            </w:r>
          </w:p>
          <w:p w14:paraId="01E6D2FE">
            <w:pPr>
              <w:widowControl w:val="0"/>
              <w:jc w:val="both"/>
              <w:rPr>
                <w:rFonts w:eastAsia="宋体"/>
                <w:kern w:val="2"/>
                <w:sz w:val="21"/>
                <w:lang w:eastAsia="zh-CN"/>
              </w:rPr>
            </w:pPr>
            <w:r>
              <w:rPr>
                <w:rFonts w:hint="eastAsia" w:eastAsia="宋体"/>
                <w:kern w:val="2"/>
                <w:sz w:val="21"/>
                <w:lang w:eastAsia="zh-CN"/>
              </w:rPr>
              <w:t>（4）安全保障措施；</w:t>
            </w:r>
          </w:p>
          <w:p w14:paraId="4426EE0F">
            <w:pPr>
              <w:widowControl w:val="0"/>
              <w:jc w:val="both"/>
              <w:rPr>
                <w:rFonts w:eastAsia="宋体"/>
                <w:kern w:val="2"/>
                <w:sz w:val="21"/>
                <w:lang w:eastAsia="zh-CN"/>
              </w:rPr>
            </w:pPr>
            <w:r>
              <w:rPr>
                <w:rFonts w:hint="eastAsia" w:eastAsia="宋体"/>
                <w:kern w:val="2"/>
                <w:sz w:val="21"/>
                <w:lang w:eastAsia="zh-CN"/>
              </w:rPr>
              <w:t>（5）售后服务方案；</w:t>
            </w:r>
          </w:p>
          <w:p w14:paraId="1BBFF0C4">
            <w:pPr>
              <w:widowControl w:val="0"/>
              <w:jc w:val="both"/>
              <w:rPr>
                <w:rFonts w:eastAsia="宋体"/>
                <w:kern w:val="2"/>
                <w:sz w:val="21"/>
                <w:lang w:eastAsia="zh-CN"/>
              </w:rPr>
            </w:pPr>
            <w:r>
              <w:rPr>
                <w:rFonts w:hint="eastAsia" w:eastAsia="宋体"/>
                <w:kern w:val="2"/>
                <w:sz w:val="21"/>
                <w:lang w:eastAsia="zh-CN"/>
              </w:rPr>
              <w:t>（二）评分依据</w:t>
            </w:r>
          </w:p>
          <w:p w14:paraId="1FEAEAAA">
            <w:pPr>
              <w:widowControl w:val="0"/>
              <w:jc w:val="both"/>
              <w:rPr>
                <w:rFonts w:eastAsia="宋体"/>
                <w:kern w:val="2"/>
                <w:sz w:val="21"/>
                <w:lang w:eastAsia="zh-CN"/>
              </w:rPr>
            </w:pPr>
            <w:r>
              <w:rPr>
                <w:rFonts w:hint="eastAsia" w:eastAsia="宋体"/>
                <w:kern w:val="2"/>
                <w:sz w:val="21"/>
                <w:lang w:eastAsia="zh-CN"/>
              </w:rPr>
              <w:t>满足5点得</w:t>
            </w:r>
            <w:r>
              <w:rPr>
                <w:rFonts w:eastAsia="宋体"/>
                <w:kern w:val="2"/>
                <w:sz w:val="21"/>
                <w:lang w:eastAsia="zh-CN"/>
              </w:rPr>
              <w:t>50</w:t>
            </w:r>
            <w:r>
              <w:rPr>
                <w:rFonts w:hint="eastAsia" w:eastAsia="宋体"/>
                <w:kern w:val="2"/>
                <w:sz w:val="21"/>
                <w:lang w:eastAsia="zh-CN"/>
              </w:rPr>
              <w:t>分，有其中一点不满足或没有提供的不得分。在此基础上，根据以下标准进行评价评分：</w:t>
            </w:r>
          </w:p>
          <w:p w14:paraId="2F9415ED">
            <w:pPr>
              <w:widowControl w:val="0"/>
              <w:jc w:val="both"/>
              <w:rPr>
                <w:rFonts w:eastAsia="宋体"/>
                <w:kern w:val="2"/>
                <w:sz w:val="21"/>
                <w:lang w:eastAsia="zh-CN"/>
              </w:rPr>
            </w:pPr>
            <w:r>
              <w:rPr>
                <w:rFonts w:hint="eastAsia" w:eastAsia="宋体"/>
                <w:kern w:val="2"/>
                <w:sz w:val="21"/>
                <w:lang w:eastAsia="zh-CN"/>
              </w:rPr>
              <w:t>（1）优：内容完整全面，根据交货期合理安排生产安装时间，思路清晰明确，可操作性强的，加</w:t>
            </w:r>
            <w:r>
              <w:rPr>
                <w:rFonts w:eastAsia="宋体"/>
                <w:kern w:val="2"/>
                <w:sz w:val="21"/>
                <w:lang w:eastAsia="zh-CN"/>
              </w:rPr>
              <w:t>5</w:t>
            </w:r>
            <w:r>
              <w:rPr>
                <w:rFonts w:hint="eastAsia" w:eastAsia="宋体"/>
                <w:kern w:val="2"/>
                <w:sz w:val="21"/>
                <w:lang w:eastAsia="zh-CN"/>
              </w:rPr>
              <w:t>0分；</w:t>
            </w:r>
          </w:p>
          <w:p w14:paraId="53D2D9AD">
            <w:pPr>
              <w:widowControl w:val="0"/>
              <w:jc w:val="both"/>
              <w:rPr>
                <w:rFonts w:eastAsia="宋体"/>
                <w:kern w:val="2"/>
                <w:sz w:val="21"/>
                <w:lang w:eastAsia="zh-CN"/>
              </w:rPr>
            </w:pPr>
            <w:r>
              <w:rPr>
                <w:rFonts w:hint="eastAsia" w:eastAsia="宋体"/>
                <w:kern w:val="2"/>
                <w:sz w:val="21"/>
                <w:lang w:eastAsia="zh-CN"/>
              </w:rPr>
              <w:t>（2）良：内容较完整全面、根据交货期安排生产安装时间较为合理、思路比较清晰，加</w:t>
            </w:r>
            <w:r>
              <w:rPr>
                <w:rFonts w:eastAsia="宋体"/>
                <w:kern w:val="2"/>
                <w:sz w:val="21"/>
                <w:lang w:eastAsia="zh-CN"/>
              </w:rPr>
              <w:t>20</w:t>
            </w:r>
            <w:r>
              <w:rPr>
                <w:rFonts w:hint="eastAsia" w:eastAsia="宋体"/>
                <w:kern w:val="2"/>
                <w:sz w:val="21"/>
                <w:lang w:eastAsia="zh-CN"/>
              </w:rPr>
              <w:t>分；</w:t>
            </w:r>
          </w:p>
          <w:p w14:paraId="6744CC65">
            <w:pPr>
              <w:widowControl w:val="0"/>
              <w:jc w:val="both"/>
              <w:rPr>
                <w:rFonts w:eastAsia="宋体"/>
                <w:kern w:val="2"/>
                <w:sz w:val="21"/>
                <w:lang w:eastAsia="zh-CN"/>
              </w:rPr>
            </w:pPr>
            <w:r>
              <w:rPr>
                <w:rFonts w:hint="eastAsia" w:eastAsia="宋体"/>
                <w:kern w:val="2"/>
                <w:sz w:val="21"/>
                <w:lang w:eastAsia="zh-CN"/>
              </w:rPr>
              <w:t>（3）中：内容基本完整、根据交货期安排生产安装时间合理性不足、思路基本清晰，加10分；</w:t>
            </w:r>
          </w:p>
          <w:p w14:paraId="34E6465D">
            <w:pPr>
              <w:widowControl w:val="0"/>
              <w:jc w:val="both"/>
              <w:rPr>
                <w:rFonts w:eastAsia="宋体"/>
                <w:kern w:val="2"/>
                <w:sz w:val="21"/>
                <w:lang w:eastAsia="zh-CN"/>
              </w:rPr>
            </w:pPr>
            <w:r>
              <w:rPr>
                <w:rFonts w:hint="eastAsia" w:eastAsia="宋体"/>
                <w:kern w:val="2"/>
                <w:sz w:val="21"/>
                <w:lang w:eastAsia="zh-CN"/>
              </w:rPr>
              <w:t>（4）差：内容简单，不加分。若评审为差，专家须书面说明理由并记录在档。</w:t>
            </w:r>
          </w:p>
        </w:tc>
      </w:tr>
      <w:tr w14:paraId="0128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Align w:val="center"/>
          </w:tcPr>
          <w:p w14:paraId="266239D0">
            <w:pPr>
              <w:widowControl w:val="0"/>
              <w:jc w:val="center"/>
              <w:rPr>
                <w:rFonts w:eastAsia="宋体"/>
                <w:b/>
                <w:bCs/>
                <w:kern w:val="2"/>
                <w:sz w:val="21"/>
                <w:lang w:eastAsia="zh-CN"/>
              </w:rPr>
            </w:pPr>
            <w:r>
              <w:rPr>
                <w:rFonts w:eastAsia="宋体"/>
                <w:b/>
                <w:bCs/>
                <w:kern w:val="2"/>
                <w:sz w:val="21"/>
                <w:lang w:eastAsia="zh-CN"/>
              </w:rPr>
              <w:t>3</w:t>
            </w:r>
          </w:p>
        </w:tc>
        <w:tc>
          <w:tcPr>
            <w:tcW w:w="3692" w:type="dxa"/>
            <w:gridSpan w:val="4"/>
            <w:vAlign w:val="center"/>
          </w:tcPr>
          <w:p w14:paraId="4A7004EA">
            <w:pPr>
              <w:widowControl w:val="0"/>
              <w:jc w:val="center"/>
              <w:rPr>
                <w:rFonts w:eastAsia="宋体"/>
                <w:b/>
                <w:bCs/>
                <w:kern w:val="2"/>
                <w:sz w:val="21"/>
                <w:lang w:eastAsia="zh-CN"/>
              </w:rPr>
            </w:pPr>
            <w:r>
              <w:rPr>
                <w:rFonts w:hint="eastAsia" w:eastAsia="宋体"/>
                <w:b/>
                <w:bCs/>
                <w:kern w:val="2"/>
                <w:sz w:val="21"/>
                <w:lang w:eastAsia="zh-CN"/>
              </w:rPr>
              <w:t>商务部分</w:t>
            </w:r>
          </w:p>
        </w:tc>
        <w:tc>
          <w:tcPr>
            <w:tcW w:w="4656" w:type="dxa"/>
            <w:vAlign w:val="center"/>
          </w:tcPr>
          <w:p w14:paraId="579E2FA9">
            <w:pPr>
              <w:widowControl w:val="0"/>
              <w:jc w:val="center"/>
              <w:rPr>
                <w:rFonts w:eastAsia="宋体"/>
                <w:b/>
                <w:bCs/>
                <w:kern w:val="2"/>
                <w:sz w:val="21"/>
                <w:lang w:eastAsia="zh-CN"/>
              </w:rPr>
            </w:pPr>
            <w:r>
              <w:rPr>
                <w:rFonts w:eastAsia="宋体"/>
                <w:b/>
                <w:bCs/>
                <w:kern w:val="2"/>
                <w:sz w:val="21"/>
                <w:lang w:eastAsia="zh-CN"/>
              </w:rPr>
              <w:t>2</w:t>
            </w:r>
          </w:p>
        </w:tc>
      </w:tr>
      <w:tr w14:paraId="0D9BA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Merge w:val="restart"/>
            <w:vAlign w:val="center"/>
          </w:tcPr>
          <w:p w14:paraId="5BC2E46B">
            <w:pPr>
              <w:widowControl w:val="0"/>
              <w:jc w:val="both"/>
              <w:rPr>
                <w:rFonts w:eastAsia="宋体"/>
                <w:kern w:val="2"/>
                <w:sz w:val="21"/>
                <w:lang w:eastAsia="zh-CN"/>
              </w:rPr>
            </w:pPr>
          </w:p>
        </w:tc>
        <w:tc>
          <w:tcPr>
            <w:tcW w:w="544" w:type="dxa"/>
            <w:vAlign w:val="center"/>
          </w:tcPr>
          <w:p w14:paraId="48833F50">
            <w:pPr>
              <w:widowControl w:val="0"/>
              <w:jc w:val="center"/>
              <w:rPr>
                <w:rFonts w:eastAsia="宋体"/>
                <w:kern w:val="2"/>
                <w:sz w:val="21"/>
                <w:lang w:eastAsia="zh-CN"/>
              </w:rPr>
            </w:pPr>
            <w:r>
              <w:rPr>
                <w:rFonts w:hint="eastAsia" w:eastAsia="宋体"/>
                <w:kern w:val="2"/>
                <w:sz w:val="21"/>
                <w:lang w:eastAsia="zh-CN"/>
              </w:rPr>
              <w:t>序号</w:t>
            </w:r>
          </w:p>
        </w:tc>
        <w:tc>
          <w:tcPr>
            <w:tcW w:w="1561" w:type="dxa"/>
            <w:vAlign w:val="center"/>
          </w:tcPr>
          <w:p w14:paraId="2D7A5974">
            <w:pPr>
              <w:widowControl w:val="0"/>
              <w:jc w:val="center"/>
              <w:rPr>
                <w:rFonts w:eastAsia="宋体"/>
                <w:kern w:val="2"/>
                <w:sz w:val="21"/>
                <w:lang w:eastAsia="zh-CN"/>
              </w:rPr>
            </w:pPr>
            <w:r>
              <w:rPr>
                <w:rFonts w:hint="eastAsia" w:eastAsia="宋体"/>
                <w:kern w:val="2"/>
                <w:sz w:val="21"/>
                <w:lang w:eastAsia="zh-CN"/>
              </w:rPr>
              <w:t>评审因素</w:t>
            </w:r>
          </w:p>
        </w:tc>
        <w:tc>
          <w:tcPr>
            <w:tcW w:w="882" w:type="dxa"/>
            <w:vAlign w:val="center"/>
          </w:tcPr>
          <w:p w14:paraId="06701BCC">
            <w:pPr>
              <w:widowControl w:val="0"/>
              <w:jc w:val="center"/>
              <w:rPr>
                <w:rFonts w:eastAsia="宋体"/>
                <w:kern w:val="2"/>
                <w:sz w:val="21"/>
                <w:lang w:eastAsia="zh-CN"/>
              </w:rPr>
            </w:pPr>
            <w:r>
              <w:rPr>
                <w:rFonts w:hint="eastAsia" w:eastAsia="宋体"/>
                <w:kern w:val="2"/>
                <w:sz w:val="21"/>
                <w:lang w:eastAsia="zh-CN"/>
              </w:rPr>
              <w:t>权重（%）</w:t>
            </w:r>
          </w:p>
        </w:tc>
        <w:tc>
          <w:tcPr>
            <w:tcW w:w="705" w:type="dxa"/>
            <w:vAlign w:val="center"/>
          </w:tcPr>
          <w:p w14:paraId="24CD78DE">
            <w:pPr>
              <w:widowControl w:val="0"/>
              <w:jc w:val="center"/>
              <w:rPr>
                <w:rFonts w:eastAsia="宋体"/>
                <w:kern w:val="2"/>
                <w:sz w:val="21"/>
                <w:lang w:eastAsia="zh-CN"/>
              </w:rPr>
            </w:pPr>
            <w:r>
              <w:rPr>
                <w:rFonts w:hint="eastAsia" w:eastAsia="宋体"/>
                <w:kern w:val="2"/>
                <w:sz w:val="21"/>
                <w:lang w:eastAsia="zh-CN"/>
              </w:rPr>
              <w:t>评分方式</w:t>
            </w:r>
          </w:p>
        </w:tc>
        <w:tc>
          <w:tcPr>
            <w:tcW w:w="4656" w:type="dxa"/>
            <w:vAlign w:val="center"/>
          </w:tcPr>
          <w:p w14:paraId="62D5715F">
            <w:pPr>
              <w:widowControl w:val="0"/>
              <w:jc w:val="center"/>
              <w:rPr>
                <w:rFonts w:eastAsia="宋体"/>
                <w:kern w:val="2"/>
                <w:sz w:val="21"/>
                <w:lang w:eastAsia="zh-CN"/>
              </w:rPr>
            </w:pPr>
            <w:r>
              <w:rPr>
                <w:rFonts w:hint="eastAsia" w:eastAsia="宋体"/>
                <w:kern w:val="2"/>
                <w:sz w:val="21"/>
                <w:lang w:eastAsia="zh-CN"/>
              </w:rPr>
              <w:t>评分准则</w:t>
            </w:r>
          </w:p>
        </w:tc>
      </w:tr>
      <w:tr w14:paraId="0255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Merge w:val="continue"/>
            <w:vAlign w:val="center"/>
          </w:tcPr>
          <w:p w14:paraId="21A2129C">
            <w:pPr>
              <w:widowControl w:val="0"/>
              <w:jc w:val="both"/>
              <w:rPr>
                <w:rFonts w:eastAsia="宋体"/>
                <w:kern w:val="2"/>
                <w:sz w:val="21"/>
                <w:lang w:eastAsia="zh-CN"/>
              </w:rPr>
            </w:pPr>
          </w:p>
        </w:tc>
        <w:tc>
          <w:tcPr>
            <w:tcW w:w="544" w:type="dxa"/>
            <w:vAlign w:val="center"/>
          </w:tcPr>
          <w:p w14:paraId="6D0999CF">
            <w:pPr>
              <w:widowControl w:val="0"/>
              <w:jc w:val="center"/>
              <w:rPr>
                <w:rFonts w:eastAsia="宋体"/>
                <w:kern w:val="2"/>
                <w:sz w:val="21"/>
                <w:lang w:eastAsia="zh-CN"/>
              </w:rPr>
            </w:pPr>
            <w:r>
              <w:rPr>
                <w:rFonts w:eastAsia="宋体"/>
                <w:kern w:val="2"/>
                <w:sz w:val="21"/>
                <w:lang w:eastAsia="zh-CN"/>
              </w:rPr>
              <w:t>1</w:t>
            </w:r>
          </w:p>
        </w:tc>
        <w:tc>
          <w:tcPr>
            <w:tcW w:w="1561" w:type="dxa"/>
            <w:vAlign w:val="center"/>
          </w:tcPr>
          <w:p w14:paraId="59B46A8B">
            <w:pPr>
              <w:widowControl w:val="0"/>
              <w:jc w:val="center"/>
              <w:rPr>
                <w:rFonts w:eastAsia="宋体"/>
                <w:kern w:val="2"/>
                <w:sz w:val="21"/>
                <w:lang w:eastAsia="zh-CN"/>
              </w:rPr>
            </w:pPr>
            <w:r>
              <w:rPr>
                <w:rFonts w:hint="eastAsia" w:eastAsia="宋体"/>
                <w:kern w:val="2"/>
                <w:sz w:val="21"/>
                <w:lang w:eastAsia="zh-CN"/>
              </w:rPr>
              <w:t>免费保修期内/外售后服务条款偏离情况</w:t>
            </w:r>
          </w:p>
        </w:tc>
        <w:tc>
          <w:tcPr>
            <w:tcW w:w="882" w:type="dxa"/>
            <w:vAlign w:val="center"/>
          </w:tcPr>
          <w:p w14:paraId="10B169E7">
            <w:pPr>
              <w:widowControl w:val="0"/>
              <w:jc w:val="center"/>
              <w:rPr>
                <w:rFonts w:eastAsia="宋体"/>
                <w:kern w:val="2"/>
                <w:sz w:val="21"/>
                <w:lang w:eastAsia="zh-CN"/>
              </w:rPr>
            </w:pPr>
            <w:r>
              <w:rPr>
                <w:rFonts w:hint="eastAsia" w:eastAsia="宋体"/>
                <w:kern w:val="2"/>
                <w:sz w:val="21"/>
                <w:lang w:eastAsia="zh-CN"/>
              </w:rPr>
              <w:t>1</w:t>
            </w:r>
          </w:p>
        </w:tc>
        <w:tc>
          <w:tcPr>
            <w:tcW w:w="705" w:type="dxa"/>
            <w:vAlign w:val="center"/>
          </w:tcPr>
          <w:p w14:paraId="6244A060">
            <w:pPr>
              <w:widowControl w:val="0"/>
              <w:jc w:val="center"/>
              <w:rPr>
                <w:rFonts w:eastAsia="宋体"/>
                <w:kern w:val="2"/>
                <w:sz w:val="21"/>
                <w:lang w:eastAsia="zh-CN"/>
              </w:rPr>
            </w:pPr>
            <w:r>
              <w:rPr>
                <w:rFonts w:hint="eastAsia" w:eastAsia="宋体"/>
                <w:kern w:val="2"/>
                <w:sz w:val="21"/>
                <w:lang w:eastAsia="zh-CN"/>
              </w:rPr>
              <w:t>专家评分</w:t>
            </w:r>
          </w:p>
        </w:tc>
        <w:tc>
          <w:tcPr>
            <w:tcW w:w="4656" w:type="dxa"/>
            <w:vAlign w:val="center"/>
          </w:tcPr>
          <w:p w14:paraId="72DF89CA">
            <w:pPr>
              <w:widowControl w:val="0"/>
              <w:ind w:firstLine="0" w:firstLineChars="0"/>
              <w:jc w:val="both"/>
              <w:rPr>
                <w:rFonts w:eastAsia="宋体"/>
                <w:kern w:val="2"/>
                <w:sz w:val="21"/>
                <w:lang w:eastAsia="zh-CN"/>
              </w:rPr>
            </w:pPr>
            <w:r>
              <w:rPr>
                <w:rFonts w:hint="eastAsia" w:eastAsia="宋体"/>
                <w:kern w:val="2"/>
                <w:sz w:val="21"/>
                <w:lang w:eastAsia="zh-CN"/>
              </w:rPr>
              <w:t>（一）评分内容：</w:t>
            </w:r>
          </w:p>
          <w:p w14:paraId="63DA140A">
            <w:pPr>
              <w:widowControl w:val="0"/>
              <w:jc w:val="both"/>
              <w:rPr>
                <w:rFonts w:eastAsia="宋体"/>
                <w:kern w:val="2"/>
                <w:sz w:val="21"/>
                <w:lang w:eastAsia="zh-CN"/>
              </w:rPr>
            </w:pPr>
            <w:r>
              <w:rPr>
                <w:rFonts w:hint="eastAsia" w:eastAsia="宋体"/>
                <w:kern w:val="2"/>
                <w:sz w:val="21"/>
                <w:lang w:eastAsia="zh-CN"/>
              </w:rPr>
              <w:t>投标人应如实填写《商务要求偏离表（免费保修期内售后服务要求和免费保修期外售后服务要求）》，评审委员会根据响应情况进行打分。</w:t>
            </w:r>
          </w:p>
          <w:p w14:paraId="2CA99FBD">
            <w:pPr>
              <w:widowControl w:val="0"/>
              <w:jc w:val="both"/>
              <w:rPr>
                <w:rFonts w:eastAsia="宋体"/>
                <w:kern w:val="2"/>
                <w:sz w:val="21"/>
                <w:lang w:eastAsia="zh-CN"/>
              </w:rPr>
            </w:pPr>
            <w:r>
              <w:rPr>
                <w:rFonts w:hint="eastAsia" w:eastAsia="宋体"/>
                <w:kern w:val="2"/>
                <w:sz w:val="21"/>
                <w:lang w:eastAsia="zh-CN"/>
              </w:rPr>
              <w:t>（二）评分依据：</w:t>
            </w:r>
          </w:p>
          <w:p w14:paraId="767B75FE">
            <w:pPr>
              <w:widowControl w:val="0"/>
              <w:jc w:val="both"/>
              <w:rPr>
                <w:rFonts w:eastAsia="宋体"/>
                <w:kern w:val="2"/>
                <w:sz w:val="21"/>
                <w:lang w:eastAsia="zh-CN"/>
              </w:rPr>
            </w:pPr>
            <w:r>
              <w:rPr>
                <w:rFonts w:hint="eastAsia" w:eastAsia="宋体"/>
                <w:kern w:val="2"/>
                <w:sz w:val="21"/>
                <w:lang w:eastAsia="zh-CN"/>
              </w:rPr>
              <w:t>全部满足要求的得</w:t>
            </w:r>
            <w:r>
              <w:rPr>
                <w:rFonts w:eastAsia="宋体"/>
                <w:kern w:val="2"/>
                <w:sz w:val="21"/>
                <w:lang w:eastAsia="zh-CN"/>
              </w:rPr>
              <w:t>100</w:t>
            </w:r>
            <w:r>
              <w:rPr>
                <w:rFonts w:hint="eastAsia" w:eastAsia="宋体"/>
                <w:kern w:val="2"/>
                <w:sz w:val="21"/>
                <w:lang w:eastAsia="zh-CN"/>
              </w:rPr>
              <w:t>分，每负偏离一项扣3</w:t>
            </w:r>
            <w:r>
              <w:rPr>
                <w:rFonts w:eastAsia="宋体"/>
                <w:kern w:val="2"/>
                <w:sz w:val="21"/>
                <w:lang w:eastAsia="zh-CN"/>
              </w:rPr>
              <w:t>3.4</w:t>
            </w:r>
            <w:r>
              <w:rPr>
                <w:rFonts w:hint="eastAsia" w:eastAsia="宋体"/>
                <w:kern w:val="2"/>
                <w:sz w:val="21"/>
                <w:lang w:eastAsia="zh-CN"/>
              </w:rPr>
              <w:t>分，扣完为止。</w:t>
            </w:r>
          </w:p>
        </w:tc>
      </w:tr>
      <w:tr w14:paraId="36576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Merge w:val="continue"/>
            <w:vAlign w:val="center"/>
          </w:tcPr>
          <w:p w14:paraId="239CF03A">
            <w:pPr>
              <w:widowControl w:val="0"/>
              <w:jc w:val="both"/>
              <w:rPr>
                <w:rFonts w:eastAsia="宋体"/>
                <w:kern w:val="2"/>
                <w:sz w:val="21"/>
                <w:lang w:eastAsia="zh-CN"/>
              </w:rPr>
            </w:pPr>
          </w:p>
        </w:tc>
        <w:tc>
          <w:tcPr>
            <w:tcW w:w="544" w:type="dxa"/>
            <w:vAlign w:val="center"/>
          </w:tcPr>
          <w:p w14:paraId="6E2034A0">
            <w:pPr>
              <w:widowControl w:val="0"/>
              <w:jc w:val="center"/>
              <w:rPr>
                <w:rFonts w:eastAsia="宋体"/>
                <w:kern w:val="2"/>
                <w:sz w:val="21"/>
                <w:lang w:eastAsia="zh-CN"/>
              </w:rPr>
            </w:pPr>
            <w:r>
              <w:rPr>
                <w:rFonts w:eastAsia="宋体"/>
                <w:kern w:val="2"/>
                <w:sz w:val="21"/>
                <w:lang w:eastAsia="zh-CN"/>
              </w:rPr>
              <w:t>2</w:t>
            </w:r>
          </w:p>
        </w:tc>
        <w:tc>
          <w:tcPr>
            <w:tcW w:w="1561" w:type="dxa"/>
            <w:vAlign w:val="center"/>
          </w:tcPr>
          <w:p w14:paraId="71C47D22">
            <w:pPr>
              <w:widowControl w:val="0"/>
              <w:jc w:val="center"/>
              <w:rPr>
                <w:rFonts w:eastAsia="宋体"/>
                <w:kern w:val="2"/>
                <w:sz w:val="21"/>
                <w:lang w:eastAsia="zh-CN"/>
              </w:rPr>
            </w:pPr>
            <w:r>
              <w:rPr>
                <w:rFonts w:hint="eastAsia" w:eastAsia="宋体"/>
                <w:kern w:val="2"/>
                <w:sz w:val="21"/>
                <w:lang w:eastAsia="zh-CN"/>
              </w:rPr>
              <w:t>其他商务条款偏离情况</w:t>
            </w:r>
          </w:p>
        </w:tc>
        <w:tc>
          <w:tcPr>
            <w:tcW w:w="882" w:type="dxa"/>
            <w:vAlign w:val="center"/>
          </w:tcPr>
          <w:p w14:paraId="042AEA65">
            <w:pPr>
              <w:widowControl w:val="0"/>
              <w:jc w:val="center"/>
              <w:rPr>
                <w:rFonts w:eastAsia="宋体"/>
                <w:kern w:val="2"/>
                <w:sz w:val="21"/>
                <w:lang w:eastAsia="zh-CN"/>
              </w:rPr>
            </w:pPr>
            <w:r>
              <w:rPr>
                <w:rFonts w:hint="eastAsia" w:eastAsia="宋体"/>
                <w:kern w:val="2"/>
                <w:sz w:val="21"/>
                <w:lang w:eastAsia="zh-CN"/>
              </w:rPr>
              <w:t>1</w:t>
            </w:r>
          </w:p>
        </w:tc>
        <w:tc>
          <w:tcPr>
            <w:tcW w:w="705" w:type="dxa"/>
            <w:vAlign w:val="center"/>
          </w:tcPr>
          <w:p w14:paraId="14B29299">
            <w:pPr>
              <w:widowControl w:val="0"/>
              <w:jc w:val="center"/>
              <w:rPr>
                <w:rFonts w:eastAsia="宋体"/>
                <w:kern w:val="2"/>
                <w:sz w:val="21"/>
                <w:lang w:eastAsia="zh-CN"/>
              </w:rPr>
            </w:pPr>
            <w:r>
              <w:rPr>
                <w:rFonts w:hint="eastAsia" w:eastAsia="宋体"/>
                <w:kern w:val="2"/>
                <w:sz w:val="21"/>
                <w:lang w:eastAsia="zh-CN"/>
              </w:rPr>
              <w:t>专家评分</w:t>
            </w:r>
          </w:p>
        </w:tc>
        <w:tc>
          <w:tcPr>
            <w:tcW w:w="4656" w:type="dxa"/>
            <w:vAlign w:val="center"/>
          </w:tcPr>
          <w:p w14:paraId="2E862F70">
            <w:pPr>
              <w:widowControl w:val="0"/>
              <w:ind w:firstLine="0" w:firstLineChars="0"/>
              <w:jc w:val="both"/>
              <w:rPr>
                <w:rFonts w:eastAsia="宋体"/>
                <w:kern w:val="2"/>
                <w:sz w:val="21"/>
                <w:lang w:eastAsia="zh-CN"/>
              </w:rPr>
            </w:pPr>
            <w:r>
              <w:rPr>
                <w:rFonts w:hint="eastAsia" w:eastAsia="宋体"/>
                <w:kern w:val="2"/>
                <w:sz w:val="21"/>
                <w:lang w:eastAsia="zh-CN"/>
              </w:rPr>
              <w:t>（一）评分内容：</w:t>
            </w:r>
          </w:p>
          <w:p w14:paraId="7A99B7A1">
            <w:pPr>
              <w:widowControl w:val="0"/>
              <w:jc w:val="both"/>
              <w:rPr>
                <w:rFonts w:eastAsia="宋体"/>
                <w:kern w:val="2"/>
                <w:sz w:val="21"/>
                <w:lang w:eastAsia="zh-CN"/>
              </w:rPr>
            </w:pPr>
            <w:r>
              <w:rPr>
                <w:rFonts w:hint="eastAsia" w:eastAsia="宋体"/>
                <w:kern w:val="2"/>
                <w:sz w:val="21"/>
                <w:lang w:eastAsia="zh-CN"/>
              </w:rPr>
              <w:t>投标人应如实填写《商务要求偏离表（其他商务要求）》，评审委员会根据响应情况进行打分。</w:t>
            </w:r>
          </w:p>
          <w:p w14:paraId="32A7EA22">
            <w:pPr>
              <w:widowControl w:val="0"/>
              <w:jc w:val="both"/>
              <w:rPr>
                <w:rFonts w:eastAsia="宋体"/>
                <w:kern w:val="2"/>
                <w:sz w:val="21"/>
                <w:lang w:eastAsia="zh-CN"/>
              </w:rPr>
            </w:pPr>
            <w:r>
              <w:rPr>
                <w:rFonts w:hint="eastAsia" w:eastAsia="宋体"/>
                <w:kern w:val="2"/>
                <w:sz w:val="21"/>
                <w:lang w:eastAsia="zh-CN"/>
              </w:rPr>
              <w:t>（二）评分依据：</w:t>
            </w:r>
          </w:p>
          <w:p w14:paraId="447D380B">
            <w:pPr>
              <w:widowControl w:val="0"/>
              <w:jc w:val="both"/>
              <w:rPr>
                <w:rFonts w:eastAsia="宋体"/>
                <w:kern w:val="2"/>
                <w:sz w:val="21"/>
                <w:lang w:eastAsia="zh-CN"/>
              </w:rPr>
            </w:pPr>
            <w:r>
              <w:rPr>
                <w:rFonts w:hint="eastAsia" w:eastAsia="宋体"/>
                <w:kern w:val="2"/>
                <w:sz w:val="21"/>
                <w:lang w:eastAsia="zh-CN"/>
              </w:rPr>
              <w:t>全部满足要求的得</w:t>
            </w:r>
            <w:r>
              <w:rPr>
                <w:rFonts w:eastAsia="宋体"/>
                <w:kern w:val="2"/>
                <w:sz w:val="21"/>
                <w:lang w:eastAsia="zh-CN"/>
              </w:rPr>
              <w:t>100</w:t>
            </w:r>
            <w:r>
              <w:rPr>
                <w:rFonts w:hint="eastAsia" w:eastAsia="宋体"/>
                <w:kern w:val="2"/>
                <w:sz w:val="21"/>
                <w:lang w:eastAsia="zh-CN"/>
              </w:rPr>
              <w:t>分，每负偏离一项扣7.7分，扣完为止。</w:t>
            </w:r>
          </w:p>
        </w:tc>
      </w:tr>
      <w:tr w14:paraId="2D07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Align w:val="center"/>
          </w:tcPr>
          <w:p w14:paraId="6F61B1F9">
            <w:pPr>
              <w:widowControl w:val="0"/>
              <w:jc w:val="center"/>
              <w:rPr>
                <w:rFonts w:eastAsia="宋体"/>
                <w:b/>
                <w:bCs/>
                <w:kern w:val="2"/>
                <w:sz w:val="21"/>
                <w:lang w:eastAsia="zh-CN"/>
              </w:rPr>
            </w:pPr>
            <w:r>
              <w:rPr>
                <w:rFonts w:hint="eastAsia" w:eastAsia="宋体"/>
                <w:b/>
                <w:bCs/>
                <w:kern w:val="2"/>
                <w:sz w:val="21"/>
                <w:lang w:eastAsia="zh-CN"/>
              </w:rPr>
              <w:t>4</w:t>
            </w:r>
          </w:p>
        </w:tc>
        <w:tc>
          <w:tcPr>
            <w:tcW w:w="3692" w:type="dxa"/>
            <w:gridSpan w:val="4"/>
            <w:vAlign w:val="center"/>
          </w:tcPr>
          <w:p w14:paraId="1D2317A6">
            <w:pPr>
              <w:widowControl w:val="0"/>
              <w:jc w:val="center"/>
              <w:rPr>
                <w:rFonts w:eastAsia="宋体"/>
                <w:b/>
                <w:bCs/>
                <w:kern w:val="2"/>
                <w:sz w:val="21"/>
                <w:lang w:eastAsia="zh-CN"/>
              </w:rPr>
            </w:pPr>
            <w:r>
              <w:rPr>
                <w:rFonts w:hint="eastAsia" w:eastAsia="宋体"/>
                <w:b/>
                <w:bCs/>
                <w:kern w:val="2"/>
                <w:sz w:val="21"/>
                <w:lang w:eastAsia="zh-CN"/>
              </w:rPr>
              <w:t>诚信情况</w:t>
            </w:r>
          </w:p>
        </w:tc>
        <w:tc>
          <w:tcPr>
            <w:tcW w:w="4656" w:type="dxa"/>
            <w:vAlign w:val="center"/>
          </w:tcPr>
          <w:p w14:paraId="15314B8F">
            <w:pPr>
              <w:widowControl w:val="0"/>
              <w:jc w:val="center"/>
              <w:rPr>
                <w:rFonts w:eastAsia="宋体"/>
                <w:b/>
                <w:bCs/>
                <w:kern w:val="2"/>
                <w:sz w:val="21"/>
                <w:lang w:eastAsia="zh-CN"/>
              </w:rPr>
            </w:pPr>
            <w:r>
              <w:rPr>
                <w:rFonts w:hint="eastAsia" w:eastAsia="宋体"/>
                <w:b/>
                <w:bCs/>
                <w:kern w:val="2"/>
                <w:sz w:val="21"/>
                <w:lang w:eastAsia="zh-CN"/>
              </w:rPr>
              <w:t>5</w:t>
            </w:r>
          </w:p>
        </w:tc>
      </w:tr>
      <w:tr w14:paraId="6C7B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Merge w:val="restart"/>
            <w:vAlign w:val="center"/>
          </w:tcPr>
          <w:p w14:paraId="7B358C5A">
            <w:pPr>
              <w:widowControl w:val="0"/>
              <w:jc w:val="both"/>
              <w:rPr>
                <w:rFonts w:eastAsia="宋体"/>
                <w:kern w:val="2"/>
                <w:sz w:val="21"/>
                <w:lang w:eastAsia="zh-CN"/>
              </w:rPr>
            </w:pPr>
          </w:p>
        </w:tc>
        <w:tc>
          <w:tcPr>
            <w:tcW w:w="544" w:type="dxa"/>
            <w:vAlign w:val="center"/>
          </w:tcPr>
          <w:p w14:paraId="24C1D783">
            <w:pPr>
              <w:widowControl w:val="0"/>
              <w:jc w:val="center"/>
              <w:rPr>
                <w:rFonts w:eastAsia="宋体"/>
                <w:kern w:val="2"/>
                <w:sz w:val="21"/>
                <w:lang w:eastAsia="zh-CN"/>
              </w:rPr>
            </w:pPr>
            <w:r>
              <w:rPr>
                <w:rFonts w:hint="eastAsia" w:eastAsia="宋体"/>
                <w:kern w:val="2"/>
                <w:sz w:val="21"/>
                <w:lang w:eastAsia="zh-CN"/>
              </w:rPr>
              <w:t>序号</w:t>
            </w:r>
          </w:p>
        </w:tc>
        <w:tc>
          <w:tcPr>
            <w:tcW w:w="1561" w:type="dxa"/>
            <w:vAlign w:val="center"/>
          </w:tcPr>
          <w:p w14:paraId="49AB7B71">
            <w:pPr>
              <w:widowControl w:val="0"/>
              <w:jc w:val="center"/>
              <w:rPr>
                <w:rFonts w:eastAsia="宋体"/>
                <w:kern w:val="2"/>
                <w:sz w:val="21"/>
                <w:lang w:eastAsia="zh-CN"/>
              </w:rPr>
            </w:pPr>
            <w:r>
              <w:rPr>
                <w:rFonts w:hint="eastAsia" w:eastAsia="宋体"/>
                <w:kern w:val="2"/>
                <w:sz w:val="21"/>
                <w:lang w:eastAsia="zh-CN"/>
              </w:rPr>
              <w:t>评审因素</w:t>
            </w:r>
          </w:p>
        </w:tc>
        <w:tc>
          <w:tcPr>
            <w:tcW w:w="882" w:type="dxa"/>
            <w:vAlign w:val="center"/>
          </w:tcPr>
          <w:p w14:paraId="288689F8">
            <w:pPr>
              <w:widowControl w:val="0"/>
              <w:jc w:val="center"/>
              <w:rPr>
                <w:rFonts w:eastAsia="宋体"/>
                <w:kern w:val="2"/>
                <w:sz w:val="21"/>
                <w:lang w:eastAsia="zh-CN"/>
              </w:rPr>
            </w:pPr>
            <w:r>
              <w:rPr>
                <w:rFonts w:hint="eastAsia" w:eastAsia="宋体"/>
                <w:kern w:val="2"/>
                <w:sz w:val="21"/>
                <w:lang w:eastAsia="zh-CN"/>
              </w:rPr>
              <w:t>权重（%）</w:t>
            </w:r>
          </w:p>
        </w:tc>
        <w:tc>
          <w:tcPr>
            <w:tcW w:w="705" w:type="dxa"/>
            <w:vAlign w:val="center"/>
          </w:tcPr>
          <w:p w14:paraId="43E0C68E">
            <w:pPr>
              <w:widowControl w:val="0"/>
              <w:jc w:val="center"/>
              <w:rPr>
                <w:rFonts w:eastAsia="宋体"/>
                <w:kern w:val="2"/>
                <w:sz w:val="21"/>
                <w:lang w:eastAsia="zh-CN"/>
              </w:rPr>
            </w:pPr>
            <w:r>
              <w:rPr>
                <w:rFonts w:hint="eastAsia" w:eastAsia="宋体"/>
                <w:kern w:val="2"/>
                <w:sz w:val="21"/>
                <w:lang w:eastAsia="zh-CN"/>
              </w:rPr>
              <w:t>评分方式</w:t>
            </w:r>
          </w:p>
        </w:tc>
        <w:tc>
          <w:tcPr>
            <w:tcW w:w="4656" w:type="dxa"/>
            <w:vAlign w:val="center"/>
          </w:tcPr>
          <w:p w14:paraId="49915913">
            <w:pPr>
              <w:widowControl w:val="0"/>
              <w:jc w:val="center"/>
              <w:rPr>
                <w:rFonts w:eastAsia="宋体"/>
                <w:kern w:val="2"/>
                <w:sz w:val="21"/>
                <w:lang w:eastAsia="zh-CN"/>
              </w:rPr>
            </w:pPr>
            <w:r>
              <w:rPr>
                <w:rFonts w:hint="eastAsia" w:eastAsia="宋体"/>
                <w:kern w:val="2"/>
                <w:sz w:val="21"/>
                <w:lang w:eastAsia="zh-CN"/>
              </w:rPr>
              <w:t>评分准则</w:t>
            </w:r>
          </w:p>
        </w:tc>
      </w:tr>
      <w:tr w14:paraId="56EC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9" w:type="dxa"/>
            <w:vMerge w:val="continue"/>
            <w:vAlign w:val="center"/>
          </w:tcPr>
          <w:p w14:paraId="37A89BD3">
            <w:pPr>
              <w:widowControl w:val="0"/>
              <w:jc w:val="both"/>
              <w:rPr>
                <w:rFonts w:eastAsia="宋体"/>
                <w:kern w:val="2"/>
                <w:sz w:val="21"/>
                <w:lang w:eastAsia="zh-CN"/>
              </w:rPr>
            </w:pPr>
          </w:p>
        </w:tc>
        <w:tc>
          <w:tcPr>
            <w:tcW w:w="544" w:type="dxa"/>
            <w:vAlign w:val="center"/>
          </w:tcPr>
          <w:p w14:paraId="3B682655">
            <w:pPr>
              <w:widowControl w:val="0"/>
              <w:jc w:val="center"/>
              <w:rPr>
                <w:rFonts w:eastAsia="宋体"/>
                <w:kern w:val="2"/>
                <w:sz w:val="21"/>
                <w:lang w:eastAsia="zh-CN"/>
              </w:rPr>
            </w:pPr>
            <w:r>
              <w:rPr>
                <w:rFonts w:eastAsia="宋体"/>
                <w:kern w:val="2"/>
                <w:sz w:val="21"/>
                <w:lang w:eastAsia="zh-CN"/>
              </w:rPr>
              <w:t>1</w:t>
            </w:r>
          </w:p>
        </w:tc>
        <w:tc>
          <w:tcPr>
            <w:tcW w:w="1561" w:type="dxa"/>
            <w:vAlign w:val="center"/>
          </w:tcPr>
          <w:p w14:paraId="30B36615">
            <w:pPr>
              <w:widowControl w:val="0"/>
              <w:jc w:val="center"/>
              <w:rPr>
                <w:rFonts w:eastAsia="宋体"/>
                <w:kern w:val="2"/>
                <w:sz w:val="21"/>
                <w:lang w:eastAsia="zh-CN"/>
              </w:rPr>
            </w:pPr>
            <w:r>
              <w:rPr>
                <w:rFonts w:hint="eastAsia" w:eastAsia="宋体"/>
                <w:kern w:val="2"/>
                <w:sz w:val="21"/>
                <w:lang w:eastAsia="zh-CN"/>
              </w:rPr>
              <w:t>诚信</w:t>
            </w:r>
          </w:p>
        </w:tc>
        <w:tc>
          <w:tcPr>
            <w:tcW w:w="882" w:type="dxa"/>
            <w:vAlign w:val="center"/>
          </w:tcPr>
          <w:p w14:paraId="72475E0D">
            <w:pPr>
              <w:widowControl w:val="0"/>
              <w:jc w:val="center"/>
              <w:rPr>
                <w:rFonts w:eastAsia="宋体"/>
                <w:kern w:val="2"/>
                <w:sz w:val="21"/>
                <w:lang w:eastAsia="zh-CN"/>
              </w:rPr>
            </w:pPr>
            <w:r>
              <w:rPr>
                <w:rFonts w:hint="eastAsia" w:eastAsia="宋体"/>
                <w:kern w:val="2"/>
                <w:sz w:val="21"/>
                <w:lang w:eastAsia="zh-CN"/>
              </w:rPr>
              <w:t>5</w:t>
            </w:r>
          </w:p>
        </w:tc>
        <w:tc>
          <w:tcPr>
            <w:tcW w:w="705" w:type="dxa"/>
            <w:vAlign w:val="center"/>
          </w:tcPr>
          <w:p w14:paraId="0E977960">
            <w:pPr>
              <w:widowControl w:val="0"/>
              <w:jc w:val="center"/>
              <w:rPr>
                <w:rFonts w:eastAsia="宋体"/>
                <w:kern w:val="2"/>
                <w:sz w:val="21"/>
                <w:lang w:eastAsia="zh-CN"/>
              </w:rPr>
            </w:pPr>
            <w:r>
              <w:rPr>
                <w:rFonts w:hint="eastAsia" w:eastAsia="宋体"/>
                <w:kern w:val="2"/>
                <w:sz w:val="21"/>
                <w:lang w:eastAsia="zh-CN"/>
              </w:rPr>
              <w:t>专家评分</w:t>
            </w:r>
          </w:p>
        </w:tc>
        <w:tc>
          <w:tcPr>
            <w:tcW w:w="4656" w:type="dxa"/>
          </w:tcPr>
          <w:p w14:paraId="7F481071">
            <w:pPr>
              <w:widowControl w:val="0"/>
              <w:jc w:val="left"/>
              <w:rPr>
                <w:rFonts w:eastAsia="宋体"/>
                <w:kern w:val="2"/>
                <w:sz w:val="21"/>
                <w:lang w:eastAsia="zh-CN"/>
              </w:rPr>
            </w:pPr>
            <w:r>
              <w:rPr>
                <w:rFonts w:hint="eastAsia" w:eastAsia="宋体"/>
                <w:kern w:val="2"/>
                <w:sz w:val="21"/>
                <w:lang w:eastAsia="zh-CN"/>
              </w:rPr>
              <w:t>（一）评分内容：</w:t>
            </w:r>
          </w:p>
          <w:p w14:paraId="6C0D1E15">
            <w:pPr>
              <w:widowControl w:val="0"/>
              <w:jc w:val="left"/>
              <w:rPr>
                <w:rFonts w:eastAsia="宋体"/>
                <w:kern w:val="2"/>
                <w:sz w:val="21"/>
                <w:lang w:eastAsia="zh-CN"/>
              </w:rPr>
            </w:pPr>
            <w:r>
              <w:rPr>
                <w:rFonts w:hint="eastAsia" w:eastAsia="宋体"/>
                <w:kern w:val="2"/>
                <w:sz w:val="21"/>
                <w:lang w:eastAsia="zh-CN"/>
              </w:rPr>
              <w:t>供应商存在《深圳市财政局政府采购供应商信用信息管理办法》（深财规〔2023〕3号）列明的一般行政处罚信息、一般违法失信记录信息的，本项不得分，不存在上述情形的本项得100分。供应商无需提供任何证明材料，评标过程中由工作人员向评审委员会提供有关供应商诚信查询结果。</w:t>
            </w:r>
          </w:p>
          <w:p w14:paraId="5A108877">
            <w:pPr>
              <w:widowControl w:val="0"/>
              <w:jc w:val="left"/>
              <w:rPr>
                <w:rFonts w:eastAsia="宋体"/>
                <w:kern w:val="2"/>
                <w:sz w:val="21"/>
                <w:lang w:eastAsia="zh-CN"/>
              </w:rPr>
            </w:pPr>
            <w:r>
              <w:rPr>
                <w:rFonts w:hint="eastAsia" w:eastAsia="宋体"/>
                <w:kern w:val="2"/>
                <w:sz w:val="21"/>
                <w:lang w:eastAsia="zh-CN"/>
              </w:rPr>
              <w:t>（二）评分依据：</w:t>
            </w:r>
          </w:p>
          <w:p w14:paraId="31480AAB">
            <w:pPr>
              <w:widowControl w:val="0"/>
              <w:jc w:val="left"/>
              <w:rPr>
                <w:rFonts w:eastAsia="宋体"/>
                <w:kern w:val="2"/>
                <w:sz w:val="21"/>
                <w:lang w:eastAsia="zh-CN"/>
              </w:rPr>
            </w:pPr>
            <w:r>
              <w:rPr>
                <w:rFonts w:hint="eastAsia" w:eastAsia="宋体"/>
                <w:kern w:val="2"/>
                <w:sz w:val="21"/>
                <w:lang w:eastAsia="zh-CN"/>
              </w:rPr>
              <w:t>查询渠道：通过“信用中国”（www.creditchina.gov.cn，下载信用信息报告）、“中国政府采购网”（www.ccgp.gov.cn）以及“深圳市政府采购监管网”（http://zfcg.sz.gov.cn）查询供应商信用信息，信用信息以开标当日的查询结果为准。</w:t>
            </w:r>
          </w:p>
        </w:tc>
      </w:tr>
      <w:tr w14:paraId="5CA7E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Align w:val="center"/>
          </w:tcPr>
          <w:p w14:paraId="4DCD6247">
            <w:pPr>
              <w:widowControl w:val="0"/>
              <w:jc w:val="center"/>
              <w:rPr>
                <w:rFonts w:eastAsia="宋体"/>
                <w:b/>
                <w:bCs/>
                <w:kern w:val="2"/>
                <w:sz w:val="21"/>
                <w:lang w:eastAsia="zh-CN"/>
              </w:rPr>
            </w:pPr>
            <w:r>
              <w:rPr>
                <w:rFonts w:hint="eastAsia" w:eastAsia="宋体"/>
                <w:b/>
                <w:bCs/>
                <w:kern w:val="2"/>
                <w:sz w:val="21"/>
                <w:lang w:eastAsia="zh-CN"/>
              </w:rPr>
              <w:t>5</w:t>
            </w:r>
          </w:p>
        </w:tc>
        <w:tc>
          <w:tcPr>
            <w:tcW w:w="3692" w:type="dxa"/>
            <w:gridSpan w:val="4"/>
            <w:vAlign w:val="center"/>
          </w:tcPr>
          <w:p w14:paraId="4D877C9F">
            <w:pPr>
              <w:widowControl w:val="0"/>
              <w:jc w:val="center"/>
              <w:rPr>
                <w:rFonts w:eastAsia="宋体"/>
                <w:b/>
                <w:bCs/>
                <w:kern w:val="2"/>
                <w:sz w:val="21"/>
                <w:lang w:eastAsia="zh-CN"/>
              </w:rPr>
            </w:pPr>
            <w:r>
              <w:rPr>
                <w:rFonts w:hint="eastAsia" w:eastAsia="宋体"/>
                <w:b/>
                <w:bCs/>
                <w:kern w:val="2"/>
                <w:sz w:val="21"/>
                <w:lang w:eastAsia="zh-CN"/>
              </w:rPr>
              <w:t>综合实力</w:t>
            </w:r>
          </w:p>
        </w:tc>
        <w:tc>
          <w:tcPr>
            <w:tcW w:w="4656" w:type="dxa"/>
            <w:vAlign w:val="center"/>
          </w:tcPr>
          <w:p w14:paraId="07B790FA">
            <w:pPr>
              <w:widowControl w:val="0"/>
              <w:jc w:val="center"/>
              <w:rPr>
                <w:rFonts w:eastAsia="宋体"/>
                <w:b/>
                <w:bCs/>
                <w:kern w:val="2"/>
                <w:sz w:val="21"/>
                <w:lang w:eastAsia="zh-CN"/>
              </w:rPr>
            </w:pPr>
            <w:r>
              <w:rPr>
                <w:rFonts w:eastAsia="宋体"/>
                <w:b/>
                <w:bCs/>
                <w:kern w:val="2"/>
                <w:sz w:val="21"/>
                <w:lang w:eastAsia="zh-CN"/>
              </w:rPr>
              <w:t>10</w:t>
            </w:r>
          </w:p>
        </w:tc>
      </w:tr>
      <w:tr w14:paraId="010F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Merge w:val="restart"/>
            <w:vAlign w:val="center"/>
          </w:tcPr>
          <w:p w14:paraId="2DE9672D">
            <w:pPr>
              <w:widowControl w:val="0"/>
              <w:jc w:val="both"/>
              <w:rPr>
                <w:rFonts w:eastAsia="宋体"/>
                <w:kern w:val="2"/>
                <w:sz w:val="21"/>
                <w:lang w:eastAsia="zh-CN"/>
              </w:rPr>
            </w:pPr>
          </w:p>
        </w:tc>
        <w:tc>
          <w:tcPr>
            <w:tcW w:w="544" w:type="dxa"/>
            <w:vAlign w:val="center"/>
          </w:tcPr>
          <w:p w14:paraId="1BE2883E">
            <w:pPr>
              <w:widowControl w:val="0"/>
              <w:jc w:val="center"/>
              <w:rPr>
                <w:rFonts w:eastAsia="宋体"/>
                <w:kern w:val="2"/>
                <w:sz w:val="21"/>
                <w:lang w:eastAsia="zh-CN"/>
              </w:rPr>
            </w:pPr>
            <w:r>
              <w:rPr>
                <w:rFonts w:hint="eastAsia" w:eastAsia="宋体"/>
                <w:kern w:val="2"/>
                <w:sz w:val="21"/>
                <w:lang w:eastAsia="zh-CN"/>
              </w:rPr>
              <w:t>序号</w:t>
            </w:r>
          </w:p>
        </w:tc>
        <w:tc>
          <w:tcPr>
            <w:tcW w:w="1561" w:type="dxa"/>
            <w:vAlign w:val="center"/>
          </w:tcPr>
          <w:p w14:paraId="3BC56EAD">
            <w:pPr>
              <w:widowControl w:val="0"/>
              <w:jc w:val="center"/>
              <w:rPr>
                <w:rFonts w:eastAsia="宋体"/>
                <w:kern w:val="2"/>
                <w:sz w:val="21"/>
                <w:lang w:eastAsia="zh-CN"/>
              </w:rPr>
            </w:pPr>
            <w:r>
              <w:rPr>
                <w:rFonts w:hint="eastAsia" w:eastAsia="宋体"/>
                <w:kern w:val="2"/>
                <w:sz w:val="21"/>
                <w:lang w:eastAsia="zh-CN"/>
              </w:rPr>
              <w:t>评审因素</w:t>
            </w:r>
          </w:p>
        </w:tc>
        <w:tc>
          <w:tcPr>
            <w:tcW w:w="882" w:type="dxa"/>
            <w:vAlign w:val="center"/>
          </w:tcPr>
          <w:p w14:paraId="46606032">
            <w:pPr>
              <w:widowControl w:val="0"/>
              <w:jc w:val="center"/>
              <w:rPr>
                <w:rFonts w:eastAsia="宋体"/>
                <w:kern w:val="2"/>
                <w:sz w:val="21"/>
                <w:lang w:eastAsia="zh-CN"/>
              </w:rPr>
            </w:pPr>
            <w:r>
              <w:rPr>
                <w:rFonts w:hint="eastAsia" w:eastAsia="宋体"/>
                <w:kern w:val="2"/>
                <w:sz w:val="21"/>
                <w:lang w:eastAsia="zh-CN"/>
              </w:rPr>
              <w:t>权重（%）</w:t>
            </w:r>
          </w:p>
        </w:tc>
        <w:tc>
          <w:tcPr>
            <w:tcW w:w="705" w:type="dxa"/>
            <w:vAlign w:val="center"/>
          </w:tcPr>
          <w:p w14:paraId="74406494">
            <w:pPr>
              <w:widowControl w:val="0"/>
              <w:jc w:val="center"/>
              <w:rPr>
                <w:rFonts w:eastAsia="宋体"/>
                <w:kern w:val="2"/>
                <w:sz w:val="21"/>
                <w:lang w:eastAsia="zh-CN"/>
              </w:rPr>
            </w:pPr>
            <w:r>
              <w:rPr>
                <w:rFonts w:hint="eastAsia" w:eastAsia="宋体"/>
                <w:kern w:val="2"/>
                <w:sz w:val="21"/>
                <w:lang w:eastAsia="zh-CN"/>
              </w:rPr>
              <w:t>评分方式</w:t>
            </w:r>
          </w:p>
        </w:tc>
        <w:tc>
          <w:tcPr>
            <w:tcW w:w="4656" w:type="dxa"/>
            <w:vAlign w:val="center"/>
          </w:tcPr>
          <w:p w14:paraId="41E77932">
            <w:pPr>
              <w:widowControl w:val="0"/>
              <w:jc w:val="center"/>
              <w:rPr>
                <w:rFonts w:eastAsia="宋体"/>
                <w:kern w:val="2"/>
                <w:sz w:val="21"/>
                <w:lang w:eastAsia="zh-CN"/>
              </w:rPr>
            </w:pPr>
            <w:r>
              <w:rPr>
                <w:rFonts w:hint="eastAsia" w:eastAsia="宋体"/>
                <w:kern w:val="2"/>
                <w:sz w:val="21"/>
                <w:lang w:eastAsia="zh-CN"/>
              </w:rPr>
              <w:t>评分准则</w:t>
            </w:r>
          </w:p>
        </w:tc>
      </w:tr>
      <w:tr w14:paraId="18FE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29" w:type="dxa"/>
            <w:vMerge w:val="continue"/>
            <w:vAlign w:val="center"/>
          </w:tcPr>
          <w:p w14:paraId="18812AC8">
            <w:pPr>
              <w:widowControl w:val="0"/>
              <w:jc w:val="both"/>
              <w:rPr>
                <w:rFonts w:eastAsia="宋体"/>
                <w:kern w:val="2"/>
                <w:sz w:val="21"/>
                <w:lang w:eastAsia="zh-CN"/>
              </w:rPr>
            </w:pPr>
          </w:p>
        </w:tc>
        <w:tc>
          <w:tcPr>
            <w:tcW w:w="544" w:type="dxa"/>
            <w:vAlign w:val="center"/>
          </w:tcPr>
          <w:p w14:paraId="096260D0">
            <w:pPr>
              <w:widowControl w:val="0"/>
              <w:jc w:val="center"/>
              <w:rPr>
                <w:rFonts w:eastAsia="宋体"/>
                <w:kern w:val="2"/>
                <w:sz w:val="21"/>
                <w:lang w:eastAsia="zh-CN"/>
              </w:rPr>
            </w:pPr>
            <w:r>
              <w:rPr>
                <w:rFonts w:hint="eastAsia" w:eastAsia="宋体"/>
                <w:kern w:val="2"/>
                <w:sz w:val="21"/>
                <w:lang w:eastAsia="zh-CN"/>
              </w:rPr>
              <w:t>1</w:t>
            </w:r>
          </w:p>
        </w:tc>
        <w:tc>
          <w:tcPr>
            <w:tcW w:w="1561" w:type="dxa"/>
            <w:vAlign w:val="center"/>
          </w:tcPr>
          <w:p w14:paraId="36A0002F">
            <w:pPr>
              <w:widowControl w:val="0"/>
              <w:jc w:val="center"/>
              <w:rPr>
                <w:rFonts w:eastAsia="宋体"/>
                <w:kern w:val="2"/>
                <w:sz w:val="21"/>
                <w:lang w:eastAsia="zh-CN"/>
              </w:rPr>
            </w:pPr>
            <w:r>
              <w:rPr>
                <w:rFonts w:hint="eastAsia" w:eastAsia="宋体"/>
                <w:kern w:val="2"/>
                <w:sz w:val="21"/>
                <w:lang w:eastAsia="zh-CN"/>
              </w:rPr>
              <w:t>投标人认证情况</w:t>
            </w:r>
          </w:p>
        </w:tc>
        <w:tc>
          <w:tcPr>
            <w:tcW w:w="882" w:type="dxa"/>
            <w:vAlign w:val="center"/>
          </w:tcPr>
          <w:p w14:paraId="763A4DEB">
            <w:pPr>
              <w:widowControl w:val="0"/>
              <w:jc w:val="center"/>
              <w:rPr>
                <w:rFonts w:eastAsia="宋体"/>
                <w:kern w:val="2"/>
                <w:sz w:val="21"/>
                <w:lang w:eastAsia="zh-CN"/>
              </w:rPr>
            </w:pPr>
            <w:r>
              <w:rPr>
                <w:rFonts w:eastAsia="宋体"/>
                <w:kern w:val="2"/>
                <w:sz w:val="21"/>
                <w:lang w:eastAsia="zh-CN"/>
              </w:rPr>
              <w:t>6</w:t>
            </w:r>
          </w:p>
        </w:tc>
        <w:tc>
          <w:tcPr>
            <w:tcW w:w="705" w:type="dxa"/>
            <w:vAlign w:val="center"/>
          </w:tcPr>
          <w:p w14:paraId="00D9053E">
            <w:pPr>
              <w:widowControl w:val="0"/>
              <w:jc w:val="center"/>
              <w:rPr>
                <w:rFonts w:eastAsia="宋体"/>
                <w:kern w:val="2"/>
                <w:sz w:val="21"/>
                <w:lang w:eastAsia="zh-CN"/>
              </w:rPr>
            </w:pPr>
            <w:r>
              <w:rPr>
                <w:rFonts w:hint="eastAsia" w:eastAsia="宋体"/>
                <w:kern w:val="2"/>
                <w:sz w:val="21"/>
                <w:lang w:eastAsia="zh-CN"/>
              </w:rPr>
              <w:t>专家打分</w:t>
            </w:r>
          </w:p>
        </w:tc>
        <w:tc>
          <w:tcPr>
            <w:tcW w:w="4656" w:type="dxa"/>
          </w:tcPr>
          <w:p w14:paraId="367C3C91">
            <w:pPr>
              <w:widowControl w:val="0"/>
              <w:spacing w:line="240" w:lineRule="exact"/>
              <w:jc w:val="both"/>
              <w:rPr>
                <w:rFonts w:eastAsia="宋体"/>
                <w:kern w:val="2"/>
                <w:sz w:val="21"/>
                <w:lang w:eastAsia="zh-CN"/>
              </w:rPr>
            </w:pPr>
            <w:r>
              <w:rPr>
                <w:rFonts w:hint="eastAsia" w:eastAsia="宋体"/>
                <w:kern w:val="2"/>
                <w:sz w:val="21"/>
                <w:lang w:eastAsia="zh-CN"/>
              </w:rPr>
              <w:t>（一）评分内容：</w:t>
            </w:r>
          </w:p>
          <w:p w14:paraId="3313C2F0">
            <w:pPr>
              <w:widowControl w:val="0"/>
              <w:spacing w:line="240" w:lineRule="exact"/>
              <w:jc w:val="both"/>
              <w:rPr>
                <w:rFonts w:eastAsia="宋体"/>
                <w:kern w:val="2"/>
                <w:sz w:val="21"/>
                <w:lang w:eastAsia="zh-CN"/>
              </w:rPr>
            </w:pPr>
            <w:r>
              <w:rPr>
                <w:rFonts w:hint="eastAsia" w:eastAsia="宋体"/>
                <w:kern w:val="2"/>
                <w:sz w:val="21"/>
                <w:lang w:eastAsia="zh-CN"/>
              </w:rPr>
              <w:t>1.投标人具有</w:t>
            </w:r>
            <w:r>
              <w:rPr>
                <w:rFonts w:eastAsia="宋体"/>
                <w:kern w:val="2"/>
                <w:sz w:val="21"/>
                <w:lang w:eastAsia="zh-CN"/>
              </w:rPr>
              <w:t>ISO9001</w:t>
            </w:r>
            <w:r>
              <w:rPr>
                <w:rFonts w:hint="eastAsia" w:eastAsia="宋体"/>
                <w:kern w:val="2"/>
                <w:sz w:val="21"/>
                <w:lang w:eastAsia="zh-CN"/>
              </w:rPr>
              <w:t>质量管理体系认证证书、</w:t>
            </w:r>
            <w:r>
              <w:rPr>
                <w:rFonts w:eastAsia="宋体"/>
                <w:kern w:val="2"/>
                <w:sz w:val="21"/>
                <w:lang w:eastAsia="zh-CN"/>
              </w:rPr>
              <w:t>ISO14001</w:t>
            </w:r>
            <w:r>
              <w:rPr>
                <w:rFonts w:hint="eastAsia" w:eastAsia="宋体"/>
                <w:kern w:val="2"/>
                <w:sz w:val="21"/>
                <w:lang w:eastAsia="zh-CN"/>
              </w:rPr>
              <w:t>环境管理体系认证证书、</w:t>
            </w:r>
            <w:r>
              <w:rPr>
                <w:rFonts w:eastAsia="宋体"/>
                <w:kern w:val="2"/>
                <w:sz w:val="21"/>
                <w:lang w:eastAsia="zh-CN"/>
              </w:rPr>
              <w:t>ISO45001</w:t>
            </w:r>
            <w:r>
              <w:rPr>
                <w:rFonts w:hint="eastAsia" w:eastAsia="宋体"/>
                <w:kern w:val="2"/>
                <w:sz w:val="21"/>
                <w:lang w:eastAsia="zh-CN"/>
              </w:rPr>
              <w:t>职业健康安全管理体系认证证书，每提供1项证书得</w:t>
            </w:r>
            <w:r>
              <w:rPr>
                <w:rFonts w:eastAsia="宋体"/>
                <w:kern w:val="2"/>
                <w:sz w:val="21"/>
                <w:lang w:eastAsia="zh-CN"/>
              </w:rPr>
              <w:t>10</w:t>
            </w:r>
            <w:r>
              <w:rPr>
                <w:rFonts w:hint="eastAsia" w:eastAsia="宋体"/>
                <w:kern w:val="2"/>
                <w:sz w:val="21"/>
                <w:lang w:eastAsia="zh-CN"/>
              </w:rPr>
              <w:t>分，最高得</w:t>
            </w:r>
            <w:r>
              <w:rPr>
                <w:rFonts w:eastAsia="宋体"/>
                <w:kern w:val="2"/>
                <w:sz w:val="21"/>
                <w:lang w:eastAsia="zh-CN"/>
              </w:rPr>
              <w:t>30</w:t>
            </w:r>
            <w:r>
              <w:rPr>
                <w:rFonts w:hint="eastAsia" w:eastAsia="宋体"/>
                <w:kern w:val="2"/>
                <w:sz w:val="21"/>
                <w:lang w:eastAsia="zh-CN"/>
              </w:rPr>
              <w:t>分。</w:t>
            </w:r>
          </w:p>
          <w:p w14:paraId="7E90C168">
            <w:pPr>
              <w:widowControl w:val="0"/>
              <w:spacing w:line="240" w:lineRule="exact"/>
              <w:jc w:val="both"/>
              <w:rPr>
                <w:rFonts w:eastAsia="宋体"/>
                <w:kern w:val="2"/>
                <w:sz w:val="21"/>
                <w:lang w:eastAsia="zh-CN"/>
              </w:rPr>
            </w:pPr>
            <w:r>
              <w:rPr>
                <w:rFonts w:hint="eastAsia" w:eastAsia="宋体"/>
                <w:kern w:val="2"/>
                <w:sz w:val="21"/>
                <w:lang w:eastAsia="zh-CN"/>
              </w:rPr>
              <w:t>2.投标人具有中国环境标志产品认证证书，得</w:t>
            </w:r>
            <w:r>
              <w:rPr>
                <w:rFonts w:eastAsia="宋体"/>
                <w:kern w:val="2"/>
                <w:sz w:val="21"/>
                <w:lang w:eastAsia="zh-CN"/>
              </w:rPr>
              <w:t>30</w:t>
            </w:r>
            <w:r>
              <w:rPr>
                <w:rFonts w:hint="eastAsia" w:eastAsia="宋体"/>
                <w:kern w:val="2"/>
                <w:sz w:val="21"/>
                <w:lang w:eastAsia="zh-CN"/>
              </w:rPr>
              <w:t>分。</w:t>
            </w:r>
          </w:p>
          <w:p w14:paraId="07B04582">
            <w:pPr>
              <w:widowControl w:val="0"/>
              <w:spacing w:line="240" w:lineRule="exact"/>
              <w:jc w:val="both"/>
              <w:rPr>
                <w:rFonts w:eastAsia="宋体"/>
                <w:kern w:val="2"/>
                <w:sz w:val="21"/>
                <w:lang w:eastAsia="zh-CN"/>
              </w:rPr>
            </w:pPr>
            <w:r>
              <w:rPr>
                <w:rFonts w:eastAsia="宋体"/>
                <w:kern w:val="2"/>
                <w:sz w:val="21"/>
                <w:lang w:eastAsia="zh-CN"/>
              </w:rPr>
              <w:t>3</w:t>
            </w:r>
            <w:r>
              <w:rPr>
                <w:rFonts w:hint="eastAsia" w:eastAsia="宋体"/>
                <w:kern w:val="2"/>
                <w:sz w:val="21"/>
                <w:lang w:eastAsia="zh-CN"/>
              </w:rPr>
              <w:t>.投标人具有</w:t>
            </w:r>
            <w:bookmarkStart w:id="0" w:name="OLE_LINK2"/>
            <w:r>
              <w:rPr>
                <w:rFonts w:hint="eastAsia" w:eastAsia="宋体"/>
                <w:kern w:val="2"/>
                <w:sz w:val="21"/>
                <w:lang w:eastAsia="zh-CN"/>
              </w:rPr>
              <w:t>中国环保产品认证证书</w:t>
            </w:r>
            <w:bookmarkEnd w:id="0"/>
            <w:r>
              <w:rPr>
                <w:rFonts w:hint="eastAsia" w:eastAsia="宋体"/>
                <w:kern w:val="2"/>
                <w:sz w:val="21"/>
                <w:lang w:eastAsia="zh-CN"/>
              </w:rPr>
              <w:t>，得</w:t>
            </w:r>
            <w:r>
              <w:rPr>
                <w:rFonts w:eastAsia="宋体"/>
                <w:kern w:val="2"/>
                <w:sz w:val="21"/>
                <w:lang w:eastAsia="zh-CN"/>
              </w:rPr>
              <w:t>20</w:t>
            </w:r>
            <w:r>
              <w:rPr>
                <w:rFonts w:hint="eastAsia" w:eastAsia="宋体"/>
                <w:kern w:val="2"/>
                <w:sz w:val="21"/>
                <w:lang w:eastAsia="zh-CN"/>
              </w:rPr>
              <w:t>分。</w:t>
            </w:r>
          </w:p>
          <w:p w14:paraId="6F1C998B">
            <w:pPr>
              <w:widowControl w:val="0"/>
              <w:spacing w:line="240" w:lineRule="exact"/>
              <w:jc w:val="both"/>
              <w:rPr>
                <w:rFonts w:eastAsia="宋体"/>
                <w:kern w:val="2"/>
                <w:sz w:val="21"/>
                <w:lang w:eastAsia="zh-CN"/>
              </w:rPr>
            </w:pPr>
            <w:r>
              <w:rPr>
                <w:rFonts w:eastAsia="宋体"/>
                <w:kern w:val="2"/>
                <w:sz w:val="21"/>
                <w:lang w:eastAsia="zh-CN"/>
              </w:rPr>
              <w:t>4</w:t>
            </w:r>
            <w:r>
              <w:rPr>
                <w:rFonts w:hint="eastAsia" w:eastAsia="宋体"/>
                <w:kern w:val="2"/>
                <w:sz w:val="21"/>
                <w:lang w:eastAsia="zh-CN"/>
              </w:rPr>
              <w:t>.投标人具有</w:t>
            </w:r>
            <w:bookmarkStart w:id="1" w:name="OLE_LINK4"/>
            <w:r>
              <w:rPr>
                <w:rFonts w:eastAsia="宋体"/>
                <w:kern w:val="2"/>
                <w:sz w:val="21"/>
                <w:lang w:eastAsia="zh-CN"/>
              </w:rPr>
              <w:t>人类工效学产品认证证书</w:t>
            </w:r>
            <w:bookmarkEnd w:id="1"/>
            <w:r>
              <w:rPr>
                <w:rFonts w:hint="eastAsia" w:eastAsia="宋体"/>
                <w:kern w:val="2"/>
                <w:sz w:val="21"/>
                <w:lang w:eastAsia="zh-CN"/>
              </w:rPr>
              <w:t>，得</w:t>
            </w:r>
            <w:r>
              <w:rPr>
                <w:rFonts w:eastAsia="宋体"/>
                <w:kern w:val="2"/>
                <w:sz w:val="21"/>
                <w:lang w:eastAsia="zh-CN"/>
              </w:rPr>
              <w:t>20</w:t>
            </w:r>
            <w:r>
              <w:rPr>
                <w:rFonts w:hint="eastAsia" w:eastAsia="宋体"/>
                <w:kern w:val="2"/>
                <w:sz w:val="21"/>
                <w:lang w:eastAsia="zh-CN"/>
              </w:rPr>
              <w:t>分。</w:t>
            </w:r>
          </w:p>
          <w:p w14:paraId="5B251FC4">
            <w:pPr>
              <w:widowControl w:val="0"/>
              <w:spacing w:line="240" w:lineRule="exact"/>
              <w:jc w:val="both"/>
              <w:rPr>
                <w:rFonts w:eastAsia="宋体"/>
                <w:kern w:val="2"/>
                <w:sz w:val="21"/>
                <w:lang w:eastAsia="zh-CN"/>
              </w:rPr>
            </w:pPr>
            <w:r>
              <w:rPr>
                <w:rFonts w:hint="eastAsia" w:eastAsia="宋体"/>
                <w:kern w:val="2"/>
                <w:sz w:val="21"/>
                <w:lang w:eastAsia="zh-CN"/>
              </w:rPr>
              <w:t>以上</w:t>
            </w:r>
            <w:r>
              <w:rPr>
                <w:rFonts w:eastAsia="宋体"/>
                <w:kern w:val="2"/>
                <w:sz w:val="21"/>
                <w:lang w:eastAsia="zh-CN"/>
              </w:rPr>
              <w:t>5</w:t>
            </w:r>
            <w:r>
              <w:rPr>
                <w:rFonts w:hint="eastAsia" w:eastAsia="宋体"/>
                <w:kern w:val="2"/>
                <w:sz w:val="21"/>
                <w:lang w:eastAsia="zh-CN"/>
              </w:rPr>
              <w:t>项累计得分，满分1</w:t>
            </w:r>
            <w:r>
              <w:rPr>
                <w:rFonts w:eastAsia="宋体"/>
                <w:kern w:val="2"/>
                <w:sz w:val="21"/>
                <w:lang w:eastAsia="zh-CN"/>
              </w:rPr>
              <w:t>00</w:t>
            </w:r>
            <w:r>
              <w:rPr>
                <w:rFonts w:hint="eastAsia" w:eastAsia="宋体"/>
                <w:kern w:val="2"/>
                <w:sz w:val="21"/>
                <w:lang w:eastAsia="zh-CN"/>
              </w:rPr>
              <w:t>分。提供的证书不满足要求或未提供不得分。</w:t>
            </w:r>
          </w:p>
          <w:p w14:paraId="14A4E13B">
            <w:pPr>
              <w:widowControl w:val="0"/>
              <w:spacing w:line="240" w:lineRule="exact"/>
              <w:jc w:val="both"/>
              <w:rPr>
                <w:rFonts w:eastAsia="宋体"/>
                <w:kern w:val="2"/>
                <w:sz w:val="21"/>
                <w:lang w:eastAsia="zh-CN"/>
              </w:rPr>
            </w:pPr>
            <w:r>
              <w:rPr>
                <w:rFonts w:hint="eastAsia" w:eastAsia="宋体"/>
                <w:kern w:val="2"/>
                <w:sz w:val="21"/>
                <w:lang w:eastAsia="zh-CN"/>
              </w:rPr>
              <w:t>（二）评分依据：</w:t>
            </w:r>
          </w:p>
          <w:p w14:paraId="502BB81C">
            <w:pPr>
              <w:widowControl w:val="0"/>
              <w:spacing w:line="240" w:lineRule="exact"/>
              <w:jc w:val="both"/>
              <w:rPr>
                <w:rFonts w:eastAsia="宋体"/>
                <w:kern w:val="2"/>
                <w:sz w:val="21"/>
                <w:lang w:eastAsia="zh-CN"/>
              </w:rPr>
            </w:pPr>
            <w:r>
              <w:rPr>
                <w:rFonts w:hint="eastAsia" w:eastAsia="宋体"/>
                <w:kern w:val="2"/>
                <w:sz w:val="21"/>
                <w:lang w:eastAsia="zh-CN"/>
              </w:rPr>
              <w:t>1.提供有效期内的认证证书及相关证书在全国认证认可信息公共服务平台官网（http://cx.cnca.cn/）查询为有效的截图作为证明材料。</w:t>
            </w:r>
          </w:p>
          <w:p w14:paraId="39A6F5FC">
            <w:pPr>
              <w:widowControl w:val="0"/>
              <w:spacing w:line="240" w:lineRule="exact"/>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.如认证证书注明年审（即年度监督审核）要求的，按规定年审且证书在有效期内的方为有效，证明材料须体现证书已年审（年度监督审核）的相关信息；如未注明年审要求的，证书在有效期内的方为有效。</w:t>
            </w:r>
          </w:p>
          <w:p w14:paraId="7CAAB479">
            <w:pPr>
              <w:widowControl w:val="0"/>
              <w:spacing w:line="240" w:lineRule="exact"/>
              <w:jc w:val="both"/>
              <w:rPr>
                <w:rFonts w:eastAsia="宋体"/>
                <w:kern w:val="2"/>
                <w:sz w:val="21"/>
                <w:lang w:eastAsia="zh-CN"/>
              </w:rPr>
            </w:pPr>
            <w:r>
              <w:rPr>
                <w:rFonts w:hint="eastAsia" w:eastAsia="宋体"/>
                <w:kern w:val="2"/>
                <w:sz w:val="21"/>
                <w:lang w:eastAsia="zh-CN"/>
              </w:rPr>
              <w:t>3.评分中出现无证明资料或专家无法凭所提供资料判断是否得分的情况，一律作不得分处理。</w:t>
            </w:r>
          </w:p>
        </w:tc>
      </w:tr>
      <w:tr w14:paraId="2911C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29" w:type="dxa"/>
            <w:vMerge w:val="continue"/>
            <w:vAlign w:val="center"/>
          </w:tcPr>
          <w:p w14:paraId="3F3AC573">
            <w:pPr>
              <w:widowControl w:val="0"/>
              <w:jc w:val="both"/>
              <w:rPr>
                <w:rFonts w:eastAsia="宋体"/>
                <w:kern w:val="2"/>
                <w:sz w:val="21"/>
                <w:lang w:eastAsia="zh-CN"/>
              </w:rPr>
            </w:pPr>
          </w:p>
        </w:tc>
        <w:tc>
          <w:tcPr>
            <w:tcW w:w="544" w:type="dxa"/>
            <w:vAlign w:val="center"/>
          </w:tcPr>
          <w:p w14:paraId="53AE5D1F">
            <w:pPr>
              <w:widowControl w:val="0"/>
              <w:jc w:val="center"/>
              <w:rPr>
                <w:rFonts w:eastAsia="宋体"/>
                <w:kern w:val="2"/>
                <w:sz w:val="21"/>
                <w:lang w:eastAsia="zh-CN"/>
              </w:rPr>
            </w:pPr>
            <w:r>
              <w:rPr>
                <w:rFonts w:hint="eastAsia" w:eastAsia="宋体"/>
                <w:kern w:val="2"/>
                <w:sz w:val="21"/>
                <w:lang w:eastAsia="zh-CN"/>
              </w:rPr>
              <w:t>2</w:t>
            </w:r>
          </w:p>
        </w:tc>
        <w:tc>
          <w:tcPr>
            <w:tcW w:w="1561" w:type="dxa"/>
            <w:vAlign w:val="center"/>
          </w:tcPr>
          <w:p w14:paraId="7A3DA2F2">
            <w:pPr>
              <w:widowControl w:val="0"/>
              <w:jc w:val="center"/>
              <w:rPr>
                <w:rFonts w:eastAsia="宋体"/>
                <w:kern w:val="2"/>
                <w:sz w:val="21"/>
                <w:lang w:eastAsia="zh-CN"/>
              </w:rPr>
            </w:pPr>
            <w:bookmarkStart w:id="2" w:name="OLE_LINK5"/>
            <w:r>
              <w:rPr>
                <w:rFonts w:hint="eastAsia" w:eastAsia="宋体"/>
                <w:kern w:val="2"/>
                <w:sz w:val="21"/>
                <w:lang w:eastAsia="zh-CN"/>
              </w:rPr>
              <w:t>投标人同类业绩</w:t>
            </w:r>
            <w:bookmarkEnd w:id="2"/>
          </w:p>
        </w:tc>
        <w:tc>
          <w:tcPr>
            <w:tcW w:w="882" w:type="dxa"/>
            <w:vAlign w:val="center"/>
          </w:tcPr>
          <w:p w14:paraId="47333103">
            <w:pPr>
              <w:widowControl w:val="0"/>
              <w:jc w:val="center"/>
              <w:rPr>
                <w:rFonts w:eastAsia="宋体"/>
                <w:kern w:val="2"/>
                <w:sz w:val="21"/>
                <w:lang w:eastAsia="zh-CN"/>
              </w:rPr>
            </w:pPr>
            <w:r>
              <w:rPr>
                <w:rFonts w:eastAsia="宋体"/>
                <w:kern w:val="2"/>
                <w:sz w:val="21"/>
                <w:lang w:eastAsia="zh-CN"/>
              </w:rPr>
              <w:t>4</w:t>
            </w:r>
          </w:p>
        </w:tc>
        <w:tc>
          <w:tcPr>
            <w:tcW w:w="705" w:type="dxa"/>
            <w:vAlign w:val="center"/>
          </w:tcPr>
          <w:p w14:paraId="487D84BF">
            <w:pPr>
              <w:widowControl w:val="0"/>
              <w:jc w:val="center"/>
              <w:rPr>
                <w:rFonts w:eastAsia="宋体"/>
                <w:kern w:val="2"/>
                <w:sz w:val="21"/>
                <w:lang w:eastAsia="zh-CN"/>
              </w:rPr>
            </w:pPr>
            <w:r>
              <w:rPr>
                <w:rFonts w:hint="eastAsia" w:eastAsia="宋体"/>
                <w:kern w:val="2"/>
                <w:sz w:val="21"/>
                <w:lang w:eastAsia="zh-CN"/>
              </w:rPr>
              <w:t>专家打分</w:t>
            </w:r>
          </w:p>
        </w:tc>
        <w:tc>
          <w:tcPr>
            <w:tcW w:w="4656" w:type="dxa"/>
          </w:tcPr>
          <w:p w14:paraId="36545A2E">
            <w:pPr>
              <w:widowControl w:val="0"/>
              <w:spacing w:line="240" w:lineRule="exact"/>
              <w:jc w:val="both"/>
              <w:rPr>
                <w:rFonts w:eastAsia="宋体"/>
                <w:kern w:val="2"/>
                <w:sz w:val="21"/>
                <w:lang w:eastAsia="zh-CN"/>
              </w:rPr>
            </w:pPr>
            <w:r>
              <w:rPr>
                <w:rFonts w:hint="eastAsia" w:eastAsia="宋体"/>
                <w:kern w:val="2"/>
                <w:sz w:val="21"/>
                <w:lang w:eastAsia="zh-CN"/>
              </w:rPr>
              <w:t xml:space="preserve">（一）评分内容 </w:t>
            </w:r>
          </w:p>
          <w:p w14:paraId="68700FB8">
            <w:pPr>
              <w:widowControl w:val="0"/>
              <w:spacing w:line="240" w:lineRule="exact"/>
              <w:jc w:val="both"/>
              <w:rPr>
                <w:rFonts w:eastAsia="宋体"/>
                <w:kern w:val="2"/>
                <w:sz w:val="21"/>
                <w:lang w:eastAsia="zh-CN"/>
              </w:rPr>
            </w:pPr>
            <w:r>
              <w:rPr>
                <w:rFonts w:hint="eastAsia" w:eastAsia="宋体"/>
                <w:kern w:val="2"/>
                <w:sz w:val="21"/>
                <w:lang w:eastAsia="zh-CN"/>
              </w:rPr>
              <w:t>投标人提供自2021年1</w:t>
            </w:r>
            <w:r>
              <w:rPr>
                <w:rFonts w:eastAsia="宋体"/>
                <w:kern w:val="2"/>
                <w:sz w:val="21"/>
                <w:lang w:eastAsia="zh-CN"/>
              </w:rPr>
              <w:t>2</w:t>
            </w:r>
            <w:r>
              <w:rPr>
                <w:rFonts w:hint="eastAsia" w:eastAsia="宋体"/>
                <w:kern w:val="2"/>
                <w:sz w:val="21"/>
                <w:lang w:eastAsia="zh-CN"/>
              </w:rPr>
              <w:t>月1日至本项目投标截止日止(以合同签订日期为准)同类家具项目业绩</w:t>
            </w:r>
            <w:r>
              <w:rPr>
                <w:rFonts w:eastAsia="宋体"/>
                <w:kern w:val="2"/>
                <w:sz w:val="21"/>
                <w:lang w:eastAsia="zh-CN"/>
              </w:rPr>
              <w:t>【每份合同中需同时包含</w:t>
            </w:r>
            <w:r>
              <w:rPr>
                <w:rFonts w:hint="eastAsia" w:eastAsia="宋体"/>
                <w:kern w:val="2"/>
                <w:sz w:val="21"/>
                <w:lang w:eastAsia="zh-CN"/>
              </w:rPr>
              <w:t>①</w:t>
            </w:r>
            <w:r>
              <w:rPr>
                <w:rFonts w:eastAsia="宋体"/>
                <w:kern w:val="2"/>
                <w:sz w:val="21"/>
                <w:lang w:eastAsia="zh-CN"/>
              </w:rPr>
              <w:t>床</w:t>
            </w:r>
            <w:r>
              <w:rPr>
                <w:rFonts w:hint="eastAsia" w:eastAsia="宋体"/>
                <w:kern w:val="2"/>
                <w:sz w:val="21"/>
                <w:lang w:eastAsia="zh-CN"/>
              </w:rPr>
              <w:t>②</w:t>
            </w:r>
            <w:r>
              <w:rPr>
                <w:rFonts w:eastAsia="宋体"/>
                <w:kern w:val="2"/>
                <w:sz w:val="21"/>
                <w:lang w:eastAsia="zh-CN"/>
              </w:rPr>
              <w:t>书桌(或写字桌)</w:t>
            </w:r>
            <w:r>
              <w:rPr>
                <w:rFonts w:hint="eastAsia" w:eastAsia="宋体"/>
                <w:kern w:val="2"/>
                <w:sz w:val="21"/>
                <w:lang w:eastAsia="zh-CN"/>
              </w:rPr>
              <w:t>③</w:t>
            </w:r>
            <w:r>
              <w:rPr>
                <w:rFonts w:eastAsia="宋体"/>
                <w:kern w:val="2"/>
                <w:sz w:val="21"/>
                <w:lang w:eastAsia="zh-CN"/>
              </w:rPr>
              <w:t>衣柜】</w:t>
            </w:r>
            <w:r>
              <w:rPr>
                <w:rFonts w:hint="eastAsia" w:eastAsia="宋体"/>
                <w:kern w:val="2"/>
                <w:sz w:val="21"/>
                <w:lang w:eastAsia="zh-CN"/>
              </w:rPr>
              <w:t>，提供5个或以上即得100分，每提供1个得20分，未提供的不得分，最高得100分。</w:t>
            </w:r>
          </w:p>
          <w:p w14:paraId="6DE56F4F">
            <w:pPr>
              <w:widowControl w:val="0"/>
              <w:spacing w:line="240" w:lineRule="exact"/>
              <w:jc w:val="both"/>
              <w:rPr>
                <w:rFonts w:eastAsia="宋体"/>
                <w:kern w:val="2"/>
                <w:sz w:val="21"/>
                <w:lang w:eastAsia="zh-CN"/>
              </w:rPr>
            </w:pPr>
            <w:r>
              <w:rPr>
                <w:rFonts w:hint="eastAsia" w:eastAsia="宋体"/>
                <w:kern w:val="2"/>
                <w:sz w:val="21"/>
                <w:lang w:eastAsia="zh-CN"/>
              </w:rPr>
              <w:t>（二）评分依据</w:t>
            </w:r>
          </w:p>
          <w:p w14:paraId="0EE68630">
            <w:pPr>
              <w:widowControl w:val="0"/>
              <w:spacing w:line="240" w:lineRule="exact"/>
              <w:jc w:val="both"/>
              <w:rPr>
                <w:rFonts w:eastAsia="宋体"/>
                <w:kern w:val="2"/>
                <w:sz w:val="21"/>
                <w:lang w:eastAsia="zh-CN"/>
              </w:rPr>
            </w:pPr>
            <w:r>
              <w:rPr>
                <w:rFonts w:hint="eastAsia" w:eastAsia="宋体"/>
                <w:kern w:val="2"/>
                <w:sz w:val="21"/>
                <w:lang w:eastAsia="zh-CN"/>
              </w:rPr>
              <w:t>1.投标人应在投标文件中同时提供同类业绩的合同关键页（含合同首页、双方签字盖章页、货物清单页、合同签订日期页）及项目验收资料（合同和验收资料加盖合同甲方公章或业务章）扫描件，否则不得分。</w:t>
            </w:r>
          </w:p>
          <w:p w14:paraId="13FBB873">
            <w:pPr>
              <w:widowControl w:val="0"/>
              <w:spacing w:line="240" w:lineRule="exact"/>
              <w:jc w:val="both"/>
              <w:rPr>
                <w:rFonts w:eastAsia="宋体"/>
                <w:kern w:val="2"/>
                <w:sz w:val="21"/>
                <w:lang w:eastAsia="zh-CN"/>
              </w:rPr>
            </w:pPr>
            <w:r>
              <w:rPr>
                <w:rFonts w:hint="eastAsia" w:eastAsia="宋体"/>
                <w:kern w:val="2"/>
                <w:sz w:val="21"/>
                <w:lang w:eastAsia="zh-CN"/>
              </w:rPr>
              <w:t>2.属于同类家具产品但名称不完全一致的，需同时提供书面说明，以证明是同种产品，由专家判断是否得分，未提供不得分。</w:t>
            </w:r>
          </w:p>
        </w:tc>
      </w:tr>
    </w:tbl>
    <w:p w14:paraId="53EB4BC6">
      <w:pPr>
        <w:widowControl w:val="0"/>
        <w:jc w:val="both"/>
        <w:rPr>
          <w:rFonts w:eastAsia="宋体"/>
          <w:kern w:val="2"/>
          <w:sz w:val="21"/>
          <w:lang w:eastAsia="zh-CN"/>
        </w:rPr>
        <w:sectPr>
          <w:pgSz w:w="11907" w:h="16840"/>
          <w:pgMar w:top="1440" w:right="1418" w:bottom="1440" w:left="1418" w:header="851" w:footer="992" w:gutter="0"/>
          <w:cols w:space="425" w:num="1"/>
          <w:titlePg/>
          <w:docGrid w:linePitch="462" w:charSpace="0"/>
        </w:sectPr>
      </w:pPr>
    </w:p>
    <w:p w14:paraId="0D2A87DB">
      <w:pPr>
        <w:widowControl w:val="0"/>
        <w:jc w:val="both"/>
        <w:rPr>
          <w:rFonts w:eastAsia="宋体"/>
          <w:b/>
          <w:kern w:val="2"/>
          <w:sz w:val="120"/>
          <w:szCs w:val="120"/>
          <w:lang w:eastAsia="zh-CN"/>
        </w:rPr>
      </w:pPr>
    </w:p>
    <w:p w14:paraId="238F0B02">
      <w:pPr>
        <w:widowControl w:val="0"/>
        <w:jc w:val="center"/>
        <w:rPr>
          <w:rFonts w:eastAsia="宋体"/>
          <w:b/>
          <w:kern w:val="2"/>
          <w:sz w:val="120"/>
          <w:szCs w:val="120"/>
          <w:lang w:eastAsia="zh-CN"/>
        </w:rPr>
      </w:pPr>
      <w:r>
        <w:rPr>
          <w:rFonts w:hint="eastAsia" w:eastAsia="宋体"/>
          <w:b/>
          <w:kern w:val="2"/>
          <w:sz w:val="120"/>
          <w:szCs w:val="120"/>
          <w:lang w:eastAsia="zh-CN"/>
        </w:rPr>
        <w:t>自行采购</w:t>
      </w:r>
    </w:p>
    <w:p w14:paraId="507B0E2A">
      <w:pPr>
        <w:widowControl w:val="0"/>
        <w:jc w:val="center"/>
        <w:rPr>
          <w:rFonts w:eastAsia="宋体"/>
          <w:b/>
          <w:kern w:val="2"/>
          <w:sz w:val="120"/>
          <w:szCs w:val="120"/>
          <w:lang w:eastAsia="zh-CN"/>
        </w:rPr>
      </w:pPr>
      <w:r>
        <w:rPr>
          <w:rFonts w:hint="eastAsia" w:eastAsia="宋体"/>
          <w:b/>
          <w:kern w:val="2"/>
          <w:sz w:val="120"/>
          <w:szCs w:val="120"/>
          <w:lang w:eastAsia="zh-CN"/>
        </w:rPr>
        <w:t>招标文件</w:t>
      </w:r>
    </w:p>
    <w:p w14:paraId="0382F661">
      <w:pPr>
        <w:widowControl w:val="0"/>
        <w:jc w:val="center"/>
        <w:rPr>
          <w:rFonts w:eastAsia="宋体"/>
          <w:b/>
          <w:kern w:val="2"/>
          <w:sz w:val="52"/>
          <w:szCs w:val="52"/>
          <w:lang w:eastAsia="zh-CN"/>
        </w:rPr>
      </w:pPr>
      <w:r>
        <w:rPr>
          <w:rFonts w:hint="eastAsia" w:eastAsia="宋体"/>
          <w:b/>
          <w:kern w:val="2"/>
          <w:sz w:val="52"/>
          <w:szCs w:val="52"/>
          <w:lang w:eastAsia="zh-CN"/>
        </w:rPr>
        <w:t>（货物类）</w:t>
      </w:r>
    </w:p>
    <w:p w14:paraId="24385667">
      <w:pPr>
        <w:widowControl w:val="0"/>
        <w:jc w:val="center"/>
        <w:rPr>
          <w:rFonts w:eastAsia="宋体"/>
          <w:kern w:val="2"/>
          <w:sz w:val="21"/>
          <w:highlight w:val="yellow"/>
          <w:lang w:eastAsia="zh-CN"/>
        </w:rPr>
      </w:pPr>
    </w:p>
    <w:p w14:paraId="7906214C">
      <w:pPr>
        <w:widowControl w:val="0"/>
        <w:jc w:val="center"/>
        <w:rPr>
          <w:rFonts w:eastAsia="宋体"/>
          <w:kern w:val="2"/>
          <w:sz w:val="21"/>
          <w:lang w:eastAsia="zh-CN"/>
        </w:rPr>
      </w:pPr>
    </w:p>
    <w:p w14:paraId="798E35F1">
      <w:pPr>
        <w:widowControl w:val="0"/>
        <w:jc w:val="center"/>
        <w:rPr>
          <w:rFonts w:eastAsia="宋体"/>
          <w:kern w:val="2"/>
          <w:sz w:val="21"/>
          <w:lang w:eastAsia="zh-CN"/>
        </w:rPr>
      </w:pPr>
    </w:p>
    <w:p w14:paraId="15963DA7">
      <w:pPr>
        <w:widowControl w:val="0"/>
        <w:jc w:val="center"/>
        <w:rPr>
          <w:rFonts w:eastAsia="宋体"/>
          <w:kern w:val="2"/>
          <w:sz w:val="21"/>
          <w:lang w:eastAsia="zh-CN"/>
        </w:rPr>
      </w:pPr>
    </w:p>
    <w:p w14:paraId="0BD67C8D">
      <w:pPr>
        <w:widowControl w:val="0"/>
        <w:spacing w:line="360" w:lineRule="auto"/>
        <w:jc w:val="both"/>
        <w:rPr>
          <w:rFonts w:eastAsia="宋体"/>
          <w:kern w:val="2"/>
          <w:lang w:eastAsia="zh-CN"/>
        </w:rPr>
      </w:pPr>
    </w:p>
    <w:p w14:paraId="222A392E">
      <w:pPr>
        <w:widowControl w:val="0"/>
        <w:spacing w:line="360" w:lineRule="auto"/>
        <w:jc w:val="both"/>
        <w:rPr>
          <w:rFonts w:eastAsia="宋体"/>
          <w:kern w:val="2"/>
          <w:lang w:eastAsia="zh-CN"/>
        </w:rPr>
      </w:pPr>
    </w:p>
    <w:p w14:paraId="7EA0E132">
      <w:pPr>
        <w:widowControl w:val="0"/>
        <w:spacing w:line="360" w:lineRule="auto"/>
        <w:jc w:val="both"/>
        <w:rPr>
          <w:rFonts w:eastAsia="宋体"/>
          <w:kern w:val="2"/>
          <w:lang w:eastAsia="zh-CN"/>
        </w:rPr>
      </w:pPr>
    </w:p>
    <w:p w14:paraId="480F9528">
      <w:pPr>
        <w:widowControl w:val="0"/>
        <w:spacing w:line="360" w:lineRule="auto"/>
        <w:jc w:val="both"/>
        <w:rPr>
          <w:rFonts w:eastAsia="宋体"/>
          <w:kern w:val="2"/>
          <w:lang w:eastAsia="zh-CN"/>
        </w:rPr>
      </w:pPr>
    </w:p>
    <w:p w14:paraId="000870FE">
      <w:pPr>
        <w:widowControl w:val="0"/>
        <w:spacing w:line="360" w:lineRule="auto"/>
        <w:jc w:val="both"/>
        <w:rPr>
          <w:rFonts w:eastAsia="宋体"/>
          <w:kern w:val="2"/>
          <w:lang w:eastAsia="zh-CN"/>
        </w:rPr>
      </w:pPr>
    </w:p>
    <w:p w14:paraId="6909EAE8">
      <w:pPr>
        <w:widowControl w:val="0"/>
        <w:jc w:val="center"/>
        <w:rPr>
          <w:rFonts w:eastAsia="宋体"/>
          <w:b/>
          <w:kern w:val="2"/>
          <w:sz w:val="44"/>
          <w:szCs w:val="44"/>
          <w:lang w:eastAsia="zh-CN"/>
        </w:rPr>
      </w:pPr>
    </w:p>
    <w:p w14:paraId="55699C27">
      <w:pPr>
        <w:widowControl w:val="0"/>
        <w:jc w:val="center"/>
        <w:rPr>
          <w:rFonts w:eastAsia="宋体"/>
          <w:b/>
          <w:kern w:val="2"/>
          <w:sz w:val="44"/>
          <w:szCs w:val="44"/>
          <w:lang w:eastAsia="zh-CN"/>
        </w:rPr>
      </w:pPr>
      <w:bookmarkStart w:id="3" w:name="_Hlk71465316"/>
      <w:r>
        <w:rPr>
          <w:rFonts w:hint="eastAsia" w:eastAsia="宋体"/>
          <w:b/>
          <w:kern w:val="2"/>
          <w:sz w:val="44"/>
          <w:szCs w:val="44"/>
          <w:lang w:eastAsia="zh-CN"/>
        </w:rPr>
        <w:t>深圳公共资源交易中心</w:t>
      </w:r>
    </w:p>
    <w:p w14:paraId="7E59D809">
      <w:pPr>
        <w:widowControl w:val="0"/>
        <w:jc w:val="center"/>
        <w:rPr>
          <w:rFonts w:eastAsia="宋体"/>
          <w:kern w:val="2"/>
          <w:sz w:val="28"/>
          <w:szCs w:val="28"/>
          <w:lang w:eastAsia="zh-CN"/>
        </w:rPr>
      </w:pPr>
      <w:r>
        <w:rPr>
          <w:rFonts w:hint="eastAsia" w:eastAsia="宋体"/>
          <w:b/>
          <w:kern w:val="2"/>
          <w:sz w:val="28"/>
          <w:szCs w:val="28"/>
          <w:lang w:eastAsia="zh-CN"/>
        </w:rPr>
        <w:t>（</w:t>
      </w:r>
      <w:r>
        <w:rPr>
          <w:rFonts w:eastAsia="宋体"/>
          <w:b/>
          <w:kern w:val="2"/>
          <w:sz w:val="28"/>
          <w:szCs w:val="28"/>
          <w:lang w:eastAsia="zh-CN"/>
        </w:rPr>
        <w:t>20</w:t>
      </w:r>
      <w:r>
        <w:rPr>
          <w:rFonts w:hint="eastAsia" w:eastAsia="宋体"/>
          <w:b/>
          <w:kern w:val="2"/>
          <w:sz w:val="28"/>
          <w:szCs w:val="28"/>
          <w:lang w:eastAsia="zh-CN"/>
        </w:rPr>
        <w:t>25年）</w:t>
      </w:r>
      <w:bookmarkEnd w:id="3"/>
    </w:p>
    <w:p w14:paraId="507A1EA7">
      <w:pPr>
        <w:widowControl w:val="0"/>
        <w:spacing w:after="312" w:afterLines="100" w:line="400" w:lineRule="exact"/>
        <w:ind w:firstLine="420" w:firstLineChars="200"/>
        <w:jc w:val="both"/>
        <w:rPr>
          <w:rFonts w:ascii="宋体" w:hAnsi="宋体" w:eastAsia="宋体"/>
          <w:color w:val="FF0000"/>
          <w:kern w:val="2"/>
          <w:sz w:val="21"/>
          <w:szCs w:val="21"/>
          <w:lang w:eastAsia="zh-CN"/>
        </w:rPr>
      </w:pPr>
      <w:r>
        <w:rPr>
          <w:rFonts w:hint="eastAsia" w:eastAsia="宋体"/>
          <w:kern w:val="2"/>
          <w:sz w:val="21"/>
          <w:lang w:eastAsia="zh-CN"/>
        </w:rPr>
        <w:br w:type="page"/>
      </w:r>
      <w:bookmarkStart w:id="4" w:name="_Hlk137453387"/>
    </w:p>
    <w:bookmarkEnd w:id="4"/>
    <w:p w14:paraId="76F710E6">
      <w:pPr>
        <w:keepNext/>
        <w:keepLines/>
        <w:widowControl w:val="0"/>
        <w:spacing w:before="340" w:after="330" w:line="360" w:lineRule="auto"/>
        <w:jc w:val="center"/>
        <w:outlineLvl w:val="0"/>
        <w:rPr>
          <w:rFonts w:ascii="宋体" w:hAnsi="宋体" w:eastAsia="黑体"/>
          <w:b/>
          <w:bCs/>
          <w:kern w:val="44"/>
          <w:sz w:val="28"/>
          <w:szCs w:val="44"/>
          <w:lang w:eastAsia="zh-CN"/>
        </w:rPr>
      </w:pPr>
      <w:r>
        <w:rPr>
          <w:rFonts w:hint="eastAsia" w:ascii="宋体" w:hAnsi="宋体" w:eastAsia="黑体"/>
          <w:b/>
          <w:bCs/>
          <w:kern w:val="44"/>
          <w:sz w:val="28"/>
          <w:szCs w:val="44"/>
          <w:lang w:eastAsia="zh-CN"/>
        </w:rPr>
        <w:t>目   录</w:t>
      </w:r>
    </w:p>
    <w:p w14:paraId="6622E6F4">
      <w:pPr>
        <w:widowControl w:val="0"/>
        <w:jc w:val="both"/>
        <w:outlineLvl w:val="0"/>
        <w:rPr>
          <w:rFonts w:eastAsia="宋体"/>
          <w:b/>
          <w:kern w:val="2"/>
          <w:lang w:eastAsia="zh-CN"/>
        </w:rPr>
      </w:pPr>
      <w:r>
        <w:rPr>
          <w:rFonts w:hint="eastAsia" w:eastAsia="宋体"/>
          <w:b/>
          <w:kern w:val="2"/>
          <w:lang w:eastAsia="zh-CN"/>
        </w:rPr>
        <w:t>第一册  专用条款</w:t>
      </w:r>
    </w:p>
    <w:p w14:paraId="6BA10C90">
      <w:pPr>
        <w:widowControl w:val="0"/>
        <w:jc w:val="both"/>
        <w:rPr>
          <w:rFonts w:eastAsia="宋体"/>
          <w:kern w:val="2"/>
          <w:lang w:eastAsia="zh-CN"/>
        </w:rPr>
      </w:pPr>
      <w:r>
        <w:rPr>
          <w:rFonts w:hint="eastAsia" w:eastAsia="宋体"/>
          <w:kern w:val="2"/>
          <w:lang w:eastAsia="zh-CN"/>
        </w:rPr>
        <w:t xml:space="preserve">          关键信息</w:t>
      </w:r>
    </w:p>
    <w:p w14:paraId="6DD3789D">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招标公告</w:t>
      </w:r>
    </w:p>
    <w:p w14:paraId="3AA93D65">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第二章  </w:t>
      </w:r>
      <w:bookmarkStart w:id="5" w:name="_Hlk71994379"/>
      <w:r>
        <w:rPr>
          <w:rFonts w:hint="eastAsia" w:ascii="宋体" w:hAnsi="宋体" w:eastAsia="宋体"/>
          <w:kern w:val="2"/>
          <w:sz w:val="21"/>
          <w:szCs w:val="21"/>
          <w:lang w:eastAsia="zh-CN"/>
        </w:rPr>
        <w:t>对通用条款的补充内容及其他关键信息</w:t>
      </w:r>
      <w:bookmarkEnd w:id="5"/>
    </w:p>
    <w:p w14:paraId="2BD304E4">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第三章 </w:t>
      </w:r>
      <w:r>
        <w:rPr>
          <w:rFonts w:ascii="宋体" w:hAnsi="宋体" w:eastAsia="宋体"/>
          <w:kern w:val="2"/>
          <w:sz w:val="21"/>
          <w:szCs w:val="21"/>
          <w:lang w:eastAsia="zh-CN"/>
        </w:rPr>
        <w:t xml:space="preserve"> </w:t>
      </w:r>
      <w:r>
        <w:rPr>
          <w:rFonts w:hint="eastAsia" w:ascii="宋体" w:hAnsi="宋体" w:eastAsia="宋体"/>
          <w:kern w:val="2"/>
          <w:sz w:val="21"/>
          <w:szCs w:val="21"/>
          <w:lang w:eastAsia="zh-CN"/>
        </w:rPr>
        <w:t>用户需求书</w:t>
      </w:r>
    </w:p>
    <w:p w14:paraId="3988E64B">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第四章 </w:t>
      </w:r>
      <w:r>
        <w:rPr>
          <w:rFonts w:ascii="宋体" w:hAnsi="宋体" w:eastAsia="宋体"/>
          <w:kern w:val="2"/>
          <w:sz w:val="21"/>
          <w:szCs w:val="21"/>
          <w:lang w:eastAsia="zh-CN"/>
        </w:rPr>
        <w:t xml:space="preserve"> </w:t>
      </w:r>
      <w:r>
        <w:rPr>
          <w:rFonts w:hint="eastAsia" w:ascii="宋体" w:hAnsi="宋体" w:eastAsia="宋体"/>
          <w:kern w:val="2"/>
          <w:sz w:val="21"/>
          <w:szCs w:val="21"/>
          <w:lang w:eastAsia="zh-CN"/>
        </w:rPr>
        <w:t>投标文件组成要求及格式</w:t>
      </w:r>
    </w:p>
    <w:p w14:paraId="12E7A861">
      <w:pPr>
        <w:widowControl w:val="0"/>
        <w:ind w:left="720" w:leftChars="300" w:firstLine="630" w:firstLineChars="300"/>
        <w:jc w:val="both"/>
        <w:rPr>
          <w:rFonts w:eastAsia="宋体"/>
          <w:b/>
          <w:kern w:val="2"/>
          <w:lang w:eastAsia="zh-CN"/>
        </w:rPr>
      </w:pPr>
      <w:r>
        <w:rPr>
          <w:rFonts w:hint="eastAsia" w:ascii="宋体" w:hAnsi="宋体" w:eastAsia="宋体"/>
          <w:kern w:val="2"/>
          <w:sz w:val="21"/>
          <w:szCs w:val="21"/>
          <w:lang w:eastAsia="zh-CN"/>
        </w:rPr>
        <w:t>第五章  合同条款及格式</w:t>
      </w:r>
    </w:p>
    <w:p w14:paraId="5D1E54E6">
      <w:pPr>
        <w:widowControl w:val="0"/>
        <w:jc w:val="both"/>
        <w:outlineLvl w:val="0"/>
        <w:rPr>
          <w:rFonts w:eastAsia="宋体"/>
          <w:b/>
          <w:kern w:val="2"/>
          <w:lang w:eastAsia="zh-CN"/>
        </w:rPr>
      </w:pPr>
      <w:r>
        <w:rPr>
          <w:rFonts w:hint="eastAsia" w:eastAsia="宋体"/>
          <w:b/>
          <w:kern w:val="2"/>
          <w:lang w:eastAsia="zh-CN"/>
        </w:rPr>
        <w:t>第二册  通用条款</w:t>
      </w:r>
    </w:p>
    <w:p w14:paraId="15D8011E">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总则</w:t>
      </w:r>
    </w:p>
    <w:p w14:paraId="1BBD131A">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第二章  招标文件</w:t>
      </w:r>
    </w:p>
    <w:p w14:paraId="7E7C0761">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第三章  投标文件的编制</w:t>
      </w:r>
    </w:p>
    <w:p w14:paraId="6087A6D0">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第四章  投标文件的递交</w:t>
      </w:r>
    </w:p>
    <w:p w14:paraId="724E77F7">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第五章  开标</w:t>
      </w:r>
    </w:p>
    <w:p w14:paraId="5BDFFF9A">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第六章  评审要求</w:t>
      </w:r>
    </w:p>
    <w:p w14:paraId="4852AC4A">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第七章  评审程序及评审方法</w:t>
      </w:r>
    </w:p>
    <w:p w14:paraId="4F3D4C50">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第八章  定标及公示</w:t>
      </w:r>
    </w:p>
    <w:p w14:paraId="6392D930">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第九章  公开招标失败的后续处理</w:t>
      </w:r>
    </w:p>
    <w:p w14:paraId="7B7566B8">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第十章  合同的授予与备案</w:t>
      </w:r>
    </w:p>
    <w:p w14:paraId="55AB1D3D">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第十一章  质疑处理</w:t>
      </w:r>
    </w:p>
    <w:p w14:paraId="2E627931">
      <w:pPr>
        <w:widowControl w:val="0"/>
        <w:jc w:val="both"/>
        <w:rPr>
          <w:rFonts w:eastAsia="宋体"/>
          <w:b/>
          <w:kern w:val="2"/>
          <w:lang w:eastAsia="zh-CN"/>
        </w:rPr>
      </w:pPr>
    </w:p>
    <w:p w14:paraId="1694D06E">
      <w:pPr>
        <w:widowControl w:val="0"/>
        <w:jc w:val="both"/>
        <w:rPr>
          <w:rFonts w:eastAsia="宋体"/>
          <w:kern w:val="2"/>
          <w:sz w:val="28"/>
          <w:szCs w:val="28"/>
          <w:lang w:eastAsia="zh-CN"/>
        </w:rPr>
      </w:pPr>
      <w:r>
        <w:rPr>
          <w:rFonts w:hint="eastAsia" w:eastAsia="宋体"/>
          <w:kern w:val="2"/>
          <w:sz w:val="28"/>
          <w:szCs w:val="28"/>
          <w:lang w:eastAsia="zh-CN"/>
        </w:rPr>
        <w:br w:type="page"/>
      </w:r>
    </w:p>
    <w:p w14:paraId="77650E0C">
      <w:pPr>
        <w:keepNext/>
        <w:keepLines/>
        <w:widowControl w:val="0"/>
        <w:adjustRightInd w:val="0"/>
        <w:spacing w:before="0" w:after="0" w:line="240" w:lineRule="auto"/>
        <w:jc w:val="center"/>
        <w:textAlignment w:val="baseline"/>
        <w:outlineLvl w:val="1"/>
        <w:rPr>
          <w:rFonts w:ascii="宋体" w:hAnsi="宋体" w:eastAsia="宋体"/>
          <w:b/>
          <w:bCs/>
          <w:sz w:val="28"/>
          <w:szCs w:val="28"/>
          <w:lang w:eastAsia="zh-CN"/>
        </w:rPr>
      </w:pPr>
      <w:r>
        <w:rPr>
          <w:rFonts w:hint="eastAsia" w:ascii="宋体" w:hAnsi="宋体" w:eastAsia="宋体"/>
          <w:b/>
          <w:bCs/>
          <w:sz w:val="28"/>
          <w:szCs w:val="28"/>
          <w:lang w:eastAsia="zh-CN"/>
        </w:rPr>
        <w:t>第一册专用条款</w:t>
      </w:r>
    </w:p>
    <w:p w14:paraId="39F636C6">
      <w:pPr>
        <w:keepNext/>
        <w:keepLines/>
        <w:widowControl w:val="0"/>
        <w:adjustRightInd w:val="0"/>
        <w:spacing w:before="0" w:after="0" w:line="240" w:lineRule="auto"/>
        <w:jc w:val="center"/>
        <w:textAlignment w:val="baseline"/>
        <w:outlineLvl w:val="1"/>
        <w:rPr>
          <w:rFonts w:ascii="宋体" w:hAnsi="宋体" w:eastAsia="宋体"/>
          <w:b/>
          <w:bCs/>
          <w:sz w:val="28"/>
          <w:szCs w:val="28"/>
          <w:lang w:eastAsia="zh-CN"/>
        </w:rPr>
      </w:pPr>
      <w:r>
        <w:rPr>
          <w:rFonts w:hint="eastAsia" w:ascii="宋体" w:hAnsi="宋体" w:eastAsia="宋体"/>
          <w:b/>
          <w:bCs/>
          <w:sz w:val="28"/>
          <w:szCs w:val="28"/>
          <w:lang w:eastAsia="zh-CN"/>
        </w:rPr>
        <w:t>第一章  招标公告</w:t>
      </w:r>
    </w:p>
    <w:p w14:paraId="18F45161">
      <w:pPr>
        <w:widowControl w:val="0"/>
        <w:jc w:val="both"/>
        <w:rPr>
          <w:rFonts w:ascii="宋体" w:hAnsi="宋体" w:eastAsia="宋体" w:cs="宋体"/>
          <w:b/>
          <w:bCs/>
          <w:sz w:val="21"/>
          <w:szCs w:val="21"/>
          <w:lang w:eastAsia="zh-CN"/>
        </w:rPr>
      </w:pPr>
      <w:r>
        <w:rPr>
          <w:rFonts w:hint="eastAsia" w:ascii="宋体" w:hAnsi="宋体" w:eastAsia="宋体" w:cs="宋体"/>
          <w:b/>
          <w:bCs/>
          <w:sz w:val="21"/>
          <w:szCs w:val="21"/>
          <w:lang w:eastAsia="zh-CN"/>
        </w:rPr>
        <w:t>投标人的资格要求：</w:t>
      </w:r>
    </w:p>
    <w:p w14:paraId="55D35C87">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1</w:t>
      </w:r>
      <w:r>
        <w:rPr>
          <w:rFonts w:ascii="宋体" w:hAnsi="宋体" w:eastAsia="宋体" w:cs="宋体"/>
          <w:sz w:val="21"/>
          <w:szCs w:val="21"/>
          <w:lang w:eastAsia="zh-CN"/>
        </w:rPr>
        <w:t>.</w:t>
      </w:r>
      <w:r>
        <w:rPr>
          <w:rFonts w:hint="eastAsia" w:ascii="宋体" w:hAnsi="宋体" w:eastAsia="宋体" w:cs="宋体"/>
          <w:sz w:val="21"/>
          <w:szCs w:val="21"/>
          <w:lang w:eastAsia="zh-CN"/>
        </w:rPr>
        <w:t>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p>
    <w:p w14:paraId="1CD2FD8D">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2.本项目不接受联合体投标，是否接受投标人选用进口产品参与投标，详见招标文件“第三章 用户需求书”（由供应商在《采购投标及履约承诺函》中作出声明）；</w:t>
      </w:r>
    </w:p>
    <w:p w14:paraId="26D9FD0D">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3</w:t>
      </w:r>
      <w:r>
        <w:rPr>
          <w:rFonts w:ascii="宋体" w:hAnsi="宋体" w:eastAsia="宋体" w:cs="宋体"/>
          <w:sz w:val="21"/>
          <w:szCs w:val="21"/>
          <w:lang w:eastAsia="zh-CN"/>
        </w:rPr>
        <w:t>.</w:t>
      </w:r>
      <w:r>
        <w:rPr>
          <w:rFonts w:hint="eastAsia" w:ascii="宋体" w:hAnsi="宋体" w:eastAsia="宋体" w:cs="宋体"/>
          <w:sz w:val="21"/>
          <w:szCs w:val="21"/>
          <w:lang w:eastAsia="zh-CN"/>
        </w:rPr>
        <w:t>参与本项目采购活动时不存在被有关部门禁止参与政府采购活动且在有效期内的情况（由供应商在《采购投标及履约承诺函》中作出声明）；</w:t>
      </w:r>
    </w:p>
    <w:p w14:paraId="31B8BFC1">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4</w:t>
      </w:r>
      <w:r>
        <w:rPr>
          <w:rFonts w:ascii="宋体" w:hAnsi="宋体" w:eastAsia="宋体" w:cs="宋体"/>
          <w:sz w:val="21"/>
          <w:szCs w:val="21"/>
          <w:lang w:eastAsia="zh-CN"/>
        </w:rPr>
        <w:t>.</w:t>
      </w:r>
      <w:r>
        <w:rPr>
          <w:rFonts w:hint="eastAsia" w:ascii="宋体" w:hAnsi="宋体" w:eastAsia="宋体" w:cs="宋体"/>
          <w:sz w:val="21"/>
          <w:szCs w:val="21"/>
          <w:lang w:eastAsia="zh-CN"/>
        </w:rPr>
        <w:t>具备《中华人民共和国政府采购法》第二十二条第一款的条件（由供应商在《采购投标及履约承诺函》中作出声明）；</w:t>
      </w:r>
    </w:p>
    <w:p w14:paraId="5488CFDD">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5</w:t>
      </w:r>
      <w:r>
        <w:rPr>
          <w:rFonts w:ascii="宋体" w:hAnsi="宋体" w:eastAsia="宋体" w:cs="宋体"/>
          <w:sz w:val="21"/>
          <w:szCs w:val="21"/>
          <w:lang w:eastAsia="zh-CN"/>
        </w:rPr>
        <w:t>.</w:t>
      </w:r>
      <w:r>
        <w:rPr>
          <w:rFonts w:hint="eastAsia" w:ascii="宋体" w:hAnsi="宋体" w:eastAsia="宋体" w:cs="宋体"/>
          <w:sz w:val="21"/>
          <w:szCs w:val="21"/>
          <w:lang w:eastAsia="zh-CN"/>
        </w:rPr>
        <w:t>未被列入失信被执行人、重大税收违法案件当事人名单、政府采购严重违法失信行为记录名单（由供应商在《采购投标及履约承诺函》中作出声明）；</w:t>
      </w:r>
    </w:p>
    <w:p w14:paraId="01BA7FD5">
      <w:pPr>
        <w:widowControl w:val="0"/>
        <w:ind w:firstLine="630" w:firstLineChars="300"/>
        <w:jc w:val="both"/>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6.不存在《深圳市财政局政府采购供应商信用信息管理办法》（深财规〔2023〕3号）列明的严重违法失信行为（由供应商在《采购投标及履约承诺函》中作出声明）；</w:t>
      </w:r>
    </w:p>
    <w:p w14:paraId="2AFE3E03">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7.为采购项目提供整体设计、规范编制或者项目管理、监理、检测等服务的供应商，不得再参加该采购项目的其他采购活动（由供应商在《采购投标及履约承诺函》中作出声明）；</w:t>
      </w:r>
    </w:p>
    <w:p w14:paraId="3A583323">
      <w:pPr>
        <w:widowControl w:val="0"/>
        <w:ind w:firstLine="630" w:firstLineChars="300"/>
        <w:jc w:val="both"/>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w:t>
      </w:r>
      <w:r>
        <w:rPr>
          <w:rFonts w:hint="eastAsia" w:ascii="宋体" w:hAnsi="宋体" w:eastAsia="宋体" w:cs="宋体"/>
          <w:b/>
          <w:color w:val="FF0000"/>
          <w:sz w:val="21"/>
          <w:szCs w:val="21"/>
          <w:lang w:eastAsia="zh-CN"/>
        </w:rPr>
        <w:t>（由供应商提供《供应商基本情况表》并加盖公章扫描件）；</w:t>
      </w:r>
    </w:p>
    <w:p w14:paraId="082EA9E4">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9.本项目为非专门面向中小企业采购项目。</w:t>
      </w:r>
    </w:p>
    <w:p w14:paraId="5580BBDE">
      <w:pPr>
        <w:widowControl w:val="0"/>
        <w:jc w:val="both"/>
        <w:rPr>
          <w:rFonts w:ascii="宋体" w:hAnsi="宋体" w:eastAsia="宋体" w:cs="宋体"/>
          <w:sz w:val="21"/>
          <w:szCs w:val="21"/>
          <w:lang w:eastAsia="zh-CN"/>
        </w:rPr>
      </w:pPr>
      <w:r>
        <w:rPr>
          <w:rFonts w:hint="eastAsia" w:ascii="宋体" w:hAnsi="宋体" w:eastAsia="宋体" w:cs="宋体"/>
          <w:sz w:val="21"/>
          <w:szCs w:val="21"/>
          <w:lang w:eastAsia="zh-CN"/>
        </w:rPr>
        <w:t xml:space="preserve"> </w:t>
      </w:r>
    </w:p>
    <w:p w14:paraId="00EB8498">
      <w:pPr>
        <w:widowControl w:val="0"/>
        <w:jc w:val="both"/>
        <w:rPr>
          <w:rFonts w:ascii="宋体" w:hAnsi="宋体" w:eastAsia="宋体" w:cs="宋体"/>
          <w:sz w:val="21"/>
          <w:szCs w:val="21"/>
          <w:lang w:eastAsia="zh-CN"/>
        </w:rPr>
      </w:pPr>
      <w:r>
        <w:rPr>
          <w:rFonts w:hint="eastAsia" w:ascii="宋体" w:hAnsi="宋体" w:eastAsia="宋体" w:cs="宋体"/>
          <w:sz w:val="21"/>
          <w:szCs w:val="21"/>
          <w:lang w:eastAsia="zh-CN"/>
        </w:rPr>
        <w:t>注：（1）“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p>
    <w:p w14:paraId="54B6C251">
      <w:pPr>
        <w:widowControl w:val="0"/>
        <w:jc w:val="both"/>
        <w:rPr>
          <w:rFonts w:ascii="宋体" w:hAnsi="宋体" w:eastAsia="宋体"/>
          <w:kern w:val="2"/>
          <w:sz w:val="21"/>
          <w:lang w:eastAsia="zh-CN"/>
        </w:rPr>
      </w:pPr>
      <w:r>
        <w:rPr>
          <w:rFonts w:hint="eastAsia" w:ascii="宋体" w:hAnsi="宋体" w:eastAsia="宋体"/>
          <w:kern w:val="2"/>
          <w:sz w:val="21"/>
          <w:lang w:eastAsia="zh-CN"/>
        </w:rPr>
        <w:t>（2）供应商投标（上传投标文件）必须先行办理注册手续，具体操作指引请按照深圳公共资源交易网/交易服务指南/资料下载/深圳自行采购系统用户操作指引（供应商）相关内容指引办理。</w:t>
      </w:r>
    </w:p>
    <w:p w14:paraId="5F4318B7">
      <w:pPr>
        <w:widowControl w:val="0"/>
        <w:spacing w:line="360" w:lineRule="auto"/>
        <w:jc w:val="both"/>
        <w:rPr>
          <w:rFonts w:eastAsia="宋体"/>
          <w:b/>
          <w:bCs/>
          <w:kern w:val="2"/>
          <w:lang w:eastAsia="zh-CN"/>
        </w:rPr>
      </w:pPr>
    </w:p>
    <w:p w14:paraId="40A4744E">
      <w:pPr>
        <w:widowControl w:val="0"/>
        <w:jc w:val="left"/>
        <w:rPr>
          <w:rFonts w:eastAsia="宋体"/>
          <w:b/>
          <w:kern w:val="2"/>
          <w:sz w:val="22"/>
          <w:szCs w:val="18"/>
          <w:lang w:eastAsia="zh-CN"/>
        </w:rPr>
      </w:pPr>
      <w:r>
        <w:rPr>
          <w:rFonts w:hint="eastAsia" w:eastAsia="宋体"/>
          <w:b/>
          <w:kern w:val="2"/>
          <w:sz w:val="22"/>
          <w:szCs w:val="18"/>
          <w:lang w:eastAsia="zh-CN"/>
        </w:rPr>
        <w:t>完整公告内容详见：深圳交易集团（深圳公共资源交易中心）官网https://www.szexgrp.com/jyfw/zfcg-view.html?id=zfcg</w:t>
      </w:r>
    </w:p>
    <w:p w14:paraId="6D4BC7B3">
      <w:pPr>
        <w:widowControl w:val="0"/>
        <w:jc w:val="both"/>
        <w:rPr>
          <w:rFonts w:eastAsia="宋体"/>
          <w:kern w:val="2"/>
          <w:sz w:val="28"/>
          <w:szCs w:val="28"/>
          <w:lang w:eastAsia="zh-CN"/>
        </w:rPr>
      </w:pPr>
      <w:bookmarkStart w:id="6" w:name="bt其他资料由投标人自定"/>
      <w:bookmarkEnd w:id="6"/>
      <w:bookmarkStart w:id="7" w:name="bt开标一览表"/>
      <w:bookmarkEnd w:id="7"/>
      <w:bookmarkStart w:id="8" w:name="bt投标人情况介绍"/>
      <w:bookmarkEnd w:id="8"/>
      <w:bookmarkStart w:id="9" w:name="bt商务标投标文件格式"/>
      <w:bookmarkEnd w:id="9"/>
      <w:bookmarkStart w:id="10" w:name="bt投标报价汇总表"/>
      <w:bookmarkEnd w:id="10"/>
      <w:bookmarkStart w:id="11" w:name="bt投标文件签署授权委托书"/>
      <w:bookmarkEnd w:id="11"/>
      <w:bookmarkStart w:id="12" w:name="bt本工程承诺书"/>
      <w:bookmarkEnd w:id="12"/>
      <w:bookmarkStart w:id="13" w:name="bt投标函"/>
      <w:bookmarkEnd w:id="13"/>
      <w:bookmarkStart w:id="14" w:name="bt项目管理班子配备情况"/>
      <w:bookmarkEnd w:id="14"/>
      <w:bookmarkStart w:id="15" w:name="bt合同条款及格式"/>
      <w:bookmarkEnd w:id="15"/>
      <w:bookmarkStart w:id="16" w:name="bt合同格式"/>
      <w:bookmarkEnd w:id="16"/>
      <w:bookmarkStart w:id="17" w:name="合同格式"/>
      <w:bookmarkEnd w:id="17"/>
      <w:bookmarkStart w:id="18" w:name="bt合同条款"/>
      <w:bookmarkEnd w:id="18"/>
      <w:bookmarkStart w:id="19" w:name="bt投标人须知"/>
      <w:bookmarkEnd w:id="19"/>
      <w:bookmarkStart w:id="20" w:name="bt技术标投标文件格式"/>
      <w:bookmarkEnd w:id="20"/>
      <w:bookmarkStart w:id="21" w:name="bt其他资料2"/>
      <w:bookmarkEnd w:id="21"/>
      <w:bookmarkStart w:id="22" w:name="bt说明"/>
      <w:bookmarkEnd w:id="22"/>
      <w:r>
        <w:rPr>
          <w:rFonts w:hint="eastAsia" w:eastAsia="宋体"/>
          <w:kern w:val="2"/>
          <w:sz w:val="28"/>
          <w:szCs w:val="28"/>
          <w:lang w:eastAsia="zh-CN"/>
        </w:rPr>
        <w:br w:type="page"/>
      </w:r>
    </w:p>
    <w:p w14:paraId="7DFD84CB">
      <w:pPr>
        <w:keepNext/>
        <w:keepLines/>
        <w:widowControl w:val="0"/>
        <w:adjustRightInd w:val="0"/>
        <w:spacing w:before="260" w:after="260" w:line="240" w:lineRule="auto"/>
        <w:jc w:val="center"/>
        <w:textAlignment w:val="baseline"/>
        <w:outlineLvl w:val="1"/>
        <w:rPr>
          <w:rFonts w:ascii="宋体" w:hAnsi="宋体" w:eastAsia="宋体"/>
          <w:b/>
          <w:bCs/>
          <w:sz w:val="28"/>
          <w:szCs w:val="28"/>
          <w:lang w:eastAsia="zh-CN"/>
        </w:rPr>
      </w:pPr>
      <w:r>
        <w:rPr>
          <w:rFonts w:hint="eastAsia" w:ascii="宋体" w:hAnsi="宋体" w:eastAsia="宋体"/>
          <w:b/>
          <w:bCs/>
          <w:sz w:val="28"/>
          <w:szCs w:val="28"/>
          <w:lang w:eastAsia="zh-CN"/>
        </w:rPr>
        <w:t>第二章 对通用条款的补充内容及其他关键信息</w:t>
      </w:r>
    </w:p>
    <w:p w14:paraId="2DBB679D">
      <w:pPr>
        <w:keepNext/>
        <w:keepLines/>
        <w:widowControl w:val="0"/>
        <w:adjustRightInd w:val="0"/>
        <w:spacing w:before="156" w:beforeLines="50" w:after="156" w:afterLines="50" w:line="240" w:lineRule="auto"/>
        <w:jc w:val="center"/>
        <w:textAlignment w:val="baseline"/>
        <w:outlineLvl w:val="1"/>
        <w:rPr>
          <w:rFonts w:ascii="宋体" w:hAnsi="宋体" w:eastAsia="宋体"/>
          <w:b/>
          <w:bCs/>
          <w:sz w:val="28"/>
          <w:szCs w:val="28"/>
          <w:lang w:eastAsia="zh-CN"/>
        </w:rPr>
      </w:pPr>
      <w:bookmarkStart w:id="23" w:name="_Toc60631620"/>
      <w:bookmarkStart w:id="24" w:name="_Toc73521635"/>
      <w:bookmarkStart w:id="25" w:name="_Toc73518117"/>
      <w:bookmarkStart w:id="26" w:name="_Toc100052364"/>
      <w:bookmarkStart w:id="27" w:name="_Toc73521547"/>
      <w:bookmarkStart w:id="28" w:name="_Toc60560625"/>
      <w:bookmarkStart w:id="29" w:name="_Toc101074876"/>
      <w:bookmarkStart w:id="30" w:name="_Toc73517639"/>
      <w:r>
        <w:rPr>
          <w:rFonts w:hint="eastAsia" w:ascii="宋体" w:hAnsi="宋体" w:eastAsia="宋体"/>
          <w:b/>
          <w:bCs/>
          <w:lang w:eastAsia="zh-CN"/>
        </w:rPr>
        <w:t>一、对通用条款的补充内容</w:t>
      </w:r>
    </w:p>
    <w:bookmarkEnd w:id="23"/>
    <w:bookmarkEnd w:id="24"/>
    <w:bookmarkEnd w:id="25"/>
    <w:bookmarkEnd w:id="26"/>
    <w:bookmarkEnd w:id="27"/>
    <w:bookmarkEnd w:id="28"/>
    <w:bookmarkEnd w:id="29"/>
    <w:bookmarkEnd w:id="30"/>
    <w:tbl>
      <w:tblPr>
        <w:tblStyle w:val="4"/>
        <w:tblW w:w="5000"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42"/>
        <w:gridCol w:w="1881"/>
        <w:gridCol w:w="6181"/>
      </w:tblGrid>
      <w:tr w14:paraId="421D5D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49B82824">
            <w:pPr>
              <w:widowControl w:val="0"/>
              <w:jc w:val="center"/>
              <w:rPr>
                <w:rFonts w:ascii="宋体" w:hAnsi="宋体" w:eastAsia="宋体"/>
                <w:b/>
                <w:bCs/>
                <w:kern w:val="2"/>
                <w:sz w:val="21"/>
                <w:lang w:eastAsia="zh-CN"/>
              </w:rPr>
            </w:pPr>
            <w:r>
              <w:rPr>
                <w:rFonts w:hint="eastAsia" w:ascii="宋体" w:hAnsi="宋体" w:eastAsia="宋体"/>
                <w:b/>
                <w:bCs/>
                <w:kern w:val="2"/>
                <w:sz w:val="21"/>
                <w:lang w:eastAsia="zh-CN"/>
              </w:rPr>
              <w:t>通用条款序号</w:t>
            </w:r>
          </w:p>
        </w:tc>
        <w:tc>
          <w:tcPr>
            <w:tcW w:w="1946" w:type="dxa"/>
            <w:vAlign w:val="center"/>
          </w:tcPr>
          <w:p w14:paraId="18C9758F">
            <w:pPr>
              <w:widowControl w:val="0"/>
              <w:jc w:val="center"/>
              <w:rPr>
                <w:rFonts w:ascii="宋体" w:hAnsi="宋体" w:eastAsia="宋体"/>
                <w:b/>
                <w:bCs/>
                <w:kern w:val="2"/>
                <w:sz w:val="21"/>
                <w:lang w:eastAsia="zh-CN"/>
              </w:rPr>
            </w:pPr>
            <w:r>
              <w:rPr>
                <w:rFonts w:hint="eastAsia" w:ascii="宋体" w:hAnsi="宋体" w:eastAsia="宋体"/>
                <w:b/>
                <w:bCs/>
                <w:kern w:val="2"/>
                <w:sz w:val="21"/>
                <w:lang w:eastAsia="zh-CN"/>
              </w:rPr>
              <w:t>涉及事项</w:t>
            </w:r>
          </w:p>
        </w:tc>
        <w:tc>
          <w:tcPr>
            <w:tcW w:w="6416" w:type="dxa"/>
            <w:vAlign w:val="center"/>
          </w:tcPr>
          <w:p w14:paraId="42957DD0">
            <w:pPr>
              <w:widowControl w:val="0"/>
              <w:jc w:val="center"/>
              <w:rPr>
                <w:rFonts w:ascii="宋体" w:hAnsi="宋体" w:eastAsia="宋体"/>
                <w:b/>
                <w:bCs/>
                <w:kern w:val="2"/>
                <w:sz w:val="21"/>
                <w:lang w:eastAsia="zh-CN"/>
              </w:rPr>
            </w:pPr>
            <w:r>
              <w:rPr>
                <w:rFonts w:hint="eastAsia" w:ascii="宋体" w:hAnsi="宋体" w:eastAsia="宋体"/>
                <w:b/>
                <w:bCs/>
                <w:kern w:val="2"/>
                <w:sz w:val="21"/>
                <w:lang w:eastAsia="zh-CN"/>
              </w:rPr>
              <w:t xml:space="preserve">具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体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补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充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内 </w:t>
            </w:r>
            <w:r>
              <w:rPr>
                <w:rFonts w:ascii="宋体" w:hAnsi="宋体" w:eastAsia="宋体"/>
                <w:b/>
                <w:bCs/>
                <w:kern w:val="2"/>
                <w:sz w:val="21"/>
                <w:lang w:eastAsia="zh-CN"/>
              </w:rPr>
              <w:t xml:space="preserve"> </w:t>
            </w:r>
            <w:r>
              <w:rPr>
                <w:rFonts w:hint="eastAsia" w:ascii="宋体" w:hAnsi="宋体" w:eastAsia="宋体"/>
                <w:b/>
                <w:bCs/>
                <w:kern w:val="2"/>
                <w:sz w:val="21"/>
                <w:lang w:eastAsia="zh-CN"/>
              </w:rPr>
              <w:t>容</w:t>
            </w:r>
          </w:p>
        </w:tc>
      </w:tr>
      <w:tr w14:paraId="5BE396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332" w:type="dxa"/>
            <w:gridSpan w:val="3"/>
            <w:vAlign w:val="center"/>
          </w:tcPr>
          <w:p w14:paraId="4E172917">
            <w:pPr>
              <w:widowControl w:val="0"/>
              <w:jc w:val="center"/>
              <w:rPr>
                <w:rFonts w:ascii="宋体" w:hAnsi="宋体" w:eastAsia="宋体"/>
                <w:b/>
                <w:bCs/>
                <w:kern w:val="2"/>
                <w:sz w:val="21"/>
                <w:lang w:eastAsia="zh-CN"/>
              </w:rPr>
            </w:pPr>
            <w:r>
              <w:rPr>
                <w:rFonts w:hint="eastAsia" w:ascii="宋体" w:hAnsi="宋体" w:eastAsia="宋体"/>
                <w:kern w:val="2"/>
                <w:sz w:val="21"/>
                <w:lang w:eastAsia="zh-CN"/>
              </w:rPr>
              <w:t>本项目为自行采购项目，相关事宜按照招标文件要求及采购单位内控制度执行。</w:t>
            </w:r>
          </w:p>
        </w:tc>
      </w:tr>
      <w:tr w14:paraId="3C3534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4E2718EB">
            <w:pPr>
              <w:widowControl w:val="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.1</w:t>
            </w:r>
          </w:p>
        </w:tc>
        <w:tc>
          <w:tcPr>
            <w:tcW w:w="1946" w:type="dxa"/>
            <w:vAlign w:val="center"/>
          </w:tcPr>
          <w:p w14:paraId="4BD0931C">
            <w:pPr>
              <w:widowControl w:val="0"/>
              <w:jc w:val="center"/>
              <w:rPr>
                <w:rFonts w:ascii="宋体" w:hAnsi="宋体" w:eastAsia="宋体"/>
                <w:kern w:val="2"/>
                <w:sz w:val="21"/>
                <w:lang w:eastAsia="zh-CN"/>
              </w:rPr>
            </w:pPr>
            <w:r>
              <w:rPr>
                <w:rFonts w:hint="eastAsia" w:ascii="宋体" w:hAnsi="宋体" w:eastAsia="宋体"/>
                <w:kern w:val="2"/>
                <w:sz w:val="21"/>
                <w:lang w:eastAsia="zh-CN"/>
              </w:rPr>
              <w:t>采购人</w:t>
            </w:r>
          </w:p>
        </w:tc>
        <w:tc>
          <w:tcPr>
            <w:tcW w:w="6416" w:type="dxa"/>
            <w:vAlign w:val="center"/>
          </w:tcPr>
          <w:p w14:paraId="332632CB">
            <w:pPr>
              <w:widowControl w:val="0"/>
              <w:jc w:val="center"/>
              <w:rPr>
                <w:rFonts w:ascii="宋体" w:hAnsi="宋体" w:eastAsia="宋体"/>
                <w:kern w:val="2"/>
                <w:sz w:val="21"/>
                <w:lang w:eastAsia="zh-CN"/>
              </w:rPr>
            </w:pPr>
            <w:r>
              <w:rPr>
                <w:rFonts w:ascii="宋体" w:hAnsi="宋体" w:eastAsia="宋体"/>
                <w:kern w:val="2"/>
                <w:sz w:val="21"/>
                <w:lang w:eastAsia="zh-CN"/>
              </w:rPr>
              <w:t>香港中文大学（深圳）</w:t>
            </w:r>
          </w:p>
        </w:tc>
      </w:tr>
      <w:tr w14:paraId="7A73DC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25F3425F">
            <w:pPr>
              <w:widowControl w:val="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.2</w:t>
            </w:r>
          </w:p>
        </w:tc>
        <w:tc>
          <w:tcPr>
            <w:tcW w:w="1946" w:type="dxa"/>
            <w:vAlign w:val="center"/>
          </w:tcPr>
          <w:p w14:paraId="312A4330">
            <w:pPr>
              <w:widowControl w:val="0"/>
              <w:jc w:val="center"/>
              <w:rPr>
                <w:rFonts w:ascii="宋体" w:hAnsi="宋体" w:eastAsia="宋体"/>
                <w:kern w:val="2"/>
                <w:sz w:val="21"/>
                <w:lang w:eastAsia="zh-CN"/>
              </w:rPr>
            </w:pPr>
            <w:r>
              <w:rPr>
                <w:rFonts w:hint="eastAsia" w:ascii="宋体" w:hAnsi="宋体" w:eastAsia="宋体"/>
                <w:kern w:val="2"/>
                <w:sz w:val="21"/>
                <w:lang w:eastAsia="zh-CN"/>
              </w:rPr>
              <w:t>采购代理机构</w:t>
            </w:r>
          </w:p>
        </w:tc>
        <w:tc>
          <w:tcPr>
            <w:tcW w:w="6416" w:type="dxa"/>
            <w:vAlign w:val="center"/>
          </w:tcPr>
          <w:p w14:paraId="777DDB7A">
            <w:pPr>
              <w:widowControl w:val="0"/>
              <w:jc w:val="center"/>
              <w:rPr>
                <w:rFonts w:ascii="宋体" w:hAnsi="宋体" w:eastAsia="宋体"/>
                <w:kern w:val="2"/>
                <w:sz w:val="21"/>
                <w:lang w:eastAsia="zh-CN"/>
              </w:rPr>
            </w:pPr>
            <w:r>
              <w:rPr>
                <w:rFonts w:hint="eastAsia" w:ascii="宋体" w:hAnsi="宋体" w:eastAsia="宋体"/>
                <w:kern w:val="2"/>
                <w:sz w:val="21"/>
                <w:lang w:eastAsia="zh-CN"/>
              </w:rPr>
              <w:t>深圳公共资源交易中心</w:t>
            </w:r>
          </w:p>
          <w:p w14:paraId="67CA4F30">
            <w:pPr>
              <w:widowControl w:val="0"/>
              <w:jc w:val="center"/>
              <w:rPr>
                <w:rFonts w:ascii="宋体" w:hAnsi="宋体" w:eastAsia="宋体"/>
                <w:kern w:val="2"/>
                <w:sz w:val="21"/>
                <w:lang w:eastAsia="zh-CN"/>
              </w:rPr>
            </w:pPr>
            <w:r>
              <w:rPr>
                <w:rFonts w:hint="eastAsia" w:ascii="宋体" w:hAnsi="宋体" w:eastAsia="宋体"/>
                <w:kern w:val="2"/>
                <w:sz w:val="21"/>
                <w:lang w:eastAsia="zh-CN"/>
              </w:rPr>
              <w:t>（深圳交易集团有限公司政府采购业务分公司）</w:t>
            </w:r>
          </w:p>
        </w:tc>
      </w:tr>
      <w:tr w14:paraId="1EEFFE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428ED6A9">
            <w:pPr>
              <w:widowControl w:val="0"/>
              <w:jc w:val="center"/>
              <w:rPr>
                <w:rFonts w:ascii="宋体" w:hAnsi="宋体" w:eastAsia="宋体"/>
                <w:kern w:val="2"/>
                <w:sz w:val="21"/>
                <w:lang w:eastAsia="zh-CN"/>
              </w:rPr>
            </w:pPr>
            <w:r>
              <w:rPr>
                <w:rFonts w:hint="eastAsia" w:ascii="宋体" w:hAnsi="宋体" w:eastAsia="宋体"/>
                <w:kern w:val="2"/>
                <w:sz w:val="21"/>
                <w:lang w:eastAsia="zh-CN"/>
              </w:rPr>
              <w:t>9</w:t>
            </w:r>
          </w:p>
        </w:tc>
        <w:tc>
          <w:tcPr>
            <w:tcW w:w="1946" w:type="dxa"/>
            <w:vAlign w:val="center"/>
          </w:tcPr>
          <w:p w14:paraId="3212C200">
            <w:pPr>
              <w:widowControl w:val="0"/>
              <w:jc w:val="center"/>
              <w:rPr>
                <w:rFonts w:ascii="宋体" w:hAnsi="宋体" w:eastAsia="宋体"/>
                <w:kern w:val="2"/>
                <w:sz w:val="21"/>
                <w:lang w:eastAsia="zh-CN"/>
              </w:rPr>
            </w:pPr>
            <w:r>
              <w:rPr>
                <w:rFonts w:hint="eastAsia" w:ascii="宋体" w:hAnsi="宋体" w:eastAsia="宋体"/>
                <w:kern w:val="2"/>
                <w:sz w:val="21"/>
                <w:lang w:eastAsia="zh-CN"/>
              </w:rPr>
              <w:t>踏勘现场</w:t>
            </w:r>
          </w:p>
        </w:tc>
        <w:tc>
          <w:tcPr>
            <w:tcW w:w="6416" w:type="dxa"/>
            <w:vAlign w:val="center"/>
          </w:tcPr>
          <w:p w14:paraId="64C20160">
            <w:pPr>
              <w:widowControl w:val="0"/>
              <w:jc w:val="center"/>
              <w:rPr>
                <w:rFonts w:ascii="宋体" w:hAnsi="宋体" w:eastAsia="宋体"/>
                <w:kern w:val="2"/>
                <w:sz w:val="21"/>
                <w:lang w:eastAsia="zh-CN"/>
              </w:rPr>
            </w:pPr>
            <w:r>
              <w:rPr>
                <w:rFonts w:hint="eastAsia" w:ascii="宋体" w:hAnsi="宋体" w:eastAsia="宋体"/>
                <w:kern w:val="2"/>
                <w:sz w:val="21"/>
                <w:lang w:eastAsia="zh-CN"/>
              </w:rPr>
              <w:t>不组织</w:t>
            </w:r>
          </w:p>
        </w:tc>
      </w:tr>
      <w:tr w14:paraId="5AA029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1BEDB3F8">
            <w:pPr>
              <w:widowControl w:val="0"/>
              <w:jc w:val="center"/>
              <w:rPr>
                <w:rFonts w:ascii="宋体" w:hAnsi="宋体" w:eastAsia="宋体"/>
                <w:kern w:val="2"/>
                <w:sz w:val="21"/>
                <w:lang w:eastAsia="zh-CN"/>
              </w:rPr>
            </w:pPr>
            <w:r>
              <w:rPr>
                <w:rFonts w:hint="eastAsia" w:ascii="宋体" w:hAnsi="宋体" w:eastAsia="宋体"/>
                <w:kern w:val="2"/>
                <w:sz w:val="21"/>
                <w:lang w:eastAsia="zh-CN"/>
              </w:rPr>
              <w:t>1</w:t>
            </w:r>
            <w:r>
              <w:rPr>
                <w:rFonts w:ascii="宋体" w:hAnsi="宋体" w:eastAsia="宋体"/>
                <w:kern w:val="2"/>
                <w:sz w:val="21"/>
                <w:lang w:eastAsia="zh-CN"/>
              </w:rPr>
              <w:t>0</w:t>
            </w:r>
          </w:p>
        </w:tc>
        <w:tc>
          <w:tcPr>
            <w:tcW w:w="1946" w:type="dxa"/>
            <w:vAlign w:val="center"/>
          </w:tcPr>
          <w:p w14:paraId="7541CCA4">
            <w:pPr>
              <w:widowControl w:val="0"/>
              <w:jc w:val="center"/>
              <w:rPr>
                <w:rFonts w:ascii="宋体" w:hAnsi="宋体" w:eastAsia="宋体"/>
                <w:kern w:val="2"/>
                <w:sz w:val="21"/>
                <w:lang w:eastAsia="zh-CN"/>
              </w:rPr>
            </w:pPr>
            <w:r>
              <w:rPr>
                <w:rFonts w:hint="eastAsia" w:ascii="宋体" w:hAnsi="宋体" w:eastAsia="宋体"/>
                <w:kern w:val="2"/>
                <w:sz w:val="21"/>
                <w:lang w:eastAsia="zh-CN"/>
              </w:rPr>
              <w:t>标前会议</w:t>
            </w:r>
          </w:p>
        </w:tc>
        <w:tc>
          <w:tcPr>
            <w:tcW w:w="6416" w:type="dxa"/>
            <w:vAlign w:val="center"/>
          </w:tcPr>
          <w:p w14:paraId="56EBE9DC">
            <w:pPr>
              <w:widowControl w:val="0"/>
              <w:jc w:val="center"/>
              <w:rPr>
                <w:rFonts w:ascii="宋体" w:hAnsi="宋体" w:eastAsia="宋体"/>
                <w:kern w:val="2"/>
                <w:sz w:val="21"/>
                <w:lang w:eastAsia="zh-CN"/>
              </w:rPr>
            </w:pPr>
            <w:r>
              <w:rPr>
                <w:rFonts w:hint="eastAsia" w:ascii="宋体" w:hAnsi="宋体" w:eastAsia="宋体"/>
                <w:kern w:val="2"/>
                <w:sz w:val="21"/>
                <w:lang w:eastAsia="zh-CN"/>
              </w:rPr>
              <w:t>不组织</w:t>
            </w:r>
          </w:p>
        </w:tc>
      </w:tr>
      <w:tr w14:paraId="155E4F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6EFDBCF1">
            <w:pPr>
              <w:widowControl w:val="0"/>
              <w:jc w:val="center"/>
              <w:rPr>
                <w:rFonts w:ascii="宋体" w:hAnsi="宋体" w:eastAsia="宋体"/>
                <w:kern w:val="2"/>
                <w:sz w:val="21"/>
                <w:lang w:eastAsia="zh-CN"/>
              </w:rPr>
            </w:pPr>
            <w:r>
              <w:rPr>
                <w:rFonts w:hint="eastAsia" w:ascii="宋体" w:hAnsi="宋体" w:eastAsia="宋体"/>
                <w:kern w:val="2"/>
                <w:sz w:val="21"/>
                <w:lang w:eastAsia="zh-CN"/>
              </w:rPr>
              <w:t>1</w:t>
            </w:r>
            <w:r>
              <w:rPr>
                <w:rFonts w:ascii="宋体" w:hAnsi="宋体" w:eastAsia="宋体"/>
                <w:kern w:val="2"/>
                <w:sz w:val="21"/>
                <w:lang w:eastAsia="zh-CN"/>
              </w:rPr>
              <w:t>2</w:t>
            </w:r>
            <w:r>
              <w:rPr>
                <w:rFonts w:hint="eastAsia" w:ascii="宋体" w:hAnsi="宋体" w:eastAsia="宋体"/>
                <w:kern w:val="2"/>
                <w:sz w:val="21"/>
                <w:lang w:eastAsia="zh-CN"/>
              </w:rPr>
              <w:t>/1</w:t>
            </w:r>
            <w:r>
              <w:rPr>
                <w:rFonts w:ascii="宋体" w:hAnsi="宋体" w:eastAsia="宋体"/>
                <w:kern w:val="2"/>
                <w:sz w:val="21"/>
                <w:lang w:eastAsia="zh-CN"/>
              </w:rPr>
              <w:t>3</w:t>
            </w:r>
          </w:p>
        </w:tc>
        <w:tc>
          <w:tcPr>
            <w:tcW w:w="1946" w:type="dxa"/>
            <w:vAlign w:val="center"/>
          </w:tcPr>
          <w:p w14:paraId="279BAFE4">
            <w:pPr>
              <w:widowControl w:val="0"/>
              <w:jc w:val="center"/>
              <w:rPr>
                <w:rFonts w:ascii="宋体" w:hAnsi="宋体" w:eastAsia="宋体"/>
                <w:kern w:val="2"/>
                <w:sz w:val="21"/>
                <w:lang w:eastAsia="zh-CN"/>
              </w:rPr>
            </w:pPr>
            <w:r>
              <w:rPr>
                <w:rFonts w:hint="eastAsia" w:ascii="宋体" w:hAnsi="宋体" w:eastAsia="宋体"/>
                <w:kern w:val="2"/>
                <w:sz w:val="21"/>
                <w:lang w:eastAsia="zh-CN"/>
              </w:rPr>
              <w:t>招标文件的澄清和修改</w:t>
            </w:r>
          </w:p>
        </w:tc>
        <w:tc>
          <w:tcPr>
            <w:tcW w:w="6416" w:type="dxa"/>
            <w:vAlign w:val="center"/>
          </w:tcPr>
          <w:p w14:paraId="62F1466A">
            <w:pPr>
              <w:widowControl w:val="0"/>
              <w:jc w:val="left"/>
              <w:rPr>
                <w:rFonts w:ascii="宋体" w:hAnsi="宋体" w:eastAsia="宋体"/>
                <w:kern w:val="2"/>
                <w:sz w:val="21"/>
                <w:lang w:eastAsia="zh-CN"/>
              </w:rPr>
            </w:pPr>
            <w:r>
              <w:rPr>
                <w:rFonts w:hint="eastAsia" w:ascii="宋体" w:hAnsi="宋体" w:eastAsia="宋体"/>
                <w:kern w:val="2"/>
                <w:sz w:val="21"/>
                <w:lang w:eastAsia="zh-CN"/>
              </w:rPr>
              <w:t>投标截止日三日前，投标人有义务在招标期间在深圳交易集团（深圳公共资源交易中心）网站浏览与本项目有关的澄清和修改信息</w:t>
            </w:r>
          </w:p>
        </w:tc>
      </w:tr>
      <w:tr w14:paraId="4ADEE1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21775479">
            <w:pPr>
              <w:widowControl w:val="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0</w:t>
            </w:r>
          </w:p>
        </w:tc>
        <w:tc>
          <w:tcPr>
            <w:tcW w:w="1946" w:type="dxa"/>
            <w:vAlign w:val="center"/>
          </w:tcPr>
          <w:p w14:paraId="3361ECA8">
            <w:pPr>
              <w:widowControl w:val="0"/>
              <w:jc w:val="center"/>
              <w:rPr>
                <w:rFonts w:ascii="宋体" w:hAnsi="宋体" w:eastAsia="宋体"/>
                <w:kern w:val="2"/>
                <w:sz w:val="21"/>
                <w:lang w:eastAsia="zh-CN"/>
              </w:rPr>
            </w:pPr>
            <w:r>
              <w:rPr>
                <w:rFonts w:hint="eastAsia" w:ascii="宋体" w:hAnsi="宋体" w:eastAsia="宋体"/>
                <w:kern w:val="2"/>
                <w:sz w:val="21"/>
                <w:lang w:eastAsia="zh-CN"/>
              </w:rPr>
              <w:t>投标有效期</w:t>
            </w:r>
          </w:p>
        </w:tc>
        <w:tc>
          <w:tcPr>
            <w:tcW w:w="6416" w:type="dxa"/>
            <w:vAlign w:val="center"/>
          </w:tcPr>
          <w:p w14:paraId="2DDD6C0D">
            <w:pPr>
              <w:widowControl w:val="0"/>
              <w:jc w:val="center"/>
              <w:rPr>
                <w:rFonts w:ascii="宋体" w:hAnsi="宋体" w:eastAsia="宋体"/>
                <w:kern w:val="2"/>
                <w:sz w:val="21"/>
                <w:lang w:eastAsia="zh-CN"/>
              </w:rPr>
            </w:pPr>
            <w:r>
              <w:rPr>
                <w:rFonts w:hint="eastAsia" w:ascii="宋体" w:hAnsi="宋体" w:eastAsia="宋体"/>
                <w:kern w:val="2"/>
                <w:sz w:val="21"/>
                <w:lang w:eastAsia="zh-CN"/>
              </w:rPr>
              <w:t>120个日历日</w:t>
            </w:r>
          </w:p>
        </w:tc>
      </w:tr>
      <w:tr w14:paraId="58DC7F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1D1CE5B5">
            <w:pPr>
              <w:widowControl w:val="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2</w:t>
            </w:r>
          </w:p>
        </w:tc>
        <w:tc>
          <w:tcPr>
            <w:tcW w:w="1946" w:type="dxa"/>
            <w:vAlign w:val="center"/>
          </w:tcPr>
          <w:p w14:paraId="7A52BB8D">
            <w:pPr>
              <w:widowControl w:val="0"/>
              <w:jc w:val="center"/>
              <w:rPr>
                <w:rFonts w:ascii="宋体" w:hAnsi="宋体" w:eastAsia="宋体"/>
                <w:kern w:val="2"/>
                <w:sz w:val="21"/>
                <w:lang w:eastAsia="zh-CN"/>
              </w:rPr>
            </w:pPr>
            <w:r>
              <w:rPr>
                <w:rFonts w:hint="eastAsia" w:ascii="宋体" w:hAnsi="宋体" w:eastAsia="宋体"/>
                <w:kern w:val="2"/>
                <w:sz w:val="21"/>
                <w:lang w:eastAsia="zh-CN"/>
              </w:rPr>
              <w:t>投标人的替代方案</w:t>
            </w:r>
          </w:p>
        </w:tc>
        <w:tc>
          <w:tcPr>
            <w:tcW w:w="6416" w:type="dxa"/>
            <w:vAlign w:val="center"/>
          </w:tcPr>
          <w:p w14:paraId="07986533">
            <w:pPr>
              <w:widowControl w:val="0"/>
              <w:jc w:val="center"/>
              <w:rPr>
                <w:rFonts w:ascii="宋体" w:hAnsi="宋体" w:eastAsia="宋体"/>
                <w:kern w:val="2"/>
                <w:sz w:val="21"/>
                <w:lang w:eastAsia="zh-CN"/>
              </w:rPr>
            </w:pPr>
            <w:r>
              <w:rPr>
                <w:rFonts w:hint="eastAsia" w:ascii="宋体" w:hAnsi="宋体" w:eastAsia="宋体"/>
                <w:kern w:val="2"/>
                <w:sz w:val="21"/>
                <w:lang w:eastAsia="zh-CN"/>
              </w:rPr>
              <w:t>不接受</w:t>
            </w:r>
          </w:p>
        </w:tc>
      </w:tr>
      <w:tr w14:paraId="5EB653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729DCC4C">
            <w:pPr>
              <w:widowControl w:val="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5</w:t>
            </w:r>
          </w:p>
        </w:tc>
        <w:tc>
          <w:tcPr>
            <w:tcW w:w="1946" w:type="dxa"/>
            <w:vAlign w:val="center"/>
          </w:tcPr>
          <w:p w14:paraId="7546309A">
            <w:pPr>
              <w:widowControl w:val="0"/>
              <w:jc w:val="center"/>
              <w:rPr>
                <w:rFonts w:ascii="宋体" w:hAnsi="宋体" w:eastAsia="宋体"/>
                <w:kern w:val="2"/>
                <w:sz w:val="21"/>
                <w:lang w:eastAsia="zh-CN"/>
              </w:rPr>
            </w:pPr>
            <w:r>
              <w:rPr>
                <w:rFonts w:hint="eastAsia" w:ascii="宋体" w:hAnsi="宋体" w:eastAsia="宋体"/>
                <w:kern w:val="2"/>
                <w:sz w:val="21"/>
                <w:lang w:eastAsia="zh-CN"/>
              </w:rPr>
              <w:t>投标文件的大小</w:t>
            </w:r>
          </w:p>
        </w:tc>
        <w:tc>
          <w:tcPr>
            <w:tcW w:w="6416" w:type="dxa"/>
            <w:vAlign w:val="center"/>
          </w:tcPr>
          <w:p w14:paraId="0A33725E">
            <w:pPr>
              <w:widowControl w:val="0"/>
              <w:jc w:val="center"/>
              <w:rPr>
                <w:rFonts w:ascii="宋体" w:hAnsi="宋体" w:eastAsia="宋体"/>
                <w:kern w:val="2"/>
                <w:sz w:val="21"/>
                <w:lang w:eastAsia="zh-CN"/>
              </w:rPr>
            </w:pPr>
            <w:r>
              <w:rPr>
                <w:rFonts w:hint="eastAsia" w:ascii="宋体" w:hAnsi="宋体" w:eastAsia="宋体"/>
                <w:kern w:val="2"/>
                <w:sz w:val="21"/>
                <w:lang w:eastAsia="zh-CN"/>
              </w:rPr>
              <w:t>投标文件大小不得超过</w:t>
            </w:r>
            <w:r>
              <w:rPr>
                <w:rFonts w:ascii="宋体" w:hAnsi="宋体" w:eastAsia="宋体"/>
                <w:kern w:val="2"/>
                <w:sz w:val="21"/>
                <w:lang w:eastAsia="zh-CN"/>
              </w:rPr>
              <w:t>1</w:t>
            </w:r>
            <w:r>
              <w:rPr>
                <w:rFonts w:hint="eastAsia" w:ascii="宋体" w:hAnsi="宋体" w:eastAsia="宋体"/>
                <w:kern w:val="2"/>
                <w:sz w:val="21"/>
                <w:lang w:eastAsia="zh-CN"/>
              </w:rPr>
              <w:t>00MB</w:t>
            </w:r>
          </w:p>
        </w:tc>
      </w:tr>
      <w:tr w14:paraId="05E880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694F8913">
            <w:pPr>
              <w:widowControl w:val="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6</w:t>
            </w:r>
          </w:p>
        </w:tc>
        <w:tc>
          <w:tcPr>
            <w:tcW w:w="1946" w:type="dxa"/>
            <w:vAlign w:val="center"/>
          </w:tcPr>
          <w:p w14:paraId="5F1EE941">
            <w:pPr>
              <w:widowControl w:val="0"/>
              <w:jc w:val="center"/>
              <w:rPr>
                <w:rFonts w:ascii="宋体" w:hAnsi="宋体" w:eastAsia="宋体"/>
                <w:kern w:val="2"/>
                <w:sz w:val="21"/>
                <w:lang w:eastAsia="zh-CN"/>
              </w:rPr>
            </w:pPr>
            <w:bookmarkStart w:id="31" w:name="_Hlk71664860"/>
            <w:r>
              <w:rPr>
                <w:rFonts w:hint="eastAsia" w:ascii="宋体" w:hAnsi="宋体" w:eastAsia="宋体"/>
                <w:kern w:val="2"/>
                <w:sz w:val="21"/>
                <w:lang w:eastAsia="zh-CN"/>
              </w:rPr>
              <w:t>样品、演示、方案讲解</w:t>
            </w:r>
            <w:bookmarkEnd w:id="31"/>
          </w:p>
        </w:tc>
        <w:tc>
          <w:tcPr>
            <w:tcW w:w="6416" w:type="dxa"/>
            <w:vAlign w:val="center"/>
          </w:tcPr>
          <w:p w14:paraId="3F9C3891">
            <w:pPr>
              <w:widowControl w:val="0"/>
              <w:jc w:val="both"/>
              <w:rPr>
                <w:rFonts w:ascii="宋体" w:hAnsi="宋体" w:eastAsia="宋体"/>
                <w:kern w:val="2"/>
                <w:sz w:val="21"/>
                <w:lang w:eastAsia="zh-CN"/>
              </w:rPr>
            </w:pPr>
            <w:r>
              <w:rPr>
                <w:rFonts w:hint="eastAsia" w:ascii="宋体" w:hAnsi="宋体" w:eastAsia="宋体"/>
                <w:kern w:val="2"/>
                <w:sz w:val="21"/>
                <w:lang w:eastAsia="zh-CN"/>
              </w:rPr>
              <w:t>如有样品、演示、方案讲解，具体安排见第三章 用户需求书相关要求</w:t>
            </w:r>
          </w:p>
        </w:tc>
      </w:tr>
      <w:tr w14:paraId="488013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5835F347">
            <w:pPr>
              <w:widowControl w:val="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7</w:t>
            </w:r>
          </w:p>
        </w:tc>
        <w:tc>
          <w:tcPr>
            <w:tcW w:w="1946" w:type="dxa"/>
            <w:vAlign w:val="center"/>
          </w:tcPr>
          <w:p w14:paraId="0EA718C0">
            <w:pPr>
              <w:widowControl w:val="0"/>
              <w:jc w:val="center"/>
              <w:rPr>
                <w:rFonts w:ascii="宋体" w:hAnsi="宋体" w:eastAsia="宋体"/>
                <w:kern w:val="2"/>
                <w:sz w:val="21"/>
                <w:lang w:eastAsia="zh-CN"/>
              </w:rPr>
            </w:pPr>
            <w:r>
              <w:rPr>
                <w:rFonts w:hint="eastAsia" w:ascii="宋体" w:hAnsi="宋体" w:eastAsia="宋体"/>
                <w:kern w:val="2"/>
                <w:sz w:val="21"/>
                <w:lang w:eastAsia="zh-CN"/>
              </w:rPr>
              <w:t>评审方法</w:t>
            </w:r>
          </w:p>
        </w:tc>
        <w:tc>
          <w:tcPr>
            <w:tcW w:w="6416" w:type="dxa"/>
            <w:vAlign w:val="center"/>
          </w:tcPr>
          <w:p w14:paraId="21513909">
            <w:pPr>
              <w:widowControl w:val="0"/>
              <w:jc w:val="center"/>
              <w:rPr>
                <w:rFonts w:ascii="宋体" w:hAnsi="宋体" w:eastAsia="宋体"/>
                <w:kern w:val="2"/>
                <w:sz w:val="21"/>
                <w:lang w:eastAsia="zh-CN"/>
              </w:rPr>
            </w:pPr>
            <w:r>
              <w:rPr>
                <w:rFonts w:hint="eastAsia" w:ascii="宋体" w:hAnsi="宋体" w:eastAsia="宋体"/>
                <w:kern w:val="2"/>
                <w:sz w:val="21"/>
                <w:lang w:eastAsia="zh-CN"/>
              </w:rPr>
              <w:t>综合评分法</w:t>
            </w:r>
          </w:p>
        </w:tc>
      </w:tr>
      <w:tr w14:paraId="564EAF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9" w:hRule="atLeast"/>
          <w:jc w:val="center"/>
        </w:trPr>
        <w:tc>
          <w:tcPr>
            <w:tcW w:w="970" w:type="dxa"/>
            <w:vAlign w:val="center"/>
          </w:tcPr>
          <w:p w14:paraId="677F28D6">
            <w:pPr>
              <w:widowControl w:val="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8</w:t>
            </w:r>
          </w:p>
        </w:tc>
        <w:tc>
          <w:tcPr>
            <w:tcW w:w="1946" w:type="dxa"/>
            <w:vAlign w:val="center"/>
          </w:tcPr>
          <w:p w14:paraId="6F03E70C">
            <w:pPr>
              <w:widowControl w:val="0"/>
              <w:jc w:val="center"/>
              <w:rPr>
                <w:rFonts w:ascii="宋体" w:hAnsi="宋体" w:eastAsia="宋体"/>
                <w:kern w:val="2"/>
                <w:sz w:val="21"/>
                <w:lang w:eastAsia="zh-CN"/>
              </w:rPr>
            </w:pPr>
            <w:r>
              <w:rPr>
                <w:rFonts w:hint="eastAsia" w:ascii="宋体" w:hAnsi="宋体" w:eastAsia="宋体"/>
                <w:kern w:val="2"/>
                <w:sz w:val="21"/>
                <w:lang w:eastAsia="zh-CN"/>
              </w:rPr>
              <w:t>定标方法</w:t>
            </w:r>
          </w:p>
        </w:tc>
        <w:tc>
          <w:tcPr>
            <w:tcW w:w="6416" w:type="dxa"/>
            <w:vAlign w:val="center"/>
          </w:tcPr>
          <w:p w14:paraId="2DD861CB">
            <w:pPr>
              <w:widowControl w:val="0"/>
              <w:jc w:val="center"/>
              <w:rPr>
                <w:rFonts w:ascii="宋体" w:hAnsi="宋体" w:eastAsia="宋体"/>
                <w:kern w:val="2"/>
                <w:sz w:val="21"/>
                <w:lang w:eastAsia="zh-CN"/>
              </w:rPr>
            </w:pPr>
            <w:r>
              <w:rPr>
                <w:rFonts w:hint="eastAsia" w:ascii="宋体" w:hAnsi="宋体" w:eastAsia="宋体"/>
                <w:kern w:val="2"/>
                <w:sz w:val="21"/>
                <w:lang w:eastAsia="zh-CN"/>
              </w:rPr>
              <w:t>非评定分离</w:t>
            </w:r>
          </w:p>
        </w:tc>
      </w:tr>
      <w:tr w14:paraId="307A07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7B05B720">
            <w:pPr>
              <w:widowControl w:val="0"/>
              <w:jc w:val="center"/>
              <w:rPr>
                <w:rFonts w:ascii="宋体" w:hAnsi="宋体" w:eastAsia="宋体"/>
                <w:kern w:val="2"/>
                <w:sz w:val="21"/>
                <w:lang w:eastAsia="zh-CN"/>
              </w:rPr>
            </w:pPr>
            <w:r>
              <w:rPr>
                <w:rFonts w:hint="eastAsia" w:ascii="宋体" w:hAnsi="宋体" w:eastAsia="宋体"/>
                <w:kern w:val="2"/>
                <w:sz w:val="21"/>
                <w:lang w:eastAsia="zh-CN"/>
              </w:rPr>
              <w:t>42</w:t>
            </w:r>
          </w:p>
        </w:tc>
        <w:tc>
          <w:tcPr>
            <w:tcW w:w="1946" w:type="dxa"/>
            <w:vAlign w:val="center"/>
          </w:tcPr>
          <w:p w14:paraId="1DA190CE">
            <w:pPr>
              <w:widowControl w:val="0"/>
              <w:jc w:val="both"/>
              <w:rPr>
                <w:rFonts w:ascii="宋体" w:hAnsi="宋体" w:eastAsia="宋体"/>
                <w:kern w:val="2"/>
                <w:sz w:val="21"/>
                <w:lang w:eastAsia="zh-CN"/>
              </w:rPr>
            </w:pPr>
            <w:r>
              <w:rPr>
                <w:rFonts w:hint="eastAsia" w:ascii="宋体" w:hAnsi="宋体" w:eastAsia="宋体"/>
                <w:kern w:val="2"/>
                <w:sz w:val="21"/>
                <w:lang w:eastAsia="zh-CN"/>
              </w:rPr>
              <w:t>公开招标失败的处理</w:t>
            </w:r>
          </w:p>
        </w:tc>
        <w:tc>
          <w:tcPr>
            <w:tcW w:w="6416" w:type="dxa"/>
            <w:vAlign w:val="center"/>
          </w:tcPr>
          <w:p w14:paraId="7AF824E4">
            <w:pPr>
              <w:widowControl w:val="0"/>
              <w:jc w:val="left"/>
              <w:rPr>
                <w:rFonts w:ascii="宋体" w:hAnsi="宋体" w:eastAsia="宋体"/>
                <w:b/>
                <w:kern w:val="2"/>
                <w:sz w:val="21"/>
                <w:lang w:eastAsia="zh-CN"/>
              </w:rPr>
            </w:pPr>
            <w:r>
              <w:rPr>
                <w:rFonts w:hint="eastAsia" w:ascii="宋体" w:hAnsi="宋体" w:eastAsia="宋体"/>
                <w:kern w:val="2"/>
                <w:sz w:val="21"/>
                <w:lang w:eastAsia="zh-CN"/>
              </w:rPr>
              <w:t>公开招标有效供应商不足三家的，项目公开招标失败，重新采购。</w:t>
            </w:r>
          </w:p>
        </w:tc>
      </w:tr>
      <w:tr w14:paraId="1AEF29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7C1FE990">
            <w:pPr>
              <w:widowControl w:val="0"/>
              <w:jc w:val="center"/>
              <w:rPr>
                <w:rFonts w:ascii="宋体" w:hAnsi="宋体" w:eastAsia="宋体"/>
                <w:kern w:val="2"/>
                <w:sz w:val="21"/>
                <w:lang w:eastAsia="zh-CN"/>
              </w:rPr>
            </w:pPr>
            <w:r>
              <w:rPr>
                <w:rFonts w:hint="eastAsia" w:ascii="宋体" w:hAnsi="宋体" w:eastAsia="宋体"/>
                <w:kern w:val="2"/>
                <w:sz w:val="21"/>
                <w:lang w:eastAsia="zh-CN"/>
              </w:rPr>
              <w:t>4</w:t>
            </w:r>
            <w:r>
              <w:rPr>
                <w:rFonts w:ascii="宋体" w:hAnsi="宋体" w:eastAsia="宋体"/>
                <w:kern w:val="2"/>
                <w:sz w:val="21"/>
                <w:lang w:eastAsia="zh-CN"/>
              </w:rPr>
              <w:t>6</w:t>
            </w:r>
          </w:p>
        </w:tc>
        <w:tc>
          <w:tcPr>
            <w:tcW w:w="1946" w:type="dxa"/>
            <w:vAlign w:val="center"/>
          </w:tcPr>
          <w:p w14:paraId="22F5EE70">
            <w:pPr>
              <w:widowControl w:val="0"/>
              <w:jc w:val="center"/>
              <w:rPr>
                <w:rFonts w:ascii="宋体" w:hAnsi="宋体" w:eastAsia="宋体"/>
                <w:kern w:val="2"/>
                <w:sz w:val="21"/>
                <w:lang w:eastAsia="zh-CN"/>
              </w:rPr>
            </w:pPr>
            <w:r>
              <w:rPr>
                <w:rFonts w:hint="eastAsia" w:ascii="宋体" w:hAnsi="宋体" w:eastAsia="宋体"/>
                <w:kern w:val="2"/>
                <w:sz w:val="21"/>
                <w:lang w:eastAsia="zh-CN"/>
              </w:rPr>
              <w:t>履约担保</w:t>
            </w:r>
          </w:p>
        </w:tc>
        <w:tc>
          <w:tcPr>
            <w:tcW w:w="6416" w:type="dxa"/>
            <w:vAlign w:val="center"/>
          </w:tcPr>
          <w:p w14:paraId="336ED100">
            <w:pPr>
              <w:widowControl w:val="0"/>
              <w:jc w:val="both"/>
              <w:rPr>
                <w:rFonts w:ascii="宋体" w:hAnsi="宋体" w:eastAsia="宋体"/>
                <w:kern w:val="2"/>
                <w:sz w:val="21"/>
                <w:lang w:eastAsia="zh-CN"/>
              </w:rPr>
            </w:pPr>
            <w:r>
              <w:rPr>
                <w:rFonts w:hint="eastAsia" w:ascii="宋体" w:hAnsi="宋体" w:eastAsia="宋体"/>
                <w:kern w:val="2"/>
                <w:sz w:val="21"/>
                <w:lang w:eastAsia="zh-CN"/>
              </w:rPr>
              <w:t>需要，</w:t>
            </w:r>
            <w:r>
              <w:rPr>
                <w:rFonts w:hint="eastAsia" w:eastAsia="宋体"/>
                <w:kern w:val="2"/>
                <w:sz w:val="21"/>
                <w:lang w:eastAsia="zh-CN"/>
              </w:rPr>
              <w:t>合同金额的</w:t>
            </w:r>
            <w:r>
              <w:rPr>
                <w:rFonts w:eastAsia="宋体"/>
                <w:kern w:val="2"/>
                <w:sz w:val="21"/>
                <w:lang w:eastAsia="zh-CN"/>
              </w:rPr>
              <w:t>5</w:t>
            </w:r>
            <w:r>
              <w:rPr>
                <w:rFonts w:hint="eastAsia" w:eastAsia="宋体"/>
                <w:kern w:val="2"/>
                <w:sz w:val="21"/>
                <w:lang w:eastAsia="zh-CN"/>
              </w:rPr>
              <w:t xml:space="preserve"> %，投标供应商自主选择以支票、汇票、本票、保函等非现金形式缴纳或提交。履约保证金在中标人履行完成合同约定权利义务事项在合同期满之日起</w:t>
            </w:r>
            <w:r>
              <w:rPr>
                <w:rFonts w:eastAsia="宋体"/>
                <w:kern w:val="2"/>
                <w:sz w:val="21"/>
                <w:lang w:eastAsia="zh-CN"/>
              </w:rPr>
              <w:t>30</w:t>
            </w:r>
            <w:r>
              <w:rPr>
                <w:rFonts w:hint="eastAsia" w:eastAsia="宋体"/>
                <w:kern w:val="2"/>
                <w:sz w:val="21"/>
                <w:lang w:eastAsia="zh-CN"/>
              </w:rPr>
              <w:t>日内按原方式退还，不计利息。采购人逾期退还履约保证金的，向中标人每日偿付履约保证金的0.</w:t>
            </w:r>
            <w:r>
              <w:rPr>
                <w:rFonts w:eastAsia="宋体"/>
                <w:kern w:val="2"/>
                <w:sz w:val="21"/>
                <w:lang w:eastAsia="zh-CN"/>
              </w:rPr>
              <w:t>1</w:t>
            </w:r>
            <w:r>
              <w:rPr>
                <w:rFonts w:hint="eastAsia" w:eastAsia="宋体"/>
                <w:kern w:val="2"/>
                <w:sz w:val="21"/>
                <w:lang w:eastAsia="zh-CN"/>
              </w:rPr>
              <w:t>‰的利息。因中标人原因而未能达到本项目验收标准或验收不通过的，履约保证金不予退还。</w:t>
            </w:r>
          </w:p>
        </w:tc>
      </w:tr>
      <w:tr w14:paraId="5B75E2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10AA2C22">
            <w:pPr>
              <w:widowControl w:val="0"/>
              <w:jc w:val="center"/>
              <w:rPr>
                <w:rFonts w:ascii="宋体" w:hAnsi="宋体" w:eastAsia="宋体"/>
                <w:kern w:val="2"/>
                <w:sz w:val="21"/>
                <w:lang w:eastAsia="zh-CN"/>
              </w:rPr>
            </w:pPr>
            <w:r>
              <w:rPr>
                <w:rFonts w:hint="eastAsia" w:ascii="宋体" w:hAnsi="宋体" w:eastAsia="宋体"/>
                <w:kern w:val="2"/>
                <w:sz w:val="21"/>
                <w:lang w:eastAsia="zh-CN"/>
              </w:rPr>
              <w:t>52.8</w:t>
            </w:r>
          </w:p>
        </w:tc>
        <w:tc>
          <w:tcPr>
            <w:tcW w:w="1946" w:type="dxa"/>
            <w:vAlign w:val="center"/>
          </w:tcPr>
          <w:p w14:paraId="4B2D30C1">
            <w:pPr>
              <w:widowControl w:val="0"/>
              <w:jc w:val="center"/>
              <w:rPr>
                <w:rFonts w:ascii="宋体" w:hAnsi="宋体" w:eastAsia="宋体"/>
                <w:kern w:val="2"/>
                <w:sz w:val="21"/>
                <w:lang w:eastAsia="zh-CN"/>
              </w:rPr>
            </w:pPr>
            <w:r>
              <w:rPr>
                <w:rFonts w:hint="eastAsia" w:ascii="宋体" w:hAnsi="宋体" w:eastAsia="宋体"/>
                <w:kern w:val="2"/>
                <w:sz w:val="21"/>
                <w:lang w:eastAsia="zh-CN"/>
              </w:rPr>
              <w:t>投诉</w:t>
            </w:r>
          </w:p>
        </w:tc>
        <w:tc>
          <w:tcPr>
            <w:tcW w:w="6416" w:type="dxa"/>
            <w:vAlign w:val="center"/>
          </w:tcPr>
          <w:p w14:paraId="0C5C9E17">
            <w:pPr>
              <w:widowControl w:val="0"/>
              <w:jc w:val="both"/>
              <w:rPr>
                <w:rFonts w:ascii="宋体" w:hAnsi="宋体" w:eastAsia="宋体"/>
                <w:b/>
                <w:kern w:val="2"/>
                <w:sz w:val="21"/>
                <w:lang w:eastAsia="zh-CN"/>
              </w:rPr>
            </w:pPr>
            <w:r>
              <w:rPr>
                <w:rFonts w:hint="eastAsia" w:ascii="宋体" w:hAnsi="宋体" w:eastAsia="宋体"/>
                <w:kern w:val="2"/>
                <w:sz w:val="21"/>
                <w:lang w:eastAsia="zh-CN"/>
              </w:rPr>
              <w:t>对被质疑人的答复不满意或者被质疑人未在规定时间内答复的，提出质疑的供应商可以在答复期满后十五个工作日内向本项目采购人投诉。供应商投诉的事项应当是经过质疑的事项。</w:t>
            </w:r>
          </w:p>
        </w:tc>
      </w:tr>
    </w:tbl>
    <w:p w14:paraId="3DA6EDB4">
      <w:pPr>
        <w:widowControl w:val="0"/>
        <w:jc w:val="both"/>
        <w:rPr>
          <w:rFonts w:eastAsia="宋体"/>
          <w:b/>
          <w:kern w:val="2"/>
          <w:sz w:val="21"/>
          <w:lang w:eastAsia="zh-CN"/>
        </w:rPr>
      </w:pPr>
      <w:r>
        <w:rPr>
          <w:rFonts w:hint="eastAsia" w:eastAsia="宋体"/>
          <w:kern w:val="2"/>
          <w:sz w:val="21"/>
          <w:szCs w:val="21"/>
          <w:lang w:eastAsia="zh-CN"/>
        </w:rPr>
        <w:t>备注：本表是通用条款相关条款的补充和明确，如与通用条款内容相冲突的，以本表为准。</w:t>
      </w:r>
    </w:p>
    <w:p w14:paraId="5A1D536D">
      <w:pPr>
        <w:keepNext/>
        <w:keepLines/>
        <w:widowControl w:val="0"/>
        <w:adjustRightInd w:val="0"/>
        <w:spacing w:before="156" w:beforeLines="50" w:after="156" w:afterLines="50" w:line="240" w:lineRule="auto"/>
        <w:jc w:val="center"/>
        <w:textAlignment w:val="baseline"/>
        <w:outlineLvl w:val="1"/>
        <w:rPr>
          <w:rFonts w:ascii="宋体" w:hAnsi="宋体" w:eastAsia="宋体"/>
          <w:b/>
          <w:bCs/>
          <w:lang w:eastAsia="zh-CN"/>
        </w:rPr>
      </w:pPr>
      <w:r>
        <w:rPr>
          <w:rFonts w:hint="eastAsia" w:ascii="宋体" w:hAnsi="宋体" w:eastAsia="宋体"/>
          <w:b/>
          <w:bCs/>
          <w:lang w:eastAsia="zh-CN"/>
        </w:rPr>
        <w:t>二、其他关键信息</w:t>
      </w:r>
    </w:p>
    <w:p w14:paraId="3D781163">
      <w:pPr>
        <w:widowControl w:val="0"/>
        <w:ind w:firstLine="422" w:firstLineChars="200"/>
        <w:jc w:val="both"/>
        <w:rPr>
          <w:rFonts w:eastAsia="宋体"/>
          <w:b/>
          <w:bCs/>
          <w:kern w:val="2"/>
          <w:sz w:val="21"/>
          <w:lang w:eastAsia="zh-CN"/>
        </w:rPr>
      </w:pPr>
      <w:r>
        <w:rPr>
          <w:rFonts w:hint="eastAsia" w:eastAsia="宋体"/>
          <w:b/>
          <w:bCs/>
          <w:kern w:val="2"/>
          <w:sz w:val="21"/>
          <w:lang w:eastAsia="zh-CN"/>
        </w:rPr>
        <w:t>（一）与“对通用条款的补充内容”章节相关的事项</w:t>
      </w:r>
    </w:p>
    <w:p w14:paraId="54DA65CF">
      <w:pPr>
        <w:widowControl w:val="0"/>
        <w:spacing w:line="276" w:lineRule="auto"/>
        <w:ind w:firstLine="422" w:firstLineChars="200"/>
        <w:jc w:val="left"/>
        <w:rPr>
          <w:rFonts w:ascii="宋体" w:hAnsi="宋体" w:eastAsia="宋体"/>
          <w:b/>
          <w:sz w:val="21"/>
          <w:szCs w:val="20"/>
          <w:lang w:eastAsia="zh-CN"/>
        </w:rPr>
      </w:pPr>
      <w:bookmarkStart w:id="32" w:name="_Hlk72579465"/>
      <w:r>
        <w:rPr>
          <w:rFonts w:hint="eastAsia" w:ascii="宋体" w:hAnsi="宋体" w:eastAsia="宋体"/>
          <w:b/>
          <w:sz w:val="21"/>
          <w:szCs w:val="20"/>
          <w:lang w:eastAsia="zh-CN"/>
        </w:rPr>
        <w:t>1、评标定标信息</w:t>
      </w:r>
    </w:p>
    <w:p w14:paraId="28FA9E00">
      <w:pPr>
        <w:widowControl w:val="0"/>
        <w:jc w:val="center"/>
        <w:rPr>
          <w:rFonts w:eastAsia="宋体"/>
          <w:kern w:val="2"/>
          <w:sz w:val="21"/>
          <w:lang w:eastAsia="zh-CN"/>
        </w:rPr>
      </w:pPr>
      <w:r>
        <w:rPr>
          <w:rFonts w:hint="eastAsia" w:eastAsia="宋体"/>
          <w:b/>
          <w:kern w:val="2"/>
          <w:sz w:val="21"/>
          <w:lang w:eastAsia="zh-CN"/>
        </w:rPr>
        <w:t>非评定分离项目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2"/>
        <w:gridCol w:w="5872"/>
      </w:tblGrid>
      <w:tr w14:paraId="0C37E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Pr>
          <w:p w14:paraId="13063218">
            <w:pPr>
              <w:widowControl w:val="0"/>
              <w:jc w:val="center"/>
              <w:rPr>
                <w:rFonts w:eastAsia="宋体"/>
                <w:kern w:val="2"/>
                <w:sz w:val="21"/>
                <w:lang w:eastAsia="zh-CN"/>
              </w:rPr>
            </w:pPr>
            <w:r>
              <w:rPr>
                <w:rFonts w:hint="eastAsia" w:eastAsia="宋体"/>
                <w:kern w:val="2"/>
                <w:sz w:val="21"/>
                <w:lang w:eastAsia="zh-CN"/>
              </w:rPr>
              <w:t>评标方法</w:t>
            </w:r>
          </w:p>
        </w:tc>
        <w:tc>
          <w:tcPr>
            <w:tcW w:w="5331" w:type="dxa"/>
          </w:tcPr>
          <w:p w14:paraId="2F2C97BC">
            <w:pPr>
              <w:widowControl w:val="0"/>
              <w:jc w:val="center"/>
              <w:rPr>
                <w:rFonts w:eastAsia="宋体"/>
                <w:kern w:val="2"/>
                <w:sz w:val="21"/>
                <w:lang w:eastAsia="zh-CN"/>
              </w:rPr>
            </w:pPr>
            <w:r>
              <w:rPr>
                <w:rFonts w:hint="eastAsia" w:eastAsia="宋体"/>
                <w:kern w:val="2"/>
                <w:sz w:val="21"/>
                <w:lang w:eastAsia="zh-CN"/>
              </w:rPr>
              <w:t>综合评分法</w:t>
            </w:r>
          </w:p>
        </w:tc>
      </w:tr>
      <w:tr w14:paraId="6711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Pr>
          <w:p w14:paraId="421ACCC5">
            <w:pPr>
              <w:widowControl w:val="0"/>
              <w:jc w:val="center"/>
              <w:rPr>
                <w:rFonts w:eastAsia="宋体"/>
                <w:kern w:val="2"/>
                <w:sz w:val="21"/>
                <w:lang w:eastAsia="zh-CN"/>
              </w:rPr>
            </w:pPr>
            <w:r>
              <w:rPr>
                <w:rFonts w:hint="eastAsia" w:eastAsia="宋体"/>
                <w:kern w:val="2"/>
                <w:sz w:val="21"/>
                <w:lang w:eastAsia="zh-CN"/>
              </w:rPr>
              <w:t>候选中标供应商家数</w:t>
            </w:r>
          </w:p>
        </w:tc>
        <w:tc>
          <w:tcPr>
            <w:tcW w:w="5331" w:type="dxa"/>
          </w:tcPr>
          <w:p w14:paraId="733F7F81">
            <w:pPr>
              <w:widowControl w:val="0"/>
              <w:jc w:val="center"/>
              <w:rPr>
                <w:rFonts w:eastAsia="宋体"/>
                <w:kern w:val="2"/>
                <w:sz w:val="21"/>
                <w:lang w:eastAsia="zh-CN"/>
              </w:rPr>
            </w:pPr>
            <w:r>
              <w:rPr>
                <w:rFonts w:hint="eastAsia" w:eastAsia="宋体"/>
                <w:kern w:val="2"/>
                <w:sz w:val="21"/>
                <w:lang w:eastAsia="zh-CN"/>
              </w:rPr>
              <w:t>3</w:t>
            </w:r>
          </w:p>
        </w:tc>
      </w:tr>
      <w:tr w14:paraId="358C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Pr>
          <w:p w14:paraId="67E3C29F">
            <w:pPr>
              <w:widowControl w:val="0"/>
              <w:jc w:val="center"/>
              <w:rPr>
                <w:rFonts w:eastAsia="宋体"/>
                <w:kern w:val="2"/>
                <w:sz w:val="21"/>
                <w:lang w:eastAsia="zh-CN"/>
              </w:rPr>
            </w:pPr>
            <w:r>
              <w:rPr>
                <w:rFonts w:hint="eastAsia" w:eastAsia="宋体"/>
                <w:kern w:val="2"/>
                <w:sz w:val="21"/>
                <w:lang w:eastAsia="zh-CN"/>
              </w:rPr>
              <w:t>中标供应商家数</w:t>
            </w:r>
          </w:p>
        </w:tc>
        <w:tc>
          <w:tcPr>
            <w:tcW w:w="5331" w:type="dxa"/>
          </w:tcPr>
          <w:p w14:paraId="474126AF">
            <w:pPr>
              <w:widowControl w:val="0"/>
              <w:jc w:val="center"/>
              <w:rPr>
                <w:rFonts w:eastAsia="宋体"/>
                <w:kern w:val="2"/>
                <w:sz w:val="21"/>
                <w:lang w:eastAsia="zh-CN"/>
              </w:rPr>
            </w:pPr>
            <w:r>
              <w:rPr>
                <w:rFonts w:hint="eastAsia" w:eastAsia="宋体"/>
                <w:kern w:val="2"/>
                <w:sz w:val="21"/>
                <w:lang w:eastAsia="zh-CN"/>
              </w:rPr>
              <w:t>1</w:t>
            </w:r>
          </w:p>
        </w:tc>
      </w:tr>
      <w:bookmarkEnd w:id="32"/>
    </w:tbl>
    <w:p w14:paraId="6EFC73E1">
      <w:pPr>
        <w:widowControl w:val="0"/>
        <w:ind w:firstLine="422" w:firstLineChars="200"/>
        <w:jc w:val="both"/>
        <w:rPr>
          <w:rFonts w:eastAsia="宋体"/>
          <w:b/>
          <w:kern w:val="2"/>
          <w:sz w:val="21"/>
          <w:lang w:eastAsia="zh-CN"/>
        </w:rPr>
      </w:pPr>
      <w:r>
        <w:rPr>
          <w:rFonts w:hint="eastAsia" w:eastAsia="宋体"/>
          <w:b/>
          <w:kern w:val="2"/>
          <w:sz w:val="21"/>
          <w:lang w:eastAsia="zh-CN"/>
        </w:rPr>
        <w:t>（二）其他事项</w:t>
      </w:r>
    </w:p>
    <w:p w14:paraId="7CAB1135">
      <w:pPr>
        <w:widowControl w:val="0"/>
        <w:ind w:firstLine="422" w:firstLineChars="200"/>
        <w:jc w:val="both"/>
        <w:rPr>
          <w:rFonts w:eastAsia="宋体"/>
          <w:b/>
          <w:bCs/>
          <w:kern w:val="2"/>
          <w:sz w:val="21"/>
          <w:lang w:eastAsia="zh-CN"/>
        </w:rPr>
      </w:pPr>
      <w:r>
        <w:rPr>
          <w:rFonts w:eastAsia="宋体"/>
          <w:b/>
          <w:bCs/>
          <w:kern w:val="2"/>
          <w:sz w:val="21"/>
          <w:lang w:eastAsia="zh-CN"/>
        </w:rPr>
        <w:t>1</w:t>
      </w:r>
      <w:r>
        <w:rPr>
          <w:rFonts w:hint="eastAsia" w:eastAsia="宋体"/>
          <w:b/>
          <w:bCs/>
          <w:kern w:val="2"/>
          <w:sz w:val="21"/>
          <w:lang w:eastAsia="zh-CN"/>
        </w:rPr>
        <w:t>、关于享受优惠政策的主体及价格扣除比例及采购标的所属行业的说明</w:t>
      </w:r>
    </w:p>
    <w:p w14:paraId="29907139">
      <w:pPr>
        <w:widowControl w:val="0"/>
        <w:ind w:firstLine="420" w:firstLineChars="200"/>
        <w:jc w:val="both"/>
        <w:rPr>
          <w:rFonts w:eastAsia="宋体"/>
          <w:kern w:val="2"/>
          <w:sz w:val="21"/>
          <w:lang w:eastAsia="zh-CN"/>
        </w:rPr>
      </w:pPr>
      <w:r>
        <w:rPr>
          <w:rFonts w:hint="eastAsia" w:eastAsia="宋体"/>
          <w:kern w:val="2"/>
          <w:sz w:val="21"/>
          <w:lang w:eastAsia="zh-CN"/>
        </w:rPr>
        <w:t>（1）专门面向中小企业采购的项目，不再执行价格扣除比例。</w:t>
      </w:r>
    </w:p>
    <w:p w14:paraId="7C562698">
      <w:pPr>
        <w:widowControl w:val="0"/>
        <w:ind w:firstLine="420" w:firstLineChars="200"/>
        <w:jc w:val="both"/>
        <w:rPr>
          <w:rFonts w:eastAsia="宋体"/>
          <w:kern w:val="2"/>
          <w:sz w:val="21"/>
          <w:lang w:eastAsia="zh-CN"/>
        </w:rPr>
      </w:pPr>
      <w:r>
        <w:rPr>
          <w:rFonts w:hint="eastAsia" w:eastAsia="宋体"/>
          <w:kern w:val="2"/>
          <w:sz w:val="21"/>
          <w:lang w:eastAsia="zh-CN"/>
        </w:rPr>
        <w:t>（2）非专门面向中小企业采购的项目，应执行价格扣除比例：投标人提供的货物（以招标文件用户需求书“货物清单明细”的“货物名称”一栏为准）全部均由优惠主体制造，则对其投标总价给予</w:t>
      </w:r>
      <w:r>
        <w:rPr>
          <w:rFonts w:hint="eastAsia" w:eastAsia="宋体"/>
          <w:b/>
          <w:bCs/>
          <w:color w:val="FF0000"/>
          <w:kern w:val="2"/>
          <w:sz w:val="21"/>
          <w:u w:val="single"/>
          <w:lang w:eastAsia="zh-CN"/>
        </w:rPr>
        <w:t>10</w:t>
      </w:r>
      <w:r>
        <w:rPr>
          <w:rFonts w:eastAsia="宋体"/>
          <w:b/>
          <w:bCs/>
          <w:color w:val="FF0000"/>
          <w:kern w:val="2"/>
          <w:sz w:val="21"/>
          <w:u w:val="single"/>
          <w:lang w:eastAsia="zh-CN"/>
        </w:rPr>
        <w:t>%</w:t>
      </w:r>
      <w:r>
        <w:rPr>
          <w:rFonts w:hint="eastAsia" w:eastAsia="宋体"/>
          <w:color w:val="000000"/>
          <w:kern w:val="2"/>
          <w:sz w:val="21"/>
          <w:lang w:eastAsia="zh-CN"/>
        </w:rPr>
        <w:t>（10%~20%）</w:t>
      </w:r>
      <w:r>
        <w:rPr>
          <w:rFonts w:hint="eastAsia" w:eastAsia="宋体"/>
          <w:kern w:val="2"/>
          <w:sz w:val="21"/>
          <w:lang w:eastAsia="zh-CN"/>
        </w:rPr>
        <w:t>的扣除，用扣除后的价格参与评审。满足多项优惠政策的供应商，不重复享受多项价格扣除政策。</w:t>
      </w:r>
    </w:p>
    <w:p w14:paraId="284BAD12">
      <w:pPr>
        <w:widowControl w:val="0"/>
        <w:ind w:firstLine="420" w:firstLineChars="200"/>
        <w:jc w:val="both"/>
        <w:rPr>
          <w:rFonts w:eastAsia="宋体"/>
          <w:kern w:val="2"/>
          <w:sz w:val="21"/>
          <w:lang w:eastAsia="zh-CN"/>
        </w:rPr>
      </w:pPr>
      <w:r>
        <w:rPr>
          <w:rFonts w:hint="eastAsia" w:eastAsia="宋体"/>
          <w:kern w:val="2"/>
          <w:sz w:val="21"/>
          <w:lang w:eastAsia="zh-CN"/>
        </w:rPr>
        <w:t>备注：（a）享受价格扣除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采购活动中视同中小企业；(</w:t>
      </w:r>
      <w:r>
        <w:rPr>
          <w:rFonts w:eastAsia="宋体"/>
          <w:kern w:val="2"/>
          <w:sz w:val="21"/>
          <w:lang w:eastAsia="zh-CN"/>
        </w:rPr>
        <w:t>b)</w:t>
      </w:r>
      <w:r>
        <w:rPr>
          <w:rFonts w:hint="eastAsia" w:eastAsia="宋体"/>
          <w:kern w:val="2"/>
          <w:sz w:val="21"/>
          <w:lang w:eastAsia="zh-CN"/>
        </w:rPr>
        <w:t>优惠主体制造是指货物由优惠主体生产且使用该优惠主体商号或者注册商标；投标人提供的货物既有优惠主体制造货物，又有非优惠主体制造货物的，不给予价格扣除。</w:t>
      </w:r>
    </w:p>
    <w:p w14:paraId="49873DDB">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（3）</w:t>
      </w:r>
      <w:bookmarkStart w:id="33" w:name="_Hlk71970739"/>
      <w:r>
        <w:rPr>
          <w:rFonts w:hint="eastAsia" w:ascii="宋体" w:hAnsi="宋体" w:eastAsia="宋体" w:cs="宋体"/>
          <w:kern w:val="2"/>
          <w:sz w:val="21"/>
          <w:szCs w:val="21"/>
          <w:lang w:eastAsia="zh-CN"/>
        </w:rPr>
        <w:t>中小企业参加采购活动，应当按照国务院批准的《中小企业划型标准规定》（工信部联企业〔2011〕300号）、《金融业企业划型标准规定》（银发〔2015〕309号）和《财政部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w:t>
      </w:r>
      <w:r>
        <w:rPr>
          <w:rFonts w:hint="eastAsia" w:ascii="宋体" w:hAnsi="宋体" w:eastAsia="宋体" w:cs="宋体"/>
          <w:b/>
          <w:bCs/>
          <w:color w:val="FF0000"/>
          <w:kern w:val="2"/>
          <w:sz w:val="21"/>
          <w:szCs w:val="21"/>
          <w:lang w:eastAsia="zh-CN"/>
        </w:rPr>
        <w:t>《中小企业声明函》中相关企业（货物制造商）所属行业应当与采购标的所属行业相一致，</w:t>
      </w:r>
      <w:r>
        <w:rPr>
          <w:rFonts w:hint="eastAsia" w:eastAsia="宋体"/>
          <w:b/>
          <w:bCs/>
          <w:color w:val="FF0000"/>
          <w:kern w:val="2"/>
          <w:sz w:val="21"/>
          <w:lang w:eastAsia="zh-CN"/>
        </w:rPr>
        <w:t>标的所属行业以招标文件第一册第三章用户需求书“货物清单明细”的“标的所属行业”一栏为准</w:t>
      </w:r>
      <w:r>
        <w:rPr>
          <w:rFonts w:hint="eastAsia" w:ascii="宋体" w:hAnsi="宋体" w:eastAsia="宋体" w:cs="宋体"/>
          <w:b/>
          <w:bCs/>
          <w:color w:val="FF0000"/>
          <w:kern w:val="2"/>
          <w:sz w:val="21"/>
          <w:szCs w:val="21"/>
          <w:lang w:eastAsia="zh-CN"/>
        </w:rPr>
        <w:t>。</w:t>
      </w:r>
      <w:bookmarkEnd w:id="33"/>
    </w:p>
    <w:p w14:paraId="49EEF7B8">
      <w:pPr>
        <w:widowControl w:val="0"/>
        <w:ind w:firstLine="420" w:firstLineChars="200"/>
        <w:jc w:val="both"/>
        <w:rPr>
          <w:rFonts w:eastAsia="宋体"/>
          <w:kern w:val="2"/>
          <w:sz w:val="21"/>
          <w:lang w:eastAsia="zh-CN"/>
        </w:rPr>
      </w:pPr>
      <w:r>
        <w:rPr>
          <w:rFonts w:hint="eastAsia" w:ascii="宋体" w:hAnsi="宋体" w:eastAsia="宋体" w:cs="宋体"/>
          <w:kern w:val="2"/>
          <w:sz w:val="21"/>
          <w:szCs w:val="21"/>
          <w:lang w:eastAsia="zh-CN"/>
        </w:rPr>
        <w:t>（4）小型企业、微型企业、残疾人福利性单位作为优惠主体的认定资料为《中小企业声明函》、《残疾人福利性单</w:t>
      </w:r>
      <w:r>
        <w:rPr>
          <w:rFonts w:hint="eastAsia" w:eastAsia="宋体"/>
          <w:kern w:val="2"/>
          <w:sz w:val="21"/>
          <w:lang w:eastAsia="zh-CN"/>
        </w:rPr>
        <w:t>位声明函》；监狱企业作为优惠主体的认定资料为省级以上监狱管理局、戒毒管理局出具的监狱企业证明文件。声明函样式见本招标文件第一册专用条款第四章“投标文件组成要求及格式”中“三、投标人情况及资格证明文件”章节提供的格式）。</w:t>
      </w:r>
    </w:p>
    <w:p w14:paraId="2C90CBE2">
      <w:pPr>
        <w:widowControl w:val="0"/>
        <w:ind w:firstLine="420" w:firstLineChars="200"/>
        <w:jc w:val="both"/>
        <w:rPr>
          <w:rFonts w:eastAsia="宋体"/>
          <w:color w:val="FF0000"/>
          <w:kern w:val="2"/>
          <w:sz w:val="21"/>
          <w:lang w:eastAsia="zh-CN"/>
        </w:rPr>
      </w:pPr>
      <w:r>
        <w:rPr>
          <w:rFonts w:hint="eastAsia" w:eastAsia="宋体"/>
          <w:kern w:val="2"/>
          <w:sz w:val="21"/>
          <w:lang w:eastAsia="zh-CN"/>
        </w:rPr>
        <w:t>（5）享受价格扣除获得采购合同的，小微企业不得将合同分包给大中型企业。</w:t>
      </w:r>
    </w:p>
    <w:p w14:paraId="6379F79F">
      <w:pPr>
        <w:widowControl w:val="0"/>
        <w:wordWrap w:val="0"/>
        <w:ind w:firstLine="422" w:firstLineChars="200"/>
        <w:jc w:val="both"/>
        <w:rPr>
          <w:rFonts w:eastAsia="宋体"/>
          <w:b/>
          <w:kern w:val="2"/>
          <w:sz w:val="21"/>
          <w:lang w:eastAsia="zh-CN"/>
        </w:rPr>
      </w:pPr>
      <w:r>
        <w:rPr>
          <w:rFonts w:hint="eastAsia" w:eastAsia="宋体"/>
          <w:b/>
          <w:kern w:val="2"/>
          <w:sz w:val="21"/>
          <w:lang w:eastAsia="zh-CN"/>
        </w:rPr>
        <w:t>2、本项目为代理服务项目，将向中标（成交）供应商收取代理服务费。</w:t>
      </w:r>
    </w:p>
    <w:p w14:paraId="061681E1">
      <w:pPr>
        <w:widowControl w:val="0"/>
        <w:ind w:firstLine="420" w:firstLineChars="200"/>
        <w:jc w:val="both"/>
        <w:rPr>
          <w:rFonts w:ascii="宋体" w:hAnsi="宋体" w:eastAsia="宋体" w:cs="宋体"/>
          <w:bCs/>
          <w:color w:val="000000"/>
          <w:kern w:val="2"/>
          <w:sz w:val="21"/>
          <w:szCs w:val="21"/>
          <w:lang w:eastAsia="zh-CN"/>
        </w:rPr>
      </w:pPr>
      <w:r>
        <w:rPr>
          <w:rFonts w:hint="eastAsia" w:eastAsia="宋体"/>
          <w:kern w:val="2"/>
          <w:sz w:val="21"/>
          <w:lang w:eastAsia="zh-CN"/>
        </w:rPr>
        <w:t>中标（成交）供应商在领取《中标（成交）通知书》之前须向深圳公共资源交易中心（深圳交易集团有限公司政府采购业务分公司）交纳代理服务费。若因中标（成交）供应商交纳代理服务费所产生的时间影响到合同签订的，由中标（成交）供应商自行承担责任。</w:t>
      </w:r>
      <w:r>
        <w:rPr>
          <w:rFonts w:hint="eastAsia" w:ascii="宋体" w:hAnsi="宋体" w:eastAsia="宋体" w:cs="宋体"/>
          <w:bCs/>
          <w:color w:val="000000"/>
          <w:kern w:val="2"/>
          <w:sz w:val="21"/>
          <w:szCs w:val="21"/>
          <w:lang w:eastAsia="zh-CN"/>
        </w:rPr>
        <w:t>代理服务费标准根据《关于印发深圳交易集团有限公司（深圳公共资源交易中心）业务收费标准的通知》（深交易〔2023〕69号）的收费标准的基础上，</w:t>
      </w:r>
      <w:r>
        <w:rPr>
          <w:rFonts w:hint="eastAsia" w:ascii="宋体" w:hAnsi="宋体" w:eastAsia="宋体" w:cs="宋体"/>
          <w:b/>
          <w:color w:val="FF0000"/>
          <w:kern w:val="2"/>
          <w:sz w:val="21"/>
          <w:szCs w:val="21"/>
          <w:lang w:eastAsia="zh-CN"/>
        </w:rPr>
        <w:t>按予以八折的优惠收取招标代理服务费</w:t>
      </w:r>
      <w:r>
        <w:rPr>
          <w:rFonts w:hint="eastAsia" w:ascii="宋体" w:hAnsi="宋体" w:eastAsia="宋体" w:cs="宋体"/>
          <w:bCs/>
          <w:color w:val="000000"/>
          <w:kern w:val="2"/>
          <w:sz w:val="21"/>
          <w:szCs w:val="21"/>
          <w:lang w:eastAsia="zh-CN"/>
        </w:rPr>
        <w:t>。本项目类别为货物招标：</w:t>
      </w:r>
    </w:p>
    <w:p w14:paraId="2B435DA5">
      <w:pPr>
        <w:widowControl w:val="0"/>
        <w:tabs>
          <w:tab w:val="left" w:pos="1182"/>
        </w:tabs>
        <w:ind w:firstLine="420" w:firstLineChars="200"/>
        <w:jc w:val="both"/>
        <w:rPr>
          <w:rFonts w:ascii="宋体" w:hAnsi="宋体" w:eastAsia="宋体" w:cs="宋体"/>
          <w:bCs/>
          <w:color w:val="000000"/>
          <w:spacing w:val="-4"/>
          <w:kern w:val="2"/>
          <w:sz w:val="21"/>
          <w:szCs w:val="21"/>
          <w:lang w:eastAsia="zh-CN"/>
        </w:rPr>
      </w:pPr>
      <w:r>
        <w:rPr>
          <w:rFonts w:hint="eastAsia" w:eastAsia="宋体"/>
          <w:bCs/>
          <w:kern w:val="2"/>
          <w:sz w:val="21"/>
          <w:lang w:eastAsia="zh-CN"/>
        </w:rPr>
        <w:t>（</w:t>
      </w:r>
      <w:r>
        <w:rPr>
          <w:rFonts w:eastAsia="宋体"/>
          <w:bCs/>
          <w:kern w:val="2"/>
          <w:sz w:val="21"/>
          <w:lang w:eastAsia="zh-CN"/>
        </w:rPr>
        <w:t>1</w:t>
      </w:r>
      <w:r>
        <w:rPr>
          <w:rFonts w:hint="eastAsia" w:eastAsia="宋体"/>
          <w:bCs/>
          <w:kern w:val="2"/>
          <w:sz w:val="21"/>
          <w:lang w:eastAsia="zh-CN"/>
        </w:rPr>
        <w:t>）代理服务费以《中标（成交）通知书》确定的中标（成交）金额作为计算基数，</w:t>
      </w:r>
      <w:r>
        <w:rPr>
          <w:rFonts w:hint="eastAsia" w:ascii="宋体" w:hAnsi="宋体" w:eastAsia="宋体" w:cs="宋体"/>
          <w:bCs/>
          <w:color w:val="000000"/>
          <w:spacing w:val="-4"/>
          <w:kern w:val="2"/>
          <w:sz w:val="21"/>
          <w:szCs w:val="21"/>
          <w:lang w:eastAsia="zh-CN"/>
        </w:rPr>
        <w:t>按差额定率累进法计算后乘以0.8作为招标代理服务费。</w:t>
      </w:r>
    </w:p>
    <w:p w14:paraId="147F53A0">
      <w:pPr>
        <w:widowControl w:val="0"/>
        <w:ind w:firstLine="420" w:firstLineChars="200"/>
        <w:jc w:val="both"/>
        <w:rPr>
          <w:rFonts w:eastAsia="宋体"/>
          <w:kern w:val="2"/>
          <w:sz w:val="21"/>
          <w:lang w:eastAsia="zh-CN"/>
        </w:rPr>
      </w:pPr>
      <w:r>
        <w:rPr>
          <w:rFonts w:hint="eastAsia" w:eastAsia="宋体"/>
          <w:kern w:val="2"/>
          <w:sz w:val="21"/>
          <w:lang w:eastAsia="zh-CN"/>
        </w:rPr>
        <w:t>（</w:t>
      </w:r>
      <w:r>
        <w:rPr>
          <w:rFonts w:eastAsia="宋体"/>
          <w:kern w:val="2"/>
          <w:sz w:val="21"/>
          <w:lang w:eastAsia="zh-CN"/>
        </w:rPr>
        <w:t>2</w:t>
      </w:r>
      <w:r>
        <w:rPr>
          <w:rFonts w:hint="eastAsia" w:eastAsia="宋体"/>
          <w:kern w:val="2"/>
          <w:sz w:val="21"/>
          <w:lang w:eastAsia="zh-CN"/>
        </w:rPr>
        <w:t>）中标（成交）金额的各部分费率如下表：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1"/>
        <w:gridCol w:w="1901"/>
        <w:gridCol w:w="1901"/>
        <w:gridCol w:w="1901"/>
      </w:tblGrid>
      <w:tr w14:paraId="13288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25" w:type="dxa"/>
            <w:tcBorders>
              <w:top w:val="single" w:color="auto" w:sz="4" w:space="0"/>
              <w:left w:val="single" w:color="auto" w:sz="4" w:space="0"/>
              <w:bottom w:val="single" w:color="auto" w:sz="4" w:space="0"/>
              <w:right w:val="single" w:color="auto" w:sz="4" w:space="0"/>
            </w:tcBorders>
            <w:vAlign w:val="center"/>
          </w:tcPr>
          <w:p w14:paraId="40728D83">
            <w:pPr>
              <w:widowControl/>
              <w:jc w:val="center"/>
              <w:rPr>
                <w:rFonts w:eastAsia="宋体"/>
                <w:kern w:val="2"/>
                <w:sz w:val="21"/>
                <w:lang w:eastAsia="zh-CN"/>
              </w:rPr>
            </w:pPr>
            <w:r>
              <w:rPr>
                <w:rFonts w:hint="eastAsia" w:eastAsia="宋体"/>
                <w:kern w:val="2"/>
                <w:sz w:val="21"/>
                <w:lang w:eastAsia="zh-CN"/>
              </w:rPr>
              <w:t>中标（成交）金额</w:t>
            </w:r>
          </w:p>
        </w:tc>
        <w:tc>
          <w:tcPr>
            <w:tcW w:w="1799" w:type="dxa"/>
            <w:tcBorders>
              <w:top w:val="single" w:color="auto" w:sz="4" w:space="0"/>
              <w:left w:val="single" w:color="auto" w:sz="4" w:space="0"/>
              <w:bottom w:val="single" w:color="auto" w:sz="4" w:space="0"/>
              <w:right w:val="single" w:color="auto" w:sz="4" w:space="0"/>
            </w:tcBorders>
            <w:vAlign w:val="center"/>
          </w:tcPr>
          <w:p w14:paraId="601433CE">
            <w:pPr>
              <w:widowControl/>
              <w:jc w:val="center"/>
              <w:rPr>
                <w:rFonts w:eastAsia="宋体"/>
                <w:kern w:val="2"/>
                <w:sz w:val="21"/>
                <w:lang w:eastAsia="zh-CN"/>
              </w:rPr>
            </w:pPr>
            <w:r>
              <w:rPr>
                <w:rFonts w:hint="eastAsia" w:eastAsia="宋体"/>
                <w:kern w:val="2"/>
                <w:sz w:val="21"/>
                <w:lang w:eastAsia="zh-CN"/>
              </w:rPr>
              <w:t>货物采购</w:t>
            </w:r>
          </w:p>
        </w:tc>
        <w:tc>
          <w:tcPr>
            <w:tcW w:w="1799" w:type="dxa"/>
            <w:tcBorders>
              <w:top w:val="single" w:color="auto" w:sz="4" w:space="0"/>
              <w:left w:val="single" w:color="auto" w:sz="4" w:space="0"/>
              <w:bottom w:val="single" w:color="auto" w:sz="4" w:space="0"/>
              <w:right w:val="single" w:color="auto" w:sz="4" w:space="0"/>
            </w:tcBorders>
            <w:vAlign w:val="center"/>
          </w:tcPr>
          <w:p w14:paraId="25C1749F">
            <w:pPr>
              <w:widowControl/>
              <w:jc w:val="center"/>
              <w:rPr>
                <w:rFonts w:eastAsia="宋体"/>
                <w:kern w:val="2"/>
                <w:sz w:val="21"/>
                <w:lang w:eastAsia="zh-CN"/>
              </w:rPr>
            </w:pPr>
            <w:r>
              <w:rPr>
                <w:rFonts w:hint="eastAsia" w:eastAsia="宋体"/>
                <w:kern w:val="2"/>
                <w:sz w:val="21"/>
                <w:lang w:eastAsia="zh-CN"/>
              </w:rPr>
              <w:t>服务采购</w:t>
            </w:r>
          </w:p>
        </w:tc>
        <w:tc>
          <w:tcPr>
            <w:tcW w:w="1799" w:type="dxa"/>
            <w:tcBorders>
              <w:top w:val="single" w:color="auto" w:sz="4" w:space="0"/>
              <w:left w:val="single" w:color="auto" w:sz="4" w:space="0"/>
              <w:bottom w:val="single" w:color="auto" w:sz="4" w:space="0"/>
              <w:right w:val="single" w:color="auto" w:sz="4" w:space="0"/>
            </w:tcBorders>
            <w:vAlign w:val="center"/>
          </w:tcPr>
          <w:p w14:paraId="7C1308B9">
            <w:pPr>
              <w:widowControl/>
              <w:jc w:val="center"/>
              <w:rPr>
                <w:rFonts w:eastAsia="宋体"/>
                <w:kern w:val="2"/>
                <w:sz w:val="21"/>
                <w:lang w:eastAsia="zh-CN"/>
              </w:rPr>
            </w:pPr>
            <w:r>
              <w:rPr>
                <w:rFonts w:hint="eastAsia" w:eastAsia="宋体"/>
                <w:kern w:val="2"/>
                <w:sz w:val="21"/>
                <w:lang w:eastAsia="zh-CN"/>
              </w:rPr>
              <w:t>工程采购</w:t>
            </w:r>
          </w:p>
        </w:tc>
      </w:tr>
      <w:tr w14:paraId="4A9C3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tcBorders>
              <w:top w:val="single" w:color="auto" w:sz="4" w:space="0"/>
              <w:left w:val="single" w:color="auto" w:sz="4" w:space="0"/>
              <w:bottom w:val="single" w:color="auto" w:sz="4" w:space="0"/>
              <w:right w:val="single" w:color="auto" w:sz="4" w:space="0"/>
            </w:tcBorders>
            <w:vAlign w:val="center"/>
          </w:tcPr>
          <w:p w14:paraId="1DFB87B4">
            <w:pPr>
              <w:widowControl/>
              <w:jc w:val="center"/>
              <w:rPr>
                <w:rFonts w:eastAsia="宋体"/>
                <w:kern w:val="2"/>
                <w:sz w:val="21"/>
                <w:lang w:eastAsia="zh-CN"/>
              </w:rPr>
            </w:pPr>
            <w:r>
              <w:rPr>
                <w:rFonts w:eastAsia="宋体"/>
                <w:kern w:val="2"/>
                <w:sz w:val="21"/>
                <w:lang w:eastAsia="zh-CN"/>
              </w:rPr>
              <w:t>100</w:t>
            </w:r>
            <w:r>
              <w:rPr>
                <w:rFonts w:hint="eastAsia" w:eastAsia="宋体"/>
                <w:kern w:val="2"/>
                <w:sz w:val="21"/>
                <w:lang w:eastAsia="zh-CN"/>
              </w:rPr>
              <w:t>万元以下</w:t>
            </w:r>
          </w:p>
        </w:tc>
        <w:tc>
          <w:tcPr>
            <w:tcW w:w="1799" w:type="dxa"/>
            <w:tcBorders>
              <w:top w:val="single" w:color="auto" w:sz="4" w:space="0"/>
              <w:left w:val="single" w:color="auto" w:sz="4" w:space="0"/>
              <w:bottom w:val="single" w:color="auto" w:sz="4" w:space="0"/>
              <w:right w:val="single" w:color="auto" w:sz="4" w:space="0"/>
            </w:tcBorders>
            <w:vAlign w:val="center"/>
          </w:tcPr>
          <w:p w14:paraId="0165B815">
            <w:pPr>
              <w:widowControl/>
              <w:jc w:val="center"/>
              <w:rPr>
                <w:rFonts w:eastAsia="宋体"/>
                <w:kern w:val="2"/>
                <w:sz w:val="21"/>
                <w:lang w:eastAsia="zh-CN"/>
              </w:rPr>
            </w:pPr>
            <w:r>
              <w:rPr>
                <w:rFonts w:eastAsia="宋体"/>
                <w:kern w:val="2"/>
                <w:sz w:val="21"/>
                <w:lang w:eastAsia="zh-CN"/>
              </w:rPr>
              <w:t>1.5%</w:t>
            </w:r>
          </w:p>
        </w:tc>
        <w:tc>
          <w:tcPr>
            <w:tcW w:w="1799" w:type="dxa"/>
            <w:tcBorders>
              <w:top w:val="single" w:color="auto" w:sz="4" w:space="0"/>
              <w:left w:val="single" w:color="auto" w:sz="4" w:space="0"/>
              <w:bottom w:val="single" w:color="auto" w:sz="4" w:space="0"/>
              <w:right w:val="single" w:color="auto" w:sz="4" w:space="0"/>
            </w:tcBorders>
            <w:vAlign w:val="center"/>
          </w:tcPr>
          <w:p w14:paraId="7F440F5A">
            <w:pPr>
              <w:widowControl/>
              <w:jc w:val="center"/>
              <w:rPr>
                <w:rFonts w:eastAsia="宋体"/>
                <w:kern w:val="2"/>
                <w:sz w:val="21"/>
                <w:lang w:eastAsia="zh-CN"/>
              </w:rPr>
            </w:pPr>
            <w:r>
              <w:rPr>
                <w:rFonts w:eastAsia="宋体"/>
                <w:kern w:val="2"/>
                <w:sz w:val="21"/>
                <w:lang w:eastAsia="zh-CN"/>
              </w:rPr>
              <w:t>1.5%</w:t>
            </w:r>
          </w:p>
        </w:tc>
        <w:tc>
          <w:tcPr>
            <w:tcW w:w="1799" w:type="dxa"/>
            <w:tcBorders>
              <w:top w:val="single" w:color="auto" w:sz="4" w:space="0"/>
              <w:left w:val="single" w:color="auto" w:sz="4" w:space="0"/>
              <w:bottom w:val="single" w:color="auto" w:sz="4" w:space="0"/>
              <w:right w:val="single" w:color="auto" w:sz="4" w:space="0"/>
            </w:tcBorders>
            <w:vAlign w:val="center"/>
          </w:tcPr>
          <w:p w14:paraId="38CABC58">
            <w:pPr>
              <w:widowControl/>
              <w:jc w:val="center"/>
              <w:rPr>
                <w:rFonts w:eastAsia="宋体"/>
                <w:kern w:val="2"/>
                <w:sz w:val="21"/>
                <w:lang w:eastAsia="zh-CN"/>
              </w:rPr>
            </w:pPr>
            <w:r>
              <w:rPr>
                <w:rFonts w:eastAsia="宋体"/>
                <w:kern w:val="2"/>
                <w:sz w:val="21"/>
                <w:lang w:eastAsia="zh-CN"/>
              </w:rPr>
              <w:t>1.0%</w:t>
            </w:r>
          </w:p>
        </w:tc>
      </w:tr>
      <w:tr w14:paraId="7583C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tcBorders>
              <w:top w:val="single" w:color="auto" w:sz="4" w:space="0"/>
              <w:left w:val="single" w:color="auto" w:sz="4" w:space="0"/>
              <w:bottom w:val="single" w:color="auto" w:sz="4" w:space="0"/>
              <w:right w:val="single" w:color="auto" w:sz="4" w:space="0"/>
            </w:tcBorders>
            <w:vAlign w:val="center"/>
          </w:tcPr>
          <w:p w14:paraId="270F7327">
            <w:pPr>
              <w:widowControl/>
              <w:jc w:val="center"/>
              <w:rPr>
                <w:rFonts w:eastAsia="宋体"/>
                <w:kern w:val="2"/>
                <w:sz w:val="21"/>
                <w:lang w:eastAsia="zh-CN"/>
              </w:rPr>
            </w:pPr>
            <w:r>
              <w:rPr>
                <w:rFonts w:eastAsia="宋体"/>
                <w:kern w:val="2"/>
                <w:sz w:val="21"/>
                <w:lang w:eastAsia="zh-CN"/>
              </w:rPr>
              <w:t>100</w:t>
            </w:r>
            <w:r>
              <w:rPr>
                <w:rFonts w:hint="eastAsia" w:eastAsia="宋体"/>
                <w:kern w:val="2"/>
                <w:sz w:val="21"/>
                <w:lang w:eastAsia="zh-CN"/>
              </w:rPr>
              <w:t>万元（含）</w:t>
            </w:r>
            <w:r>
              <w:rPr>
                <w:rFonts w:eastAsia="宋体"/>
                <w:kern w:val="2"/>
                <w:sz w:val="21"/>
                <w:lang w:eastAsia="zh-CN"/>
              </w:rPr>
              <w:t>-500</w:t>
            </w:r>
            <w:r>
              <w:rPr>
                <w:rFonts w:hint="eastAsia" w:eastAsia="宋体"/>
                <w:kern w:val="2"/>
                <w:sz w:val="21"/>
                <w:lang w:eastAsia="zh-CN"/>
              </w:rPr>
              <w:t>万元</w:t>
            </w:r>
          </w:p>
        </w:tc>
        <w:tc>
          <w:tcPr>
            <w:tcW w:w="1799" w:type="dxa"/>
            <w:tcBorders>
              <w:top w:val="single" w:color="auto" w:sz="4" w:space="0"/>
              <w:left w:val="single" w:color="auto" w:sz="4" w:space="0"/>
              <w:bottom w:val="single" w:color="auto" w:sz="4" w:space="0"/>
              <w:right w:val="single" w:color="auto" w:sz="4" w:space="0"/>
            </w:tcBorders>
            <w:vAlign w:val="center"/>
          </w:tcPr>
          <w:p w14:paraId="5C26F06E">
            <w:pPr>
              <w:widowControl/>
              <w:jc w:val="center"/>
              <w:rPr>
                <w:rFonts w:eastAsia="宋体"/>
                <w:kern w:val="2"/>
                <w:sz w:val="21"/>
                <w:lang w:eastAsia="zh-CN"/>
              </w:rPr>
            </w:pPr>
            <w:r>
              <w:rPr>
                <w:rFonts w:eastAsia="宋体"/>
                <w:kern w:val="2"/>
                <w:sz w:val="21"/>
                <w:lang w:eastAsia="zh-CN"/>
              </w:rPr>
              <w:t>1.1%</w:t>
            </w:r>
          </w:p>
        </w:tc>
        <w:tc>
          <w:tcPr>
            <w:tcW w:w="1799" w:type="dxa"/>
            <w:tcBorders>
              <w:top w:val="single" w:color="auto" w:sz="4" w:space="0"/>
              <w:left w:val="single" w:color="auto" w:sz="4" w:space="0"/>
              <w:bottom w:val="single" w:color="auto" w:sz="4" w:space="0"/>
              <w:right w:val="single" w:color="auto" w:sz="4" w:space="0"/>
            </w:tcBorders>
            <w:vAlign w:val="center"/>
          </w:tcPr>
          <w:p w14:paraId="69B32256">
            <w:pPr>
              <w:widowControl/>
              <w:jc w:val="center"/>
              <w:rPr>
                <w:rFonts w:eastAsia="宋体"/>
                <w:kern w:val="2"/>
                <w:sz w:val="21"/>
                <w:lang w:eastAsia="zh-CN"/>
              </w:rPr>
            </w:pPr>
            <w:r>
              <w:rPr>
                <w:rFonts w:eastAsia="宋体"/>
                <w:kern w:val="2"/>
                <w:sz w:val="21"/>
                <w:lang w:eastAsia="zh-CN"/>
              </w:rPr>
              <w:t>0.8%</w:t>
            </w:r>
          </w:p>
        </w:tc>
        <w:tc>
          <w:tcPr>
            <w:tcW w:w="1799" w:type="dxa"/>
            <w:tcBorders>
              <w:top w:val="single" w:color="auto" w:sz="4" w:space="0"/>
              <w:left w:val="single" w:color="auto" w:sz="4" w:space="0"/>
              <w:bottom w:val="single" w:color="auto" w:sz="4" w:space="0"/>
              <w:right w:val="single" w:color="auto" w:sz="4" w:space="0"/>
            </w:tcBorders>
            <w:vAlign w:val="center"/>
          </w:tcPr>
          <w:p w14:paraId="2988BD06">
            <w:pPr>
              <w:widowControl/>
              <w:jc w:val="center"/>
              <w:rPr>
                <w:rFonts w:eastAsia="宋体"/>
                <w:kern w:val="2"/>
                <w:sz w:val="21"/>
                <w:lang w:eastAsia="zh-CN"/>
              </w:rPr>
            </w:pPr>
            <w:r>
              <w:rPr>
                <w:rFonts w:eastAsia="宋体"/>
                <w:kern w:val="2"/>
                <w:sz w:val="21"/>
                <w:lang w:eastAsia="zh-CN"/>
              </w:rPr>
              <w:t>0.7%</w:t>
            </w:r>
          </w:p>
        </w:tc>
      </w:tr>
      <w:tr w14:paraId="5E3A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tcBorders>
              <w:top w:val="single" w:color="auto" w:sz="4" w:space="0"/>
              <w:left w:val="single" w:color="auto" w:sz="4" w:space="0"/>
              <w:bottom w:val="single" w:color="auto" w:sz="4" w:space="0"/>
              <w:right w:val="single" w:color="auto" w:sz="4" w:space="0"/>
            </w:tcBorders>
            <w:vAlign w:val="center"/>
          </w:tcPr>
          <w:p w14:paraId="69927C04">
            <w:pPr>
              <w:widowControl/>
              <w:jc w:val="center"/>
              <w:rPr>
                <w:rFonts w:eastAsia="宋体"/>
                <w:kern w:val="2"/>
                <w:sz w:val="21"/>
                <w:lang w:eastAsia="zh-CN"/>
              </w:rPr>
            </w:pPr>
            <w:r>
              <w:rPr>
                <w:rFonts w:eastAsia="宋体"/>
                <w:kern w:val="2"/>
                <w:sz w:val="21"/>
                <w:lang w:eastAsia="zh-CN"/>
              </w:rPr>
              <w:t>500</w:t>
            </w:r>
            <w:r>
              <w:rPr>
                <w:rFonts w:hint="eastAsia" w:eastAsia="宋体"/>
                <w:kern w:val="2"/>
                <w:sz w:val="21"/>
                <w:lang w:eastAsia="zh-CN"/>
              </w:rPr>
              <w:t>万元（含）</w:t>
            </w:r>
            <w:r>
              <w:rPr>
                <w:rFonts w:eastAsia="宋体"/>
                <w:kern w:val="2"/>
                <w:sz w:val="21"/>
                <w:lang w:eastAsia="zh-CN"/>
              </w:rPr>
              <w:t>-1000</w:t>
            </w:r>
            <w:r>
              <w:rPr>
                <w:rFonts w:hint="eastAsia" w:eastAsia="宋体"/>
                <w:kern w:val="2"/>
                <w:sz w:val="21"/>
                <w:lang w:eastAsia="zh-CN"/>
              </w:rPr>
              <w:t>万元</w:t>
            </w:r>
          </w:p>
        </w:tc>
        <w:tc>
          <w:tcPr>
            <w:tcW w:w="1799" w:type="dxa"/>
            <w:tcBorders>
              <w:top w:val="single" w:color="auto" w:sz="4" w:space="0"/>
              <w:left w:val="single" w:color="auto" w:sz="4" w:space="0"/>
              <w:bottom w:val="single" w:color="auto" w:sz="4" w:space="0"/>
              <w:right w:val="single" w:color="auto" w:sz="4" w:space="0"/>
            </w:tcBorders>
            <w:vAlign w:val="center"/>
          </w:tcPr>
          <w:p w14:paraId="52F61AEB">
            <w:pPr>
              <w:widowControl/>
              <w:jc w:val="center"/>
              <w:rPr>
                <w:rFonts w:eastAsia="宋体"/>
                <w:kern w:val="2"/>
                <w:sz w:val="21"/>
                <w:lang w:eastAsia="zh-CN"/>
              </w:rPr>
            </w:pPr>
            <w:r>
              <w:rPr>
                <w:rFonts w:eastAsia="宋体"/>
                <w:kern w:val="2"/>
                <w:sz w:val="21"/>
                <w:lang w:eastAsia="zh-CN"/>
              </w:rPr>
              <w:t>0.8%</w:t>
            </w:r>
          </w:p>
        </w:tc>
        <w:tc>
          <w:tcPr>
            <w:tcW w:w="1799" w:type="dxa"/>
            <w:tcBorders>
              <w:top w:val="single" w:color="auto" w:sz="4" w:space="0"/>
              <w:left w:val="single" w:color="auto" w:sz="4" w:space="0"/>
              <w:bottom w:val="single" w:color="auto" w:sz="4" w:space="0"/>
              <w:right w:val="single" w:color="auto" w:sz="4" w:space="0"/>
            </w:tcBorders>
            <w:vAlign w:val="center"/>
          </w:tcPr>
          <w:p w14:paraId="78A35484">
            <w:pPr>
              <w:widowControl/>
              <w:jc w:val="center"/>
              <w:rPr>
                <w:rFonts w:eastAsia="宋体"/>
                <w:kern w:val="2"/>
                <w:sz w:val="21"/>
                <w:lang w:eastAsia="zh-CN"/>
              </w:rPr>
            </w:pPr>
            <w:r>
              <w:rPr>
                <w:rFonts w:eastAsia="宋体"/>
                <w:kern w:val="2"/>
                <w:sz w:val="21"/>
                <w:lang w:eastAsia="zh-CN"/>
              </w:rPr>
              <w:t>0.45%</w:t>
            </w:r>
          </w:p>
        </w:tc>
        <w:tc>
          <w:tcPr>
            <w:tcW w:w="1799" w:type="dxa"/>
            <w:tcBorders>
              <w:top w:val="single" w:color="auto" w:sz="4" w:space="0"/>
              <w:left w:val="single" w:color="auto" w:sz="4" w:space="0"/>
              <w:bottom w:val="single" w:color="auto" w:sz="4" w:space="0"/>
              <w:right w:val="single" w:color="auto" w:sz="4" w:space="0"/>
            </w:tcBorders>
            <w:vAlign w:val="center"/>
          </w:tcPr>
          <w:p w14:paraId="0BE10C6D">
            <w:pPr>
              <w:widowControl/>
              <w:jc w:val="center"/>
              <w:rPr>
                <w:rFonts w:eastAsia="宋体"/>
                <w:kern w:val="2"/>
                <w:sz w:val="21"/>
                <w:lang w:eastAsia="zh-CN"/>
              </w:rPr>
            </w:pPr>
            <w:r>
              <w:rPr>
                <w:rFonts w:eastAsia="宋体"/>
                <w:kern w:val="2"/>
                <w:sz w:val="21"/>
                <w:lang w:eastAsia="zh-CN"/>
              </w:rPr>
              <w:t>0.55%</w:t>
            </w:r>
          </w:p>
        </w:tc>
      </w:tr>
      <w:tr w14:paraId="290D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tcBorders>
              <w:top w:val="single" w:color="auto" w:sz="4" w:space="0"/>
              <w:left w:val="single" w:color="auto" w:sz="4" w:space="0"/>
              <w:bottom w:val="single" w:color="auto" w:sz="4" w:space="0"/>
              <w:right w:val="single" w:color="auto" w:sz="4" w:space="0"/>
            </w:tcBorders>
            <w:vAlign w:val="center"/>
          </w:tcPr>
          <w:p w14:paraId="4EF467B9">
            <w:pPr>
              <w:widowControl/>
              <w:jc w:val="center"/>
              <w:rPr>
                <w:rFonts w:eastAsia="宋体"/>
                <w:kern w:val="2"/>
                <w:sz w:val="21"/>
                <w:lang w:eastAsia="zh-CN"/>
              </w:rPr>
            </w:pPr>
            <w:r>
              <w:rPr>
                <w:rFonts w:eastAsia="宋体"/>
                <w:kern w:val="2"/>
                <w:sz w:val="21"/>
                <w:lang w:eastAsia="zh-CN"/>
              </w:rPr>
              <w:t>1000</w:t>
            </w:r>
            <w:r>
              <w:rPr>
                <w:rFonts w:hint="eastAsia" w:eastAsia="宋体"/>
                <w:kern w:val="2"/>
                <w:sz w:val="21"/>
                <w:lang w:eastAsia="zh-CN"/>
              </w:rPr>
              <w:t>万元（含）</w:t>
            </w:r>
            <w:r>
              <w:rPr>
                <w:rFonts w:eastAsia="宋体"/>
                <w:kern w:val="2"/>
                <w:sz w:val="21"/>
                <w:lang w:eastAsia="zh-CN"/>
              </w:rPr>
              <w:t>-5000</w:t>
            </w:r>
            <w:r>
              <w:rPr>
                <w:rFonts w:hint="eastAsia" w:eastAsia="宋体"/>
                <w:kern w:val="2"/>
                <w:sz w:val="21"/>
                <w:lang w:eastAsia="zh-CN"/>
              </w:rPr>
              <w:t>万元</w:t>
            </w:r>
          </w:p>
        </w:tc>
        <w:tc>
          <w:tcPr>
            <w:tcW w:w="1799" w:type="dxa"/>
            <w:tcBorders>
              <w:top w:val="single" w:color="auto" w:sz="4" w:space="0"/>
              <w:left w:val="single" w:color="auto" w:sz="4" w:space="0"/>
              <w:bottom w:val="single" w:color="auto" w:sz="4" w:space="0"/>
              <w:right w:val="single" w:color="auto" w:sz="4" w:space="0"/>
            </w:tcBorders>
            <w:vAlign w:val="center"/>
          </w:tcPr>
          <w:p w14:paraId="16A19E3B">
            <w:pPr>
              <w:widowControl/>
              <w:jc w:val="center"/>
              <w:rPr>
                <w:rFonts w:eastAsia="宋体"/>
                <w:kern w:val="2"/>
                <w:sz w:val="21"/>
                <w:lang w:eastAsia="zh-CN"/>
              </w:rPr>
            </w:pPr>
            <w:r>
              <w:rPr>
                <w:rFonts w:eastAsia="宋体"/>
                <w:kern w:val="2"/>
                <w:sz w:val="21"/>
                <w:lang w:eastAsia="zh-CN"/>
              </w:rPr>
              <w:t>0.5%</w:t>
            </w:r>
          </w:p>
        </w:tc>
        <w:tc>
          <w:tcPr>
            <w:tcW w:w="1799" w:type="dxa"/>
            <w:tcBorders>
              <w:top w:val="single" w:color="auto" w:sz="4" w:space="0"/>
              <w:left w:val="single" w:color="auto" w:sz="4" w:space="0"/>
              <w:bottom w:val="single" w:color="auto" w:sz="4" w:space="0"/>
              <w:right w:val="single" w:color="auto" w:sz="4" w:space="0"/>
            </w:tcBorders>
            <w:vAlign w:val="center"/>
          </w:tcPr>
          <w:p w14:paraId="509AE82A">
            <w:pPr>
              <w:widowControl/>
              <w:jc w:val="center"/>
              <w:rPr>
                <w:rFonts w:eastAsia="宋体"/>
                <w:kern w:val="2"/>
                <w:sz w:val="21"/>
                <w:lang w:eastAsia="zh-CN"/>
              </w:rPr>
            </w:pPr>
            <w:r>
              <w:rPr>
                <w:rFonts w:eastAsia="宋体"/>
                <w:kern w:val="2"/>
                <w:sz w:val="21"/>
                <w:lang w:eastAsia="zh-CN"/>
              </w:rPr>
              <w:t>0.25%</w:t>
            </w:r>
          </w:p>
        </w:tc>
        <w:tc>
          <w:tcPr>
            <w:tcW w:w="1799" w:type="dxa"/>
            <w:tcBorders>
              <w:top w:val="single" w:color="auto" w:sz="4" w:space="0"/>
              <w:left w:val="single" w:color="auto" w:sz="4" w:space="0"/>
              <w:bottom w:val="single" w:color="auto" w:sz="4" w:space="0"/>
              <w:right w:val="single" w:color="auto" w:sz="4" w:space="0"/>
            </w:tcBorders>
            <w:vAlign w:val="center"/>
          </w:tcPr>
          <w:p w14:paraId="6335C081">
            <w:pPr>
              <w:widowControl/>
              <w:jc w:val="center"/>
              <w:rPr>
                <w:rFonts w:eastAsia="宋体"/>
                <w:kern w:val="2"/>
                <w:sz w:val="21"/>
                <w:lang w:eastAsia="zh-CN"/>
              </w:rPr>
            </w:pPr>
            <w:r>
              <w:rPr>
                <w:rFonts w:eastAsia="宋体"/>
                <w:kern w:val="2"/>
                <w:sz w:val="21"/>
                <w:lang w:eastAsia="zh-CN"/>
              </w:rPr>
              <w:t>0.35%</w:t>
            </w:r>
          </w:p>
        </w:tc>
      </w:tr>
      <w:tr w14:paraId="0C27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tcBorders>
              <w:top w:val="single" w:color="auto" w:sz="4" w:space="0"/>
              <w:left w:val="single" w:color="auto" w:sz="4" w:space="0"/>
              <w:bottom w:val="single" w:color="auto" w:sz="4" w:space="0"/>
              <w:right w:val="single" w:color="auto" w:sz="4" w:space="0"/>
            </w:tcBorders>
            <w:vAlign w:val="center"/>
          </w:tcPr>
          <w:p w14:paraId="415CA227">
            <w:pPr>
              <w:widowControl/>
              <w:jc w:val="center"/>
              <w:rPr>
                <w:rFonts w:eastAsia="宋体"/>
                <w:kern w:val="2"/>
                <w:sz w:val="21"/>
                <w:lang w:eastAsia="zh-CN"/>
              </w:rPr>
            </w:pPr>
            <w:r>
              <w:rPr>
                <w:rFonts w:eastAsia="宋体"/>
                <w:kern w:val="2"/>
                <w:sz w:val="21"/>
                <w:lang w:eastAsia="zh-CN"/>
              </w:rPr>
              <w:t>5000</w:t>
            </w:r>
            <w:r>
              <w:rPr>
                <w:rFonts w:hint="eastAsia" w:eastAsia="宋体"/>
                <w:kern w:val="2"/>
                <w:sz w:val="21"/>
                <w:lang w:eastAsia="zh-CN"/>
              </w:rPr>
              <w:t>万元（含）</w:t>
            </w:r>
            <w:r>
              <w:rPr>
                <w:rFonts w:eastAsia="宋体"/>
                <w:kern w:val="2"/>
                <w:sz w:val="21"/>
                <w:lang w:eastAsia="zh-CN"/>
              </w:rPr>
              <w:t>-1</w:t>
            </w:r>
            <w:r>
              <w:rPr>
                <w:rFonts w:hint="eastAsia" w:eastAsia="宋体"/>
                <w:kern w:val="2"/>
                <w:sz w:val="21"/>
                <w:lang w:eastAsia="zh-CN"/>
              </w:rPr>
              <w:t>亿元</w:t>
            </w:r>
          </w:p>
        </w:tc>
        <w:tc>
          <w:tcPr>
            <w:tcW w:w="1799" w:type="dxa"/>
            <w:tcBorders>
              <w:top w:val="single" w:color="auto" w:sz="4" w:space="0"/>
              <w:left w:val="single" w:color="auto" w:sz="4" w:space="0"/>
              <w:bottom w:val="single" w:color="auto" w:sz="4" w:space="0"/>
              <w:right w:val="single" w:color="auto" w:sz="4" w:space="0"/>
            </w:tcBorders>
            <w:vAlign w:val="center"/>
          </w:tcPr>
          <w:p w14:paraId="198E73B1">
            <w:pPr>
              <w:widowControl/>
              <w:jc w:val="center"/>
              <w:rPr>
                <w:rFonts w:eastAsia="宋体"/>
                <w:kern w:val="2"/>
                <w:sz w:val="21"/>
                <w:lang w:eastAsia="zh-CN"/>
              </w:rPr>
            </w:pPr>
            <w:r>
              <w:rPr>
                <w:rFonts w:eastAsia="宋体"/>
                <w:kern w:val="2"/>
                <w:sz w:val="21"/>
                <w:lang w:eastAsia="zh-CN"/>
              </w:rPr>
              <w:t>0.25%</w:t>
            </w:r>
          </w:p>
        </w:tc>
        <w:tc>
          <w:tcPr>
            <w:tcW w:w="1799" w:type="dxa"/>
            <w:tcBorders>
              <w:top w:val="single" w:color="auto" w:sz="4" w:space="0"/>
              <w:left w:val="single" w:color="auto" w:sz="4" w:space="0"/>
              <w:bottom w:val="single" w:color="auto" w:sz="4" w:space="0"/>
              <w:right w:val="single" w:color="auto" w:sz="4" w:space="0"/>
            </w:tcBorders>
            <w:vAlign w:val="center"/>
          </w:tcPr>
          <w:p w14:paraId="65A8E7BC">
            <w:pPr>
              <w:widowControl/>
              <w:jc w:val="center"/>
              <w:rPr>
                <w:rFonts w:eastAsia="宋体"/>
                <w:kern w:val="2"/>
                <w:sz w:val="21"/>
                <w:lang w:eastAsia="zh-CN"/>
              </w:rPr>
            </w:pPr>
            <w:r>
              <w:rPr>
                <w:rFonts w:eastAsia="宋体"/>
                <w:kern w:val="2"/>
                <w:sz w:val="21"/>
                <w:lang w:eastAsia="zh-CN"/>
              </w:rPr>
              <w:t>0.1%</w:t>
            </w:r>
          </w:p>
        </w:tc>
        <w:tc>
          <w:tcPr>
            <w:tcW w:w="1799" w:type="dxa"/>
            <w:tcBorders>
              <w:top w:val="single" w:color="auto" w:sz="4" w:space="0"/>
              <w:left w:val="single" w:color="auto" w:sz="4" w:space="0"/>
              <w:bottom w:val="single" w:color="auto" w:sz="4" w:space="0"/>
              <w:right w:val="single" w:color="auto" w:sz="4" w:space="0"/>
            </w:tcBorders>
            <w:vAlign w:val="center"/>
          </w:tcPr>
          <w:p w14:paraId="33BF41E6">
            <w:pPr>
              <w:widowControl/>
              <w:jc w:val="center"/>
              <w:rPr>
                <w:rFonts w:eastAsia="宋体"/>
                <w:kern w:val="2"/>
                <w:sz w:val="21"/>
                <w:lang w:eastAsia="zh-CN"/>
              </w:rPr>
            </w:pPr>
            <w:r>
              <w:rPr>
                <w:rFonts w:eastAsia="宋体"/>
                <w:kern w:val="2"/>
                <w:sz w:val="21"/>
                <w:lang w:eastAsia="zh-CN"/>
              </w:rPr>
              <w:t>0.2%</w:t>
            </w:r>
          </w:p>
        </w:tc>
      </w:tr>
      <w:tr w14:paraId="1367D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tcBorders>
              <w:top w:val="single" w:color="auto" w:sz="4" w:space="0"/>
              <w:left w:val="single" w:color="auto" w:sz="4" w:space="0"/>
              <w:bottom w:val="single" w:color="auto" w:sz="4" w:space="0"/>
              <w:right w:val="single" w:color="auto" w:sz="4" w:space="0"/>
            </w:tcBorders>
            <w:vAlign w:val="center"/>
          </w:tcPr>
          <w:p w14:paraId="0DAE1A7A">
            <w:pPr>
              <w:widowControl/>
              <w:jc w:val="center"/>
              <w:rPr>
                <w:rFonts w:eastAsia="宋体"/>
                <w:kern w:val="2"/>
                <w:sz w:val="21"/>
                <w:lang w:eastAsia="zh-CN"/>
              </w:rPr>
            </w:pPr>
            <w:r>
              <w:rPr>
                <w:rFonts w:eastAsia="宋体"/>
                <w:kern w:val="2"/>
                <w:sz w:val="21"/>
                <w:lang w:eastAsia="zh-CN"/>
              </w:rPr>
              <w:t>1</w:t>
            </w:r>
            <w:r>
              <w:rPr>
                <w:rFonts w:hint="eastAsia" w:eastAsia="宋体"/>
                <w:kern w:val="2"/>
                <w:sz w:val="21"/>
                <w:lang w:eastAsia="zh-CN"/>
              </w:rPr>
              <w:t>亿元（含）</w:t>
            </w:r>
            <w:r>
              <w:rPr>
                <w:rFonts w:eastAsia="宋体"/>
                <w:kern w:val="2"/>
                <w:sz w:val="21"/>
                <w:lang w:eastAsia="zh-CN"/>
              </w:rPr>
              <w:t>-5</w:t>
            </w:r>
            <w:r>
              <w:rPr>
                <w:rFonts w:hint="eastAsia" w:eastAsia="宋体"/>
                <w:kern w:val="2"/>
                <w:sz w:val="21"/>
                <w:lang w:eastAsia="zh-CN"/>
              </w:rPr>
              <w:t>亿元</w:t>
            </w:r>
          </w:p>
        </w:tc>
        <w:tc>
          <w:tcPr>
            <w:tcW w:w="1799" w:type="dxa"/>
            <w:tcBorders>
              <w:top w:val="single" w:color="auto" w:sz="4" w:space="0"/>
              <w:left w:val="single" w:color="auto" w:sz="4" w:space="0"/>
              <w:bottom w:val="single" w:color="auto" w:sz="4" w:space="0"/>
              <w:right w:val="single" w:color="auto" w:sz="4" w:space="0"/>
            </w:tcBorders>
            <w:vAlign w:val="center"/>
          </w:tcPr>
          <w:p w14:paraId="3039EBB4">
            <w:pPr>
              <w:widowControl/>
              <w:jc w:val="center"/>
              <w:rPr>
                <w:rFonts w:eastAsia="宋体"/>
                <w:kern w:val="2"/>
                <w:sz w:val="21"/>
                <w:lang w:eastAsia="zh-CN"/>
              </w:rPr>
            </w:pPr>
            <w:r>
              <w:rPr>
                <w:rFonts w:eastAsia="宋体"/>
                <w:kern w:val="2"/>
                <w:sz w:val="21"/>
                <w:lang w:eastAsia="zh-CN"/>
              </w:rPr>
              <w:t>0.05%</w:t>
            </w:r>
          </w:p>
        </w:tc>
        <w:tc>
          <w:tcPr>
            <w:tcW w:w="1799" w:type="dxa"/>
            <w:tcBorders>
              <w:top w:val="single" w:color="auto" w:sz="4" w:space="0"/>
              <w:left w:val="single" w:color="auto" w:sz="4" w:space="0"/>
              <w:bottom w:val="single" w:color="auto" w:sz="4" w:space="0"/>
              <w:right w:val="single" w:color="auto" w:sz="4" w:space="0"/>
            </w:tcBorders>
            <w:vAlign w:val="center"/>
          </w:tcPr>
          <w:p w14:paraId="6F7892EE">
            <w:pPr>
              <w:widowControl/>
              <w:jc w:val="center"/>
              <w:rPr>
                <w:rFonts w:eastAsia="宋体"/>
                <w:kern w:val="2"/>
                <w:sz w:val="21"/>
                <w:lang w:eastAsia="zh-CN"/>
              </w:rPr>
            </w:pPr>
            <w:r>
              <w:rPr>
                <w:rFonts w:eastAsia="宋体"/>
                <w:kern w:val="2"/>
                <w:sz w:val="21"/>
                <w:lang w:eastAsia="zh-CN"/>
              </w:rPr>
              <w:t>0.05%</w:t>
            </w:r>
          </w:p>
        </w:tc>
        <w:tc>
          <w:tcPr>
            <w:tcW w:w="1799" w:type="dxa"/>
            <w:tcBorders>
              <w:top w:val="single" w:color="auto" w:sz="4" w:space="0"/>
              <w:left w:val="single" w:color="auto" w:sz="4" w:space="0"/>
              <w:bottom w:val="single" w:color="auto" w:sz="4" w:space="0"/>
              <w:right w:val="single" w:color="auto" w:sz="4" w:space="0"/>
            </w:tcBorders>
            <w:vAlign w:val="center"/>
          </w:tcPr>
          <w:p w14:paraId="3DC19C9F">
            <w:pPr>
              <w:widowControl/>
              <w:jc w:val="center"/>
              <w:rPr>
                <w:rFonts w:eastAsia="宋体"/>
                <w:kern w:val="2"/>
                <w:sz w:val="21"/>
                <w:lang w:eastAsia="zh-CN"/>
              </w:rPr>
            </w:pPr>
            <w:r>
              <w:rPr>
                <w:rFonts w:eastAsia="宋体"/>
                <w:kern w:val="2"/>
                <w:sz w:val="21"/>
                <w:lang w:eastAsia="zh-CN"/>
              </w:rPr>
              <w:t>0.05%</w:t>
            </w:r>
          </w:p>
        </w:tc>
      </w:tr>
      <w:tr w14:paraId="5F67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tcBorders>
              <w:top w:val="single" w:color="auto" w:sz="4" w:space="0"/>
              <w:left w:val="single" w:color="auto" w:sz="4" w:space="0"/>
              <w:bottom w:val="single" w:color="auto" w:sz="4" w:space="0"/>
              <w:right w:val="single" w:color="auto" w:sz="4" w:space="0"/>
            </w:tcBorders>
            <w:vAlign w:val="center"/>
          </w:tcPr>
          <w:p w14:paraId="2FA3CA0F">
            <w:pPr>
              <w:widowControl/>
              <w:jc w:val="center"/>
              <w:rPr>
                <w:rFonts w:eastAsia="宋体"/>
                <w:kern w:val="2"/>
                <w:sz w:val="21"/>
                <w:lang w:eastAsia="zh-CN"/>
              </w:rPr>
            </w:pPr>
            <w:r>
              <w:rPr>
                <w:rFonts w:eastAsia="宋体"/>
                <w:kern w:val="2"/>
                <w:sz w:val="21"/>
                <w:lang w:eastAsia="zh-CN"/>
              </w:rPr>
              <w:t>5</w:t>
            </w:r>
            <w:r>
              <w:rPr>
                <w:rFonts w:hint="eastAsia" w:eastAsia="宋体"/>
                <w:kern w:val="2"/>
                <w:sz w:val="21"/>
                <w:lang w:eastAsia="zh-CN"/>
              </w:rPr>
              <w:t>亿元（含）</w:t>
            </w:r>
            <w:r>
              <w:rPr>
                <w:rFonts w:eastAsia="宋体"/>
                <w:kern w:val="2"/>
                <w:sz w:val="21"/>
                <w:lang w:eastAsia="zh-CN"/>
              </w:rPr>
              <w:t>-10</w:t>
            </w:r>
            <w:r>
              <w:rPr>
                <w:rFonts w:hint="eastAsia" w:eastAsia="宋体"/>
                <w:kern w:val="2"/>
                <w:sz w:val="21"/>
                <w:lang w:eastAsia="zh-CN"/>
              </w:rPr>
              <w:t>亿元</w:t>
            </w:r>
          </w:p>
        </w:tc>
        <w:tc>
          <w:tcPr>
            <w:tcW w:w="1799" w:type="dxa"/>
            <w:tcBorders>
              <w:top w:val="single" w:color="auto" w:sz="4" w:space="0"/>
              <w:left w:val="single" w:color="auto" w:sz="4" w:space="0"/>
              <w:bottom w:val="single" w:color="auto" w:sz="4" w:space="0"/>
              <w:right w:val="single" w:color="auto" w:sz="4" w:space="0"/>
            </w:tcBorders>
            <w:vAlign w:val="center"/>
          </w:tcPr>
          <w:p w14:paraId="6CE05E21">
            <w:pPr>
              <w:widowControl/>
              <w:jc w:val="center"/>
              <w:rPr>
                <w:rFonts w:eastAsia="宋体"/>
                <w:kern w:val="2"/>
                <w:sz w:val="21"/>
                <w:lang w:eastAsia="zh-CN"/>
              </w:rPr>
            </w:pPr>
            <w:r>
              <w:rPr>
                <w:rFonts w:eastAsia="宋体"/>
                <w:kern w:val="2"/>
                <w:sz w:val="21"/>
                <w:lang w:eastAsia="zh-CN"/>
              </w:rPr>
              <w:t>0.035%</w:t>
            </w:r>
          </w:p>
        </w:tc>
        <w:tc>
          <w:tcPr>
            <w:tcW w:w="1799" w:type="dxa"/>
            <w:tcBorders>
              <w:top w:val="single" w:color="auto" w:sz="4" w:space="0"/>
              <w:left w:val="single" w:color="auto" w:sz="4" w:space="0"/>
              <w:bottom w:val="single" w:color="auto" w:sz="4" w:space="0"/>
              <w:right w:val="single" w:color="auto" w:sz="4" w:space="0"/>
            </w:tcBorders>
            <w:vAlign w:val="center"/>
          </w:tcPr>
          <w:p w14:paraId="78C10F39">
            <w:pPr>
              <w:widowControl/>
              <w:jc w:val="center"/>
              <w:rPr>
                <w:rFonts w:eastAsia="宋体"/>
                <w:kern w:val="2"/>
                <w:sz w:val="21"/>
                <w:lang w:eastAsia="zh-CN"/>
              </w:rPr>
            </w:pPr>
            <w:r>
              <w:rPr>
                <w:rFonts w:eastAsia="宋体"/>
                <w:kern w:val="2"/>
                <w:sz w:val="21"/>
                <w:lang w:eastAsia="zh-CN"/>
              </w:rPr>
              <w:t>0.035%</w:t>
            </w:r>
          </w:p>
        </w:tc>
        <w:tc>
          <w:tcPr>
            <w:tcW w:w="1799" w:type="dxa"/>
            <w:tcBorders>
              <w:top w:val="single" w:color="auto" w:sz="4" w:space="0"/>
              <w:left w:val="single" w:color="auto" w:sz="4" w:space="0"/>
              <w:bottom w:val="single" w:color="auto" w:sz="4" w:space="0"/>
              <w:right w:val="single" w:color="auto" w:sz="4" w:space="0"/>
            </w:tcBorders>
            <w:vAlign w:val="center"/>
          </w:tcPr>
          <w:p w14:paraId="25B64D68">
            <w:pPr>
              <w:widowControl/>
              <w:jc w:val="center"/>
              <w:rPr>
                <w:rFonts w:eastAsia="宋体"/>
                <w:kern w:val="2"/>
                <w:sz w:val="21"/>
                <w:lang w:eastAsia="zh-CN"/>
              </w:rPr>
            </w:pPr>
            <w:r>
              <w:rPr>
                <w:rFonts w:eastAsia="宋体"/>
                <w:kern w:val="2"/>
                <w:sz w:val="21"/>
                <w:lang w:eastAsia="zh-CN"/>
              </w:rPr>
              <w:t>0.035%</w:t>
            </w:r>
          </w:p>
        </w:tc>
      </w:tr>
      <w:tr w14:paraId="6DFD3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25" w:type="dxa"/>
            <w:tcBorders>
              <w:top w:val="single" w:color="auto" w:sz="4" w:space="0"/>
              <w:left w:val="single" w:color="auto" w:sz="4" w:space="0"/>
              <w:bottom w:val="single" w:color="auto" w:sz="4" w:space="0"/>
              <w:right w:val="single" w:color="auto" w:sz="4" w:space="0"/>
            </w:tcBorders>
            <w:vAlign w:val="center"/>
          </w:tcPr>
          <w:p w14:paraId="5BFD7D67">
            <w:pPr>
              <w:widowControl/>
              <w:jc w:val="center"/>
              <w:rPr>
                <w:rFonts w:eastAsia="宋体"/>
                <w:kern w:val="2"/>
                <w:sz w:val="21"/>
                <w:lang w:eastAsia="zh-CN"/>
              </w:rPr>
            </w:pPr>
            <w:r>
              <w:rPr>
                <w:rFonts w:eastAsia="宋体"/>
                <w:kern w:val="2"/>
                <w:sz w:val="21"/>
                <w:lang w:eastAsia="zh-CN"/>
              </w:rPr>
              <w:t>10</w:t>
            </w:r>
            <w:r>
              <w:rPr>
                <w:rFonts w:hint="eastAsia" w:eastAsia="宋体"/>
                <w:kern w:val="2"/>
                <w:sz w:val="21"/>
                <w:lang w:eastAsia="zh-CN"/>
              </w:rPr>
              <w:t>亿元（含）</w:t>
            </w:r>
            <w:r>
              <w:rPr>
                <w:rFonts w:eastAsia="宋体"/>
                <w:kern w:val="2"/>
                <w:sz w:val="21"/>
                <w:lang w:eastAsia="zh-CN"/>
              </w:rPr>
              <w:t>-50</w:t>
            </w:r>
            <w:r>
              <w:rPr>
                <w:rFonts w:hint="eastAsia" w:eastAsia="宋体"/>
                <w:kern w:val="2"/>
                <w:sz w:val="21"/>
                <w:lang w:eastAsia="zh-CN"/>
              </w:rPr>
              <w:t>亿元</w:t>
            </w:r>
          </w:p>
        </w:tc>
        <w:tc>
          <w:tcPr>
            <w:tcW w:w="1799" w:type="dxa"/>
            <w:tcBorders>
              <w:top w:val="single" w:color="auto" w:sz="4" w:space="0"/>
              <w:left w:val="single" w:color="auto" w:sz="4" w:space="0"/>
              <w:bottom w:val="single" w:color="auto" w:sz="4" w:space="0"/>
              <w:right w:val="single" w:color="auto" w:sz="4" w:space="0"/>
            </w:tcBorders>
            <w:vAlign w:val="center"/>
          </w:tcPr>
          <w:p w14:paraId="57CC15A0">
            <w:pPr>
              <w:widowControl/>
              <w:jc w:val="center"/>
              <w:rPr>
                <w:rFonts w:eastAsia="宋体"/>
                <w:kern w:val="2"/>
                <w:sz w:val="21"/>
                <w:lang w:eastAsia="zh-CN"/>
              </w:rPr>
            </w:pPr>
            <w:r>
              <w:rPr>
                <w:rFonts w:eastAsia="宋体"/>
                <w:kern w:val="2"/>
                <w:sz w:val="21"/>
                <w:lang w:eastAsia="zh-CN"/>
              </w:rPr>
              <w:t>0.008%</w:t>
            </w:r>
          </w:p>
        </w:tc>
        <w:tc>
          <w:tcPr>
            <w:tcW w:w="1799" w:type="dxa"/>
            <w:tcBorders>
              <w:top w:val="single" w:color="auto" w:sz="4" w:space="0"/>
              <w:left w:val="single" w:color="auto" w:sz="4" w:space="0"/>
              <w:bottom w:val="single" w:color="auto" w:sz="4" w:space="0"/>
              <w:right w:val="single" w:color="auto" w:sz="4" w:space="0"/>
            </w:tcBorders>
            <w:vAlign w:val="center"/>
          </w:tcPr>
          <w:p w14:paraId="6118300A">
            <w:pPr>
              <w:widowControl/>
              <w:jc w:val="center"/>
              <w:rPr>
                <w:rFonts w:eastAsia="宋体"/>
                <w:kern w:val="2"/>
                <w:sz w:val="21"/>
                <w:lang w:eastAsia="zh-CN"/>
              </w:rPr>
            </w:pPr>
            <w:r>
              <w:rPr>
                <w:rFonts w:eastAsia="宋体"/>
                <w:kern w:val="2"/>
                <w:sz w:val="21"/>
                <w:lang w:eastAsia="zh-CN"/>
              </w:rPr>
              <w:t>0.008%</w:t>
            </w:r>
          </w:p>
        </w:tc>
        <w:tc>
          <w:tcPr>
            <w:tcW w:w="1799" w:type="dxa"/>
            <w:tcBorders>
              <w:top w:val="single" w:color="auto" w:sz="4" w:space="0"/>
              <w:left w:val="single" w:color="auto" w:sz="4" w:space="0"/>
              <w:bottom w:val="single" w:color="auto" w:sz="4" w:space="0"/>
              <w:right w:val="single" w:color="auto" w:sz="4" w:space="0"/>
            </w:tcBorders>
            <w:vAlign w:val="center"/>
          </w:tcPr>
          <w:p w14:paraId="4FBD6FF3">
            <w:pPr>
              <w:widowControl/>
              <w:jc w:val="center"/>
              <w:rPr>
                <w:rFonts w:eastAsia="宋体"/>
                <w:kern w:val="2"/>
                <w:sz w:val="21"/>
                <w:lang w:eastAsia="zh-CN"/>
              </w:rPr>
            </w:pPr>
            <w:r>
              <w:rPr>
                <w:rFonts w:eastAsia="宋体"/>
                <w:kern w:val="2"/>
                <w:sz w:val="21"/>
                <w:lang w:eastAsia="zh-CN"/>
              </w:rPr>
              <w:t>0.008%</w:t>
            </w:r>
          </w:p>
        </w:tc>
      </w:tr>
      <w:tr w14:paraId="6CAC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tcBorders>
              <w:top w:val="single" w:color="auto" w:sz="4" w:space="0"/>
              <w:left w:val="single" w:color="auto" w:sz="4" w:space="0"/>
              <w:bottom w:val="single" w:color="auto" w:sz="4" w:space="0"/>
              <w:right w:val="single" w:color="auto" w:sz="4" w:space="0"/>
            </w:tcBorders>
            <w:vAlign w:val="center"/>
          </w:tcPr>
          <w:p w14:paraId="6ECB434D">
            <w:pPr>
              <w:widowControl/>
              <w:jc w:val="center"/>
              <w:rPr>
                <w:rFonts w:eastAsia="宋体"/>
                <w:kern w:val="2"/>
                <w:sz w:val="21"/>
                <w:lang w:eastAsia="zh-CN"/>
              </w:rPr>
            </w:pPr>
            <w:r>
              <w:rPr>
                <w:rFonts w:eastAsia="宋体"/>
                <w:kern w:val="2"/>
                <w:sz w:val="21"/>
                <w:lang w:eastAsia="zh-CN"/>
              </w:rPr>
              <w:t>50</w:t>
            </w:r>
            <w:r>
              <w:rPr>
                <w:rFonts w:hint="eastAsia" w:eastAsia="宋体"/>
                <w:kern w:val="2"/>
                <w:sz w:val="21"/>
                <w:lang w:eastAsia="zh-CN"/>
              </w:rPr>
              <w:t>亿元（含）</w:t>
            </w:r>
            <w:r>
              <w:rPr>
                <w:rFonts w:eastAsia="宋体"/>
                <w:kern w:val="2"/>
                <w:sz w:val="21"/>
                <w:lang w:eastAsia="zh-CN"/>
              </w:rPr>
              <w:t>-100</w:t>
            </w:r>
            <w:r>
              <w:rPr>
                <w:rFonts w:hint="eastAsia" w:eastAsia="宋体"/>
                <w:kern w:val="2"/>
                <w:sz w:val="21"/>
                <w:lang w:eastAsia="zh-CN"/>
              </w:rPr>
              <w:t>亿元</w:t>
            </w:r>
          </w:p>
        </w:tc>
        <w:tc>
          <w:tcPr>
            <w:tcW w:w="1799" w:type="dxa"/>
            <w:tcBorders>
              <w:top w:val="single" w:color="auto" w:sz="4" w:space="0"/>
              <w:left w:val="single" w:color="auto" w:sz="4" w:space="0"/>
              <w:bottom w:val="single" w:color="auto" w:sz="4" w:space="0"/>
              <w:right w:val="single" w:color="auto" w:sz="4" w:space="0"/>
            </w:tcBorders>
            <w:vAlign w:val="center"/>
          </w:tcPr>
          <w:p w14:paraId="47E01C4E">
            <w:pPr>
              <w:widowControl/>
              <w:jc w:val="center"/>
              <w:rPr>
                <w:rFonts w:eastAsia="宋体"/>
                <w:kern w:val="2"/>
                <w:sz w:val="21"/>
                <w:lang w:eastAsia="zh-CN"/>
              </w:rPr>
            </w:pPr>
            <w:r>
              <w:rPr>
                <w:rFonts w:eastAsia="宋体"/>
                <w:kern w:val="2"/>
                <w:sz w:val="21"/>
                <w:lang w:eastAsia="zh-CN"/>
              </w:rPr>
              <w:t>0.006%</w:t>
            </w:r>
          </w:p>
        </w:tc>
        <w:tc>
          <w:tcPr>
            <w:tcW w:w="1799" w:type="dxa"/>
            <w:tcBorders>
              <w:top w:val="single" w:color="auto" w:sz="4" w:space="0"/>
              <w:left w:val="single" w:color="auto" w:sz="4" w:space="0"/>
              <w:bottom w:val="single" w:color="auto" w:sz="4" w:space="0"/>
              <w:right w:val="single" w:color="auto" w:sz="4" w:space="0"/>
            </w:tcBorders>
            <w:vAlign w:val="center"/>
          </w:tcPr>
          <w:p w14:paraId="43D3E038">
            <w:pPr>
              <w:widowControl/>
              <w:jc w:val="center"/>
              <w:rPr>
                <w:rFonts w:eastAsia="宋体"/>
                <w:kern w:val="2"/>
                <w:sz w:val="21"/>
                <w:lang w:eastAsia="zh-CN"/>
              </w:rPr>
            </w:pPr>
            <w:r>
              <w:rPr>
                <w:rFonts w:eastAsia="宋体"/>
                <w:kern w:val="2"/>
                <w:sz w:val="21"/>
                <w:lang w:eastAsia="zh-CN"/>
              </w:rPr>
              <w:t>0.006%</w:t>
            </w:r>
          </w:p>
        </w:tc>
        <w:tc>
          <w:tcPr>
            <w:tcW w:w="1799" w:type="dxa"/>
            <w:tcBorders>
              <w:top w:val="single" w:color="auto" w:sz="4" w:space="0"/>
              <w:left w:val="single" w:color="auto" w:sz="4" w:space="0"/>
              <w:bottom w:val="single" w:color="auto" w:sz="4" w:space="0"/>
              <w:right w:val="single" w:color="auto" w:sz="4" w:space="0"/>
            </w:tcBorders>
            <w:vAlign w:val="center"/>
          </w:tcPr>
          <w:p w14:paraId="0AE82834">
            <w:pPr>
              <w:widowControl/>
              <w:jc w:val="center"/>
              <w:rPr>
                <w:rFonts w:eastAsia="宋体"/>
                <w:kern w:val="2"/>
                <w:sz w:val="21"/>
                <w:lang w:eastAsia="zh-CN"/>
              </w:rPr>
            </w:pPr>
            <w:r>
              <w:rPr>
                <w:rFonts w:eastAsia="宋体"/>
                <w:kern w:val="2"/>
                <w:sz w:val="21"/>
                <w:lang w:eastAsia="zh-CN"/>
              </w:rPr>
              <w:t>0.006%</w:t>
            </w:r>
          </w:p>
        </w:tc>
      </w:tr>
      <w:tr w14:paraId="7804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tcBorders>
              <w:top w:val="single" w:color="auto" w:sz="4" w:space="0"/>
              <w:left w:val="single" w:color="auto" w:sz="4" w:space="0"/>
              <w:bottom w:val="single" w:color="auto" w:sz="4" w:space="0"/>
              <w:right w:val="single" w:color="auto" w:sz="4" w:space="0"/>
            </w:tcBorders>
            <w:vAlign w:val="center"/>
          </w:tcPr>
          <w:p w14:paraId="6C38074F">
            <w:pPr>
              <w:widowControl/>
              <w:jc w:val="center"/>
              <w:rPr>
                <w:rFonts w:eastAsia="宋体"/>
                <w:kern w:val="2"/>
                <w:sz w:val="21"/>
                <w:lang w:eastAsia="zh-CN"/>
              </w:rPr>
            </w:pPr>
            <w:r>
              <w:rPr>
                <w:rFonts w:eastAsia="宋体"/>
                <w:kern w:val="2"/>
                <w:sz w:val="21"/>
                <w:lang w:eastAsia="zh-CN"/>
              </w:rPr>
              <w:t>100</w:t>
            </w:r>
            <w:r>
              <w:rPr>
                <w:rFonts w:hint="eastAsia" w:eastAsia="宋体"/>
                <w:kern w:val="2"/>
                <w:sz w:val="21"/>
                <w:lang w:eastAsia="zh-CN"/>
              </w:rPr>
              <w:t>亿元（含）以上</w:t>
            </w:r>
          </w:p>
        </w:tc>
        <w:tc>
          <w:tcPr>
            <w:tcW w:w="1799" w:type="dxa"/>
            <w:tcBorders>
              <w:top w:val="single" w:color="auto" w:sz="4" w:space="0"/>
              <w:left w:val="single" w:color="auto" w:sz="4" w:space="0"/>
              <w:bottom w:val="single" w:color="auto" w:sz="4" w:space="0"/>
              <w:right w:val="single" w:color="auto" w:sz="4" w:space="0"/>
            </w:tcBorders>
            <w:vAlign w:val="center"/>
          </w:tcPr>
          <w:p w14:paraId="514BB2A2">
            <w:pPr>
              <w:widowControl/>
              <w:jc w:val="center"/>
              <w:rPr>
                <w:rFonts w:eastAsia="宋体"/>
                <w:kern w:val="2"/>
                <w:sz w:val="21"/>
                <w:lang w:eastAsia="zh-CN"/>
              </w:rPr>
            </w:pPr>
            <w:r>
              <w:rPr>
                <w:rFonts w:eastAsia="宋体"/>
                <w:kern w:val="2"/>
                <w:sz w:val="21"/>
                <w:lang w:eastAsia="zh-CN"/>
              </w:rPr>
              <w:t>0.004%</w:t>
            </w:r>
          </w:p>
        </w:tc>
        <w:tc>
          <w:tcPr>
            <w:tcW w:w="1799" w:type="dxa"/>
            <w:tcBorders>
              <w:top w:val="single" w:color="auto" w:sz="4" w:space="0"/>
              <w:left w:val="single" w:color="auto" w:sz="4" w:space="0"/>
              <w:bottom w:val="single" w:color="auto" w:sz="4" w:space="0"/>
              <w:right w:val="single" w:color="auto" w:sz="4" w:space="0"/>
            </w:tcBorders>
            <w:vAlign w:val="center"/>
          </w:tcPr>
          <w:p w14:paraId="1896BEC5">
            <w:pPr>
              <w:widowControl/>
              <w:jc w:val="center"/>
              <w:rPr>
                <w:rFonts w:eastAsia="宋体"/>
                <w:kern w:val="2"/>
                <w:sz w:val="21"/>
                <w:lang w:eastAsia="zh-CN"/>
              </w:rPr>
            </w:pPr>
            <w:r>
              <w:rPr>
                <w:rFonts w:eastAsia="宋体"/>
                <w:kern w:val="2"/>
                <w:sz w:val="21"/>
                <w:lang w:eastAsia="zh-CN"/>
              </w:rPr>
              <w:t>0.004%</w:t>
            </w:r>
          </w:p>
        </w:tc>
        <w:tc>
          <w:tcPr>
            <w:tcW w:w="1799" w:type="dxa"/>
            <w:tcBorders>
              <w:top w:val="single" w:color="auto" w:sz="4" w:space="0"/>
              <w:left w:val="single" w:color="auto" w:sz="4" w:space="0"/>
              <w:bottom w:val="single" w:color="auto" w:sz="4" w:space="0"/>
              <w:right w:val="single" w:color="auto" w:sz="4" w:space="0"/>
            </w:tcBorders>
            <w:vAlign w:val="center"/>
          </w:tcPr>
          <w:p w14:paraId="62BDE601">
            <w:pPr>
              <w:widowControl/>
              <w:jc w:val="center"/>
              <w:rPr>
                <w:rFonts w:eastAsia="宋体"/>
                <w:kern w:val="2"/>
                <w:sz w:val="21"/>
                <w:lang w:eastAsia="zh-CN"/>
              </w:rPr>
            </w:pPr>
            <w:r>
              <w:rPr>
                <w:rFonts w:eastAsia="宋体"/>
                <w:kern w:val="2"/>
                <w:sz w:val="21"/>
                <w:lang w:eastAsia="zh-CN"/>
              </w:rPr>
              <w:t>0.004%</w:t>
            </w:r>
          </w:p>
        </w:tc>
      </w:tr>
    </w:tbl>
    <w:p w14:paraId="1FA83C19">
      <w:pPr>
        <w:widowControl w:val="0"/>
        <w:ind w:firstLine="420" w:firstLineChars="200"/>
        <w:jc w:val="both"/>
        <w:rPr>
          <w:rFonts w:eastAsia="宋体"/>
          <w:kern w:val="2"/>
          <w:sz w:val="21"/>
          <w:lang w:eastAsia="zh-CN"/>
        </w:rPr>
      </w:pPr>
      <w:r>
        <w:rPr>
          <w:rFonts w:hint="eastAsia" w:eastAsia="宋体"/>
          <w:kern w:val="2"/>
          <w:sz w:val="21"/>
          <w:lang w:eastAsia="zh-CN"/>
        </w:rPr>
        <w:t>备注：</w:t>
      </w:r>
    </w:p>
    <w:p w14:paraId="2FB45CE5">
      <w:pPr>
        <w:widowControl w:val="0"/>
        <w:ind w:firstLine="420" w:firstLineChars="200"/>
        <w:jc w:val="both"/>
        <w:rPr>
          <w:rFonts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a.</w:t>
      </w:r>
      <w:r>
        <w:rPr>
          <w:rFonts w:hint="eastAsia" w:eastAsia="宋体"/>
          <w:kern w:val="2"/>
          <w:sz w:val="21"/>
          <w:lang w:eastAsia="zh-CN"/>
        </w:rPr>
        <w:t>对于报总价的采购类项目，中标（成交）价为中标（成交）金额；对于报单价、折扣或费率的采购类项目，中标（成交）价为预算上限金额或经委托方与代理方确定的支付上限金额；</w:t>
      </w:r>
    </w:p>
    <w:p w14:paraId="2BF9269D">
      <w:pPr>
        <w:widowControl w:val="0"/>
        <w:ind w:firstLine="420" w:firstLineChars="200"/>
        <w:jc w:val="both"/>
        <w:rPr>
          <w:rFonts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如某货物招标项目，中标金额为600万，需交纳的代理服务费具体计算如下：</w:t>
      </w:r>
    </w:p>
    <w:p w14:paraId="2F0A72C5">
      <w:pPr>
        <w:widowControl w:val="0"/>
        <w:ind w:firstLine="420" w:firstLineChars="200"/>
        <w:jc w:val="both"/>
        <w:rPr>
          <w:rFonts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100万以下部分的代理服务费）+（100万～500万部分的代理服务费）+（500万～600万部分的代理服务费）＝100万元×1.5%+（500-100）万元×1.1%+（600-500）万元×0.8%=1.5万元+4.4万元+0.8万元＝6.7万元；6.7万元*0.8=5.36万元，因此代理服务费为5.36万元</w:t>
      </w:r>
    </w:p>
    <w:p w14:paraId="7E689552">
      <w:pPr>
        <w:widowControl w:val="0"/>
        <w:ind w:firstLine="420" w:firstLineChars="200"/>
        <w:jc w:val="both"/>
        <w:rPr>
          <w:rFonts w:ascii="宋体" w:hAnsi="宋体" w:eastAsia="宋体" w:cs="宋体"/>
          <w:color w:val="000000"/>
          <w:kern w:val="2"/>
          <w:sz w:val="21"/>
          <w:szCs w:val="21"/>
          <w:lang w:eastAsia="zh-CN"/>
        </w:rPr>
      </w:pPr>
      <w:r>
        <w:rPr>
          <w:rFonts w:eastAsia="宋体"/>
          <w:kern w:val="2"/>
          <w:sz w:val="21"/>
          <w:lang w:eastAsia="zh-CN"/>
        </w:rPr>
        <w:t>b.</w:t>
      </w:r>
      <w:r>
        <w:rPr>
          <w:rFonts w:hint="eastAsia" w:ascii="宋体" w:hAnsi="宋体" w:eastAsia="宋体" w:cs="宋体"/>
          <w:color w:val="000000"/>
          <w:kern w:val="2"/>
          <w:sz w:val="21"/>
          <w:szCs w:val="21"/>
          <w:lang w:eastAsia="zh-CN"/>
        </w:rPr>
        <w:t>按上述计费标准计算后低于人民币5000元的，按最低人民币5000元的标准收取招标代理服务费。</w:t>
      </w:r>
    </w:p>
    <w:p w14:paraId="2AAC60CF">
      <w:pPr>
        <w:widowControl w:val="0"/>
        <w:ind w:firstLine="420" w:firstLineChars="200"/>
        <w:jc w:val="both"/>
        <w:rPr>
          <w:rFonts w:eastAsia="宋体"/>
          <w:kern w:val="2"/>
          <w:sz w:val="21"/>
          <w:lang w:eastAsia="zh-CN"/>
        </w:rPr>
      </w:pPr>
      <w:r>
        <w:rPr>
          <w:rFonts w:hint="eastAsia" w:eastAsia="宋体"/>
          <w:kern w:val="2"/>
          <w:sz w:val="21"/>
          <w:lang w:eastAsia="zh-CN"/>
        </w:rPr>
        <w:t>（</w:t>
      </w:r>
      <w:r>
        <w:rPr>
          <w:rFonts w:eastAsia="宋体"/>
          <w:kern w:val="2"/>
          <w:sz w:val="21"/>
          <w:lang w:eastAsia="zh-CN"/>
        </w:rPr>
        <w:t>3</w:t>
      </w:r>
      <w:r>
        <w:rPr>
          <w:rFonts w:hint="eastAsia" w:eastAsia="宋体"/>
          <w:kern w:val="2"/>
          <w:sz w:val="21"/>
          <w:lang w:eastAsia="zh-CN"/>
        </w:rPr>
        <w:t>）中标（成交）供应商中标（成交）后，必须按规定采用银行对公转账方式向深圳交易集团有限公司直接交纳代理服务费，交纳信息及要求：</w:t>
      </w:r>
    </w:p>
    <w:p w14:paraId="47241CAA">
      <w:pPr>
        <w:widowControl w:val="0"/>
        <w:ind w:firstLine="422" w:firstLineChars="200"/>
        <w:jc w:val="both"/>
        <w:rPr>
          <w:rFonts w:ascii="宋体" w:hAnsi="宋体" w:eastAsia="宋体" w:cs="宋体"/>
          <w:bCs/>
          <w:color w:val="FF0000"/>
          <w:kern w:val="2"/>
          <w:sz w:val="21"/>
          <w:szCs w:val="21"/>
          <w:lang w:eastAsia="zh-CN"/>
        </w:rPr>
      </w:pPr>
      <w:r>
        <w:rPr>
          <w:rFonts w:hint="eastAsia" w:ascii="宋体" w:hAnsi="宋体" w:eastAsia="宋体" w:cs="宋体"/>
          <w:b/>
          <w:bCs/>
          <w:color w:val="FF0000"/>
          <w:kern w:val="2"/>
          <w:sz w:val="21"/>
          <w:szCs w:val="21"/>
          <w:lang w:eastAsia="zh-CN"/>
        </w:rPr>
        <w:t>基本户信息：</w:t>
      </w:r>
    </w:p>
    <w:p w14:paraId="4AF19BF1">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账户名：深圳交易集团有限公司</w:t>
      </w:r>
    </w:p>
    <w:p w14:paraId="74CC2253">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账号：632765883</w:t>
      </w:r>
    </w:p>
    <w:p w14:paraId="57A5EE0E">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开户行：民生银行深圳五洲支行</w:t>
      </w:r>
    </w:p>
    <w:p w14:paraId="3D701F14">
      <w:pPr>
        <w:widowControl w:val="0"/>
        <w:ind w:firstLine="422" w:firstLineChars="200"/>
        <w:jc w:val="both"/>
        <w:rPr>
          <w:rFonts w:ascii="宋体" w:hAnsi="宋体" w:eastAsia="宋体" w:cs="宋体"/>
          <w:bCs/>
          <w:color w:val="FF0000"/>
          <w:kern w:val="2"/>
          <w:sz w:val="21"/>
          <w:szCs w:val="21"/>
          <w:lang w:eastAsia="zh-CN"/>
        </w:rPr>
      </w:pPr>
      <w:r>
        <w:rPr>
          <w:rFonts w:hint="eastAsia" w:ascii="宋体" w:hAnsi="宋体" w:eastAsia="宋体" w:cs="宋体"/>
          <w:b/>
          <w:bCs/>
          <w:color w:val="FF0000"/>
          <w:kern w:val="2"/>
          <w:sz w:val="21"/>
          <w:szCs w:val="21"/>
          <w:lang w:eastAsia="zh-CN"/>
        </w:rPr>
        <w:t>转账备注：</w:t>
      </w:r>
    </w:p>
    <w:p w14:paraId="1904C1C7">
      <w:pPr>
        <w:widowControl w:val="0"/>
        <w:ind w:firstLine="420" w:firstLineChars="200"/>
        <w:jc w:val="both"/>
        <w:rPr>
          <w:rFonts w:ascii="宋体" w:hAnsi="宋体" w:eastAsia="宋体" w:cs="宋体"/>
          <w:bCs/>
          <w:color w:val="FF0000"/>
          <w:kern w:val="2"/>
          <w:sz w:val="21"/>
          <w:szCs w:val="21"/>
          <w:lang w:eastAsia="zh-CN"/>
        </w:rPr>
      </w:pPr>
      <w:r>
        <w:rPr>
          <w:rFonts w:hint="eastAsia" w:ascii="宋体" w:hAnsi="宋体" w:eastAsia="宋体" w:cs="宋体"/>
          <w:bCs/>
          <w:color w:val="FF0000"/>
          <w:kern w:val="2"/>
          <w:sz w:val="21"/>
          <w:szCs w:val="21"/>
          <w:lang w:eastAsia="zh-CN"/>
        </w:rPr>
        <w:t>项目编号+项目名称</w:t>
      </w:r>
    </w:p>
    <w:p w14:paraId="7987C0C6">
      <w:pPr>
        <w:widowControl w:val="0"/>
        <w:jc w:val="center"/>
        <w:rPr>
          <w:rFonts w:ascii="宋体" w:hAnsi="宋体" w:eastAsia="宋体"/>
          <w:b/>
          <w:bCs/>
          <w:sz w:val="28"/>
          <w:szCs w:val="28"/>
          <w:lang w:eastAsia="zh-CN"/>
        </w:rPr>
      </w:pPr>
      <w:bookmarkStart w:id="34" w:name="_Toc128884461"/>
      <w:r>
        <w:rPr>
          <w:rFonts w:hint="eastAsia" w:eastAsia="宋体"/>
          <w:kern w:val="2"/>
          <w:sz w:val="28"/>
          <w:szCs w:val="28"/>
          <w:lang w:eastAsia="zh-CN"/>
        </w:rPr>
        <w:br w:type="page"/>
      </w:r>
      <w:r>
        <w:rPr>
          <w:rFonts w:hint="eastAsia" w:ascii="宋体" w:hAnsi="宋体" w:eastAsia="宋体"/>
          <w:b/>
          <w:bCs/>
          <w:sz w:val="28"/>
          <w:szCs w:val="28"/>
          <w:lang w:eastAsia="zh-CN"/>
        </w:rPr>
        <w:t>第三章 用户需求书</w:t>
      </w:r>
    </w:p>
    <w:p w14:paraId="097F7252">
      <w:pPr>
        <w:keepNext/>
        <w:keepLines/>
        <w:widowControl w:val="0"/>
        <w:adjustRightInd w:val="0"/>
        <w:spacing w:before="156" w:beforeLines="50" w:after="156" w:afterLines="50" w:line="240" w:lineRule="auto"/>
        <w:jc w:val="center"/>
        <w:textAlignment w:val="baseline"/>
        <w:outlineLvl w:val="1"/>
        <w:rPr>
          <w:rFonts w:ascii="宋体" w:hAnsi="宋体" w:eastAsia="宋体"/>
          <w:b/>
          <w:bCs/>
          <w:lang w:eastAsia="zh-CN"/>
        </w:rPr>
      </w:pPr>
      <w:r>
        <w:rPr>
          <w:rFonts w:hint="eastAsia" w:ascii="宋体" w:hAnsi="宋体" w:eastAsia="宋体"/>
          <w:b/>
          <w:bCs/>
          <w:lang w:eastAsia="zh-CN"/>
        </w:rPr>
        <w:t>一、项目基本信息</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5982"/>
        <w:gridCol w:w="2172"/>
      </w:tblGrid>
      <w:tr w14:paraId="7F105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6" w:hRule="atLeast"/>
          <w:jc w:val="center"/>
        </w:trPr>
        <w:tc>
          <w:tcPr>
            <w:tcW w:w="814" w:type="dxa"/>
            <w:vAlign w:val="center"/>
          </w:tcPr>
          <w:p w14:paraId="7C836A9B">
            <w:pPr>
              <w:widowControl w:val="0"/>
              <w:jc w:val="center"/>
              <w:rPr>
                <w:rFonts w:eastAsia="宋体"/>
                <w:bCs/>
                <w:kern w:val="2"/>
                <w:sz w:val="21"/>
                <w:szCs w:val="21"/>
                <w:lang w:eastAsia="zh-CN"/>
              </w:rPr>
            </w:pPr>
            <w:r>
              <w:rPr>
                <w:rFonts w:hint="eastAsia" w:eastAsia="宋体"/>
                <w:bCs/>
                <w:kern w:val="2"/>
                <w:sz w:val="21"/>
                <w:szCs w:val="21"/>
                <w:lang w:eastAsia="zh-CN"/>
              </w:rPr>
              <w:t>序号</w:t>
            </w:r>
          </w:p>
        </w:tc>
        <w:tc>
          <w:tcPr>
            <w:tcW w:w="5731" w:type="dxa"/>
            <w:vAlign w:val="center"/>
          </w:tcPr>
          <w:p w14:paraId="1EE56AF9">
            <w:pPr>
              <w:widowControl w:val="0"/>
              <w:jc w:val="center"/>
              <w:rPr>
                <w:rFonts w:eastAsia="宋体"/>
                <w:bCs/>
                <w:kern w:val="2"/>
                <w:sz w:val="21"/>
                <w:szCs w:val="21"/>
                <w:lang w:eastAsia="zh-CN"/>
              </w:rPr>
            </w:pPr>
            <w:r>
              <w:rPr>
                <w:rFonts w:hint="eastAsia" w:eastAsia="宋体"/>
                <w:bCs/>
                <w:kern w:val="2"/>
                <w:sz w:val="21"/>
                <w:szCs w:val="21"/>
                <w:lang w:eastAsia="zh-CN"/>
              </w:rPr>
              <w:t>采购项目名称</w:t>
            </w:r>
          </w:p>
        </w:tc>
        <w:tc>
          <w:tcPr>
            <w:tcW w:w="2081" w:type="dxa"/>
            <w:vAlign w:val="center"/>
          </w:tcPr>
          <w:p w14:paraId="41CEB3F8">
            <w:pPr>
              <w:widowControl w:val="0"/>
              <w:jc w:val="center"/>
              <w:rPr>
                <w:rFonts w:eastAsia="宋体"/>
                <w:b/>
                <w:bCs/>
                <w:color w:val="FF0000"/>
                <w:kern w:val="2"/>
                <w:sz w:val="21"/>
                <w:szCs w:val="21"/>
                <w:lang w:eastAsia="zh-CN"/>
              </w:rPr>
            </w:pPr>
            <w:r>
              <w:rPr>
                <w:rFonts w:hint="eastAsia" w:eastAsia="宋体"/>
                <w:b/>
                <w:bCs/>
                <w:color w:val="FF0000"/>
                <w:kern w:val="2"/>
                <w:sz w:val="21"/>
                <w:szCs w:val="21"/>
                <w:lang w:eastAsia="zh-CN"/>
              </w:rPr>
              <w:t>预算金额（元）</w:t>
            </w:r>
          </w:p>
        </w:tc>
      </w:tr>
      <w:tr w14:paraId="12E5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14" w:type="dxa"/>
            <w:vAlign w:val="center"/>
          </w:tcPr>
          <w:p w14:paraId="46FEC0AA">
            <w:pPr>
              <w:widowControl w:val="0"/>
              <w:jc w:val="center"/>
              <w:rPr>
                <w:rFonts w:eastAsia="宋体"/>
                <w:bCs/>
                <w:kern w:val="2"/>
                <w:sz w:val="21"/>
                <w:szCs w:val="21"/>
                <w:lang w:eastAsia="zh-CN"/>
              </w:rPr>
            </w:pPr>
            <w:r>
              <w:rPr>
                <w:rFonts w:hint="eastAsia" w:eastAsia="宋体"/>
                <w:bCs/>
                <w:kern w:val="2"/>
                <w:sz w:val="21"/>
                <w:szCs w:val="21"/>
                <w:lang w:eastAsia="zh-CN"/>
              </w:rPr>
              <w:t>1</w:t>
            </w:r>
          </w:p>
        </w:tc>
        <w:tc>
          <w:tcPr>
            <w:tcW w:w="5731" w:type="dxa"/>
            <w:vAlign w:val="center"/>
          </w:tcPr>
          <w:p w14:paraId="71C3D4DE">
            <w:pPr>
              <w:widowControl w:val="0"/>
              <w:jc w:val="center"/>
              <w:rPr>
                <w:rFonts w:eastAsia="宋体"/>
                <w:bCs/>
                <w:kern w:val="2"/>
                <w:sz w:val="21"/>
                <w:szCs w:val="21"/>
                <w:lang w:eastAsia="zh-CN"/>
              </w:rPr>
            </w:pPr>
            <w:r>
              <w:rPr>
                <w:rFonts w:eastAsia="宋体"/>
                <w:bCs/>
                <w:kern w:val="2"/>
                <w:sz w:val="21"/>
                <w:szCs w:val="21"/>
                <w:lang w:eastAsia="zh-CN"/>
              </w:rPr>
              <w:t>香港中文大学（深圳）书院家具项目</w:t>
            </w:r>
          </w:p>
        </w:tc>
        <w:tc>
          <w:tcPr>
            <w:tcW w:w="2081" w:type="dxa"/>
            <w:vAlign w:val="center"/>
          </w:tcPr>
          <w:p w14:paraId="7BFC54D7">
            <w:pPr>
              <w:widowControl w:val="0"/>
              <w:jc w:val="center"/>
              <w:rPr>
                <w:rFonts w:eastAsia="宋体"/>
                <w:bCs/>
                <w:color w:val="FF0000"/>
                <w:kern w:val="2"/>
                <w:sz w:val="21"/>
                <w:szCs w:val="21"/>
                <w:lang w:eastAsia="zh-CN"/>
              </w:rPr>
            </w:pPr>
            <w:r>
              <w:rPr>
                <w:rFonts w:eastAsia="宋体"/>
                <w:b/>
                <w:color w:val="FF0000"/>
                <w:kern w:val="2"/>
                <w:sz w:val="21"/>
                <w:szCs w:val="21"/>
                <w:lang w:eastAsia="zh-CN"/>
              </w:rPr>
              <w:t>475,520</w:t>
            </w:r>
          </w:p>
        </w:tc>
      </w:tr>
    </w:tbl>
    <w:p w14:paraId="53EB5992">
      <w:pPr>
        <w:keepNext/>
        <w:keepLines/>
        <w:widowControl w:val="0"/>
        <w:adjustRightInd w:val="0"/>
        <w:spacing w:before="156" w:beforeLines="50" w:after="156" w:afterLines="50" w:line="240" w:lineRule="auto"/>
        <w:jc w:val="center"/>
        <w:textAlignment w:val="baseline"/>
        <w:outlineLvl w:val="1"/>
        <w:rPr>
          <w:rFonts w:ascii="宋体" w:hAnsi="宋体" w:eastAsia="宋体"/>
          <w:b/>
          <w:bCs/>
          <w:lang w:eastAsia="zh-CN"/>
        </w:rPr>
      </w:pPr>
      <w:bookmarkStart w:id="35" w:name="_Hlk72258617"/>
      <w:r>
        <w:rPr>
          <w:rFonts w:hint="eastAsia" w:ascii="宋体" w:hAnsi="宋体" w:eastAsia="宋体"/>
          <w:b/>
          <w:bCs/>
          <w:lang w:eastAsia="zh-CN"/>
        </w:rPr>
        <w:t>二、货物清单明细</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3342"/>
        <w:gridCol w:w="810"/>
        <w:gridCol w:w="765"/>
        <w:gridCol w:w="1714"/>
        <w:gridCol w:w="1599"/>
      </w:tblGrid>
      <w:tr w14:paraId="27C15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29" w:type="pct"/>
            <w:vAlign w:val="center"/>
          </w:tcPr>
          <w:p w14:paraId="1432CBA1">
            <w:pPr>
              <w:widowControl w:val="0"/>
              <w:jc w:val="center"/>
              <w:rPr>
                <w:rFonts w:eastAsia="宋体"/>
                <w:bCs/>
                <w:kern w:val="2"/>
                <w:sz w:val="21"/>
                <w:szCs w:val="21"/>
                <w:lang w:eastAsia="zh-CN"/>
              </w:rPr>
            </w:pPr>
            <w:r>
              <w:rPr>
                <w:rFonts w:hint="eastAsia" w:eastAsia="宋体"/>
                <w:bCs/>
                <w:kern w:val="2"/>
                <w:sz w:val="21"/>
                <w:szCs w:val="21"/>
                <w:lang w:eastAsia="zh-CN"/>
              </w:rPr>
              <w:t>序号</w:t>
            </w:r>
          </w:p>
        </w:tc>
        <w:tc>
          <w:tcPr>
            <w:tcW w:w="1855" w:type="pct"/>
            <w:vAlign w:val="center"/>
          </w:tcPr>
          <w:p w14:paraId="0BAA4FB5">
            <w:pPr>
              <w:widowControl w:val="0"/>
              <w:jc w:val="center"/>
              <w:rPr>
                <w:rFonts w:eastAsia="宋体"/>
                <w:bCs/>
                <w:kern w:val="2"/>
                <w:sz w:val="21"/>
                <w:szCs w:val="21"/>
                <w:lang w:eastAsia="zh-CN"/>
              </w:rPr>
            </w:pPr>
            <w:r>
              <w:rPr>
                <w:rFonts w:hint="eastAsia" w:eastAsia="宋体"/>
                <w:bCs/>
                <w:kern w:val="2"/>
                <w:sz w:val="21"/>
                <w:szCs w:val="21"/>
                <w:lang w:eastAsia="zh-CN"/>
              </w:rPr>
              <w:t>货物名称（标的名称）</w:t>
            </w:r>
          </w:p>
        </w:tc>
        <w:tc>
          <w:tcPr>
            <w:tcW w:w="450" w:type="pct"/>
            <w:vAlign w:val="center"/>
          </w:tcPr>
          <w:p w14:paraId="7067D15F">
            <w:pPr>
              <w:widowControl w:val="0"/>
              <w:jc w:val="center"/>
              <w:rPr>
                <w:rFonts w:eastAsia="宋体"/>
                <w:bCs/>
                <w:kern w:val="2"/>
                <w:sz w:val="21"/>
                <w:szCs w:val="21"/>
                <w:lang w:eastAsia="zh-CN"/>
              </w:rPr>
            </w:pPr>
            <w:r>
              <w:rPr>
                <w:rFonts w:hint="eastAsia" w:eastAsia="宋体"/>
                <w:bCs/>
                <w:kern w:val="2"/>
                <w:sz w:val="21"/>
                <w:szCs w:val="21"/>
                <w:lang w:eastAsia="zh-CN"/>
              </w:rPr>
              <w:t>数量</w:t>
            </w:r>
          </w:p>
        </w:tc>
        <w:tc>
          <w:tcPr>
            <w:tcW w:w="425" w:type="pct"/>
            <w:vAlign w:val="center"/>
          </w:tcPr>
          <w:p w14:paraId="1024ACAC">
            <w:pPr>
              <w:widowControl w:val="0"/>
              <w:jc w:val="center"/>
              <w:rPr>
                <w:rFonts w:eastAsia="宋体"/>
                <w:bCs/>
                <w:kern w:val="2"/>
                <w:sz w:val="21"/>
                <w:szCs w:val="21"/>
                <w:lang w:eastAsia="zh-CN"/>
              </w:rPr>
            </w:pPr>
            <w:r>
              <w:rPr>
                <w:rFonts w:hint="eastAsia" w:eastAsia="宋体"/>
                <w:bCs/>
                <w:kern w:val="2"/>
                <w:sz w:val="21"/>
                <w:szCs w:val="21"/>
                <w:lang w:eastAsia="zh-CN"/>
              </w:rPr>
              <w:t>单位</w:t>
            </w:r>
          </w:p>
        </w:tc>
        <w:tc>
          <w:tcPr>
            <w:tcW w:w="951" w:type="pct"/>
            <w:vAlign w:val="center"/>
          </w:tcPr>
          <w:p w14:paraId="1295933D">
            <w:pPr>
              <w:widowControl w:val="0"/>
              <w:jc w:val="center"/>
              <w:rPr>
                <w:rFonts w:eastAsia="宋体"/>
                <w:kern w:val="2"/>
                <w:sz w:val="21"/>
                <w:szCs w:val="21"/>
                <w:lang w:eastAsia="zh-CN"/>
              </w:rPr>
            </w:pPr>
            <w:r>
              <w:rPr>
                <w:rFonts w:hint="eastAsia" w:eastAsia="宋体"/>
                <w:kern w:val="2"/>
                <w:sz w:val="21"/>
                <w:szCs w:val="21"/>
                <w:lang w:eastAsia="zh-CN"/>
              </w:rPr>
              <w:t>是否接受进口</w:t>
            </w:r>
          </w:p>
        </w:tc>
        <w:tc>
          <w:tcPr>
            <w:tcW w:w="887" w:type="pct"/>
            <w:vAlign w:val="center"/>
          </w:tcPr>
          <w:p w14:paraId="001ADAB7">
            <w:pPr>
              <w:widowControl w:val="0"/>
              <w:jc w:val="center"/>
              <w:rPr>
                <w:rFonts w:eastAsia="宋体"/>
                <w:b/>
                <w:bCs/>
                <w:color w:val="FF0000"/>
                <w:kern w:val="2"/>
                <w:sz w:val="21"/>
                <w:szCs w:val="21"/>
                <w:lang w:eastAsia="zh-CN"/>
              </w:rPr>
            </w:pPr>
            <w:r>
              <w:rPr>
                <w:rFonts w:hint="eastAsia" w:eastAsia="宋体"/>
                <w:b/>
                <w:bCs/>
                <w:color w:val="FF0000"/>
                <w:kern w:val="2"/>
                <w:sz w:val="21"/>
                <w:szCs w:val="21"/>
                <w:lang w:eastAsia="zh-CN"/>
              </w:rPr>
              <w:t>标的所属行业</w:t>
            </w:r>
          </w:p>
        </w:tc>
      </w:tr>
      <w:tr w14:paraId="7598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29" w:type="pct"/>
            <w:vAlign w:val="center"/>
          </w:tcPr>
          <w:p w14:paraId="336D7C48">
            <w:pPr>
              <w:widowControl w:val="0"/>
              <w:spacing w:line="360" w:lineRule="auto"/>
              <w:jc w:val="center"/>
              <w:rPr>
                <w:rFonts w:eastAsia="宋体"/>
                <w:bCs/>
                <w:kern w:val="2"/>
                <w:sz w:val="21"/>
                <w:szCs w:val="21"/>
                <w:lang w:eastAsia="zh-CN"/>
              </w:rPr>
            </w:pPr>
            <w:r>
              <w:rPr>
                <w:rFonts w:hint="eastAsia" w:eastAsia="宋体"/>
                <w:bCs/>
                <w:kern w:val="2"/>
                <w:sz w:val="21"/>
                <w:szCs w:val="21"/>
                <w:lang w:eastAsia="zh-CN"/>
              </w:rPr>
              <w:t>1</w:t>
            </w:r>
          </w:p>
        </w:tc>
        <w:tc>
          <w:tcPr>
            <w:tcW w:w="1855" w:type="pct"/>
            <w:vAlign w:val="center"/>
          </w:tcPr>
          <w:p w14:paraId="3C1BE057">
            <w:pPr>
              <w:widowControl w:val="0"/>
              <w:spacing w:line="360" w:lineRule="auto"/>
              <w:jc w:val="center"/>
              <w:rPr>
                <w:rFonts w:eastAsia="宋体"/>
                <w:bCs/>
                <w:kern w:val="2"/>
                <w:sz w:val="21"/>
                <w:szCs w:val="21"/>
                <w:lang w:eastAsia="zh-CN"/>
              </w:rPr>
            </w:pPr>
            <w:r>
              <w:rPr>
                <w:rFonts w:hint="eastAsia" w:eastAsia="宋体"/>
                <w:kern w:val="2"/>
                <w:sz w:val="21"/>
                <w:lang w:eastAsia="zh-CN"/>
              </w:rPr>
              <w:t>实木公寓床（含床板、床垫）</w:t>
            </w:r>
          </w:p>
        </w:tc>
        <w:tc>
          <w:tcPr>
            <w:tcW w:w="450" w:type="pct"/>
            <w:vAlign w:val="center"/>
          </w:tcPr>
          <w:p w14:paraId="0F316DFC">
            <w:pPr>
              <w:widowControl w:val="0"/>
              <w:spacing w:line="360" w:lineRule="auto"/>
              <w:jc w:val="center"/>
              <w:rPr>
                <w:rFonts w:eastAsia="宋体"/>
                <w:bCs/>
                <w:kern w:val="2"/>
                <w:sz w:val="21"/>
                <w:szCs w:val="21"/>
                <w:lang w:eastAsia="zh-CN"/>
              </w:rPr>
            </w:pPr>
            <w:r>
              <w:rPr>
                <w:rFonts w:eastAsia="宋体"/>
                <w:bCs/>
                <w:kern w:val="2"/>
                <w:sz w:val="21"/>
                <w:lang w:eastAsia="zh-CN"/>
              </w:rPr>
              <w:t>64</w:t>
            </w:r>
          </w:p>
        </w:tc>
        <w:tc>
          <w:tcPr>
            <w:tcW w:w="425" w:type="pct"/>
            <w:vAlign w:val="center"/>
          </w:tcPr>
          <w:p w14:paraId="794F7CF5">
            <w:pPr>
              <w:widowControl w:val="0"/>
              <w:spacing w:line="360" w:lineRule="auto"/>
              <w:jc w:val="center"/>
              <w:rPr>
                <w:rFonts w:eastAsia="宋体"/>
                <w:bCs/>
                <w:kern w:val="2"/>
                <w:sz w:val="21"/>
                <w:szCs w:val="21"/>
                <w:lang w:eastAsia="zh-CN"/>
              </w:rPr>
            </w:pPr>
            <w:r>
              <w:rPr>
                <w:rFonts w:hint="eastAsia" w:eastAsia="宋体"/>
                <w:kern w:val="2"/>
                <w:sz w:val="21"/>
                <w:lang w:eastAsia="zh-CN"/>
              </w:rPr>
              <w:t>张</w:t>
            </w:r>
          </w:p>
        </w:tc>
        <w:tc>
          <w:tcPr>
            <w:tcW w:w="951" w:type="pct"/>
            <w:vAlign w:val="center"/>
          </w:tcPr>
          <w:p w14:paraId="2A845465">
            <w:pPr>
              <w:widowControl w:val="0"/>
              <w:spacing w:line="360" w:lineRule="auto"/>
              <w:jc w:val="center"/>
              <w:rPr>
                <w:rFonts w:eastAsia="宋体"/>
                <w:kern w:val="2"/>
                <w:sz w:val="21"/>
                <w:szCs w:val="21"/>
                <w:lang w:eastAsia="zh-CN"/>
              </w:rPr>
            </w:pPr>
            <w:r>
              <w:rPr>
                <w:rFonts w:hint="eastAsia" w:eastAsia="宋体"/>
                <w:kern w:val="2"/>
                <w:sz w:val="21"/>
                <w:lang w:eastAsia="zh-CN"/>
              </w:rPr>
              <w:t>拒绝进口</w:t>
            </w:r>
          </w:p>
        </w:tc>
        <w:tc>
          <w:tcPr>
            <w:tcW w:w="887" w:type="pct"/>
            <w:vAlign w:val="center"/>
          </w:tcPr>
          <w:p w14:paraId="0A6D91A7">
            <w:pPr>
              <w:widowControl w:val="0"/>
              <w:spacing w:line="360" w:lineRule="auto"/>
              <w:jc w:val="center"/>
              <w:rPr>
                <w:rFonts w:eastAsia="宋体"/>
                <w:b/>
                <w:bCs/>
                <w:color w:val="FF0000"/>
                <w:kern w:val="2"/>
                <w:sz w:val="21"/>
                <w:szCs w:val="21"/>
                <w:lang w:eastAsia="zh-CN"/>
              </w:rPr>
            </w:pPr>
            <w:r>
              <w:rPr>
                <w:rFonts w:hint="eastAsia" w:eastAsia="宋体"/>
                <w:b/>
                <w:bCs/>
                <w:color w:val="FF0000"/>
                <w:kern w:val="2"/>
                <w:sz w:val="21"/>
                <w:szCs w:val="21"/>
                <w:lang w:eastAsia="zh-CN"/>
              </w:rPr>
              <w:t>工业</w:t>
            </w:r>
          </w:p>
        </w:tc>
      </w:tr>
      <w:tr w14:paraId="2AEC8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29" w:type="pct"/>
            <w:vAlign w:val="center"/>
          </w:tcPr>
          <w:p w14:paraId="238F28DC">
            <w:pPr>
              <w:widowControl w:val="0"/>
              <w:spacing w:line="360" w:lineRule="auto"/>
              <w:jc w:val="center"/>
              <w:rPr>
                <w:rFonts w:eastAsia="宋体"/>
                <w:bCs/>
                <w:kern w:val="2"/>
                <w:sz w:val="21"/>
                <w:szCs w:val="21"/>
                <w:lang w:eastAsia="zh-CN"/>
              </w:rPr>
            </w:pPr>
            <w:r>
              <w:rPr>
                <w:rFonts w:hint="eastAsia" w:eastAsia="宋体"/>
                <w:bCs/>
                <w:kern w:val="2"/>
                <w:sz w:val="21"/>
                <w:szCs w:val="21"/>
                <w:lang w:eastAsia="zh-CN"/>
              </w:rPr>
              <w:t>2</w:t>
            </w:r>
          </w:p>
        </w:tc>
        <w:tc>
          <w:tcPr>
            <w:tcW w:w="1855" w:type="pct"/>
            <w:vAlign w:val="center"/>
          </w:tcPr>
          <w:p w14:paraId="0B63ADD6">
            <w:pPr>
              <w:widowControl w:val="0"/>
              <w:spacing w:line="360" w:lineRule="auto"/>
              <w:jc w:val="center"/>
              <w:rPr>
                <w:rFonts w:eastAsia="宋体"/>
                <w:bCs/>
                <w:kern w:val="2"/>
                <w:sz w:val="21"/>
                <w:szCs w:val="21"/>
                <w:lang w:eastAsia="zh-CN"/>
              </w:rPr>
            </w:pPr>
            <w:r>
              <w:rPr>
                <w:rFonts w:hint="eastAsia" w:eastAsia="宋体"/>
                <w:kern w:val="2"/>
                <w:sz w:val="21"/>
                <w:lang w:eastAsia="zh-CN"/>
              </w:rPr>
              <w:t>楼梯柜</w:t>
            </w:r>
          </w:p>
        </w:tc>
        <w:tc>
          <w:tcPr>
            <w:tcW w:w="450" w:type="pct"/>
            <w:vAlign w:val="center"/>
          </w:tcPr>
          <w:p w14:paraId="3873ECFE">
            <w:pPr>
              <w:widowControl w:val="0"/>
              <w:spacing w:line="360" w:lineRule="auto"/>
              <w:jc w:val="center"/>
              <w:rPr>
                <w:rFonts w:eastAsia="宋体"/>
                <w:bCs/>
                <w:kern w:val="2"/>
                <w:sz w:val="21"/>
                <w:szCs w:val="21"/>
                <w:lang w:eastAsia="zh-CN"/>
              </w:rPr>
            </w:pPr>
            <w:r>
              <w:rPr>
                <w:rFonts w:eastAsia="宋体"/>
                <w:bCs/>
                <w:kern w:val="2"/>
                <w:sz w:val="21"/>
                <w:lang w:eastAsia="zh-CN"/>
              </w:rPr>
              <w:t>32</w:t>
            </w:r>
          </w:p>
        </w:tc>
        <w:tc>
          <w:tcPr>
            <w:tcW w:w="425" w:type="pct"/>
            <w:vAlign w:val="center"/>
          </w:tcPr>
          <w:p w14:paraId="7292FE0C">
            <w:pPr>
              <w:widowControl w:val="0"/>
              <w:spacing w:line="360" w:lineRule="auto"/>
              <w:jc w:val="center"/>
              <w:rPr>
                <w:rFonts w:eastAsia="宋体"/>
                <w:bCs/>
                <w:kern w:val="2"/>
                <w:sz w:val="21"/>
                <w:szCs w:val="21"/>
                <w:lang w:eastAsia="zh-CN"/>
              </w:rPr>
            </w:pPr>
            <w:r>
              <w:rPr>
                <w:rFonts w:hint="eastAsia" w:eastAsia="宋体"/>
                <w:bCs/>
                <w:kern w:val="2"/>
                <w:sz w:val="21"/>
                <w:lang w:eastAsia="zh-CN"/>
              </w:rPr>
              <w:t>张</w:t>
            </w:r>
          </w:p>
        </w:tc>
        <w:tc>
          <w:tcPr>
            <w:tcW w:w="951" w:type="pct"/>
            <w:vAlign w:val="center"/>
          </w:tcPr>
          <w:p w14:paraId="3C46EDD1">
            <w:pPr>
              <w:widowControl w:val="0"/>
              <w:spacing w:line="360" w:lineRule="auto"/>
              <w:jc w:val="center"/>
              <w:rPr>
                <w:rFonts w:eastAsia="宋体"/>
                <w:b/>
                <w:bCs/>
                <w:color w:val="FF0000"/>
                <w:kern w:val="2"/>
                <w:sz w:val="21"/>
                <w:szCs w:val="21"/>
                <w:lang w:eastAsia="zh-CN"/>
              </w:rPr>
            </w:pPr>
            <w:r>
              <w:rPr>
                <w:rFonts w:hint="eastAsia" w:eastAsia="宋体"/>
                <w:kern w:val="2"/>
                <w:sz w:val="21"/>
                <w:lang w:eastAsia="zh-CN"/>
              </w:rPr>
              <w:t>拒绝进口</w:t>
            </w:r>
          </w:p>
        </w:tc>
        <w:tc>
          <w:tcPr>
            <w:tcW w:w="887" w:type="pct"/>
            <w:vAlign w:val="center"/>
          </w:tcPr>
          <w:p w14:paraId="267FE197">
            <w:pPr>
              <w:widowControl w:val="0"/>
              <w:spacing w:line="360" w:lineRule="auto"/>
              <w:jc w:val="center"/>
              <w:rPr>
                <w:rFonts w:eastAsia="宋体"/>
                <w:b/>
                <w:bCs/>
                <w:color w:val="FF0000"/>
                <w:kern w:val="2"/>
                <w:sz w:val="21"/>
                <w:szCs w:val="21"/>
                <w:lang w:eastAsia="zh-CN"/>
              </w:rPr>
            </w:pPr>
            <w:r>
              <w:rPr>
                <w:rFonts w:hint="eastAsia" w:eastAsia="宋体"/>
                <w:b/>
                <w:bCs/>
                <w:color w:val="FF0000"/>
                <w:kern w:val="2"/>
                <w:sz w:val="21"/>
                <w:szCs w:val="21"/>
                <w:lang w:eastAsia="zh-CN"/>
              </w:rPr>
              <w:t>工业</w:t>
            </w:r>
          </w:p>
        </w:tc>
      </w:tr>
      <w:tr w14:paraId="209BC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29" w:type="pct"/>
            <w:vAlign w:val="center"/>
          </w:tcPr>
          <w:p w14:paraId="2A4AA19F">
            <w:pPr>
              <w:widowControl w:val="0"/>
              <w:spacing w:line="360" w:lineRule="auto"/>
              <w:jc w:val="center"/>
              <w:rPr>
                <w:rFonts w:eastAsia="宋体"/>
                <w:bCs/>
                <w:kern w:val="2"/>
                <w:sz w:val="21"/>
                <w:szCs w:val="21"/>
                <w:lang w:eastAsia="zh-CN"/>
              </w:rPr>
            </w:pPr>
            <w:r>
              <w:rPr>
                <w:rFonts w:hint="eastAsia" w:eastAsia="宋体"/>
                <w:bCs/>
                <w:kern w:val="2"/>
                <w:sz w:val="21"/>
                <w:szCs w:val="21"/>
                <w:lang w:eastAsia="zh-CN"/>
              </w:rPr>
              <w:t>3</w:t>
            </w:r>
          </w:p>
        </w:tc>
        <w:tc>
          <w:tcPr>
            <w:tcW w:w="1855" w:type="pct"/>
            <w:vAlign w:val="center"/>
          </w:tcPr>
          <w:p w14:paraId="3E0966FE">
            <w:pPr>
              <w:widowControl w:val="0"/>
              <w:spacing w:line="360" w:lineRule="auto"/>
              <w:jc w:val="center"/>
              <w:rPr>
                <w:rFonts w:eastAsia="宋体"/>
                <w:bCs/>
                <w:kern w:val="2"/>
                <w:sz w:val="21"/>
                <w:szCs w:val="21"/>
                <w:lang w:eastAsia="zh-CN"/>
              </w:rPr>
            </w:pPr>
            <w:r>
              <w:rPr>
                <w:rFonts w:hint="eastAsia" w:eastAsia="宋体"/>
                <w:kern w:val="2"/>
                <w:sz w:val="21"/>
                <w:lang w:eastAsia="zh-CN"/>
              </w:rPr>
              <w:t>组合书桌+衣柜</w:t>
            </w:r>
          </w:p>
        </w:tc>
        <w:tc>
          <w:tcPr>
            <w:tcW w:w="450" w:type="pct"/>
            <w:vAlign w:val="center"/>
          </w:tcPr>
          <w:p w14:paraId="3BDC0C46">
            <w:pPr>
              <w:widowControl w:val="0"/>
              <w:spacing w:line="360" w:lineRule="auto"/>
              <w:jc w:val="center"/>
              <w:rPr>
                <w:rFonts w:eastAsia="宋体"/>
                <w:bCs/>
                <w:kern w:val="2"/>
                <w:sz w:val="21"/>
                <w:szCs w:val="21"/>
                <w:lang w:eastAsia="zh-CN"/>
              </w:rPr>
            </w:pPr>
            <w:r>
              <w:rPr>
                <w:rFonts w:eastAsia="宋体"/>
                <w:bCs/>
                <w:kern w:val="2"/>
                <w:sz w:val="21"/>
                <w:lang w:eastAsia="zh-CN"/>
              </w:rPr>
              <w:t>64</w:t>
            </w:r>
          </w:p>
        </w:tc>
        <w:tc>
          <w:tcPr>
            <w:tcW w:w="425" w:type="pct"/>
            <w:vAlign w:val="center"/>
          </w:tcPr>
          <w:p w14:paraId="2C6F8779">
            <w:pPr>
              <w:widowControl w:val="0"/>
              <w:spacing w:line="360" w:lineRule="auto"/>
              <w:jc w:val="center"/>
              <w:rPr>
                <w:rFonts w:eastAsia="宋体"/>
                <w:bCs/>
                <w:kern w:val="2"/>
                <w:sz w:val="21"/>
                <w:szCs w:val="21"/>
                <w:lang w:eastAsia="zh-CN"/>
              </w:rPr>
            </w:pPr>
            <w:r>
              <w:rPr>
                <w:rFonts w:hint="eastAsia" w:eastAsia="宋体"/>
                <w:kern w:val="2"/>
                <w:sz w:val="21"/>
                <w:lang w:eastAsia="zh-CN"/>
              </w:rPr>
              <w:t>张</w:t>
            </w:r>
          </w:p>
        </w:tc>
        <w:tc>
          <w:tcPr>
            <w:tcW w:w="951" w:type="pct"/>
            <w:vAlign w:val="center"/>
          </w:tcPr>
          <w:p w14:paraId="0316CFB9">
            <w:pPr>
              <w:widowControl w:val="0"/>
              <w:spacing w:line="360" w:lineRule="auto"/>
              <w:jc w:val="center"/>
              <w:rPr>
                <w:rFonts w:eastAsia="宋体"/>
                <w:b/>
                <w:bCs/>
                <w:kern w:val="2"/>
                <w:sz w:val="21"/>
                <w:szCs w:val="21"/>
                <w:lang w:eastAsia="zh-CN"/>
              </w:rPr>
            </w:pPr>
            <w:r>
              <w:rPr>
                <w:rFonts w:hint="eastAsia" w:eastAsia="宋体"/>
                <w:kern w:val="2"/>
                <w:sz w:val="21"/>
                <w:lang w:eastAsia="zh-CN"/>
              </w:rPr>
              <w:t>拒绝进口</w:t>
            </w:r>
          </w:p>
        </w:tc>
        <w:tc>
          <w:tcPr>
            <w:tcW w:w="887" w:type="pct"/>
            <w:vAlign w:val="center"/>
          </w:tcPr>
          <w:p w14:paraId="64EAA8E7">
            <w:pPr>
              <w:widowControl w:val="0"/>
              <w:spacing w:line="360" w:lineRule="auto"/>
              <w:jc w:val="center"/>
              <w:rPr>
                <w:rFonts w:eastAsia="宋体"/>
                <w:b/>
                <w:bCs/>
                <w:kern w:val="2"/>
                <w:sz w:val="21"/>
                <w:szCs w:val="21"/>
                <w:lang w:eastAsia="zh-CN"/>
              </w:rPr>
            </w:pPr>
            <w:r>
              <w:rPr>
                <w:rFonts w:hint="eastAsia" w:eastAsia="宋体"/>
                <w:b/>
                <w:bCs/>
                <w:color w:val="FF0000"/>
                <w:kern w:val="2"/>
                <w:sz w:val="21"/>
                <w:szCs w:val="21"/>
                <w:lang w:eastAsia="zh-CN"/>
              </w:rPr>
              <w:t>工业</w:t>
            </w:r>
          </w:p>
        </w:tc>
      </w:tr>
      <w:tr w14:paraId="6AEE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29" w:type="pct"/>
            <w:vAlign w:val="center"/>
          </w:tcPr>
          <w:p w14:paraId="495BD346">
            <w:pPr>
              <w:widowControl w:val="0"/>
              <w:spacing w:line="360" w:lineRule="auto"/>
              <w:jc w:val="center"/>
              <w:rPr>
                <w:rFonts w:eastAsia="宋体"/>
                <w:bCs/>
                <w:kern w:val="2"/>
                <w:sz w:val="21"/>
                <w:szCs w:val="21"/>
                <w:lang w:eastAsia="zh-CN"/>
              </w:rPr>
            </w:pPr>
            <w:r>
              <w:rPr>
                <w:rFonts w:hint="eastAsia" w:eastAsia="宋体"/>
                <w:bCs/>
                <w:kern w:val="2"/>
                <w:sz w:val="21"/>
                <w:szCs w:val="21"/>
                <w:lang w:eastAsia="zh-CN"/>
              </w:rPr>
              <w:t>4</w:t>
            </w:r>
          </w:p>
        </w:tc>
        <w:tc>
          <w:tcPr>
            <w:tcW w:w="1855" w:type="pct"/>
            <w:vAlign w:val="center"/>
          </w:tcPr>
          <w:p w14:paraId="13BE5E1A">
            <w:pPr>
              <w:widowControl w:val="0"/>
              <w:spacing w:line="360" w:lineRule="auto"/>
              <w:jc w:val="center"/>
              <w:rPr>
                <w:rFonts w:eastAsia="宋体"/>
                <w:bCs/>
                <w:kern w:val="2"/>
                <w:sz w:val="21"/>
                <w:szCs w:val="21"/>
                <w:lang w:eastAsia="zh-CN"/>
              </w:rPr>
            </w:pPr>
            <w:r>
              <w:rPr>
                <w:rFonts w:hint="eastAsia" w:eastAsia="宋体"/>
                <w:kern w:val="2"/>
                <w:sz w:val="21"/>
                <w:lang w:eastAsia="zh-CN"/>
              </w:rPr>
              <w:t>实木书椅</w:t>
            </w:r>
          </w:p>
        </w:tc>
        <w:tc>
          <w:tcPr>
            <w:tcW w:w="450" w:type="pct"/>
            <w:vAlign w:val="center"/>
          </w:tcPr>
          <w:p w14:paraId="37898AC4">
            <w:pPr>
              <w:widowControl w:val="0"/>
              <w:spacing w:line="360" w:lineRule="auto"/>
              <w:jc w:val="center"/>
              <w:rPr>
                <w:rFonts w:eastAsia="宋体"/>
                <w:bCs/>
                <w:kern w:val="2"/>
                <w:sz w:val="21"/>
                <w:szCs w:val="21"/>
                <w:lang w:eastAsia="zh-CN"/>
              </w:rPr>
            </w:pPr>
            <w:r>
              <w:rPr>
                <w:rFonts w:eastAsia="宋体"/>
                <w:bCs/>
                <w:kern w:val="2"/>
                <w:sz w:val="21"/>
                <w:lang w:eastAsia="zh-CN"/>
              </w:rPr>
              <w:t>64</w:t>
            </w:r>
          </w:p>
        </w:tc>
        <w:tc>
          <w:tcPr>
            <w:tcW w:w="425" w:type="pct"/>
            <w:vAlign w:val="center"/>
          </w:tcPr>
          <w:p w14:paraId="7050A8E8">
            <w:pPr>
              <w:widowControl w:val="0"/>
              <w:spacing w:line="360" w:lineRule="auto"/>
              <w:jc w:val="center"/>
              <w:rPr>
                <w:rFonts w:eastAsia="宋体"/>
                <w:bCs/>
                <w:kern w:val="2"/>
                <w:sz w:val="21"/>
                <w:szCs w:val="21"/>
                <w:lang w:eastAsia="zh-CN"/>
              </w:rPr>
            </w:pPr>
            <w:r>
              <w:rPr>
                <w:rFonts w:hint="eastAsia" w:eastAsia="宋体"/>
                <w:kern w:val="2"/>
                <w:sz w:val="21"/>
                <w:lang w:eastAsia="zh-CN"/>
              </w:rPr>
              <w:t>张</w:t>
            </w:r>
          </w:p>
        </w:tc>
        <w:tc>
          <w:tcPr>
            <w:tcW w:w="951" w:type="pct"/>
            <w:vAlign w:val="center"/>
          </w:tcPr>
          <w:p w14:paraId="751875B6">
            <w:pPr>
              <w:widowControl w:val="0"/>
              <w:spacing w:line="360" w:lineRule="auto"/>
              <w:jc w:val="center"/>
              <w:rPr>
                <w:rFonts w:eastAsia="宋体"/>
                <w:b/>
                <w:bCs/>
                <w:color w:val="FF0000"/>
                <w:kern w:val="2"/>
                <w:sz w:val="21"/>
                <w:szCs w:val="21"/>
                <w:lang w:eastAsia="zh-CN"/>
              </w:rPr>
            </w:pPr>
            <w:r>
              <w:rPr>
                <w:rFonts w:hint="eastAsia" w:eastAsia="宋体"/>
                <w:kern w:val="2"/>
                <w:sz w:val="21"/>
                <w:lang w:eastAsia="zh-CN"/>
              </w:rPr>
              <w:t>拒绝进口</w:t>
            </w:r>
          </w:p>
        </w:tc>
        <w:tc>
          <w:tcPr>
            <w:tcW w:w="887" w:type="pct"/>
            <w:vAlign w:val="center"/>
          </w:tcPr>
          <w:p w14:paraId="235C0D87">
            <w:pPr>
              <w:widowControl w:val="0"/>
              <w:spacing w:line="360" w:lineRule="auto"/>
              <w:jc w:val="center"/>
              <w:rPr>
                <w:rFonts w:eastAsia="宋体"/>
                <w:b/>
                <w:bCs/>
                <w:kern w:val="2"/>
                <w:sz w:val="21"/>
                <w:szCs w:val="21"/>
                <w:lang w:eastAsia="zh-CN"/>
              </w:rPr>
            </w:pPr>
            <w:r>
              <w:rPr>
                <w:rFonts w:hint="eastAsia" w:eastAsia="宋体"/>
                <w:b/>
                <w:bCs/>
                <w:color w:val="FF0000"/>
                <w:kern w:val="2"/>
                <w:sz w:val="21"/>
                <w:szCs w:val="21"/>
                <w:lang w:eastAsia="zh-CN"/>
              </w:rPr>
              <w:t>工业</w:t>
            </w:r>
          </w:p>
        </w:tc>
      </w:tr>
    </w:tbl>
    <w:p w14:paraId="120C0BCB">
      <w:pPr>
        <w:widowControl w:val="0"/>
        <w:jc w:val="both"/>
        <w:rPr>
          <w:rFonts w:ascii="宋体" w:hAnsi="宋体" w:eastAsia="宋体"/>
          <w:b/>
          <w:color w:val="FF0000"/>
          <w:kern w:val="2"/>
          <w:sz w:val="21"/>
          <w:szCs w:val="21"/>
          <w:lang w:eastAsia="zh-CN"/>
        </w:rPr>
      </w:pPr>
      <w:r>
        <w:rPr>
          <w:rFonts w:hint="eastAsia" w:ascii="宋体" w:hAnsi="宋体" w:eastAsia="宋体"/>
          <w:b/>
          <w:color w:val="FF0000"/>
          <w:kern w:val="2"/>
          <w:sz w:val="21"/>
          <w:szCs w:val="21"/>
          <w:lang w:eastAsia="zh-CN"/>
        </w:rPr>
        <w:t>备注：1、“是否接受进口”栏注明“拒绝进口”的产品不接受投标人选用进口产品参与投标；注明“接受进口”的产品允许投标人选用进口产品参与投标，但不排斥国内产品。</w:t>
      </w:r>
    </w:p>
    <w:p w14:paraId="75EB159C">
      <w:pPr>
        <w:widowControl w:val="0"/>
        <w:ind w:firstLine="422" w:firstLineChars="200"/>
        <w:jc w:val="both"/>
        <w:rPr>
          <w:rFonts w:ascii="宋体" w:hAnsi="宋体" w:eastAsia="宋体"/>
          <w:b/>
          <w:color w:val="FF0000"/>
          <w:kern w:val="2"/>
          <w:sz w:val="21"/>
          <w:szCs w:val="21"/>
          <w:lang w:eastAsia="zh-CN"/>
        </w:rPr>
      </w:pPr>
      <w:r>
        <w:rPr>
          <w:rFonts w:hint="eastAsia" w:ascii="宋体" w:hAnsi="宋体" w:eastAsia="宋体"/>
          <w:b/>
          <w:color w:val="FF0000"/>
          <w:kern w:val="2"/>
          <w:sz w:val="21"/>
          <w:szCs w:val="21"/>
          <w:lang w:eastAsia="zh-CN"/>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484E818B">
      <w:pPr>
        <w:widowControl w:val="0"/>
        <w:ind w:firstLine="422" w:firstLineChars="200"/>
        <w:jc w:val="both"/>
        <w:rPr>
          <w:rFonts w:hint="eastAsia" w:ascii="宋体" w:hAnsi="宋体" w:eastAsia="宋体"/>
          <w:b/>
          <w:color w:val="FF0000"/>
          <w:kern w:val="2"/>
          <w:sz w:val="21"/>
          <w:szCs w:val="21"/>
          <w:lang w:eastAsia="zh-CN"/>
        </w:rPr>
      </w:pPr>
      <w:r>
        <w:rPr>
          <w:rFonts w:hint="eastAsia" w:ascii="宋体" w:hAnsi="宋体" w:eastAsia="宋体"/>
          <w:b/>
          <w:color w:val="FF0000"/>
          <w:kern w:val="2"/>
          <w:sz w:val="21"/>
          <w:szCs w:val="21"/>
          <w:lang w:eastAsia="zh-CN"/>
        </w:rPr>
        <w:t>3、本项目核心产品为：</w:t>
      </w:r>
      <w:r>
        <w:rPr>
          <w:rFonts w:hint="eastAsia" w:ascii="宋体" w:hAnsi="宋体" w:eastAsia="宋体"/>
          <w:b/>
          <w:color w:val="FF0000"/>
          <w:kern w:val="2"/>
          <w:sz w:val="21"/>
          <w:szCs w:val="21"/>
          <w:u w:val="single"/>
          <w:lang w:eastAsia="zh-CN"/>
        </w:rPr>
        <w:t>实木公寓床（含床板、床垫）</w:t>
      </w:r>
      <w:r>
        <w:rPr>
          <w:rFonts w:hint="eastAsia" w:eastAsia="宋体"/>
          <w:b/>
          <w:color w:val="FF0000"/>
          <w:kern w:val="2"/>
          <w:sz w:val="21"/>
          <w:szCs w:val="21"/>
          <w:u w:val="single"/>
          <w:lang w:eastAsia="zh-CN"/>
        </w:rPr>
        <w:t>（序号1）</w:t>
      </w:r>
      <w:r>
        <w:rPr>
          <w:rFonts w:hint="eastAsia" w:ascii="宋体" w:hAnsi="宋体" w:eastAsia="宋体"/>
          <w:b/>
          <w:color w:val="FF0000"/>
          <w:kern w:val="2"/>
          <w:sz w:val="21"/>
          <w:szCs w:val="21"/>
          <w:lang w:eastAsia="zh-CN"/>
        </w:rPr>
        <w:t>。</w:t>
      </w:r>
      <w:bookmarkEnd w:id="35"/>
    </w:p>
    <w:p w14:paraId="61605A0F">
      <w:pPr>
        <w:widowControl w:val="0"/>
        <w:ind w:firstLine="422" w:firstLineChars="200"/>
        <w:jc w:val="both"/>
        <w:rPr>
          <w:rFonts w:hint="eastAsia" w:ascii="宋体" w:hAnsi="宋体" w:eastAsia="宋体"/>
          <w:b/>
          <w:color w:val="FF0000"/>
          <w:kern w:val="2"/>
          <w:sz w:val="21"/>
          <w:szCs w:val="21"/>
          <w:lang w:eastAsia="zh-CN"/>
        </w:rPr>
      </w:pPr>
    </w:p>
    <w:p w14:paraId="00E6CCE4">
      <w:pPr>
        <w:keepNext/>
        <w:keepLines/>
        <w:widowControl w:val="0"/>
        <w:adjustRightInd w:val="0"/>
        <w:spacing w:before="156" w:beforeLines="50" w:after="156" w:afterLines="50" w:line="240" w:lineRule="auto"/>
        <w:jc w:val="center"/>
        <w:textAlignment w:val="baseline"/>
        <w:outlineLvl w:val="1"/>
        <w:rPr>
          <w:rFonts w:ascii="宋体" w:hAnsi="宋体" w:eastAsia="宋体"/>
          <w:b/>
          <w:bCs/>
          <w:lang w:eastAsia="zh-CN"/>
        </w:rPr>
      </w:pPr>
      <w:r>
        <w:rPr>
          <w:rFonts w:hint="eastAsia" w:ascii="宋体" w:hAnsi="宋体" w:eastAsia="宋体"/>
          <w:b/>
          <w:bCs/>
          <w:lang w:eastAsia="zh-CN"/>
        </w:rPr>
        <w:t>三、实质性条款</w:t>
      </w:r>
    </w:p>
    <w:tbl>
      <w:tblPr>
        <w:tblStyle w:val="4"/>
        <w:tblW w:w="5000" w:type="pct"/>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8179"/>
      </w:tblGrid>
      <w:tr w14:paraId="5AE6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Align w:val="center"/>
          </w:tcPr>
          <w:p w14:paraId="7CE4F4F4">
            <w:pPr>
              <w:widowControl w:val="0"/>
              <w:adjustRightInd w:val="0"/>
              <w:snapToGrid w:val="0"/>
              <w:spacing w:line="360" w:lineRule="auto"/>
              <w:jc w:val="center"/>
              <w:rPr>
                <w:rFonts w:ascii="宋体" w:hAnsi="宋体" w:eastAsia="宋体"/>
                <w:sz w:val="21"/>
                <w:szCs w:val="21"/>
                <w:lang w:eastAsia="zh-CN"/>
              </w:rPr>
            </w:pPr>
            <w:r>
              <w:rPr>
                <w:rFonts w:hint="eastAsia" w:ascii="宋体" w:hAnsi="宋体" w:eastAsia="宋体"/>
                <w:sz w:val="21"/>
                <w:szCs w:val="21"/>
                <w:lang w:eastAsia="zh-CN"/>
              </w:rPr>
              <w:t>序号</w:t>
            </w:r>
          </w:p>
        </w:tc>
        <w:tc>
          <w:tcPr>
            <w:tcW w:w="8074" w:type="dxa"/>
            <w:vAlign w:val="center"/>
          </w:tcPr>
          <w:p w14:paraId="360C6524">
            <w:pPr>
              <w:widowControl w:val="0"/>
              <w:adjustRightInd w:val="0"/>
              <w:snapToGrid w:val="0"/>
              <w:spacing w:line="360" w:lineRule="auto"/>
              <w:jc w:val="center"/>
              <w:rPr>
                <w:rFonts w:ascii="宋体" w:hAnsi="宋体" w:eastAsia="宋体"/>
                <w:sz w:val="21"/>
                <w:szCs w:val="21"/>
                <w:lang w:eastAsia="zh-CN"/>
              </w:rPr>
            </w:pPr>
            <w:r>
              <w:rPr>
                <w:rFonts w:hint="eastAsia" w:ascii="宋体" w:hAnsi="宋体" w:eastAsia="宋体"/>
                <w:kern w:val="2"/>
                <w:sz w:val="21"/>
                <w:szCs w:val="21"/>
                <w:lang w:eastAsia="zh-CN" w:bidi="ar"/>
              </w:rPr>
              <w:t>实质性条款具体内容</w:t>
            </w:r>
          </w:p>
        </w:tc>
      </w:tr>
      <w:tr w14:paraId="1308B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Align w:val="center"/>
          </w:tcPr>
          <w:p w14:paraId="54173290">
            <w:pPr>
              <w:widowControl w:val="0"/>
              <w:adjustRightInd w:val="0"/>
              <w:snapToGrid w:val="0"/>
              <w:spacing w:line="360" w:lineRule="auto"/>
              <w:jc w:val="center"/>
              <w:rPr>
                <w:rFonts w:ascii="宋体" w:hAnsi="宋体" w:eastAsia="宋体"/>
                <w:sz w:val="21"/>
                <w:szCs w:val="21"/>
                <w:lang w:eastAsia="zh-CN"/>
              </w:rPr>
            </w:pPr>
            <w:r>
              <w:rPr>
                <w:rFonts w:hint="eastAsia" w:ascii="宋体" w:hAnsi="宋体" w:eastAsia="宋体"/>
                <w:sz w:val="21"/>
                <w:szCs w:val="21"/>
                <w:lang w:eastAsia="zh-CN"/>
              </w:rPr>
              <w:t>1</w:t>
            </w:r>
          </w:p>
        </w:tc>
        <w:tc>
          <w:tcPr>
            <w:tcW w:w="8074" w:type="dxa"/>
          </w:tcPr>
          <w:p w14:paraId="706652FA">
            <w:pPr>
              <w:widowControl w:val="0"/>
              <w:jc w:val="both"/>
              <w:rPr>
                <w:rFonts w:hAnsi="宋体" w:eastAsia="宋体"/>
                <w:sz w:val="21"/>
                <w:szCs w:val="21"/>
                <w:lang w:eastAsia="zh-CN"/>
              </w:rPr>
            </w:pPr>
            <w:r>
              <w:rPr>
                <w:rFonts w:hint="eastAsia" w:hAnsi="宋体" w:eastAsia="宋体"/>
                <w:sz w:val="21"/>
                <w:szCs w:val="21"/>
                <w:lang w:eastAsia="zh-CN"/>
              </w:rPr>
              <w:t>满足本项目标★的条款要求。</w:t>
            </w:r>
          </w:p>
        </w:tc>
      </w:tr>
      <w:bookmarkEnd w:id="34"/>
    </w:tbl>
    <w:p w14:paraId="569CADB9">
      <w:pPr>
        <w:widowControl w:val="0"/>
        <w:jc w:val="both"/>
        <w:rPr>
          <w:rFonts w:eastAsia="宋体"/>
          <w:kern w:val="2"/>
          <w:sz w:val="21"/>
          <w:lang w:eastAsia="zh-CN"/>
        </w:rPr>
      </w:pPr>
      <w:r>
        <w:rPr>
          <w:rFonts w:ascii="宋体" w:eastAsia="宋体"/>
          <w:b/>
          <w:szCs w:val="20"/>
          <w:lang w:eastAsia="zh-CN"/>
        </w:rPr>
        <w:t>注：上表所列内容为不可负偏离条款，负偏离将视为未实质性满足</w:t>
      </w:r>
      <w:r>
        <w:rPr>
          <w:rFonts w:hint="eastAsia" w:ascii="宋体" w:eastAsia="宋体"/>
          <w:b/>
          <w:szCs w:val="20"/>
          <w:lang w:eastAsia="zh-CN"/>
        </w:rPr>
        <w:t>招标</w:t>
      </w:r>
      <w:r>
        <w:rPr>
          <w:rFonts w:ascii="宋体" w:eastAsia="宋体"/>
          <w:b/>
          <w:szCs w:val="20"/>
          <w:lang w:eastAsia="zh-CN"/>
        </w:rPr>
        <w:t>文件要求和条件作投标无效处理。</w:t>
      </w:r>
    </w:p>
    <w:p w14:paraId="1A08F442">
      <w:pPr>
        <w:keepNext/>
        <w:keepLines/>
        <w:widowControl w:val="0"/>
        <w:adjustRightInd w:val="0"/>
        <w:spacing w:before="0" w:after="0" w:line="240" w:lineRule="auto"/>
        <w:jc w:val="center"/>
        <w:textAlignment w:val="baseline"/>
        <w:outlineLvl w:val="1"/>
        <w:rPr>
          <w:rFonts w:ascii="宋体" w:hAnsi="宋体" w:eastAsia="宋体"/>
          <w:b/>
          <w:bCs/>
          <w:sz w:val="28"/>
          <w:szCs w:val="28"/>
          <w:lang w:eastAsia="zh-CN"/>
        </w:rPr>
      </w:pPr>
      <w:r>
        <w:rPr>
          <w:rFonts w:hint="eastAsia" w:ascii="宋体" w:hAnsi="宋体" w:eastAsia="宋体"/>
          <w:b/>
          <w:bCs/>
          <w:sz w:val="28"/>
          <w:szCs w:val="28"/>
          <w:lang w:eastAsia="zh-CN"/>
        </w:rPr>
        <w:t>四、技术要求</w:t>
      </w:r>
    </w:p>
    <w:p w14:paraId="5CFE6118">
      <w:pPr>
        <w:widowControl w:val="0"/>
        <w:ind w:firstLine="422" w:firstLineChars="200"/>
        <w:jc w:val="both"/>
        <w:rPr>
          <w:rFonts w:eastAsia="宋体"/>
          <w:b/>
          <w:kern w:val="2"/>
          <w:sz w:val="21"/>
          <w:szCs w:val="21"/>
          <w:lang w:eastAsia="zh-CN"/>
        </w:rPr>
      </w:pPr>
      <w:bookmarkStart w:id="36" w:name="_Hlk72585069"/>
      <w:r>
        <w:rPr>
          <w:rFonts w:hint="eastAsia" w:eastAsia="宋体"/>
          <w:b/>
          <w:kern w:val="2"/>
          <w:sz w:val="21"/>
          <w:szCs w:val="21"/>
          <w:lang w:eastAsia="zh-CN"/>
        </w:rPr>
        <w:t>说明：1、评分时，如对一项招标技术要求（以划分框为准）中的内容存在两处（或以上）负偏离的，在评分时只作一项负偏离扣分。</w:t>
      </w:r>
    </w:p>
    <w:p w14:paraId="5FA78FC1">
      <w:pPr>
        <w:widowControl w:val="0"/>
        <w:ind w:firstLine="422" w:firstLineChars="200"/>
        <w:jc w:val="both"/>
        <w:rPr>
          <w:rFonts w:eastAsia="宋体"/>
          <w:b/>
          <w:kern w:val="2"/>
          <w:sz w:val="21"/>
          <w:szCs w:val="21"/>
          <w:lang w:eastAsia="zh-CN"/>
        </w:rPr>
      </w:pPr>
      <w:r>
        <w:rPr>
          <w:rFonts w:hint="eastAsia" w:eastAsia="宋体"/>
          <w:b/>
          <w:kern w:val="2"/>
          <w:sz w:val="21"/>
          <w:szCs w:val="21"/>
          <w:lang w:eastAsia="zh-CN"/>
        </w:rPr>
        <w:t>2、带★号条款为不可负偏离条款，不作为评分准则中的评分内容，如未响应或出现负偏离的，将作投标无效处理；带“▲”指标项为重要参数条款，负偏离时依相关评分准则内容作重点扣分处理。</w:t>
      </w:r>
    </w:p>
    <w:p w14:paraId="63D1520D">
      <w:pPr>
        <w:widowControl w:val="0"/>
        <w:ind w:firstLine="422" w:firstLineChars="200"/>
        <w:jc w:val="both"/>
        <w:rPr>
          <w:rFonts w:eastAsia="宋体"/>
          <w:b/>
          <w:kern w:val="2"/>
          <w:sz w:val="21"/>
          <w:szCs w:val="21"/>
          <w:lang w:eastAsia="zh-CN"/>
        </w:rPr>
      </w:pPr>
      <w:r>
        <w:rPr>
          <w:rFonts w:hint="eastAsia" w:eastAsia="宋体"/>
          <w:b/>
          <w:kern w:val="2"/>
          <w:sz w:val="21"/>
          <w:szCs w:val="21"/>
          <w:lang w:eastAsia="zh-CN"/>
        </w:rPr>
        <w:t>3、招标技术要求中，用</w:t>
      </w:r>
      <w:r>
        <w:rPr>
          <w:rFonts w:hint="eastAsia" w:eastAsia="宋体"/>
          <w:b/>
          <w:color w:val="FF0000"/>
          <w:kern w:val="2"/>
          <w:sz w:val="21"/>
          <w:szCs w:val="21"/>
          <w:lang w:eastAsia="zh-CN"/>
        </w:rPr>
        <w:t>红色加粗字体</w:t>
      </w:r>
      <w:r>
        <w:rPr>
          <w:rFonts w:hint="eastAsia" w:eastAsia="宋体"/>
          <w:b/>
          <w:kern w:val="2"/>
          <w:sz w:val="21"/>
          <w:szCs w:val="21"/>
          <w:lang w:eastAsia="zh-CN"/>
        </w:rPr>
        <w:t>标注的指标项均要求提供证明资料；其余指标项未要求提供证明资料，无需提供相关证明资料。</w:t>
      </w:r>
    </w:p>
    <w:p w14:paraId="1C98972D">
      <w:pPr>
        <w:widowControl w:val="0"/>
        <w:ind w:firstLine="422" w:firstLineChars="200"/>
        <w:jc w:val="both"/>
        <w:rPr>
          <w:rFonts w:eastAsia="宋体"/>
          <w:b/>
          <w:color w:val="FF0000"/>
          <w:kern w:val="2"/>
          <w:sz w:val="21"/>
          <w:szCs w:val="21"/>
          <w:lang w:eastAsia="zh-CN"/>
        </w:rPr>
      </w:pPr>
      <w:r>
        <w:rPr>
          <w:rFonts w:eastAsia="宋体"/>
          <w:b/>
          <w:color w:val="FF0000"/>
          <w:kern w:val="2"/>
          <w:sz w:val="21"/>
          <w:szCs w:val="21"/>
          <w:lang w:eastAsia="zh-CN"/>
        </w:rPr>
        <w:t>4</w:t>
      </w:r>
      <w:r>
        <w:rPr>
          <w:rFonts w:hint="eastAsia" w:eastAsia="宋体"/>
          <w:b/>
          <w:color w:val="FF0000"/>
          <w:kern w:val="2"/>
          <w:sz w:val="21"/>
          <w:szCs w:val="21"/>
          <w:lang w:eastAsia="zh-CN"/>
        </w:rPr>
        <w:t>、</w:t>
      </w:r>
      <w:r>
        <w:rPr>
          <w:rFonts w:hint="eastAsia" w:eastAsia="宋体"/>
          <w:b/>
          <w:color w:val="FF0000"/>
          <w:kern w:val="2"/>
          <w:sz w:val="21"/>
          <w:lang w:eastAsia="zh-CN"/>
        </w:rPr>
        <w:t>具体技术要求中注明的规格为标准尺寸，具体尺寸可能因户型差异存在偏差，中标人须根据实际场地进行测量并经采购人同意后方可对尺寸进行相应调整，单个产品调整尺寸幅度不超过10%。具体技术要求中，默认长度单位为毫米（mm），且计量单位可能省略。</w:t>
      </w:r>
    </w:p>
    <w:p w14:paraId="14FA7496">
      <w:pPr>
        <w:widowControl w:val="0"/>
        <w:spacing w:line="360" w:lineRule="auto"/>
        <w:jc w:val="both"/>
        <w:rPr>
          <w:rFonts w:eastAsia="宋体"/>
          <w:b/>
          <w:bCs/>
          <w:kern w:val="2"/>
          <w:lang w:eastAsia="zh-CN"/>
        </w:rPr>
      </w:pP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1124"/>
        <w:gridCol w:w="5441"/>
        <w:gridCol w:w="1777"/>
      </w:tblGrid>
      <w:tr w14:paraId="3AF6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709" w:type="dxa"/>
            <w:vAlign w:val="center"/>
          </w:tcPr>
          <w:p w14:paraId="6DEEA4A4">
            <w:pPr>
              <w:widowControl w:val="0"/>
              <w:jc w:val="center"/>
              <w:rPr>
                <w:rFonts w:eastAsia="宋体"/>
                <w:kern w:val="2"/>
                <w:sz w:val="21"/>
                <w:lang w:eastAsia="zh-CN"/>
              </w:rPr>
            </w:pPr>
            <w:r>
              <w:rPr>
                <w:rFonts w:hint="eastAsia" w:eastAsia="宋体"/>
                <w:kern w:val="2"/>
                <w:sz w:val="21"/>
                <w:lang w:eastAsia="zh-CN"/>
              </w:rPr>
              <w:t>序号</w:t>
            </w:r>
          </w:p>
        </w:tc>
        <w:tc>
          <w:tcPr>
            <w:tcW w:w="1222" w:type="dxa"/>
            <w:vAlign w:val="center"/>
          </w:tcPr>
          <w:p w14:paraId="74677463">
            <w:pPr>
              <w:widowControl w:val="0"/>
              <w:jc w:val="center"/>
              <w:rPr>
                <w:rFonts w:eastAsia="宋体"/>
                <w:kern w:val="2"/>
                <w:sz w:val="21"/>
                <w:lang w:eastAsia="zh-CN"/>
              </w:rPr>
            </w:pPr>
            <w:r>
              <w:rPr>
                <w:rFonts w:hint="eastAsia" w:eastAsia="宋体"/>
                <w:kern w:val="2"/>
                <w:sz w:val="21"/>
                <w:lang w:eastAsia="zh-CN"/>
              </w:rPr>
              <w:t>货物名称</w:t>
            </w:r>
          </w:p>
        </w:tc>
        <w:tc>
          <w:tcPr>
            <w:tcW w:w="6014" w:type="dxa"/>
            <w:vAlign w:val="center"/>
          </w:tcPr>
          <w:p w14:paraId="2A0191AE">
            <w:pPr>
              <w:widowControl w:val="0"/>
              <w:jc w:val="center"/>
              <w:rPr>
                <w:rFonts w:eastAsia="宋体"/>
                <w:kern w:val="2"/>
                <w:sz w:val="21"/>
                <w:lang w:eastAsia="zh-CN"/>
              </w:rPr>
            </w:pPr>
            <w:r>
              <w:rPr>
                <w:rFonts w:hint="eastAsia" w:eastAsia="宋体"/>
                <w:kern w:val="2"/>
                <w:sz w:val="21"/>
                <w:lang w:eastAsia="zh-CN"/>
              </w:rPr>
              <w:t>招标技术要求</w:t>
            </w:r>
          </w:p>
        </w:tc>
        <w:tc>
          <w:tcPr>
            <w:tcW w:w="1947" w:type="dxa"/>
            <w:vAlign w:val="center"/>
          </w:tcPr>
          <w:p w14:paraId="591A9DBB">
            <w:pPr>
              <w:widowControl w:val="0"/>
              <w:jc w:val="center"/>
              <w:rPr>
                <w:rFonts w:eastAsia="宋体"/>
                <w:kern w:val="2"/>
                <w:sz w:val="21"/>
                <w:lang w:eastAsia="zh-CN"/>
              </w:rPr>
            </w:pPr>
            <w:r>
              <w:rPr>
                <w:rFonts w:hint="eastAsia" w:eastAsia="宋体"/>
                <w:kern w:val="2"/>
                <w:sz w:val="21"/>
                <w:lang w:eastAsia="zh-CN"/>
              </w:rPr>
              <w:t>参考图片</w:t>
            </w:r>
          </w:p>
        </w:tc>
      </w:tr>
      <w:tr w14:paraId="0B015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restart"/>
            <w:vAlign w:val="center"/>
          </w:tcPr>
          <w:p w14:paraId="640FFFA6">
            <w:pPr>
              <w:widowControl w:val="0"/>
              <w:jc w:val="center"/>
              <w:rPr>
                <w:rFonts w:eastAsia="宋体"/>
                <w:kern w:val="2"/>
                <w:sz w:val="21"/>
                <w:lang w:eastAsia="zh-CN"/>
              </w:rPr>
            </w:pPr>
            <w:r>
              <w:rPr>
                <w:rFonts w:hint="eastAsia" w:eastAsia="宋体"/>
                <w:kern w:val="2"/>
                <w:sz w:val="21"/>
                <w:lang w:eastAsia="zh-CN"/>
              </w:rPr>
              <w:t>1</w:t>
            </w:r>
          </w:p>
        </w:tc>
        <w:tc>
          <w:tcPr>
            <w:tcW w:w="1222" w:type="dxa"/>
            <w:vMerge w:val="restart"/>
            <w:vAlign w:val="center"/>
          </w:tcPr>
          <w:p w14:paraId="2CFD51AE">
            <w:pPr>
              <w:widowControl w:val="0"/>
              <w:jc w:val="center"/>
              <w:rPr>
                <w:rFonts w:ascii="仿宋" w:hAnsi="仿宋" w:eastAsia="仿宋"/>
                <w:b/>
                <w:kern w:val="2"/>
                <w:sz w:val="21"/>
                <w:lang w:eastAsia="zh-CN"/>
              </w:rPr>
            </w:pPr>
            <w:r>
              <w:rPr>
                <w:rFonts w:hint="eastAsia" w:eastAsia="宋体"/>
                <w:kern w:val="2"/>
                <w:sz w:val="21"/>
                <w:lang w:eastAsia="zh-CN"/>
              </w:rPr>
              <w:t>实木公寓床（含床板、床垫）</w:t>
            </w:r>
          </w:p>
        </w:tc>
        <w:tc>
          <w:tcPr>
            <w:tcW w:w="6014" w:type="dxa"/>
            <w:vAlign w:val="center"/>
          </w:tcPr>
          <w:p w14:paraId="57CCB5FF">
            <w:pPr>
              <w:widowControl w:val="0"/>
              <w:jc w:val="both"/>
              <w:rPr>
                <w:rFonts w:eastAsia="宋体"/>
                <w:kern w:val="2"/>
                <w:sz w:val="21"/>
                <w:lang w:eastAsia="zh-CN"/>
              </w:rPr>
            </w:pPr>
            <w:r>
              <w:rPr>
                <w:rFonts w:hint="eastAsia" w:eastAsia="宋体"/>
                <w:kern w:val="2"/>
                <w:sz w:val="21"/>
                <w:lang w:eastAsia="zh-CN"/>
              </w:rPr>
              <w:t>1.1 参考规格（mm）：</w:t>
            </w:r>
            <w:r>
              <w:rPr>
                <w:rFonts w:hint="eastAsia" w:eastAsia="宋体"/>
                <w:kern w:val="2"/>
                <w:sz w:val="21"/>
                <w:lang w:eastAsia="zh-CN"/>
              </w:rPr>
              <w:br w:type="textWrapping"/>
            </w:r>
            <w:r>
              <w:rPr>
                <w:rFonts w:hint="eastAsia" w:eastAsia="宋体"/>
                <w:kern w:val="2"/>
                <w:sz w:val="21"/>
                <w:lang w:eastAsia="zh-CN"/>
              </w:rPr>
              <w:t>W2130*D970*H2200（根据现场安装需求尺寸调整）</w:t>
            </w:r>
            <w:r>
              <w:rPr>
                <w:rFonts w:hint="eastAsia" w:eastAsia="宋体"/>
                <w:kern w:val="2"/>
                <w:sz w:val="21"/>
                <w:lang w:eastAsia="zh-CN"/>
              </w:rPr>
              <w:br w:type="textWrapping"/>
            </w:r>
            <w:r>
              <w:rPr>
                <w:rFonts w:hint="eastAsia" w:eastAsia="宋体"/>
                <w:kern w:val="2"/>
                <w:sz w:val="21"/>
                <w:lang w:eastAsia="zh-CN"/>
              </w:rPr>
              <w:t>款式：上床下桌</w:t>
            </w:r>
          </w:p>
        </w:tc>
        <w:tc>
          <w:tcPr>
            <w:tcW w:w="1947" w:type="dxa"/>
            <w:vMerge w:val="restart"/>
          </w:tcPr>
          <w:p w14:paraId="612AD67A">
            <w:pPr>
              <w:widowControl w:val="0"/>
              <w:jc w:val="both"/>
              <w:rPr>
                <w:rFonts w:eastAsia="宋体"/>
                <w:kern w:val="2"/>
                <w:sz w:val="21"/>
                <w:lang w:eastAsia="zh-CN"/>
              </w:rPr>
            </w:pPr>
          </w:p>
          <w:p w14:paraId="1F63C192">
            <w:pPr>
              <w:widowControl w:val="0"/>
              <w:spacing w:line="360" w:lineRule="auto"/>
              <w:jc w:val="both"/>
              <w:rPr>
                <w:rFonts w:eastAsia="宋体"/>
                <w:b/>
                <w:bCs/>
                <w:kern w:val="2"/>
                <w:lang w:eastAsia="zh-CN"/>
              </w:rPr>
            </w:pPr>
          </w:p>
          <w:p w14:paraId="3A177822">
            <w:pPr>
              <w:widowControl w:val="0"/>
              <w:spacing w:line="360" w:lineRule="auto"/>
              <w:jc w:val="both"/>
              <w:rPr>
                <w:rFonts w:eastAsia="宋体"/>
                <w:b/>
                <w:bCs/>
                <w:kern w:val="2"/>
                <w:lang w:eastAsia="zh-CN"/>
              </w:rPr>
            </w:pPr>
          </w:p>
          <w:p w14:paraId="6F3A05D8">
            <w:pPr>
              <w:widowControl w:val="0"/>
              <w:spacing w:line="360" w:lineRule="auto"/>
              <w:jc w:val="both"/>
              <w:rPr>
                <w:rFonts w:eastAsia="宋体"/>
                <w:b/>
                <w:bCs/>
                <w:kern w:val="2"/>
                <w:lang w:eastAsia="zh-CN"/>
              </w:rPr>
            </w:pPr>
          </w:p>
          <w:p w14:paraId="53CA764D">
            <w:pPr>
              <w:widowControl w:val="0"/>
              <w:spacing w:line="360" w:lineRule="auto"/>
              <w:jc w:val="both"/>
              <w:rPr>
                <w:rFonts w:eastAsia="宋体"/>
                <w:b/>
                <w:bCs/>
                <w:kern w:val="2"/>
                <w:lang w:eastAsia="zh-CN"/>
              </w:rPr>
            </w:pPr>
          </w:p>
          <w:p w14:paraId="56967B60">
            <w:pPr>
              <w:widowControl w:val="0"/>
              <w:jc w:val="both"/>
              <w:rPr>
                <w:rFonts w:eastAsia="宋体"/>
                <w:kern w:val="2"/>
                <w:sz w:val="21"/>
                <w:lang w:eastAsia="zh-CN"/>
              </w:rPr>
            </w:pPr>
            <w:r>
              <w:drawing>
                <wp:inline distT="0" distB="0" distL="0" distR="0">
                  <wp:extent cx="970280" cy="1056005"/>
                  <wp:effectExtent l="0" t="0" r="1270" b="10795"/>
                  <wp:docPr id="18" name="Image 3" descr="image2 (矩形)"/>
                  <wp:cNvGraphicFramePr/>
                  <a:graphic xmlns:a="http://schemas.openxmlformats.org/drawingml/2006/main">
                    <a:graphicData uri="http://schemas.openxmlformats.org/drawingml/2006/picture">
                      <pic:pic xmlns:pic="http://schemas.openxmlformats.org/drawingml/2006/picture">
                        <pic:nvPicPr>
                          <pic:cNvPr id="18" name="Image 3" descr="image2 (矩形)"/>
                          <pic:cNvPicPr/>
                        </pic:nvPicPr>
                        <pic:blipFill>
                          <a:blip r:embed="rId8" cstate="print"/>
                          <a:stretch>
                            <a:fillRect/>
                          </a:stretch>
                        </pic:blipFill>
                        <pic:spPr>
                          <a:xfrm>
                            <a:off x="0" y="0"/>
                            <a:ext cx="970629" cy="1056132"/>
                          </a:xfrm>
                          <a:prstGeom prst="rect">
                            <a:avLst/>
                          </a:prstGeom>
                        </pic:spPr>
                      </pic:pic>
                    </a:graphicData>
                  </a:graphic>
                </wp:inline>
              </w:drawing>
            </w:r>
          </w:p>
          <w:p w14:paraId="22065C24">
            <w:pPr>
              <w:widowControl w:val="0"/>
              <w:jc w:val="both"/>
              <w:rPr>
                <w:rFonts w:eastAsia="宋体"/>
                <w:kern w:val="2"/>
                <w:sz w:val="21"/>
                <w:lang w:eastAsia="zh-CN"/>
              </w:rPr>
            </w:pPr>
          </w:p>
          <w:p w14:paraId="4F783504">
            <w:pPr>
              <w:widowControl w:val="0"/>
              <w:jc w:val="both"/>
              <w:rPr>
                <w:rFonts w:eastAsia="宋体"/>
                <w:color w:val="000000"/>
                <w:kern w:val="2"/>
                <w:sz w:val="22"/>
                <w:lang w:eastAsia="zh-CN"/>
              </w:rPr>
            </w:pPr>
          </w:p>
          <w:p w14:paraId="21452BBD">
            <w:pPr>
              <w:widowControl w:val="0"/>
              <w:spacing w:line="360" w:lineRule="auto"/>
              <w:jc w:val="both"/>
              <w:rPr>
                <w:rFonts w:eastAsia="宋体"/>
                <w:b/>
                <w:bCs/>
                <w:kern w:val="2"/>
                <w:lang w:eastAsia="zh-CN"/>
              </w:rPr>
            </w:pPr>
          </w:p>
          <w:p w14:paraId="79E89425">
            <w:pPr>
              <w:widowControl w:val="0"/>
              <w:jc w:val="both"/>
              <w:rPr>
                <w:rFonts w:eastAsia="宋体"/>
                <w:kern w:val="2"/>
                <w:sz w:val="21"/>
                <w:lang w:eastAsia="zh-CN"/>
              </w:rPr>
            </w:pPr>
          </w:p>
          <w:p w14:paraId="392296F6">
            <w:pPr>
              <w:widowControl w:val="0"/>
              <w:jc w:val="both"/>
              <w:rPr>
                <w:rFonts w:eastAsia="宋体"/>
                <w:kern w:val="2"/>
                <w:sz w:val="21"/>
                <w:lang w:eastAsia="zh-CN"/>
              </w:rPr>
            </w:pPr>
          </w:p>
          <w:p w14:paraId="03FE1C94">
            <w:pPr>
              <w:widowControl w:val="0"/>
              <w:jc w:val="both"/>
              <w:rPr>
                <w:rFonts w:eastAsia="宋体"/>
                <w:color w:val="000000"/>
                <w:kern w:val="2"/>
                <w:sz w:val="22"/>
                <w:lang w:eastAsia="zh-CN"/>
              </w:rPr>
            </w:pPr>
            <w:r>
              <w:drawing>
                <wp:inline distT="0" distB="0" distL="0" distR="0">
                  <wp:extent cx="794385" cy="401955"/>
                  <wp:effectExtent l="0" t="0" r="5715" b="17145"/>
                  <wp:docPr id="4" name="Image 4" descr="图示  中度可信度描述已自动生成"/>
                  <wp:cNvGraphicFramePr/>
                  <a:graphic xmlns:a="http://schemas.openxmlformats.org/drawingml/2006/main">
                    <a:graphicData uri="http://schemas.openxmlformats.org/drawingml/2006/picture">
                      <pic:pic xmlns:pic="http://schemas.openxmlformats.org/drawingml/2006/picture">
                        <pic:nvPicPr>
                          <pic:cNvPr id="4" name="Image 4" descr="图示  中度可信度描述已自动生成"/>
                          <pic:cNvPicPr/>
                        </pic:nvPicPr>
                        <pic:blipFill>
                          <a:blip r:embed="rId9" cstate="print"/>
                          <a:stretch>
                            <a:fillRect/>
                          </a:stretch>
                        </pic:blipFill>
                        <pic:spPr>
                          <a:xfrm>
                            <a:off x="0" y="0"/>
                            <a:ext cx="794558" cy="402336"/>
                          </a:xfrm>
                          <a:prstGeom prst="rect">
                            <a:avLst/>
                          </a:prstGeom>
                        </pic:spPr>
                      </pic:pic>
                    </a:graphicData>
                  </a:graphic>
                </wp:inline>
              </w:drawing>
            </w:r>
          </w:p>
          <w:p w14:paraId="02E9F35C">
            <w:pPr>
              <w:widowControl w:val="0"/>
              <w:jc w:val="both"/>
              <w:rPr>
                <w:rFonts w:eastAsia="宋体"/>
                <w:kern w:val="2"/>
                <w:sz w:val="21"/>
                <w:lang w:eastAsia="zh-CN"/>
              </w:rPr>
            </w:pPr>
          </w:p>
          <w:p w14:paraId="15406A76">
            <w:pPr>
              <w:widowControl w:val="0"/>
              <w:spacing w:line="360" w:lineRule="auto"/>
              <w:jc w:val="both"/>
              <w:rPr>
                <w:rFonts w:eastAsia="宋体"/>
                <w:b/>
                <w:bCs/>
                <w:kern w:val="2"/>
                <w:lang w:eastAsia="zh-CN"/>
              </w:rPr>
            </w:pPr>
          </w:p>
          <w:p w14:paraId="159E5FC7">
            <w:pPr>
              <w:widowControl w:val="0"/>
              <w:spacing w:line="360" w:lineRule="auto"/>
              <w:jc w:val="both"/>
              <w:rPr>
                <w:rFonts w:eastAsia="宋体"/>
                <w:b/>
                <w:bCs/>
                <w:kern w:val="2"/>
                <w:lang w:eastAsia="zh-CN"/>
              </w:rPr>
            </w:pPr>
          </w:p>
          <w:p w14:paraId="24816937">
            <w:pPr>
              <w:widowControl w:val="0"/>
              <w:spacing w:line="360" w:lineRule="auto"/>
              <w:jc w:val="both"/>
              <w:rPr>
                <w:rFonts w:eastAsia="宋体"/>
                <w:b/>
                <w:bCs/>
                <w:kern w:val="2"/>
                <w:lang w:eastAsia="zh-CN"/>
              </w:rPr>
            </w:pPr>
          </w:p>
          <w:p w14:paraId="409D281C">
            <w:pPr>
              <w:widowControl w:val="0"/>
              <w:spacing w:line="360" w:lineRule="auto"/>
              <w:jc w:val="both"/>
              <w:rPr>
                <w:rFonts w:eastAsia="宋体"/>
                <w:b/>
                <w:bCs/>
                <w:kern w:val="2"/>
                <w:lang w:eastAsia="zh-CN"/>
              </w:rPr>
            </w:pPr>
          </w:p>
          <w:p w14:paraId="7853A650">
            <w:pPr>
              <w:widowControl w:val="0"/>
              <w:jc w:val="both"/>
              <w:rPr>
                <w:rFonts w:eastAsia="宋体"/>
                <w:kern w:val="2"/>
                <w:sz w:val="21"/>
                <w:lang w:eastAsia="zh-CN"/>
              </w:rPr>
            </w:pPr>
          </w:p>
          <w:p w14:paraId="15C905B2">
            <w:pPr>
              <w:widowControl w:val="0"/>
              <w:jc w:val="both"/>
              <w:rPr>
                <w:rFonts w:eastAsia="宋体"/>
                <w:kern w:val="2"/>
                <w:sz w:val="21"/>
                <w:lang w:eastAsia="zh-CN"/>
              </w:rPr>
            </w:pPr>
          </w:p>
          <w:p w14:paraId="6DBB6D23">
            <w:pPr>
              <w:widowControl w:val="0"/>
              <w:jc w:val="both"/>
              <w:rPr>
                <w:rFonts w:eastAsia="宋体"/>
                <w:color w:val="000000"/>
                <w:kern w:val="2"/>
                <w:sz w:val="22"/>
                <w:lang w:eastAsia="zh-CN"/>
              </w:rPr>
            </w:pPr>
            <w:r>
              <mc:AlternateContent>
                <mc:Choice Requires="wpg">
                  <w:drawing>
                    <wp:anchor distT="0" distB="0" distL="0" distR="0" simplePos="0" relativeHeight="251659264" behindDoc="0" locked="0" layoutInCell="1" allowOverlap="1">
                      <wp:simplePos x="0" y="0"/>
                      <wp:positionH relativeFrom="column">
                        <wp:posOffset>123825</wp:posOffset>
                      </wp:positionH>
                      <wp:positionV relativeFrom="paragraph">
                        <wp:posOffset>66675</wp:posOffset>
                      </wp:positionV>
                      <wp:extent cx="857250" cy="857250"/>
                      <wp:effectExtent l="635" t="0" r="18415" b="19050"/>
                      <wp:wrapSquare wrapText="bothSides"/>
                      <wp:docPr id="5" name="Group 5"/>
                      <wp:cNvGraphicFramePr/>
                      <a:graphic xmlns:a="http://schemas.openxmlformats.org/drawingml/2006/main">
                        <a:graphicData uri="http://schemas.microsoft.com/office/word/2010/wordprocessingGroup">
                          <wpg:wgp>
                            <wpg:cNvGrpSpPr/>
                            <wpg:grpSpPr>
                              <a:xfrm>
                                <a:off x="0" y="0"/>
                                <a:ext cx="857250" cy="857250"/>
                                <a:chOff x="0" y="0"/>
                                <a:chExt cx="21600" cy="21600"/>
                              </a:xfrm>
                            </wpg:grpSpPr>
                            <wps:wsp>
                              <wps:cNvPr id="1" name="任意多边形 2"/>
                              <wps:cNvSpPr/>
                              <wps:spPr>
                                <a:xfrm>
                                  <a:off x="97" y="90"/>
                                  <a:ext cx="21406" cy="20985"/>
                                </a:xfrm>
                                <a:custGeom>
                                  <a:avLst/>
                                  <a:gdLst/>
                                  <a:ahLst/>
                                  <a:cxnLst/>
                                  <a:pathLst>
                                    <a:path w="21600" h="21600">
                                      <a:moveTo>
                                        <a:pt x="6029" y="21171"/>
                                      </a:moveTo>
                                      <a:lnTo>
                                        <a:pt x="6450" y="21593"/>
                                      </a:lnTo>
                                      <a:lnTo>
                                        <a:pt x="6450" y="21593"/>
                                      </a:lnTo>
                                      <a:lnTo>
                                        <a:pt x="6450" y="21593"/>
                                      </a:lnTo>
                                      <a:lnTo>
                                        <a:pt x="6450" y="21593"/>
                                      </a:lnTo>
                                      <a:lnTo>
                                        <a:pt x="21600" y="6442"/>
                                      </a:lnTo>
                                    </a:path>
                                    <a:path w="21600" h="21600">
                                      <a:moveTo>
                                        <a:pt x="0" y="15146"/>
                                      </a:moveTo>
                                      <a:lnTo>
                                        <a:pt x="15153" y="0"/>
                                      </a:lnTo>
                                    </a:path>
                                  </a:pathLst>
                                </a:custGeom>
                                <a:solidFill>
                                  <a:srgbClr val="FFFFFF"/>
                                </a:solidFill>
                                <a:ln w="9525" cap="flat" cmpd="sng">
                                  <a:solidFill>
                                    <a:srgbClr val="000000"/>
                                  </a:solidFill>
                                  <a:prstDash val="solid"/>
                                  <a:headEnd type="none" w="med" len="med"/>
                                  <a:tailEnd type="none" w="med" len="med"/>
                                </a:ln>
                              </wps:spPr>
                              <wps:bodyPr anchor="t" anchorCtr="0" upright="1"/>
                            </wps:wsp>
                            <pic:pic xmlns:pic="http://schemas.openxmlformats.org/drawingml/2006/picture">
                              <pic:nvPicPr>
                                <pic:cNvPr id="2" name="图片 3"/>
                                <pic:cNvPicPr>
                                  <a:picLocks noChangeAspect="1"/>
                                </pic:cNvPicPr>
                              </pic:nvPicPr>
                              <pic:blipFill>
                                <a:blip r:embed="rId10"/>
                                <a:stretch>
                                  <a:fillRect/>
                                </a:stretch>
                              </pic:blipFill>
                              <pic:spPr>
                                <a:xfrm>
                                  <a:off x="15016" y="0"/>
                                  <a:ext cx="6584" cy="6439"/>
                                </a:xfrm>
                                <a:prstGeom prst="rect">
                                  <a:avLst/>
                                </a:prstGeom>
                                <a:noFill/>
                                <a:ln>
                                  <a:noFill/>
                                </a:ln>
                              </pic:spPr>
                            </pic:pic>
                            <wps:wsp>
                              <wps:cNvPr id="3" name="任意多边形 4"/>
                              <wps:cNvSpPr/>
                              <wps:spPr>
                                <a:xfrm>
                                  <a:off x="97" y="488"/>
                                  <a:ext cx="21406" cy="21021"/>
                                </a:xfrm>
                                <a:custGeom>
                                  <a:avLst/>
                                  <a:gdLst/>
                                  <a:ahLst/>
                                  <a:cxnLst/>
                                  <a:pathLst>
                                    <a:path w="21600" h="21600">
                                      <a:moveTo>
                                        <a:pt x="0" y="14711"/>
                                      </a:moveTo>
                                      <a:lnTo>
                                        <a:pt x="0" y="14934"/>
                                      </a:lnTo>
                                      <a:lnTo>
                                        <a:pt x="0" y="14934"/>
                                      </a:lnTo>
                                      <a:lnTo>
                                        <a:pt x="0" y="14934"/>
                                      </a:lnTo>
                                      <a:lnTo>
                                        <a:pt x="0" y="14934"/>
                                      </a:lnTo>
                                      <a:lnTo>
                                        <a:pt x="6450" y="21370"/>
                                      </a:lnTo>
                                      <a:lnTo>
                                        <a:pt x="6450" y="21370"/>
                                      </a:lnTo>
                                      <a:lnTo>
                                        <a:pt x="6450" y="21370"/>
                                      </a:lnTo>
                                      <a:lnTo>
                                        <a:pt x="6450" y="21370"/>
                                      </a:lnTo>
                                      <a:lnTo>
                                        <a:pt x="21600" y="6250"/>
                                      </a:lnTo>
                                    </a:path>
                                    <a:path w="21600" h="21600">
                                      <a:moveTo>
                                        <a:pt x="21181" y="5606"/>
                                      </a:moveTo>
                                      <a:lnTo>
                                        <a:pt x="6029" y="20726"/>
                                      </a:lnTo>
                                      <a:lnTo>
                                        <a:pt x="6029" y="20726"/>
                                      </a:lnTo>
                                      <a:lnTo>
                                        <a:pt x="6029" y="20726"/>
                                      </a:lnTo>
                                      <a:lnTo>
                                        <a:pt x="6029" y="20726"/>
                                      </a:lnTo>
                                      <a:lnTo>
                                        <a:pt x="6450" y="21147"/>
                                      </a:lnTo>
                                      <a:lnTo>
                                        <a:pt x="6450" y="21147"/>
                                      </a:lnTo>
                                      <a:lnTo>
                                        <a:pt x="6450" y="21147"/>
                                      </a:lnTo>
                                      <a:lnTo>
                                        <a:pt x="6450" y="21147"/>
                                      </a:lnTo>
                                      <a:lnTo>
                                        <a:pt x="6450" y="21370"/>
                                      </a:lnTo>
                                      <a:lnTo>
                                        <a:pt x="6450" y="21370"/>
                                      </a:lnTo>
                                      <a:lnTo>
                                        <a:pt x="6450" y="21370"/>
                                      </a:lnTo>
                                      <a:lnTo>
                                        <a:pt x="6450" y="21370"/>
                                      </a:lnTo>
                                      <a:lnTo>
                                        <a:pt x="6450" y="21600"/>
                                      </a:lnTo>
                                      <a:lnTo>
                                        <a:pt x="6450" y="21600"/>
                                      </a:lnTo>
                                      <a:lnTo>
                                        <a:pt x="6450" y="21600"/>
                                      </a:lnTo>
                                      <a:lnTo>
                                        <a:pt x="6450" y="21600"/>
                                      </a:lnTo>
                                      <a:lnTo>
                                        <a:pt x="0" y="15165"/>
                                      </a:lnTo>
                                      <a:lnTo>
                                        <a:pt x="0" y="15165"/>
                                      </a:lnTo>
                                      <a:lnTo>
                                        <a:pt x="0" y="15165"/>
                                      </a:lnTo>
                                      <a:lnTo>
                                        <a:pt x="0" y="15165"/>
                                      </a:lnTo>
                                      <a:lnTo>
                                        <a:pt x="0" y="14934"/>
                                      </a:lnTo>
                                    </a:path>
                                    <a:path w="21600" h="21600">
                                      <a:moveTo>
                                        <a:pt x="6029" y="20726"/>
                                      </a:moveTo>
                                      <a:lnTo>
                                        <a:pt x="6029" y="20953"/>
                                      </a:lnTo>
                                    </a:path>
                                    <a:path w="21600" h="21600">
                                      <a:moveTo>
                                        <a:pt x="5877" y="20802"/>
                                      </a:moveTo>
                                      <a:lnTo>
                                        <a:pt x="5877" y="20572"/>
                                      </a:lnTo>
                                      <a:lnTo>
                                        <a:pt x="5877" y="20572"/>
                                      </a:lnTo>
                                      <a:lnTo>
                                        <a:pt x="5877" y="20572"/>
                                      </a:lnTo>
                                      <a:lnTo>
                                        <a:pt x="5877" y="20572"/>
                                      </a:lnTo>
                                      <a:lnTo>
                                        <a:pt x="21030" y="5452"/>
                                      </a:lnTo>
                                    </a:path>
                                    <a:path w="21600" h="21600">
                                      <a:moveTo>
                                        <a:pt x="6450" y="21600"/>
                                      </a:moveTo>
                                      <a:lnTo>
                                        <a:pt x="6978" y="21070"/>
                                      </a:lnTo>
                                      <a:lnTo>
                                        <a:pt x="6978" y="21070"/>
                                      </a:lnTo>
                                      <a:lnTo>
                                        <a:pt x="6978" y="21070"/>
                                      </a:lnTo>
                                      <a:lnTo>
                                        <a:pt x="6978" y="21070"/>
                                      </a:lnTo>
                                      <a:lnTo>
                                        <a:pt x="6978" y="20840"/>
                                      </a:lnTo>
                                    </a:path>
                                    <a:path w="21600" h="21600">
                                      <a:moveTo>
                                        <a:pt x="6450" y="20309"/>
                                      </a:moveTo>
                                      <a:lnTo>
                                        <a:pt x="6408" y="20272"/>
                                      </a:lnTo>
                                    </a:path>
                                    <a:path w="21600" h="21600">
                                      <a:moveTo>
                                        <a:pt x="5877" y="20802"/>
                                      </a:moveTo>
                                      <a:lnTo>
                                        <a:pt x="21030" y="5682"/>
                                      </a:lnTo>
                                    </a:path>
                                    <a:path w="21600" h="21600">
                                      <a:moveTo>
                                        <a:pt x="5346" y="20272"/>
                                      </a:moveTo>
                                      <a:lnTo>
                                        <a:pt x="5346" y="20042"/>
                                      </a:lnTo>
                                      <a:lnTo>
                                        <a:pt x="5346" y="20042"/>
                                      </a:lnTo>
                                      <a:lnTo>
                                        <a:pt x="5346" y="20042"/>
                                      </a:lnTo>
                                      <a:lnTo>
                                        <a:pt x="5346" y="20042"/>
                                      </a:lnTo>
                                      <a:lnTo>
                                        <a:pt x="20498" y="4922"/>
                                      </a:lnTo>
                                    </a:path>
                                    <a:path w="21600" h="21600">
                                      <a:moveTo>
                                        <a:pt x="15564" y="223"/>
                                      </a:moveTo>
                                      <a:lnTo>
                                        <a:pt x="411" y="15343"/>
                                      </a:lnTo>
                                      <a:lnTo>
                                        <a:pt x="411" y="15343"/>
                                      </a:lnTo>
                                      <a:lnTo>
                                        <a:pt x="411" y="15343"/>
                                      </a:lnTo>
                                      <a:lnTo>
                                        <a:pt x="411" y="15343"/>
                                      </a:lnTo>
                                      <a:lnTo>
                                        <a:pt x="411" y="15120"/>
                                      </a:lnTo>
                                      <a:lnTo>
                                        <a:pt x="411" y="15120"/>
                                      </a:lnTo>
                                      <a:lnTo>
                                        <a:pt x="411" y="15120"/>
                                      </a:lnTo>
                                      <a:lnTo>
                                        <a:pt x="411" y="15120"/>
                                      </a:lnTo>
                                      <a:lnTo>
                                        <a:pt x="15564" y="0"/>
                                      </a:lnTo>
                                    </a:path>
                                    <a:path w="21600" h="21600">
                                      <a:moveTo>
                                        <a:pt x="5767" y="19626"/>
                                      </a:moveTo>
                                      <a:lnTo>
                                        <a:pt x="5725" y="19589"/>
                                      </a:lnTo>
                                    </a:path>
                                    <a:path w="21600" h="21600">
                                      <a:moveTo>
                                        <a:pt x="5084" y="18945"/>
                                      </a:moveTo>
                                      <a:lnTo>
                                        <a:pt x="5042" y="18905"/>
                                      </a:lnTo>
                                    </a:path>
                                    <a:path w="21600" h="21600">
                                      <a:moveTo>
                                        <a:pt x="4396" y="18261"/>
                                      </a:moveTo>
                                      <a:lnTo>
                                        <a:pt x="4359" y="18221"/>
                                      </a:lnTo>
                                    </a:path>
                                    <a:path w="21600" h="21600">
                                      <a:moveTo>
                                        <a:pt x="3713" y="17585"/>
                                      </a:moveTo>
                                      <a:lnTo>
                                        <a:pt x="3676" y="17545"/>
                                      </a:lnTo>
                                    </a:path>
                                    <a:path w="21600" h="21600">
                                      <a:moveTo>
                                        <a:pt x="3030" y="16901"/>
                                      </a:moveTo>
                                      <a:lnTo>
                                        <a:pt x="2993" y="16861"/>
                                      </a:lnTo>
                                    </a:path>
                                    <a:path w="21600" h="21600">
                                      <a:moveTo>
                                        <a:pt x="2344" y="16217"/>
                                      </a:moveTo>
                                      <a:lnTo>
                                        <a:pt x="2308" y="16178"/>
                                      </a:lnTo>
                                    </a:path>
                                    <a:path w="21600" h="21600">
                                      <a:moveTo>
                                        <a:pt x="1662" y="15534"/>
                                      </a:moveTo>
                                      <a:lnTo>
                                        <a:pt x="1625" y="15496"/>
                                      </a:lnTo>
                                    </a:path>
                                    <a:path w="21600" h="21600">
                                      <a:moveTo>
                                        <a:pt x="979" y="14850"/>
                                      </a:moveTo>
                                      <a:lnTo>
                                        <a:pt x="942" y="14813"/>
                                      </a:lnTo>
                                    </a:path>
                                    <a:path w="21600" h="21600">
                                      <a:moveTo>
                                        <a:pt x="21600" y="6022"/>
                                      </a:moveTo>
                                      <a:lnTo>
                                        <a:pt x="21600" y="6250"/>
                                      </a:lnTo>
                                      <a:lnTo>
                                        <a:pt x="21600" y="6250"/>
                                      </a:lnTo>
                                      <a:lnTo>
                                        <a:pt x="21600" y="6250"/>
                                      </a:lnTo>
                                      <a:lnTo>
                                        <a:pt x="21600" y="6250"/>
                                      </a:lnTo>
                                      <a:lnTo>
                                        <a:pt x="21600" y="6480"/>
                                      </a:lnTo>
                                      <a:lnTo>
                                        <a:pt x="21600" y="6480"/>
                                      </a:lnTo>
                                      <a:lnTo>
                                        <a:pt x="21600" y="6480"/>
                                      </a:lnTo>
                                      <a:lnTo>
                                        <a:pt x="21600" y="6480"/>
                                      </a:lnTo>
                                      <a:lnTo>
                                        <a:pt x="21069" y="7010"/>
                                      </a:lnTo>
                                      <a:lnTo>
                                        <a:pt x="21069" y="7010"/>
                                      </a:lnTo>
                                      <a:lnTo>
                                        <a:pt x="21069" y="7010"/>
                                      </a:lnTo>
                                      <a:lnTo>
                                        <a:pt x="21069" y="7010"/>
                                      </a:lnTo>
                                      <a:lnTo>
                                        <a:pt x="21069" y="6780"/>
                                      </a:lnTo>
                                    </a:path>
                                    <a:path w="21600" h="21600">
                                      <a:moveTo>
                                        <a:pt x="21069" y="7010"/>
                                      </a:moveTo>
                                      <a:lnTo>
                                        <a:pt x="20954" y="6896"/>
                                      </a:lnTo>
                                    </a:path>
                                    <a:path w="21600" h="21600">
                                      <a:moveTo>
                                        <a:pt x="21030" y="5452"/>
                                      </a:moveTo>
                                      <a:lnTo>
                                        <a:pt x="21030" y="5682"/>
                                      </a:lnTo>
                                    </a:path>
                                    <a:path w="21600" h="21600">
                                      <a:moveTo>
                                        <a:pt x="20347" y="4776"/>
                                      </a:moveTo>
                                      <a:lnTo>
                                        <a:pt x="20347" y="4999"/>
                                      </a:lnTo>
                                    </a:path>
                                    <a:path w="21600" h="21600">
                                      <a:moveTo>
                                        <a:pt x="19664" y="4092"/>
                                      </a:moveTo>
                                      <a:lnTo>
                                        <a:pt x="19664" y="4315"/>
                                      </a:lnTo>
                                    </a:path>
                                    <a:path w="21600" h="21600">
                                      <a:moveTo>
                                        <a:pt x="18981" y="3408"/>
                                      </a:moveTo>
                                      <a:lnTo>
                                        <a:pt x="18981" y="3634"/>
                                      </a:lnTo>
                                    </a:path>
                                    <a:path w="21600" h="21600">
                                      <a:moveTo>
                                        <a:pt x="17154" y="3862"/>
                                      </a:moveTo>
                                      <a:lnTo>
                                        <a:pt x="17154" y="4092"/>
                                      </a:lnTo>
                                    </a:path>
                                    <a:path w="21600" h="21600">
                                      <a:moveTo>
                                        <a:pt x="17615" y="2044"/>
                                      </a:moveTo>
                                      <a:lnTo>
                                        <a:pt x="17615" y="2274"/>
                                      </a:lnTo>
                                    </a:path>
                                    <a:path w="21600" h="21600">
                                      <a:moveTo>
                                        <a:pt x="16929" y="1360"/>
                                      </a:moveTo>
                                      <a:lnTo>
                                        <a:pt x="16929" y="1590"/>
                                      </a:lnTo>
                                    </a:path>
                                    <a:path w="21600" h="21600">
                                      <a:moveTo>
                                        <a:pt x="15564" y="0"/>
                                      </a:moveTo>
                                      <a:lnTo>
                                        <a:pt x="15564" y="223"/>
                                      </a:lnTo>
                                    </a:path>
                                    <a:path w="21600" h="21600">
                                      <a:moveTo>
                                        <a:pt x="21030" y="5682"/>
                                      </a:moveTo>
                                      <a:lnTo>
                                        <a:pt x="21069" y="5720"/>
                                      </a:lnTo>
                                    </a:path>
                                    <a:path w="21600" h="21600">
                                      <a:moveTo>
                                        <a:pt x="20347" y="4999"/>
                                      </a:moveTo>
                                      <a:lnTo>
                                        <a:pt x="20383" y="5038"/>
                                      </a:lnTo>
                                    </a:path>
                                    <a:path w="21600" h="21600">
                                      <a:moveTo>
                                        <a:pt x="19664" y="4315"/>
                                      </a:moveTo>
                                      <a:lnTo>
                                        <a:pt x="19700" y="4355"/>
                                      </a:lnTo>
                                    </a:path>
                                    <a:path w="21600" h="21600">
                                      <a:moveTo>
                                        <a:pt x="18981" y="3634"/>
                                      </a:moveTo>
                                      <a:lnTo>
                                        <a:pt x="19017" y="3671"/>
                                      </a:lnTo>
                                    </a:path>
                                    <a:path w="21600" h="21600">
                                      <a:moveTo>
                                        <a:pt x="17154" y="4092"/>
                                      </a:moveTo>
                                      <a:lnTo>
                                        <a:pt x="17196" y="4132"/>
                                      </a:lnTo>
                                    </a:path>
                                    <a:path w="21600" h="21600">
                                      <a:moveTo>
                                        <a:pt x="17615" y="2274"/>
                                      </a:moveTo>
                                      <a:lnTo>
                                        <a:pt x="17652" y="2311"/>
                                      </a:lnTo>
                                    </a:path>
                                    <a:path w="21600" h="21600">
                                      <a:moveTo>
                                        <a:pt x="16929" y="1590"/>
                                      </a:moveTo>
                                      <a:lnTo>
                                        <a:pt x="16966" y="1627"/>
                                      </a:lnTo>
                                    </a:path>
                                    <a:path w="21600" h="21600">
                                      <a:moveTo>
                                        <a:pt x="15564" y="223"/>
                                      </a:moveTo>
                                      <a:lnTo>
                                        <a:pt x="15600" y="263"/>
                                      </a:lnTo>
                                    </a:path>
                                    <a:path w="21600" h="21600">
                                      <a:moveTo>
                                        <a:pt x="20423" y="6366"/>
                                      </a:moveTo>
                                      <a:lnTo>
                                        <a:pt x="20383" y="6326"/>
                                      </a:lnTo>
                                    </a:path>
                                    <a:path w="21600" h="21600">
                                      <a:moveTo>
                                        <a:pt x="20535" y="6250"/>
                                      </a:moveTo>
                                      <a:lnTo>
                                        <a:pt x="20498" y="6212"/>
                                      </a:lnTo>
                                    </a:path>
                                    <a:path w="21600" h="21600">
                                      <a:moveTo>
                                        <a:pt x="19737" y="5682"/>
                                      </a:moveTo>
                                      <a:lnTo>
                                        <a:pt x="19700" y="5645"/>
                                      </a:lnTo>
                                    </a:path>
                                    <a:path w="21600" h="21600">
                                      <a:moveTo>
                                        <a:pt x="19054" y="4999"/>
                                      </a:moveTo>
                                      <a:lnTo>
                                        <a:pt x="19017" y="4962"/>
                                      </a:lnTo>
                                    </a:path>
                                    <a:path w="21600" h="21600">
                                      <a:moveTo>
                                        <a:pt x="19852" y="5568"/>
                                      </a:moveTo>
                                      <a:lnTo>
                                        <a:pt x="19815" y="5529"/>
                                      </a:lnTo>
                                    </a:path>
                                    <a:path w="21600" h="21600">
                                      <a:moveTo>
                                        <a:pt x="19169" y="4885"/>
                                      </a:moveTo>
                                      <a:lnTo>
                                        <a:pt x="19133" y="4845"/>
                                      </a:lnTo>
                                    </a:path>
                                    <a:path w="21600" h="21600">
                                      <a:moveTo>
                                        <a:pt x="17233" y="5452"/>
                                      </a:moveTo>
                                      <a:lnTo>
                                        <a:pt x="17196" y="5415"/>
                                      </a:lnTo>
                                    </a:path>
                                    <a:path w="21600" h="21600">
                                      <a:moveTo>
                                        <a:pt x="18486" y="4201"/>
                                      </a:moveTo>
                                      <a:lnTo>
                                        <a:pt x="18450" y="4169"/>
                                      </a:lnTo>
                                    </a:path>
                                    <a:path w="21600" h="21600">
                                      <a:moveTo>
                                        <a:pt x="16550" y="4776"/>
                                      </a:moveTo>
                                      <a:lnTo>
                                        <a:pt x="16513" y="4736"/>
                                      </a:lnTo>
                                    </a:path>
                                    <a:path w="21600" h="21600">
                                      <a:moveTo>
                                        <a:pt x="16665" y="4662"/>
                                      </a:moveTo>
                                      <a:lnTo>
                                        <a:pt x="16623" y="4622"/>
                                      </a:lnTo>
                                    </a:path>
                                    <a:path w="21600" h="21600">
                                      <a:moveTo>
                                        <a:pt x="15867" y="4092"/>
                                      </a:moveTo>
                                      <a:lnTo>
                                        <a:pt x="15830" y="4055"/>
                                      </a:lnTo>
                                    </a:path>
                                    <a:path w="21600" h="21600">
                                      <a:moveTo>
                                        <a:pt x="15982" y="3978"/>
                                      </a:moveTo>
                                      <a:lnTo>
                                        <a:pt x="15940" y="3939"/>
                                      </a:lnTo>
                                    </a:path>
                                    <a:path w="21600" h="21600">
                                      <a:moveTo>
                                        <a:pt x="16320" y="2274"/>
                                      </a:moveTo>
                                      <a:lnTo>
                                        <a:pt x="16283" y="2234"/>
                                      </a:lnTo>
                                    </a:path>
                                    <a:path w="21600" h="21600">
                                      <a:moveTo>
                                        <a:pt x="15637" y="1590"/>
                                      </a:moveTo>
                                      <a:lnTo>
                                        <a:pt x="15600" y="1551"/>
                                      </a:lnTo>
                                    </a:path>
                                    <a:path w="21600" h="21600">
                                      <a:moveTo>
                                        <a:pt x="16435" y="2158"/>
                                      </a:moveTo>
                                      <a:lnTo>
                                        <a:pt x="16398" y="2120"/>
                                      </a:lnTo>
                                    </a:path>
                                    <a:path w="21600" h="21600">
                                      <a:moveTo>
                                        <a:pt x="15752" y="1474"/>
                                      </a:moveTo>
                                      <a:lnTo>
                                        <a:pt x="15715" y="1437"/>
                                      </a:lnTo>
                                    </a:path>
                                    <a:path w="21600" h="21600">
                                      <a:moveTo>
                                        <a:pt x="14954" y="907"/>
                                      </a:moveTo>
                                      <a:lnTo>
                                        <a:pt x="14917" y="869"/>
                                      </a:lnTo>
                                    </a:path>
                                    <a:path w="21600" h="21600">
                                      <a:moveTo>
                                        <a:pt x="15069" y="793"/>
                                      </a:moveTo>
                                      <a:lnTo>
                                        <a:pt x="15032" y="753"/>
                                      </a:lnTo>
                                    </a:path>
                                    <a:path w="21600" h="21600">
                                      <a:moveTo>
                                        <a:pt x="16775" y="11065"/>
                                      </a:moveTo>
                                      <a:lnTo>
                                        <a:pt x="16775" y="11288"/>
                                      </a:lnTo>
                                      <a:lnTo>
                                        <a:pt x="16775" y="11288"/>
                                      </a:lnTo>
                                      <a:lnTo>
                                        <a:pt x="16775" y="11288"/>
                                      </a:lnTo>
                                      <a:lnTo>
                                        <a:pt x="16775" y="11288"/>
                                      </a:lnTo>
                                      <a:lnTo>
                                        <a:pt x="16246" y="11818"/>
                                      </a:lnTo>
                                      <a:lnTo>
                                        <a:pt x="16246" y="11818"/>
                                      </a:lnTo>
                                      <a:lnTo>
                                        <a:pt x="16246" y="11818"/>
                                      </a:lnTo>
                                      <a:lnTo>
                                        <a:pt x="16246" y="11818"/>
                                      </a:lnTo>
                                      <a:lnTo>
                                        <a:pt x="16246" y="11595"/>
                                      </a:lnTo>
                                    </a:path>
                                    <a:path w="21600" h="21600">
                                      <a:moveTo>
                                        <a:pt x="11803" y="16027"/>
                                      </a:moveTo>
                                      <a:lnTo>
                                        <a:pt x="11803" y="16254"/>
                                      </a:lnTo>
                                      <a:lnTo>
                                        <a:pt x="11803" y="16254"/>
                                      </a:lnTo>
                                      <a:lnTo>
                                        <a:pt x="11803" y="16254"/>
                                      </a:lnTo>
                                      <a:lnTo>
                                        <a:pt x="11803" y="16254"/>
                                      </a:lnTo>
                                      <a:lnTo>
                                        <a:pt x="11270" y="16785"/>
                                      </a:lnTo>
                                      <a:lnTo>
                                        <a:pt x="11270" y="16785"/>
                                      </a:lnTo>
                                      <a:lnTo>
                                        <a:pt x="11270" y="16785"/>
                                      </a:lnTo>
                                      <a:lnTo>
                                        <a:pt x="11270" y="16785"/>
                                      </a:lnTo>
                                      <a:lnTo>
                                        <a:pt x="11270" y="16557"/>
                                      </a:lnTo>
                                    </a:path>
                                    <a:path w="21600" h="21600">
                                      <a:moveTo>
                                        <a:pt x="16246" y="11818"/>
                                      </a:moveTo>
                                      <a:lnTo>
                                        <a:pt x="16131" y="11709"/>
                                      </a:lnTo>
                                    </a:path>
                                    <a:path w="21600" h="21600">
                                      <a:moveTo>
                                        <a:pt x="11270" y="16785"/>
                                      </a:moveTo>
                                      <a:lnTo>
                                        <a:pt x="11157" y="16671"/>
                                      </a:lnTo>
                                    </a:path>
                                    <a:path w="21600" h="21600">
                                      <a:moveTo>
                                        <a:pt x="4663" y="19366"/>
                                      </a:moveTo>
                                      <a:lnTo>
                                        <a:pt x="5194" y="19896"/>
                                      </a:lnTo>
                                      <a:lnTo>
                                        <a:pt x="5194" y="19896"/>
                                      </a:lnTo>
                                      <a:lnTo>
                                        <a:pt x="5194" y="19896"/>
                                      </a:lnTo>
                                      <a:lnTo>
                                        <a:pt x="5194" y="19896"/>
                                      </a:lnTo>
                                      <a:lnTo>
                                        <a:pt x="20347" y="4776"/>
                                      </a:lnTo>
                                    </a:path>
                                    <a:path w="21600" h="21600">
                                      <a:moveTo>
                                        <a:pt x="5194" y="19896"/>
                                      </a:moveTo>
                                      <a:lnTo>
                                        <a:pt x="5194" y="20119"/>
                                      </a:lnTo>
                                      <a:lnTo>
                                        <a:pt x="5194" y="20119"/>
                                      </a:lnTo>
                                      <a:lnTo>
                                        <a:pt x="5194" y="20119"/>
                                      </a:lnTo>
                                      <a:lnTo>
                                        <a:pt x="5194" y="20119"/>
                                      </a:lnTo>
                                      <a:lnTo>
                                        <a:pt x="20347" y="4999"/>
                                      </a:lnTo>
                                    </a:path>
                                    <a:path w="21600" h="21600">
                                      <a:moveTo>
                                        <a:pt x="4663" y="19589"/>
                                      </a:moveTo>
                                      <a:lnTo>
                                        <a:pt x="4663" y="19366"/>
                                      </a:lnTo>
                                      <a:lnTo>
                                        <a:pt x="4663" y="19366"/>
                                      </a:lnTo>
                                      <a:lnTo>
                                        <a:pt x="4663" y="19366"/>
                                      </a:lnTo>
                                      <a:lnTo>
                                        <a:pt x="4663" y="19366"/>
                                      </a:lnTo>
                                      <a:lnTo>
                                        <a:pt x="19815" y="4238"/>
                                      </a:lnTo>
                                    </a:path>
                                    <a:path w="21600" h="21600">
                                      <a:moveTo>
                                        <a:pt x="3980" y="18682"/>
                                      </a:moveTo>
                                      <a:lnTo>
                                        <a:pt x="4511" y="19212"/>
                                      </a:lnTo>
                                      <a:lnTo>
                                        <a:pt x="4511" y="19212"/>
                                      </a:lnTo>
                                      <a:lnTo>
                                        <a:pt x="4511" y="19212"/>
                                      </a:lnTo>
                                      <a:lnTo>
                                        <a:pt x="4511" y="19212"/>
                                      </a:lnTo>
                                      <a:lnTo>
                                        <a:pt x="19664" y="4092"/>
                                      </a:lnTo>
                                    </a:path>
                                    <a:path w="21600" h="21600">
                                      <a:moveTo>
                                        <a:pt x="4511" y="19212"/>
                                      </a:moveTo>
                                      <a:lnTo>
                                        <a:pt x="4511" y="19435"/>
                                      </a:lnTo>
                                      <a:lnTo>
                                        <a:pt x="4511" y="19435"/>
                                      </a:lnTo>
                                      <a:lnTo>
                                        <a:pt x="4511" y="19435"/>
                                      </a:lnTo>
                                      <a:lnTo>
                                        <a:pt x="4511" y="19435"/>
                                      </a:lnTo>
                                      <a:lnTo>
                                        <a:pt x="19664" y="4315"/>
                                      </a:lnTo>
                                    </a:path>
                                    <a:path w="21600" h="21600">
                                      <a:moveTo>
                                        <a:pt x="3980" y="18905"/>
                                      </a:moveTo>
                                      <a:lnTo>
                                        <a:pt x="3980" y="18682"/>
                                      </a:lnTo>
                                      <a:lnTo>
                                        <a:pt x="3980" y="18682"/>
                                      </a:lnTo>
                                      <a:lnTo>
                                        <a:pt x="3980" y="18682"/>
                                      </a:lnTo>
                                      <a:lnTo>
                                        <a:pt x="3980" y="18682"/>
                                      </a:lnTo>
                                      <a:lnTo>
                                        <a:pt x="19133" y="3562"/>
                                      </a:lnTo>
                                    </a:path>
                                    <a:path w="21600" h="21600">
                                      <a:moveTo>
                                        <a:pt x="3294" y="17998"/>
                                      </a:moveTo>
                                      <a:lnTo>
                                        <a:pt x="3828" y="18528"/>
                                      </a:lnTo>
                                      <a:lnTo>
                                        <a:pt x="3828" y="18528"/>
                                      </a:lnTo>
                                      <a:lnTo>
                                        <a:pt x="3828" y="18528"/>
                                      </a:lnTo>
                                      <a:lnTo>
                                        <a:pt x="3828" y="18528"/>
                                      </a:lnTo>
                                      <a:lnTo>
                                        <a:pt x="18981" y="3408"/>
                                      </a:lnTo>
                                    </a:path>
                                    <a:path w="21600" h="21600">
                                      <a:moveTo>
                                        <a:pt x="3828" y="18528"/>
                                      </a:moveTo>
                                      <a:lnTo>
                                        <a:pt x="3828" y="18759"/>
                                      </a:lnTo>
                                      <a:lnTo>
                                        <a:pt x="3828" y="18759"/>
                                      </a:lnTo>
                                      <a:lnTo>
                                        <a:pt x="3828" y="18759"/>
                                      </a:lnTo>
                                      <a:lnTo>
                                        <a:pt x="3828" y="18759"/>
                                      </a:lnTo>
                                      <a:lnTo>
                                        <a:pt x="18981" y="3634"/>
                                      </a:lnTo>
                                    </a:path>
                                    <a:path w="21600" h="21600">
                                      <a:moveTo>
                                        <a:pt x="3294" y="18221"/>
                                      </a:moveTo>
                                      <a:lnTo>
                                        <a:pt x="3294" y="17998"/>
                                      </a:lnTo>
                                      <a:lnTo>
                                        <a:pt x="3294" y="17998"/>
                                      </a:lnTo>
                                      <a:lnTo>
                                        <a:pt x="3294" y="17998"/>
                                      </a:lnTo>
                                      <a:lnTo>
                                        <a:pt x="3294" y="17998"/>
                                      </a:lnTo>
                                      <a:lnTo>
                                        <a:pt x="18450" y="2878"/>
                                      </a:lnTo>
                                    </a:path>
                                    <a:path w="21600" h="21600">
                                      <a:moveTo>
                                        <a:pt x="2611" y="17315"/>
                                      </a:moveTo>
                                      <a:lnTo>
                                        <a:pt x="3143" y="17845"/>
                                      </a:lnTo>
                                      <a:lnTo>
                                        <a:pt x="3143" y="17845"/>
                                      </a:lnTo>
                                      <a:lnTo>
                                        <a:pt x="3143" y="17845"/>
                                      </a:lnTo>
                                      <a:lnTo>
                                        <a:pt x="3143" y="17845"/>
                                      </a:lnTo>
                                      <a:lnTo>
                                        <a:pt x="18298" y="2727"/>
                                      </a:lnTo>
                                    </a:path>
                                    <a:path w="21600" h="21600">
                                      <a:moveTo>
                                        <a:pt x="3143" y="17845"/>
                                      </a:moveTo>
                                      <a:lnTo>
                                        <a:pt x="3143" y="18075"/>
                                      </a:lnTo>
                                      <a:lnTo>
                                        <a:pt x="3143" y="18075"/>
                                      </a:lnTo>
                                      <a:lnTo>
                                        <a:pt x="3143" y="18075"/>
                                      </a:lnTo>
                                      <a:lnTo>
                                        <a:pt x="3143" y="18075"/>
                                      </a:lnTo>
                                      <a:lnTo>
                                        <a:pt x="18298" y="2955"/>
                                      </a:lnTo>
                                    </a:path>
                                    <a:path w="21600" h="21600">
                                      <a:moveTo>
                                        <a:pt x="2611" y="17545"/>
                                      </a:moveTo>
                                      <a:lnTo>
                                        <a:pt x="2611" y="17315"/>
                                      </a:lnTo>
                                      <a:lnTo>
                                        <a:pt x="2611" y="17315"/>
                                      </a:lnTo>
                                      <a:lnTo>
                                        <a:pt x="2611" y="17315"/>
                                      </a:lnTo>
                                      <a:lnTo>
                                        <a:pt x="2611" y="17315"/>
                                      </a:lnTo>
                                      <a:lnTo>
                                        <a:pt x="17764" y="2197"/>
                                      </a:lnTo>
                                    </a:path>
                                    <a:path w="21600" h="21600">
                                      <a:moveTo>
                                        <a:pt x="1928" y="16631"/>
                                      </a:moveTo>
                                      <a:lnTo>
                                        <a:pt x="2460" y="17161"/>
                                      </a:lnTo>
                                      <a:lnTo>
                                        <a:pt x="2460" y="17161"/>
                                      </a:lnTo>
                                      <a:lnTo>
                                        <a:pt x="2460" y="17161"/>
                                      </a:lnTo>
                                      <a:lnTo>
                                        <a:pt x="2460" y="17161"/>
                                      </a:lnTo>
                                      <a:lnTo>
                                        <a:pt x="17615" y="2044"/>
                                      </a:lnTo>
                                    </a:path>
                                    <a:path w="21600" h="21600">
                                      <a:moveTo>
                                        <a:pt x="2460" y="17161"/>
                                      </a:moveTo>
                                      <a:lnTo>
                                        <a:pt x="2460" y="17391"/>
                                      </a:lnTo>
                                      <a:lnTo>
                                        <a:pt x="2460" y="17391"/>
                                      </a:lnTo>
                                      <a:lnTo>
                                        <a:pt x="2460" y="17391"/>
                                      </a:lnTo>
                                      <a:lnTo>
                                        <a:pt x="2460" y="17391"/>
                                      </a:lnTo>
                                      <a:lnTo>
                                        <a:pt x="17615" y="2274"/>
                                      </a:lnTo>
                                    </a:path>
                                    <a:path w="21600" h="21600">
                                      <a:moveTo>
                                        <a:pt x="1928" y="16861"/>
                                      </a:moveTo>
                                      <a:lnTo>
                                        <a:pt x="1928" y="16631"/>
                                      </a:lnTo>
                                      <a:lnTo>
                                        <a:pt x="1928" y="16631"/>
                                      </a:lnTo>
                                      <a:lnTo>
                                        <a:pt x="1928" y="16631"/>
                                      </a:lnTo>
                                      <a:lnTo>
                                        <a:pt x="1928" y="16631"/>
                                      </a:lnTo>
                                      <a:lnTo>
                                        <a:pt x="17081" y="1513"/>
                                      </a:lnTo>
                                    </a:path>
                                    <a:path w="21600" h="21600">
                                      <a:moveTo>
                                        <a:pt x="1245" y="15950"/>
                                      </a:moveTo>
                                      <a:lnTo>
                                        <a:pt x="1777" y="16480"/>
                                      </a:lnTo>
                                      <a:lnTo>
                                        <a:pt x="1777" y="16480"/>
                                      </a:lnTo>
                                      <a:lnTo>
                                        <a:pt x="1777" y="16480"/>
                                      </a:lnTo>
                                      <a:lnTo>
                                        <a:pt x="1777" y="16480"/>
                                      </a:lnTo>
                                      <a:lnTo>
                                        <a:pt x="16929" y="1360"/>
                                      </a:lnTo>
                                    </a:path>
                                    <a:path w="21600" h="21600">
                                      <a:moveTo>
                                        <a:pt x="1777" y="16480"/>
                                      </a:moveTo>
                                      <a:lnTo>
                                        <a:pt x="1777" y="16708"/>
                                      </a:lnTo>
                                      <a:lnTo>
                                        <a:pt x="1777" y="16708"/>
                                      </a:lnTo>
                                      <a:lnTo>
                                        <a:pt x="1777" y="16708"/>
                                      </a:lnTo>
                                      <a:lnTo>
                                        <a:pt x="1777" y="16708"/>
                                      </a:lnTo>
                                      <a:lnTo>
                                        <a:pt x="16929" y="1590"/>
                                      </a:lnTo>
                                    </a:path>
                                    <a:path w="21600" h="21600">
                                      <a:moveTo>
                                        <a:pt x="1245" y="16178"/>
                                      </a:moveTo>
                                      <a:lnTo>
                                        <a:pt x="1245" y="15950"/>
                                      </a:lnTo>
                                      <a:lnTo>
                                        <a:pt x="1245" y="15950"/>
                                      </a:lnTo>
                                      <a:lnTo>
                                        <a:pt x="1245" y="15950"/>
                                      </a:lnTo>
                                      <a:lnTo>
                                        <a:pt x="1245" y="15950"/>
                                      </a:lnTo>
                                      <a:lnTo>
                                        <a:pt x="16398" y="830"/>
                                      </a:lnTo>
                                    </a:path>
                                    <a:path w="21600" h="21600">
                                      <a:moveTo>
                                        <a:pt x="563" y="15271"/>
                                      </a:moveTo>
                                      <a:lnTo>
                                        <a:pt x="1094" y="15801"/>
                                      </a:lnTo>
                                      <a:lnTo>
                                        <a:pt x="1094" y="15801"/>
                                      </a:lnTo>
                                      <a:lnTo>
                                        <a:pt x="1094" y="15801"/>
                                      </a:lnTo>
                                      <a:lnTo>
                                        <a:pt x="1094" y="15801"/>
                                      </a:lnTo>
                                      <a:lnTo>
                                        <a:pt x="16246" y="684"/>
                                      </a:lnTo>
                                    </a:path>
                                    <a:path w="21600" h="21600">
                                      <a:moveTo>
                                        <a:pt x="1094" y="15801"/>
                                      </a:moveTo>
                                      <a:lnTo>
                                        <a:pt x="1094" y="16027"/>
                                      </a:lnTo>
                                      <a:lnTo>
                                        <a:pt x="1094" y="16027"/>
                                      </a:lnTo>
                                      <a:lnTo>
                                        <a:pt x="1094" y="16027"/>
                                      </a:lnTo>
                                      <a:lnTo>
                                        <a:pt x="1094" y="16027"/>
                                      </a:lnTo>
                                      <a:lnTo>
                                        <a:pt x="16246" y="907"/>
                                      </a:lnTo>
                                    </a:path>
                                    <a:path w="21600" h="21600">
                                      <a:moveTo>
                                        <a:pt x="563" y="15496"/>
                                      </a:moveTo>
                                      <a:lnTo>
                                        <a:pt x="563" y="15271"/>
                                      </a:lnTo>
                                      <a:lnTo>
                                        <a:pt x="563" y="15271"/>
                                      </a:lnTo>
                                      <a:lnTo>
                                        <a:pt x="563" y="15271"/>
                                      </a:lnTo>
                                      <a:lnTo>
                                        <a:pt x="563" y="15271"/>
                                      </a:lnTo>
                                      <a:lnTo>
                                        <a:pt x="15715" y="146"/>
                                      </a:lnTo>
                                    </a:path>
                                    <a:path w="21600" h="21600">
                                      <a:moveTo>
                                        <a:pt x="16246" y="684"/>
                                      </a:moveTo>
                                      <a:lnTo>
                                        <a:pt x="16246" y="907"/>
                                      </a:lnTo>
                                      <a:lnTo>
                                        <a:pt x="16246" y="907"/>
                                      </a:lnTo>
                                      <a:lnTo>
                                        <a:pt x="16246" y="907"/>
                                      </a:lnTo>
                                      <a:lnTo>
                                        <a:pt x="16246" y="907"/>
                                      </a:lnTo>
                                      <a:lnTo>
                                        <a:pt x="16283" y="944"/>
                                      </a:lnTo>
                                    </a:path>
                                    <a:path w="21600" h="21600">
                                      <a:moveTo>
                                        <a:pt x="15600" y="11179"/>
                                      </a:moveTo>
                                      <a:lnTo>
                                        <a:pt x="15564" y="11142"/>
                                      </a:lnTo>
                                    </a:path>
                                    <a:path w="21600" h="21600">
                                      <a:moveTo>
                                        <a:pt x="15715" y="11065"/>
                                      </a:moveTo>
                                      <a:lnTo>
                                        <a:pt x="15673" y="11025"/>
                                      </a:lnTo>
                                    </a:path>
                                    <a:path w="21600" h="21600">
                                      <a:moveTo>
                                        <a:pt x="14917" y="10495"/>
                                      </a:moveTo>
                                      <a:lnTo>
                                        <a:pt x="14881" y="10458"/>
                                      </a:lnTo>
                                    </a:path>
                                    <a:path w="21600" h="21600">
                                      <a:moveTo>
                                        <a:pt x="14234" y="9814"/>
                                      </a:moveTo>
                                      <a:lnTo>
                                        <a:pt x="14198" y="9774"/>
                                      </a:lnTo>
                                    </a:path>
                                    <a:path w="21600" h="21600">
                                      <a:moveTo>
                                        <a:pt x="15032" y="10381"/>
                                      </a:moveTo>
                                      <a:lnTo>
                                        <a:pt x="14990" y="10344"/>
                                      </a:lnTo>
                                    </a:path>
                                    <a:path w="21600" h="21600">
                                      <a:moveTo>
                                        <a:pt x="14347" y="9698"/>
                                      </a:moveTo>
                                      <a:lnTo>
                                        <a:pt x="14308" y="9661"/>
                                      </a:lnTo>
                                    </a:path>
                                    <a:path w="21600" h="21600">
                                      <a:moveTo>
                                        <a:pt x="13551" y="9130"/>
                                      </a:moveTo>
                                      <a:lnTo>
                                        <a:pt x="13509" y="9091"/>
                                      </a:lnTo>
                                    </a:path>
                                    <a:path w="21600" h="21600">
                                      <a:moveTo>
                                        <a:pt x="13664" y="9014"/>
                                      </a:moveTo>
                                      <a:lnTo>
                                        <a:pt x="13625" y="8977"/>
                                      </a:lnTo>
                                    </a:path>
                                    <a:path w="21600" h="21600">
                                      <a:moveTo>
                                        <a:pt x="12866" y="8447"/>
                                      </a:moveTo>
                                      <a:lnTo>
                                        <a:pt x="12827" y="8410"/>
                                      </a:lnTo>
                                    </a:path>
                                    <a:path w="21600" h="21600">
                                      <a:moveTo>
                                        <a:pt x="12981" y="8333"/>
                                      </a:moveTo>
                                      <a:lnTo>
                                        <a:pt x="12942" y="8293"/>
                                      </a:lnTo>
                                    </a:path>
                                    <a:path w="21600" h="21600">
                                      <a:moveTo>
                                        <a:pt x="12183" y="7763"/>
                                      </a:moveTo>
                                      <a:lnTo>
                                        <a:pt x="12144" y="7726"/>
                                      </a:lnTo>
                                    </a:path>
                                    <a:path w="21600" h="21600">
                                      <a:moveTo>
                                        <a:pt x="12298" y="7654"/>
                                      </a:moveTo>
                                      <a:lnTo>
                                        <a:pt x="12256" y="7617"/>
                                      </a:lnTo>
                                    </a:path>
                                    <a:path w="21600" h="21600">
                                      <a:moveTo>
                                        <a:pt x="11500" y="7087"/>
                                      </a:moveTo>
                                      <a:lnTo>
                                        <a:pt x="11458" y="7050"/>
                                      </a:lnTo>
                                    </a:path>
                                    <a:path w="21600" h="21600">
                                      <a:moveTo>
                                        <a:pt x="10817" y="6403"/>
                                      </a:moveTo>
                                      <a:lnTo>
                                        <a:pt x="10775" y="6366"/>
                                      </a:lnTo>
                                    </a:path>
                                    <a:path w="21600" h="21600">
                                      <a:moveTo>
                                        <a:pt x="11615" y="6973"/>
                                      </a:moveTo>
                                      <a:lnTo>
                                        <a:pt x="11573" y="6933"/>
                                      </a:lnTo>
                                    </a:path>
                                    <a:path w="21600" h="21600">
                                      <a:moveTo>
                                        <a:pt x="10927" y="6289"/>
                                      </a:moveTo>
                                      <a:lnTo>
                                        <a:pt x="10890" y="6250"/>
                                      </a:lnTo>
                                    </a:path>
                                    <a:path w="21600" h="21600">
                                      <a:moveTo>
                                        <a:pt x="10134" y="5720"/>
                                      </a:moveTo>
                                      <a:lnTo>
                                        <a:pt x="10092" y="5682"/>
                                      </a:lnTo>
                                    </a:path>
                                    <a:path w="21600" h="21600">
                                      <a:moveTo>
                                        <a:pt x="10244" y="5606"/>
                                      </a:moveTo>
                                      <a:lnTo>
                                        <a:pt x="10207" y="5568"/>
                                      </a:lnTo>
                                    </a:path>
                                    <a:path w="21600" h="21600">
                                      <a:moveTo>
                                        <a:pt x="10623" y="16141"/>
                                      </a:moveTo>
                                      <a:lnTo>
                                        <a:pt x="10587" y="16103"/>
                                      </a:lnTo>
                                    </a:path>
                                    <a:path w="21600" h="21600">
                                      <a:moveTo>
                                        <a:pt x="10739" y="16027"/>
                                      </a:moveTo>
                                      <a:lnTo>
                                        <a:pt x="10702" y="15987"/>
                                      </a:lnTo>
                                    </a:path>
                                    <a:path w="21600" h="21600">
                                      <a:moveTo>
                                        <a:pt x="9940" y="15457"/>
                                      </a:moveTo>
                                      <a:lnTo>
                                        <a:pt x="9904" y="15420"/>
                                      </a:lnTo>
                                    </a:path>
                                    <a:path w="21600" h="21600">
                                      <a:moveTo>
                                        <a:pt x="9257" y="14773"/>
                                      </a:moveTo>
                                      <a:lnTo>
                                        <a:pt x="9221" y="14736"/>
                                      </a:lnTo>
                                    </a:path>
                                    <a:path w="21600" h="21600">
                                      <a:moveTo>
                                        <a:pt x="10056" y="15343"/>
                                      </a:moveTo>
                                      <a:lnTo>
                                        <a:pt x="10019" y="15303"/>
                                      </a:lnTo>
                                    </a:path>
                                    <a:path w="21600" h="21600">
                                      <a:moveTo>
                                        <a:pt x="9373" y="14667"/>
                                      </a:moveTo>
                                      <a:lnTo>
                                        <a:pt x="9336" y="14627"/>
                                      </a:lnTo>
                                    </a:path>
                                    <a:path w="21600" h="21600">
                                      <a:moveTo>
                                        <a:pt x="8575" y="14097"/>
                                      </a:moveTo>
                                      <a:lnTo>
                                        <a:pt x="8538" y="14060"/>
                                      </a:lnTo>
                                    </a:path>
                                    <a:path w="21600" h="21600">
                                      <a:moveTo>
                                        <a:pt x="8690" y="13983"/>
                                      </a:moveTo>
                                      <a:lnTo>
                                        <a:pt x="8650" y="13943"/>
                                      </a:lnTo>
                                    </a:path>
                                    <a:path w="21600" h="21600">
                                      <a:moveTo>
                                        <a:pt x="7892" y="13413"/>
                                      </a:moveTo>
                                      <a:lnTo>
                                        <a:pt x="7855" y="13376"/>
                                      </a:lnTo>
                                    </a:path>
                                    <a:path w="21600" h="21600">
                                      <a:moveTo>
                                        <a:pt x="8004" y="13299"/>
                                      </a:moveTo>
                                      <a:lnTo>
                                        <a:pt x="7968" y="13262"/>
                                      </a:lnTo>
                                    </a:path>
                                    <a:path w="21600" h="21600">
                                      <a:moveTo>
                                        <a:pt x="7206" y="12732"/>
                                      </a:moveTo>
                                      <a:lnTo>
                                        <a:pt x="7169" y="12692"/>
                                      </a:lnTo>
                                    </a:path>
                                    <a:path w="21600" h="21600">
                                      <a:moveTo>
                                        <a:pt x="7321" y="12616"/>
                                      </a:moveTo>
                                      <a:lnTo>
                                        <a:pt x="7285" y="12579"/>
                                      </a:lnTo>
                                    </a:path>
                                    <a:path w="21600" h="21600">
                                      <a:moveTo>
                                        <a:pt x="6523" y="12048"/>
                                      </a:moveTo>
                                      <a:lnTo>
                                        <a:pt x="6487" y="12009"/>
                                      </a:lnTo>
                                    </a:path>
                                    <a:path w="21600" h="21600">
                                      <a:moveTo>
                                        <a:pt x="5840" y="11365"/>
                                      </a:moveTo>
                                      <a:lnTo>
                                        <a:pt x="5804" y="11328"/>
                                      </a:lnTo>
                                    </a:path>
                                    <a:path w="21600" h="21600">
                                      <a:moveTo>
                                        <a:pt x="6638" y="11932"/>
                                      </a:moveTo>
                                      <a:lnTo>
                                        <a:pt x="6602" y="11895"/>
                                      </a:lnTo>
                                    </a:path>
                                    <a:path w="21600" h="21600">
                                      <a:moveTo>
                                        <a:pt x="5955" y="11251"/>
                                      </a:moveTo>
                                      <a:lnTo>
                                        <a:pt x="5919" y="11211"/>
                                      </a:lnTo>
                                    </a:path>
                                    <a:path w="21600" h="21600">
                                      <a:moveTo>
                                        <a:pt x="5157" y="10681"/>
                                      </a:moveTo>
                                      <a:lnTo>
                                        <a:pt x="5121" y="10644"/>
                                      </a:lnTo>
                                    </a:path>
                                    <a:path w="21600" h="21600">
                                      <a:moveTo>
                                        <a:pt x="5272" y="10572"/>
                                      </a:moveTo>
                                      <a:lnTo>
                                        <a:pt x="5236" y="10535"/>
                                      </a:lnTo>
                                    </a:path>
                                    <a:path w="21600" h="21600">
                                      <a:moveTo>
                                        <a:pt x="16207" y="10495"/>
                                      </a:moveTo>
                                      <a:lnTo>
                                        <a:pt x="16246" y="10535"/>
                                      </a:lnTo>
                                    </a:path>
                                    <a:path w="21600" h="21600">
                                      <a:moveTo>
                                        <a:pt x="15522" y="9814"/>
                                      </a:moveTo>
                                      <a:lnTo>
                                        <a:pt x="15564" y="9851"/>
                                      </a:lnTo>
                                    </a:path>
                                    <a:path w="21600" h="21600">
                                      <a:moveTo>
                                        <a:pt x="14839" y="9130"/>
                                      </a:moveTo>
                                      <a:lnTo>
                                        <a:pt x="14881" y="9168"/>
                                      </a:lnTo>
                                    </a:path>
                                    <a:path w="21600" h="21600">
                                      <a:moveTo>
                                        <a:pt x="14156" y="8447"/>
                                      </a:moveTo>
                                      <a:lnTo>
                                        <a:pt x="14198" y="8486"/>
                                      </a:lnTo>
                                    </a:path>
                                    <a:path w="21600" h="21600">
                                      <a:moveTo>
                                        <a:pt x="11955" y="9284"/>
                                      </a:moveTo>
                                      <a:lnTo>
                                        <a:pt x="11992" y="9321"/>
                                      </a:lnTo>
                                    </a:path>
                                    <a:path w="21600" h="21600">
                                      <a:moveTo>
                                        <a:pt x="12790" y="7087"/>
                                      </a:moveTo>
                                      <a:lnTo>
                                        <a:pt x="12827" y="7119"/>
                                      </a:lnTo>
                                    </a:path>
                                    <a:path w="21600" h="21600">
                                      <a:moveTo>
                                        <a:pt x="12107" y="6403"/>
                                      </a:moveTo>
                                      <a:lnTo>
                                        <a:pt x="12144" y="6443"/>
                                      </a:lnTo>
                                    </a:path>
                                    <a:path w="21600" h="21600">
                                      <a:moveTo>
                                        <a:pt x="10739" y="5038"/>
                                      </a:moveTo>
                                      <a:lnTo>
                                        <a:pt x="10775" y="5076"/>
                                      </a:lnTo>
                                    </a:path>
                                    <a:path w="21600" h="21600">
                                      <a:moveTo>
                                        <a:pt x="11421" y="5720"/>
                                      </a:moveTo>
                                      <a:lnTo>
                                        <a:pt x="11458" y="5759"/>
                                      </a:lnTo>
                                    </a:path>
                                    <a:path w="21600" h="21600">
                                      <a:moveTo>
                                        <a:pt x="11233" y="15457"/>
                                      </a:moveTo>
                                      <a:lnTo>
                                        <a:pt x="11270" y="15496"/>
                                      </a:lnTo>
                                    </a:path>
                                    <a:path w="21600" h="21600">
                                      <a:moveTo>
                                        <a:pt x="10550" y="14773"/>
                                      </a:moveTo>
                                      <a:lnTo>
                                        <a:pt x="10587" y="14813"/>
                                      </a:lnTo>
                                    </a:path>
                                    <a:path w="21600" h="21600">
                                      <a:moveTo>
                                        <a:pt x="9867" y="14097"/>
                                      </a:moveTo>
                                      <a:lnTo>
                                        <a:pt x="9904" y="14137"/>
                                      </a:lnTo>
                                    </a:path>
                                    <a:path w="21600" h="21600">
                                      <a:moveTo>
                                        <a:pt x="9184" y="13413"/>
                                      </a:moveTo>
                                      <a:lnTo>
                                        <a:pt x="9221" y="13453"/>
                                      </a:lnTo>
                                    </a:path>
                                    <a:path w="21600" h="21600">
                                      <a:moveTo>
                                        <a:pt x="8501" y="12732"/>
                                      </a:moveTo>
                                      <a:lnTo>
                                        <a:pt x="8538" y="12769"/>
                                      </a:lnTo>
                                    </a:path>
                                    <a:path w="21600" h="21600">
                                      <a:moveTo>
                                        <a:pt x="7816" y="12048"/>
                                      </a:moveTo>
                                      <a:lnTo>
                                        <a:pt x="7855" y="12086"/>
                                      </a:lnTo>
                                    </a:path>
                                    <a:path w="21600" h="21600">
                                      <a:moveTo>
                                        <a:pt x="7133" y="11365"/>
                                      </a:moveTo>
                                      <a:lnTo>
                                        <a:pt x="7169" y="11402"/>
                                      </a:lnTo>
                                    </a:path>
                                    <a:path w="21600" h="21600">
                                      <a:moveTo>
                                        <a:pt x="5767" y="10005"/>
                                      </a:moveTo>
                                      <a:lnTo>
                                        <a:pt x="5804" y="10042"/>
                                      </a:lnTo>
                                    </a:path>
                                    <a:path w="21600" h="21600">
                                      <a:moveTo>
                                        <a:pt x="6450" y="10681"/>
                                      </a:moveTo>
                                      <a:lnTo>
                                        <a:pt x="6487" y="10721"/>
                                      </a:lnTo>
                                    </a:path>
                                  </a:pathLst>
                                </a:custGeom>
                                <a:solidFill>
                                  <a:srgbClr val="FFFFFF"/>
                                </a:solidFill>
                                <a:ln w="9525" cap="flat" cmpd="sng">
                                  <a:solidFill>
                                    <a:srgbClr val="000000"/>
                                  </a:solidFill>
                                  <a:prstDash val="solid"/>
                                  <a:headEnd type="none" w="med" len="med"/>
                                  <a:tailEnd type="none" w="med" len="med"/>
                                </a:ln>
                              </wps:spPr>
                              <wps:bodyPr anchor="t" anchorCtr="0" upright="1"/>
                            </wps:wsp>
                          </wpg:wgp>
                        </a:graphicData>
                      </a:graphic>
                    </wp:anchor>
                  </w:drawing>
                </mc:Choice>
                <mc:Fallback>
                  <w:pict>
                    <v:group id="Group 5" o:spid="_x0000_s1026" o:spt="203" style="position:absolute;left:0pt;margin-left:9.75pt;margin-top:5.25pt;height:67.5pt;width:67.5pt;mso-wrap-distance-bottom:0pt;mso-wrap-distance-left:0pt;mso-wrap-distance-right:0pt;mso-wrap-distance-top:0pt;z-index:251659264;mso-width-relative:page;mso-height-relative:page;" coordsize="21600,21600" o:gfxdata="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">
                      <o:lock v:ext="edit" aspectratio="f"/>
                      <v:shape id="任意多边形 2" o:spid="_x0000_s1026" o:spt="100" style="position:absolute;left:97;top:90;height:20985;width:21406;" fillcolor="#FFFFFF" filled="t" stroked="t" coordsize="21600,21600" o:gfxdata="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WMvYC5AAAA2gAA&#10;AA8AAAAAAAAAAQAgAAAAIgAAAGRycy9kb3ducmV2LnhtbFBLAQIUABQAAAAIAIdO4kAzLwWeOwAA&#10;ADkAAAAQAAAAAAAAAAEAIAAAAAgBAABkcnMvc2hhcGV4bWwueG1sUEsFBgAAAAAGAAYAWwEAALID&#10;AAAAAA==&#10;" path="m6029,21171l6450,21593,6450,21593,6450,21593,6450,21593,21600,6442em0,15146l15153,0e">
                        <v:fill on="t" focussize="0,0"/>
                        <v:stroke color="#000000" joinstyle="round"/>
                        <v:imagedata o:title=""/>
                        <o:lock v:ext="edit" aspectratio="f"/>
                      </v:shape>
                      <v:shape id="图片 3" o:spid="_x0000_s1026" o:spt="75" alt="" type="#_x0000_t75" style="position:absolute;left:15016;top:0;height:6439;width:6584;" filled="f" o:preferrelative="t" stroked="f" coordsize="21600,21600" o:gfxdata="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TCncLsAAADa&#10;AAAADwAAAAAAAAABACAAAAAiAAAAZHJzL2Rvd25yZXYueG1sUEsBAhQAFAAAAAgAh07iQDMvBZ47&#10;AAAAOQAAABAAAAAAAAAAAQAgAAAACgEAAGRycy9zaGFwZXhtbC54bWxQSwUGAAAAAAYABgBbAQAA&#10;tAMAAAAA&#10;">
                        <v:fill on="f" focussize="0,0"/>
                        <v:stroke on="f"/>
                        <v:imagedata r:id="rId10" o:title=""/>
                        <o:lock v:ext="edit" aspectratio="t"/>
                      </v:shape>
                      <v:shape id="任意多边形 4" o:spid="_x0000_s1026" o:spt="100" style="position:absolute;left:97;top:488;height:21021;width:21406;" fillcolor="#FFFFFF" filled="t" stroked="t" coordsize="21600,21600" o:gfxdata="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KGbLsAAADa&#10;AAAADwAAAAAAAAABACAAAAAiAAAAZHJzL2Rvd25yZXYueG1sUEsBAhQAFAAAAAgAh07iQDMvBZ47&#10;AAAAOQAAABAAAAAAAAAAAQAgAAAACgEAAGRycy9zaGFwZXhtbC54bWxQSwUGAAAAAAYABgBbAQAA&#10;tAMAAAAA&#10;" path="m0,14711l0,14934,0,14934,0,14934,0,14934,6450,21370,6450,21370,6450,21370,6450,21370,21600,6250em21181,5606l6029,20726,6029,20726,6029,20726,6029,20726,6450,21147,6450,21147,6450,21147,6450,21147,6450,21370,6450,21370,6450,21370,6450,21370,6450,21600,6450,21600,6450,21600,6450,21600,0,15165,0,15165,0,15165,0,15165,0,14934em6029,20726l6029,20953em5877,20802l5877,20572,5877,20572,5877,20572,5877,20572,21030,5452em6450,21600l6978,21070,6978,21070,6978,21070,6978,21070,6978,20840em6450,20309l6408,20272em5877,20802l21030,5682em5346,20272l5346,20042,5346,20042,5346,20042,5346,20042,20498,4922em15564,223l411,15343,411,15343,411,15343,411,15343,411,15120,411,15120,411,15120,411,15120,15564,0em5767,19626l5725,19589em5084,18945l5042,18905em4396,18261l4359,18221em3713,17585l3676,17545em3030,16901l2993,16861em2344,16217l2308,16178em1662,15534l1625,15496em979,14850l942,14813em21600,6022l21600,6250,21600,6250,21600,6250,21600,6250,21600,6480,21600,6480,21600,6480,21600,6480,21069,7010,21069,7010,21069,7010,21069,7010,21069,6780em21069,7010l20954,6896em21030,5452l21030,5682em20347,4776l20347,4999em19664,4092l19664,4315em18981,3408l18981,3634em17154,3862l17154,4092em17615,2044l17615,2274em16929,1360l16929,1590em15564,0l15564,223em21030,5682l21069,5720em20347,4999l20383,5038em19664,4315l19700,4355em18981,3634l19017,3671em17154,4092l17196,4132em17615,2274l17652,2311em16929,1590l16966,1627em15564,223l15600,263em20423,6366l20383,6326em20535,6250l20498,6212em19737,5682l19700,5645em19054,4999l19017,4962em19852,5568l19815,5529em19169,4885l19133,4845em17233,5452l17196,5415em18486,4201l18450,4169em16550,4776l16513,4736em16665,4662l16623,4622em15867,4092l15830,4055em15982,3978l15940,3939em16320,2274l16283,2234em15637,1590l15600,1551em16435,2158l16398,2120em15752,1474l15715,1437em14954,907l14917,869em15069,793l15032,753em16775,11065l16775,11288,16775,11288,16775,11288,16775,11288,16246,11818,16246,11818,16246,11818,16246,11818,16246,11595em11803,16027l11803,16254,11803,16254,11803,16254,11803,16254,11270,16785,11270,16785,11270,16785,11270,16785,11270,16557em16246,11818l16131,11709em11270,16785l11157,16671em4663,19366l5194,19896,5194,19896,5194,19896,5194,19896,20347,4776em5194,19896l5194,20119,5194,20119,5194,20119,5194,20119,20347,4999em4663,19589l4663,19366,4663,19366,4663,19366,4663,19366,19815,4238em3980,18682l4511,19212,4511,19212,4511,19212,4511,19212,19664,4092em4511,19212l4511,19435,4511,19435,4511,19435,4511,19435,19664,4315em3980,18905l3980,18682,3980,18682,3980,18682,3980,18682,19133,3562em3294,17998l3828,18528,3828,18528,3828,18528,3828,18528,18981,3408em3828,18528l3828,18759,3828,18759,3828,18759,3828,18759,18981,3634em3294,18221l3294,17998,3294,17998,3294,17998,3294,17998,18450,2878em2611,17315l3143,17845,3143,17845,3143,17845,3143,17845,18298,2727em3143,17845l3143,18075,3143,18075,3143,18075,3143,18075,18298,2955em2611,17545l2611,17315,2611,17315,2611,17315,2611,17315,17764,2197em1928,16631l2460,17161,2460,17161,2460,17161,2460,17161,17615,2044em2460,17161l2460,17391,2460,17391,2460,17391,2460,17391,17615,2274em1928,16861l1928,16631,1928,16631,1928,16631,1928,16631,17081,1513em1245,15950l1777,16480,1777,16480,1777,16480,1777,16480,16929,1360em1777,16480l1777,16708,1777,16708,1777,16708,1777,16708,16929,1590em1245,16178l1245,15950,1245,15950,1245,15950,1245,15950,16398,830em563,15271l1094,15801,1094,15801,1094,15801,1094,15801,16246,684em1094,15801l1094,16027,1094,16027,1094,16027,1094,16027,16246,907em563,15496l563,15271,563,15271,563,15271,563,15271,15715,146em16246,684l16246,907,16246,907,16246,907,16246,907,16283,944em15600,11179l15564,11142em15715,11065l15673,11025em14917,10495l14881,10458em14234,9814l14198,9774em15032,10381l14990,10344em14347,9698l14308,9661em13551,9130l13509,9091em13664,9014l13625,8977em12866,8447l12827,8410em12981,8333l12942,8293em12183,7763l12144,7726em12298,7654l12256,7617em11500,7087l11458,7050em10817,6403l10775,6366em11615,6973l11573,6933em10927,6289l10890,6250em10134,5720l10092,5682em10244,5606l10207,5568em10623,16141l10587,16103em10739,16027l10702,15987em9940,15457l9904,15420em9257,14773l9221,14736em10056,15343l10019,15303em9373,14667l9336,14627em8575,14097l8538,14060em8690,13983l8650,13943em7892,13413l7855,13376em8004,13299l7968,13262em7206,12732l7169,12692em7321,12616l7285,12579em6523,12048l6487,12009em5840,11365l5804,11328em6638,11932l6602,11895em5955,11251l5919,11211em5157,10681l5121,10644em5272,10572l5236,10535em16207,10495l16246,10535em15522,9814l15564,9851em14839,9130l14881,9168em14156,8447l14198,8486em11955,9284l11992,9321em12790,7087l12827,7119em12107,6403l12144,6443em10739,5038l10775,5076em11421,5720l11458,5759em11233,15457l11270,15496em10550,14773l10587,14813em9867,14097l9904,14137em9184,13413l9221,13453em8501,12732l8538,12769em7816,12048l7855,12086em7133,11365l7169,11402em5767,10005l5804,10042em6450,10681l6487,10721e">
                        <v:fill on="t" focussize="0,0"/>
                        <v:stroke color="#000000" joinstyle="round"/>
                        <v:imagedata o:title=""/>
                        <o:lock v:ext="edit" aspectratio="f"/>
                      </v:shape>
                      <w10:wrap type="square"/>
                    </v:group>
                  </w:pict>
                </mc:Fallback>
              </mc:AlternateContent>
            </w:r>
          </w:p>
        </w:tc>
      </w:tr>
      <w:tr w14:paraId="7D1E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57A6B1C8">
            <w:pPr>
              <w:widowControl w:val="0"/>
              <w:jc w:val="both"/>
              <w:rPr>
                <w:rFonts w:eastAsia="宋体"/>
                <w:kern w:val="2"/>
                <w:sz w:val="21"/>
                <w:lang w:eastAsia="zh-CN"/>
              </w:rPr>
            </w:pPr>
          </w:p>
        </w:tc>
        <w:tc>
          <w:tcPr>
            <w:tcW w:w="1222" w:type="dxa"/>
            <w:vMerge w:val="continue"/>
            <w:vAlign w:val="center"/>
          </w:tcPr>
          <w:p w14:paraId="2BFCDB69">
            <w:pPr>
              <w:widowControl w:val="0"/>
              <w:jc w:val="both"/>
              <w:rPr>
                <w:rFonts w:eastAsia="宋体"/>
                <w:kern w:val="2"/>
                <w:sz w:val="21"/>
                <w:lang w:eastAsia="zh-CN"/>
              </w:rPr>
            </w:pPr>
          </w:p>
        </w:tc>
        <w:tc>
          <w:tcPr>
            <w:tcW w:w="6014" w:type="dxa"/>
            <w:vAlign w:val="center"/>
          </w:tcPr>
          <w:p w14:paraId="18767EFB">
            <w:pPr>
              <w:widowControl w:val="0"/>
              <w:jc w:val="both"/>
              <w:rPr>
                <w:rFonts w:eastAsia="宋体"/>
                <w:b/>
                <w:bCs/>
                <w:color w:val="FF0000"/>
                <w:kern w:val="2"/>
                <w:sz w:val="21"/>
                <w:lang w:eastAsia="zh-CN"/>
              </w:rPr>
            </w:pPr>
            <w:r>
              <w:rPr>
                <w:rFonts w:hint="eastAsia" w:eastAsia="宋体"/>
                <w:kern w:val="2"/>
                <w:sz w:val="21"/>
                <w:lang w:eastAsia="zh-CN"/>
              </w:rPr>
              <w:t>1.2 材质要求：</w:t>
            </w:r>
            <w:r>
              <w:rPr>
                <w:rFonts w:hint="eastAsia" w:eastAsia="宋体"/>
                <w:kern w:val="2"/>
                <w:sz w:val="21"/>
                <w:lang w:eastAsia="zh-CN"/>
              </w:rPr>
              <w:br w:type="textWrapping"/>
            </w:r>
            <w:r>
              <w:rPr>
                <w:rFonts w:hint="eastAsia" w:eastAsia="宋体"/>
                <w:kern w:val="2"/>
                <w:sz w:val="21"/>
                <w:lang w:eastAsia="zh-CN"/>
              </w:rPr>
              <w:t>采用白蜡木实木制作，纹理颜色均匀，节子直径≤12mm，主视面总共不超过3个节子。木制件外观、含水率需符合：GB/T 3324-</w:t>
            </w:r>
            <w:r>
              <w:rPr>
                <w:rFonts w:eastAsia="宋体"/>
                <w:kern w:val="2"/>
                <w:sz w:val="21"/>
                <w:lang w:eastAsia="zh-CN"/>
              </w:rPr>
              <w:t>2024</w:t>
            </w:r>
            <w:r>
              <w:rPr>
                <w:rFonts w:hint="eastAsia" w:eastAsia="宋体"/>
                <w:kern w:val="2"/>
                <w:sz w:val="21"/>
                <w:lang w:eastAsia="zh-CN"/>
              </w:rPr>
              <w:t>《木家具通用技术条件》，白蜡木或白蜡树鉴定结果需符合 GB/T 18513-2022《中国主要进口木材名称》(或 GB/T 16734-1997《中国主要木材名称》)。</w:t>
            </w:r>
          </w:p>
        </w:tc>
        <w:tc>
          <w:tcPr>
            <w:tcW w:w="1947" w:type="dxa"/>
            <w:vMerge w:val="continue"/>
          </w:tcPr>
          <w:p w14:paraId="1DDF8AF2">
            <w:pPr>
              <w:widowControl w:val="0"/>
              <w:jc w:val="both"/>
              <w:rPr>
                <w:rFonts w:eastAsia="宋体"/>
                <w:kern w:val="2"/>
                <w:sz w:val="21"/>
                <w:lang w:eastAsia="zh-CN"/>
              </w:rPr>
            </w:pPr>
          </w:p>
        </w:tc>
      </w:tr>
      <w:tr w14:paraId="0D58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06AF9080">
            <w:pPr>
              <w:widowControl w:val="0"/>
              <w:jc w:val="both"/>
              <w:rPr>
                <w:rFonts w:eastAsia="宋体"/>
                <w:kern w:val="2"/>
                <w:sz w:val="21"/>
                <w:lang w:eastAsia="zh-CN"/>
              </w:rPr>
            </w:pPr>
          </w:p>
        </w:tc>
        <w:tc>
          <w:tcPr>
            <w:tcW w:w="1222" w:type="dxa"/>
            <w:vMerge w:val="continue"/>
            <w:vAlign w:val="center"/>
          </w:tcPr>
          <w:p w14:paraId="4310683F">
            <w:pPr>
              <w:widowControl w:val="0"/>
              <w:jc w:val="both"/>
              <w:rPr>
                <w:rFonts w:eastAsia="宋体"/>
                <w:kern w:val="2"/>
                <w:sz w:val="21"/>
                <w:lang w:eastAsia="zh-CN"/>
              </w:rPr>
            </w:pPr>
          </w:p>
        </w:tc>
        <w:tc>
          <w:tcPr>
            <w:tcW w:w="6014" w:type="dxa"/>
            <w:vAlign w:val="center"/>
          </w:tcPr>
          <w:p w14:paraId="1CE9718C">
            <w:pPr>
              <w:widowControl w:val="0"/>
              <w:jc w:val="both"/>
              <w:rPr>
                <w:rFonts w:eastAsia="宋体"/>
                <w:b/>
                <w:bCs/>
                <w:color w:val="FF0000"/>
                <w:kern w:val="2"/>
                <w:sz w:val="21"/>
                <w:lang w:eastAsia="zh-CN"/>
              </w:rPr>
            </w:pPr>
            <w:r>
              <w:rPr>
                <w:rFonts w:hint="eastAsia" w:eastAsia="宋体"/>
                <w:b/>
                <w:bCs/>
                <w:color w:val="FF0000"/>
                <w:kern w:val="2"/>
                <w:sz w:val="21"/>
                <w:lang w:eastAsia="zh-CN"/>
              </w:rPr>
              <w:t>▲1.3 提供符合以下要求的“</w:t>
            </w:r>
            <w:bookmarkStart w:id="37" w:name="_Hlk207887826"/>
            <w:r>
              <w:rPr>
                <w:rFonts w:hint="eastAsia" w:eastAsia="宋体"/>
                <w:b/>
                <w:bCs/>
                <w:color w:val="FF0000"/>
                <w:kern w:val="2"/>
                <w:sz w:val="21"/>
                <w:lang w:eastAsia="zh-CN"/>
              </w:rPr>
              <w:t>实木</w:t>
            </w:r>
            <w:bookmarkEnd w:id="37"/>
            <w:r>
              <w:rPr>
                <w:rFonts w:hint="eastAsia" w:eastAsia="宋体"/>
                <w:b/>
                <w:bCs/>
                <w:color w:val="FF0000"/>
                <w:kern w:val="2"/>
                <w:sz w:val="21"/>
                <w:lang w:eastAsia="zh-CN"/>
              </w:rPr>
              <w:t>”检测报告：</w:t>
            </w:r>
            <w:r>
              <w:rPr>
                <w:rFonts w:hint="eastAsia" w:eastAsia="宋体"/>
                <w:b/>
                <w:bCs/>
                <w:color w:val="FF0000"/>
                <w:kern w:val="2"/>
                <w:sz w:val="21"/>
                <w:lang w:eastAsia="zh-CN"/>
              </w:rPr>
              <w:br w:type="textWrapping"/>
            </w:r>
            <w:r>
              <w:rPr>
                <w:rFonts w:hint="eastAsia" w:eastAsia="宋体"/>
                <w:b/>
                <w:bCs/>
                <w:color w:val="FF0000"/>
                <w:kern w:val="2"/>
                <w:sz w:val="21"/>
                <w:lang w:eastAsia="zh-CN"/>
              </w:rPr>
              <w:t>(1)提供2023年1月1日至本项目投标截止之日前，第三方检测机构出具的具有 CMA标识的合格的检测报告（若相关检测项目不在实施该项检验（检测）的第三方检测机构的 CMA资质许可范围内的，该检测报告视为不满足招标文件要求，作负偏离处理）。</w:t>
            </w:r>
          </w:p>
          <w:p w14:paraId="2773577A">
            <w:pPr>
              <w:widowControl w:val="0"/>
              <w:jc w:val="both"/>
              <w:rPr>
                <w:rFonts w:eastAsia="宋体"/>
                <w:b/>
                <w:bCs/>
                <w:color w:val="FF0000"/>
                <w:kern w:val="2"/>
                <w:sz w:val="21"/>
                <w:lang w:eastAsia="zh-CN"/>
              </w:rPr>
            </w:pPr>
            <w:r>
              <w:rPr>
                <w:rFonts w:hint="eastAsia" w:eastAsia="宋体"/>
                <w:b/>
                <w:bCs/>
                <w:color w:val="FF0000"/>
                <w:kern w:val="2"/>
                <w:sz w:val="21"/>
                <w:lang w:eastAsia="zh-CN"/>
              </w:rPr>
              <w:t>(2)检验（检测）报告送检单位（委托单位）须是投标人或所投产品制造商（须与分项报价表一致）或所投产品原材料供应商。若送检单位（委托单位）是所投产品原材料供应商，须同时提供投标人或所投产品制造商（须与分项报价表一致）购买对应原材料的发票扫描件（开票日期在投标截止日前）。</w:t>
            </w:r>
          </w:p>
          <w:p w14:paraId="0A187B85">
            <w:pPr>
              <w:widowControl w:val="0"/>
              <w:jc w:val="both"/>
              <w:rPr>
                <w:rFonts w:eastAsia="宋体"/>
                <w:b/>
                <w:bCs/>
                <w:color w:val="FF0000"/>
                <w:kern w:val="2"/>
                <w:sz w:val="21"/>
                <w:lang w:eastAsia="zh-CN"/>
              </w:rPr>
            </w:pPr>
            <w:r>
              <w:rPr>
                <w:rFonts w:hint="eastAsia" w:eastAsia="宋体"/>
                <w:b/>
                <w:bCs/>
                <w:color w:val="FF0000"/>
                <w:kern w:val="2"/>
                <w:sz w:val="21"/>
                <w:lang w:eastAsia="zh-CN"/>
              </w:rPr>
              <w:t>(3)检测报告中“检测产品名称”与招标文件要求的名称不完全一致的，需提供为同种产品的说明，由评审委员会判定是否符合招标文件要求。若名称不完全一致又未提供说明的，判定为不符合招标文件要求。</w:t>
            </w:r>
          </w:p>
          <w:p w14:paraId="6D42A943">
            <w:pPr>
              <w:widowControl w:val="0"/>
              <w:jc w:val="both"/>
              <w:rPr>
                <w:rFonts w:eastAsia="宋体"/>
                <w:b/>
                <w:bCs/>
                <w:color w:val="FF0000"/>
                <w:kern w:val="2"/>
                <w:sz w:val="21"/>
                <w:lang w:eastAsia="zh-CN"/>
              </w:rPr>
            </w:pPr>
            <w:r>
              <w:rPr>
                <w:rFonts w:hint="eastAsia" w:eastAsia="宋体"/>
                <w:b/>
                <w:bCs/>
                <w:color w:val="FF0000"/>
                <w:kern w:val="2"/>
                <w:sz w:val="21"/>
                <w:lang w:eastAsia="zh-CN"/>
              </w:rPr>
              <w:t>(4)检测报告需满足以下检测依据和检测内容及要求：</w:t>
            </w:r>
          </w:p>
          <w:p w14:paraId="08004E90">
            <w:pPr>
              <w:widowControl w:val="0"/>
              <w:jc w:val="both"/>
              <w:rPr>
                <w:rFonts w:eastAsia="宋体"/>
                <w:b/>
                <w:bCs/>
                <w:color w:val="FF0000"/>
                <w:kern w:val="2"/>
                <w:sz w:val="21"/>
                <w:lang w:eastAsia="zh-CN"/>
              </w:rPr>
            </w:pPr>
            <w:r>
              <w:rPr>
                <w:rFonts w:hint="eastAsia" w:eastAsia="宋体"/>
                <w:b/>
                <w:bCs/>
                <w:color w:val="FF0000"/>
                <w:kern w:val="2"/>
                <w:sz w:val="21"/>
                <w:lang w:eastAsia="zh-CN"/>
              </w:rPr>
              <w:t>检测依据：GB/T 3324-2024《木家具通用技术条件》或 GB/T 18513-2022《中国主要进口木材名称》(或 GB/T 16734-1997《中国主要木材名称》)。</w:t>
            </w:r>
          </w:p>
          <w:p w14:paraId="4803E5F7">
            <w:pPr>
              <w:widowControl w:val="0"/>
              <w:jc w:val="both"/>
              <w:rPr>
                <w:rFonts w:eastAsia="宋体"/>
                <w:kern w:val="2"/>
                <w:sz w:val="21"/>
                <w:lang w:eastAsia="zh-CN"/>
              </w:rPr>
            </w:pPr>
            <w:r>
              <w:rPr>
                <w:rFonts w:hint="eastAsia" w:eastAsia="宋体"/>
                <w:b/>
                <w:bCs/>
                <w:color w:val="FF0000"/>
                <w:kern w:val="2"/>
                <w:sz w:val="21"/>
                <w:lang w:eastAsia="zh-CN"/>
              </w:rPr>
              <w:t>检测内容及要求：木材含水率检测结果符合GB/T 3324-2024标准要求；木材名称为白蜡木。</w:t>
            </w:r>
          </w:p>
        </w:tc>
        <w:tc>
          <w:tcPr>
            <w:tcW w:w="1947" w:type="dxa"/>
            <w:vMerge w:val="continue"/>
          </w:tcPr>
          <w:p w14:paraId="22A404A0">
            <w:pPr>
              <w:widowControl w:val="0"/>
              <w:jc w:val="both"/>
              <w:rPr>
                <w:rFonts w:eastAsia="宋体"/>
                <w:kern w:val="2"/>
                <w:sz w:val="21"/>
                <w:lang w:eastAsia="zh-CN"/>
              </w:rPr>
            </w:pPr>
          </w:p>
        </w:tc>
      </w:tr>
      <w:tr w14:paraId="509A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553EF320">
            <w:pPr>
              <w:widowControl w:val="0"/>
              <w:jc w:val="both"/>
              <w:rPr>
                <w:rFonts w:eastAsia="宋体"/>
                <w:kern w:val="2"/>
                <w:sz w:val="21"/>
                <w:lang w:eastAsia="zh-CN"/>
              </w:rPr>
            </w:pPr>
          </w:p>
        </w:tc>
        <w:tc>
          <w:tcPr>
            <w:tcW w:w="1222" w:type="dxa"/>
            <w:vMerge w:val="continue"/>
            <w:vAlign w:val="center"/>
          </w:tcPr>
          <w:p w14:paraId="50654584">
            <w:pPr>
              <w:widowControl w:val="0"/>
              <w:jc w:val="both"/>
              <w:rPr>
                <w:rFonts w:eastAsia="宋体"/>
                <w:kern w:val="2"/>
                <w:sz w:val="21"/>
                <w:lang w:eastAsia="zh-CN"/>
              </w:rPr>
            </w:pPr>
          </w:p>
        </w:tc>
        <w:tc>
          <w:tcPr>
            <w:tcW w:w="6014" w:type="dxa"/>
            <w:vAlign w:val="center"/>
          </w:tcPr>
          <w:p w14:paraId="69B171DC">
            <w:pPr>
              <w:widowControl w:val="0"/>
              <w:jc w:val="both"/>
              <w:rPr>
                <w:rFonts w:eastAsia="宋体"/>
                <w:kern w:val="2"/>
                <w:sz w:val="21"/>
                <w:lang w:eastAsia="zh-CN"/>
              </w:rPr>
            </w:pPr>
            <w:r>
              <w:rPr>
                <w:rFonts w:hint="eastAsia" w:eastAsia="宋体"/>
                <w:kern w:val="2"/>
                <w:sz w:val="21"/>
                <w:lang w:eastAsia="zh-CN"/>
              </w:rPr>
              <w:t>1.4 床立柱：65mm*90mm（尺寸偏差±2mm）白蜡木实心木方，长度不可拼接，宽度（或厚度）采用不超过两根实木拼接而成。不可贴皮，不可指接。木材充分烘干，保证含水率符合 GB/T 3324-20</w:t>
            </w:r>
            <w:r>
              <w:rPr>
                <w:rFonts w:eastAsia="宋体"/>
                <w:kern w:val="2"/>
                <w:sz w:val="21"/>
                <w:lang w:eastAsia="zh-CN"/>
              </w:rPr>
              <w:t>24</w:t>
            </w:r>
            <w:r>
              <w:rPr>
                <w:rFonts w:hint="eastAsia" w:eastAsia="宋体"/>
                <w:kern w:val="2"/>
                <w:sz w:val="21"/>
                <w:lang w:eastAsia="zh-CN"/>
              </w:rPr>
              <w:t xml:space="preserve"> 标准要求。</w:t>
            </w:r>
          </w:p>
        </w:tc>
        <w:tc>
          <w:tcPr>
            <w:tcW w:w="1947" w:type="dxa"/>
            <w:vMerge w:val="continue"/>
          </w:tcPr>
          <w:p w14:paraId="1DBE50A1">
            <w:pPr>
              <w:widowControl w:val="0"/>
              <w:jc w:val="both"/>
              <w:rPr>
                <w:rFonts w:eastAsia="宋体"/>
                <w:kern w:val="2"/>
                <w:sz w:val="21"/>
                <w:lang w:eastAsia="zh-CN"/>
              </w:rPr>
            </w:pPr>
          </w:p>
        </w:tc>
      </w:tr>
      <w:tr w14:paraId="38F87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3012C90E">
            <w:pPr>
              <w:widowControl w:val="0"/>
              <w:jc w:val="both"/>
              <w:rPr>
                <w:rFonts w:eastAsia="宋体"/>
                <w:kern w:val="2"/>
                <w:sz w:val="21"/>
                <w:lang w:eastAsia="zh-CN"/>
              </w:rPr>
            </w:pPr>
          </w:p>
        </w:tc>
        <w:tc>
          <w:tcPr>
            <w:tcW w:w="1222" w:type="dxa"/>
            <w:vMerge w:val="continue"/>
            <w:vAlign w:val="center"/>
          </w:tcPr>
          <w:p w14:paraId="7FDDC26E">
            <w:pPr>
              <w:widowControl w:val="0"/>
              <w:jc w:val="both"/>
              <w:rPr>
                <w:rFonts w:eastAsia="宋体"/>
                <w:kern w:val="2"/>
                <w:sz w:val="21"/>
                <w:lang w:eastAsia="zh-CN"/>
              </w:rPr>
            </w:pPr>
          </w:p>
        </w:tc>
        <w:tc>
          <w:tcPr>
            <w:tcW w:w="6014" w:type="dxa"/>
            <w:vAlign w:val="center"/>
          </w:tcPr>
          <w:p w14:paraId="7385E4DF">
            <w:pPr>
              <w:widowControl w:val="0"/>
              <w:jc w:val="both"/>
              <w:rPr>
                <w:rFonts w:eastAsia="宋体"/>
                <w:kern w:val="2"/>
                <w:sz w:val="21"/>
                <w:lang w:eastAsia="zh-CN"/>
              </w:rPr>
            </w:pPr>
            <w:r>
              <w:rPr>
                <w:rFonts w:hint="eastAsia" w:eastAsia="宋体"/>
                <w:kern w:val="2"/>
                <w:sz w:val="21"/>
                <w:lang w:eastAsia="zh-CN"/>
              </w:rPr>
              <w:t>1.5 床横梁：前后长横梁48mm*120mm（尺寸偏差±2mm）白蜡木实心木方，短横梁32mm*120mm（尺寸偏差±2mm）白蜡木实心木方，靠近楼梯柜侧中间增加一根短横梁，≥ 30mm*90mm（尺寸偏差±2mm）实心木方，方便上楼梯时抓握。横梁木方长度不可拼接，宽度（或厚度）采用不超过两根实木拼接而成。不可贴皮，不可指接。木材充分烘干，保证含水率符合 GB/T 3324-20</w:t>
            </w:r>
            <w:r>
              <w:rPr>
                <w:rFonts w:eastAsia="宋体"/>
                <w:kern w:val="2"/>
                <w:sz w:val="21"/>
                <w:lang w:eastAsia="zh-CN"/>
              </w:rPr>
              <w:t>24</w:t>
            </w:r>
            <w:r>
              <w:rPr>
                <w:rFonts w:hint="eastAsia" w:eastAsia="宋体"/>
                <w:kern w:val="2"/>
                <w:sz w:val="21"/>
                <w:lang w:eastAsia="zh-CN"/>
              </w:rPr>
              <w:t xml:space="preserve"> 标准要求。</w:t>
            </w:r>
            <w:r>
              <w:rPr>
                <w:rFonts w:hint="eastAsia" w:eastAsia="宋体"/>
                <w:kern w:val="2"/>
                <w:sz w:val="21"/>
                <w:lang w:eastAsia="zh-CN"/>
              </w:rPr>
              <w:br w:type="textWrapping"/>
            </w:r>
            <w:r>
              <w:rPr>
                <w:rFonts w:hint="eastAsia" w:eastAsia="宋体"/>
                <w:kern w:val="2"/>
                <w:sz w:val="21"/>
                <w:lang w:eastAsia="zh-CN"/>
              </w:rPr>
              <w:t>下横梁：30mm*90mm（尺寸偏差±2mm）白蜡木实心木方，床前、后护栏：32mm*60mm（尺寸偏差±2mm）白蜡木实心木方，床头护栏：32mm*60mm（尺寸偏差±2mm）白蜡木实心木方，均采用一块实木制作。所有护栏采用栅栏结构。竖条宽 40mm*25mm（尺寸偏差±2mm）。安全护栏高度≥380mm。护栏警示线采用锣槽工艺，且有警示标识。护栏有床褥永久警示线（床褥的最大厚度应在床的相应位置标上永久性警示线，显示床褥上表面的最大高度，永久性警示线到安全栏板的顶边距离：≥200mm）。</w:t>
            </w:r>
          </w:p>
        </w:tc>
        <w:tc>
          <w:tcPr>
            <w:tcW w:w="1947" w:type="dxa"/>
            <w:vMerge w:val="continue"/>
          </w:tcPr>
          <w:p w14:paraId="69E63971">
            <w:pPr>
              <w:widowControl w:val="0"/>
              <w:jc w:val="both"/>
              <w:rPr>
                <w:rFonts w:eastAsia="宋体"/>
                <w:kern w:val="2"/>
                <w:sz w:val="21"/>
                <w:lang w:eastAsia="zh-CN"/>
              </w:rPr>
            </w:pPr>
          </w:p>
        </w:tc>
      </w:tr>
      <w:tr w14:paraId="36A70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Merge w:val="continue"/>
            <w:vAlign w:val="center"/>
          </w:tcPr>
          <w:p w14:paraId="5CD04211">
            <w:pPr>
              <w:widowControl w:val="0"/>
              <w:jc w:val="both"/>
              <w:rPr>
                <w:rFonts w:eastAsia="宋体"/>
                <w:kern w:val="2"/>
                <w:sz w:val="21"/>
                <w:lang w:eastAsia="zh-CN"/>
              </w:rPr>
            </w:pPr>
          </w:p>
        </w:tc>
        <w:tc>
          <w:tcPr>
            <w:tcW w:w="1222" w:type="dxa"/>
            <w:vMerge w:val="continue"/>
            <w:vAlign w:val="center"/>
          </w:tcPr>
          <w:p w14:paraId="5EDDC796">
            <w:pPr>
              <w:widowControl w:val="0"/>
              <w:jc w:val="both"/>
              <w:rPr>
                <w:rFonts w:eastAsia="宋体"/>
                <w:kern w:val="2"/>
                <w:sz w:val="21"/>
                <w:lang w:eastAsia="zh-CN"/>
              </w:rPr>
            </w:pPr>
          </w:p>
        </w:tc>
        <w:tc>
          <w:tcPr>
            <w:tcW w:w="6014" w:type="dxa"/>
            <w:vAlign w:val="center"/>
          </w:tcPr>
          <w:p w14:paraId="2695E99B">
            <w:pPr>
              <w:widowControl w:val="0"/>
              <w:jc w:val="both"/>
              <w:rPr>
                <w:rFonts w:eastAsia="宋体"/>
                <w:kern w:val="2"/>
                <w:sz w:val="21"/>
                <w:lang w:eastAsia="zh-CN"/>
              </w:rPr>
            </w:pPr>
            <w:r>
              <w:rPr>
                <w:rFonts w:hint="eastAsia" w:eastAsia="宋体"/>
                <w:kern w:val="2"/>
                <w:sz w:val="21"/>
                <w:lang w:eastAsia="zh-CN"/>
              </w:rPr>
              <w:t>1.6 床板支撑架：采用≥5根40mm*55mm（尺寸偏差±2mm）白蜡木实心木方，首尾两根支撑杆中心线离横梁≤150mm，固定部位用白蜡木燕尾榫结构，不可拼接，燕尾榫规格≥130mm*75mm*30mm（尺寸偏差±2mm）。可拆卸，安装方便。</w:t>
            </w:r>
          </w:p>
        </w:tc>
        <w:tc>
          <w:tcPr>
            <w:tcW w:w="1947" w:type="dxa"/>
            <w:vMerge w:val="continue"/>
          </w:tcPr>
          <w:p w14:paraId="67897BB3">
            <w:pPr>
              <w:widowControl w:val="0"/>
              <w:jc w:val="both"/>
              <w:rPr>
                <w:rFonts w:eastAsia="宋体"/>
                <w:kern w:val="2"/>
                <w:sz w:val="21"/>
                <w:lang w:eastAsia="zh-CN"/>
              </w:rPr>
            </w:pPr>
          </w:p>
        </w:tc>
      </w:tr>
      <w:tr w14:paraId="6B45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3B6627C1">
            <w:pPr>
              <w:widowControl w:val="0"/>
              <w:jc w:val="both"/>
              <w:rPr>
                <w:rFonts w:eastAsia="宋体"/>
                <w:kern w:val="2"/>
                <w:sz w:val="21"/>
                <w:lang w:eastAsia="zh-CN"/>
              </w:rPr>
            </w:pPr>
          </w:p>
        </w:tc>
        <w:tc>
          <w:tcPr>
            <w:tcW w:w="1222" w:type="dxa"/>
            <w:vMerge w:val="continue"/>
            <w:vAlign w:val="center"/>
          </w:tcPr>
          <w:p w14:paraId="784AE126">
            <w:pPr>
              <w:widowControl w:val="0"/>
              <w:jc w:val="both"/>
              <w:rPr>
                <w:rFonts w:eastAsia="宋体"/>
                <w:kern w:val="2"/>
                <w:sz w:val="21"/>
                <w:lang w:eastAsia="zh-CN"/>
              </w:rPr>
            </w:pPr>
          </w:p>
        </w:tc>
        <w:tc>
          <w:tcPr>
            <w:tcW w:w="6014" w:type="dxa"/>
            <w:vAlign w:val="center"/>
          </w:tcPr>
          <w:p w14:paraId="039C18F3">
            <w:pPr>
              <w:widowControl w:val="0"/>
              <w:jc w:val="both"/>
              <w:rPr>
                <w:rFonts w:eastAsia="宋体"/>
                <w:kern w:val="2"/>
                <w:sz w:val="21"/>
                <w:lang w:eastAsia="zh-CN"/>
              </w:rPr>
            </w:pPr>
            <w:r>
              <w:rPr>
                <w:rFonts w:hint="eastAsia" w:eastAsia="宋体"/>
                <w:kern w:val="2"/>
                <w:sz w:val="21"/>
                <w:lang w:eastAsia="zh-CN"/>
              </w:rPr>
              <w:t>1.7 工艺结构：整体床架采用白蜡木实木制作，采用环保水性漆，水性漆挥发性有机化合物(VOC)含量≤180g/L，甲醛含量（乙酰丙酮法）≤100mg/kg，苯、甲苯、乙苯和二甲苯的含量总和≤100mg/kg，乙二醇醚（乙二醇丁醚、乙二醇己醚、乙二醇苯醚、二乙二醇丁醚）含量总和≤4%，乙二醇醚酯（乙二醇丁醚醋酸酯、二乙二醇丁醚醋酸酯）含量总和≤ 1%，N 甲基吡咯烷酮（NMP）含量≤0.1%，N,N-二甲基甲酰胺（DMF）含量≤0.1%。重金属元素含量：铅（Pb）≤20mg/kg、镉（Cd）≤20mg/kg、六价铬（</w:t>
            </w:r>
            <w:r>
              <w:rPr>
                <w:rFonts w:hint="eastAsia" w:ascii="仿宋" w:hAnsi="仿宋" w:eastAsia="仿宋"/>
                <w:color w:val="000000"/>
                <w:kern w:val="2"/>
                <w:sz w:val="22"/>
                <w:lang w:eastAsia="zh-CN"/>
              </w:rPr>
              <w:t>Cr</w:t>
            </w:r>
            <w:r>
              <w:rPr>
                <w:rFonts w:ascii="仿宋" w:hAnsi="仿宋" w:eastAsia="仿宋"/>
                <w:color w:val="000000"/>
                <w:kern w:val="2"/>
                <w:sz w:val="22"/>
                <w:vertAlign w:val="superscript"/>
                <w:lang w:eastAsia="zh-CN"/>
              </w:rPr>
              <w:t>6+</w:t>
            </w:r>
            <w:r>
              <w:rPr>
                <w:rFonts w:hint="eastAsia" w:eastAsia="宋体"/>
                <w:kern w:val="2"/>
                <w:sz w:val="21"/>
                <w:lang w:eastAsia="zh-CN"/>
              </w:rPr>
              <w:t>）≤20mg/kg、汞（Hg）≤20mg/kg、砷（As）≤20mg/kg、钡（Ba）≤100mg/kg、硒（Se）≤20mg/kg、锑（Sb）≤20mg/kg、钴（Co）≤20mg/kg，需符合 GB/T 35602-2017《绿色产品评价涂料》， 半开放/封闭漆工艺，涂膜外观应符合相关标准要求。整体床架为木制方形结构，四周（立柱及横梁）做 R5 圆角安全处理，防止碰撞。整床连接方式采用榫卯结构加螺栓连接双重固定，长横梁与支撑架连接处实木工艺做燕尾榫结构，整体完整吻合，外观平整。螺钉孔贴防潮防水装饰盖。床立柱顶面预留蚊帐架安装孔位，如无需安装蚊帐架需用塑料盖板密封。可根据采购人需求采用雕刻机在床横梁处精雕刻单位名字及 logo。</w:t>
            </w:r>
          </w:p>
        </w:tc>
        <w:tc>
          <w:tcPr>
            <w:tcW w:w="1947" w:type="dxa"/>
            <w:vMerge w:val="continue"/>
          </w:tcPr>
          <w:p w14:paraId="4C94AFB4">
            <w:pPr>
              <w:widowControl w:val="0"/>
              <w:jc w:val="both"/>
              <w:rPr>
                <w:rFonts w:eastAsia="宋体"/>
                <w:kern w:val="2"/>
                <w:sz w:val="21"/>
                <w:lang w:eastAsia="zh-CN"/>
              </w:rPr>
            </w:pPr>
          </w:p>
        </w:tc>
      </w:tr>
      <w:tr w14:paraId="4F247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244AC001">
            <w:pPr>
              <w:widowControl w:val="0"/>
              <w:jc w:val="both"/>
              <w:rPr>
                <w:rFonts w:eastAsia="宋体"/>
                <w:kern w:val="2"/>
                <w:sz w:val="21"/>
                <w:lang w:eastAsia="zh-CN"/>
              </w:rPr>
            </w:pPr>
          </w:p>
        </w:tc>
        <w:tc>
          <w:tcPr>
            <w:tcW w:w="1222" w:type="dxa"/>
            <w:vMerge w:val="continue"/>
            <w:vAlign w:val="center"/>
          </w:tcPr>
          <w:p w14:paraId="330F99BD">
            <w:pPr>
              <w:widowControl w:val="0"/>
              <w:jc w:val="both"/>
              <w:rPr>
                <w:rFonts w:eastAsia="宋体"/>
                <w:kern w:val="2"/>
                <w:sz w:val="21"/>
                <w:lang w:eastAsia="zh-CN"/>
              </w:rPr>
            </w:pPr>
          </w:p>
        </w:tc>
        <w:tc>
          <w:tcPr>
            <w:tcW w:w="6014" w:type="dxa"/>
            <w:vAlign w:val="center"/>
          </w:tcPr>
          <w:p w14:paraId="46F00218">
            <w:pPr>
              <w:widowControl w:val="0"/>
              <w:jc w:val="both"/>
              <w:rPr>
                <w:rFonts w:eastAsia="宋体"/>
                <w:kern w:val="2"/>
                <w:sz w:val="21"/>
                <w:lang w:eastAsia="zh-CN"/>
              </w:rPr>
            </w:pPr>
            <w:r>
              <w:rPr>
                <w:rFonts w:hint="eastAsia" w:eastAsia="宋体"/>
                <w:kern w:val="2"/>
                <w:sz w:val="21"/>
                <w:lang w:eastAsia="zh-CN"/>
              </w:rPr>
              <w:t>1.8 床板规格（mm）：具体尺寸根据床架制作。</w:t>
            </w:r>
          </w:p>
        </w:tc>
        <w:tc>
          <w:tcPr>
            <w:tcW w:w="1947" w:type="dxa"/>
            <w:vMerge w:val="continue"/>
          </w:tcPr>
          <w:p w14:paraId="39F40B5D">
            <w:pPr>
              <w:widowControl w:val="0"/>
              <w:jc w:val="both"/>
              <w:rPr>
                <w:rFonts w:eastAsia="宋体"/>
                <w:kern w:val="2"/>
                <w:sz w:val="21"/>
                <w:lang w:eastAsia="zh-CN"/>
              </w:rPr>
            </w:pPr>
          </w:p>
        </w:tc>
      </w:tr>
      <w:tr w14:paraId="306E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181483E4">
            <w:pPr>
              <w:widowControl w:val="0"/>
              <w:jc w:val="both"/>
              <w:rPr>
                <w:rFonts w:eastAsia="宋体"/>
                <w:kern w:val="2"/>
                <w:sz w:val="21"/>
                <w:lang w:eastAsia="zh-CN"/>
              </w:rPr>
            </w:pPr>
          </w:p>
        </w:tc>
        <w:tc>
          <w:tcPr>
            <w:tcW w:w="1222" w:type="dxa"/>
            <w:vMerge w:val="continue"/>
            <w:vAlign w:val="center"/>
          </w:tcPr>
          <w:p w14:paraId="62C2837B">
            <w:pPr>
              <w:widowControl w:val="0"/>
              <w:jc w:val="both"/>
              <w:rPr>
                <w:rFonts w:eastAsia="宋体"/>
                <w:kern w:val="2"/>
                <w:sz w:val="21"/>
                <w:lang w:eastAsia="zh-CN"/>
              </w:rPr>
            </w:pPr>
          </w:p>
        </w:tc>
        <w:tc>
          <w:tcPr>
            <w:tcW w:w="6014" w:type="dxa"/>
            <w:vAlign w:val="center"/>
          </w:tcPr>
          <w:p w14:paraId="0C7CC290">
            <w:pPr>
              <w:widowControl w:val="0"/>
              <w:jc w:val="both"/>
              <w:rPr>
                <w:rFonts w:eastAsia="宋体"/>
                <w:kern w:val="2"/>
                <w:sz w:val="21"/>
                <w:lang w:eastAsia="zh-CN"/>
              </w:rPr>
            </w:pPr>
            <w:r>
              <w:rPr>
                <w:rFonts w:hint="eastAsia" w:eastAsia="宋体"/>
                <w:kern w:val="2"/>
                <w:sz w:val="21"/>
                <w:lang w:eastAsia="zh-CN"/>
              </w:rPr>
              <w:t>1.9 床板材质：采用松木，多条松木实木板需固定成整块不分散，每条松木实木厚度为15mm，宽度≥75mm，每条松木块间留空隙，空隙间隔≤20mm。木板面平整，双面刨光，无虫眼，无豁边木皮，无朽木。床板底部设加强筋，尺寸≥75*15mm，数量≥3根，均匀分布。</w:t>
            </w:r>
          </w:p>
        </w:tc>
        <w:tc>
          <w:tcPr>
            <w:tcW w:w="1947" w:type="dxa"/>
            <w:vMerge w:val="continue"/>
          </w:tcPr>
          <w:p w14:paraId="63C3CD13">
            <w:pPr>
              <w:widowControl w:val="0"/>
              <w:jc w:val="both"/>
              <w:rPr>
                <w:rFonts w:eastAsia="宋体"/>
                <w:kern w:val="2"/>
                <w:sz w:val="21"/>
                <w:lang w:eastAsia="zh-CN"/>
              </w:rPr>
            </w:pPr>
          </w:p>
        </w:tc>
      </w:tr>
      <w:tr w14:paraId="79B5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7D5FB926">
            <w:pPr>
              <w:widowControl w:val="0"/>
              <w:jc w:val="both"/>
              <w:rPr>
                <w:rFonts w:eastAsia="宋体"/>
                <w:kern w:val="2"/>
                <w:sz w:val="21"/>
                <w:lang w:eastAsia="zh-CN"/>
              </w:rPr>
            </w:pPr>
          </w:p>
        </w:tc>
        <w:tc>
          <w:tcPr>
            <w:tcW w:w="1222" w:type="dxa"/>
            <w:vMerge w:val="continue"/>
            <w:vAlign w:val="center"/>
          </w:tcPr>
          <w:p w14:paraId="1EE05D4F">
            <w:pPr>
              <w:widowControl w:val="0"/>
              <w:jc w:val="both"/>
              <w:rPr>
                <w:rFonts w:eastAsia="宋体"/>
                <w:kern w:val="2"/>
                <w:sz w:val="21"/>
                <w:lang w:eastAsia="zh-CN"/>
              </w:rPr>
            </w:pPr>
          </w:p>
        </w:tc>
        <w:tc>
          <w:tcPr>
            <w:tcW w:w="6014" w:type="dxa"/>
            <w:vAlign w:val="center"/>
          </w:tcPr>
          <w:p w14:paraId="71E57A7D">
            <w:pPr>
              <w:widowControl w:val="0"/>
              <w:jc w:val="both"/>
              <w:rPr>
                <w:rFonts w:eastAsia="宋体"/>
                <w:kern w:val="2"/>
                <w:sz w:val="21"/>
                <w:lang w:eastAsia="zh-CN"/>
              </w:rPr>
            </w:pPr>
            <w:r>
              <w:rPr>
                <w:rFonts w:hint="eastAsia" w:eastAsia="宋体"/>
                <w:kern w:val="2"/>
                <w:sz w:val="21"/>
                <w:lang w:eastAsia="zh-CN"/>
              </w:rPr>
              <w:t>1.10 床垫+床笠：床垫规格（mm）：具体尺寸根据床板制作。床垫材质：整体厚度 50mm。乳胶：采用天然乳胶，乳胶含量≥88%（厚度 30mm）；采用阻燃透气针织面料，垫套的甲醛含量≤75mg/kg，PH 值4.0~8.5，耐水≥3级、耐酸汗渍≥3级、耐碱汗渍≥3级、耐干摩擦≥3级，异味、可分解致癌芳香胺染料，N-亚硝基胺含量，重金属含量砷、镉、铬、铅、汞，水抽提蛋白质含量，苯乙烯释放量，总有机挥发物（TVOC）释放量，以上均需符合 HG∕T 5836-2021《乳胶垫》。床笠：材质为棉质，内部夹棉工艺，蓬松不板结。床笠面料耐水色牢度、耐酸汗渍色牢度、耐碱汗渍色牢度、耐干摩擦色牢度，PH 值需符合GB18401-2010《国家纺织产品基本安全技术规范》中B类要求。可水洗机洗（带标签）。立体绗缝设计。环保无异味。</w:t>
            </w:r>
          </w:p>
        </w:tc>
        <w:tc>
          <w:tcPr>
            <w:tcW w:w="1947" w:type="dxa"/>
            <w:vMerge w:val="continue"/>
          </w:tcPr>
          <w:p w14:paraId="0DD9FBA2">
            <w:pPr>
              <w:widowControl w:val="0"/>
              <w:jc w:val="both"/>
              <w:rPr>
                <w:rFonts w:eastAsia="宋体"/>
                <w:kern w:val="2"/>
                <w:sz w:val="21"/>
                <w:lang w:eastAsia="zh-CN"/>
              </w:rPr>
            </w:pPr>
          </w:p>
        </w:tc>
      </w:tr>
      <w:tr w14:paraId="487D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3E3D2856">
            <w:pPr>
              <w:widowControl w:val="0"/>
              <w:jc w:val="both"/>
              <w:rPr>
                <w:rFonts w:eastAsia="宋体"/>
                <w:kern w:val="2"/>
                <w:sz w:val="21"/>
                <w:lang w:eastAsia="zh-CN"/>
              </w:rPr>
            </w:pPr>
          </w:p>
        </w:tc>
        <w:tc>
          <w:tcPr>
            <w:tcW w:w="1222" w:type="dxa"/>
            <w:vMerge w:val="continue"/>
            <w:vAlign w:val="center"/>
          </w:tcPr>
          <w:p w14:paraId="7366B5C6">
            <w:pPr>
              <w:widowControl w:val="0"/>
              <w:jc w:val="both"/>
              <w:rPr>
                <w:rFonts w:eastAsia="宋体"/>
                <w:kern w:val="2"/>
                <w:sz w:val="21"/>
                <w:lang w:eastAsia="zh-CN"/>
              </w:rPr>
            </w:pPr>
          </w:p>
        </w:tc>
        <w:tc>
          <w:tcPr>
            <w:tcW w:w="6014" w:type="dxa"/>
            <w:vAlign w:val="center"/>
          </w:tcPr>
          <w:p w14:paraId="6B3EDBF9">
            <w:pPr>
              <w:widowControl w:val="0"/>
              <w:jc w:val="both"/>
              <w:rPr>
                <w:rFonts w:eastAsia="宋体"/>
                <w:kern w:val="2"/>
                <w:sz w:val="21"/>
                <w:lang w:eastAsia="zh-CN"/>
              </w:rPr>
            </w:pPr>
            <w:r>
              <w:rPr>
                <w:rFonts w:hint="eastAsia" w:eastAsia="宋体"/>
                <w:kern w:val="2"/>
                <w:sz w:val="21"/>
                <w:lang w:eastAsia="zh-CN"/>
              </w:rPr>
              <w:t>1.1</w:t>
            </w:r>
            <w:r>
              <w:rPr>
                <w:rFonts w:eastAsia="宋体"/>
                <w:kern w:val="2"/>
                <w:sz w:val="21"/>
                <w:lang w:eastAsia="zh-CN"/>
              </w:rPr>
              <w:t>1</w:t>
            </w:r>
            <w:r>
              <w:rPr>
                <w:rFonts w:hint="eastAsia" w:eastAsia="宋体"/>
                <w:kern w:val="2"/>
                <w:sz w:val="21"/>
                <w:lang w:eastAsia="zh-CN"/>
              </w:rPr>
              <w:t>颜色、款式：根据采购人需求制定。制作前深化结构图报采购人书面确认。</w:t>
            </w:r>
          </w:p>
        </w:tc>
        <w:tc>
          <w:tcPr>
            <w:tcW w:w="1947" w:type="dxa"/>
            <w:vMerge w:val="continue"/>
          </w:tcPr>
          <w:p w14:paraId="7B95BD5B">
            <w:pPr>
              <w:widowControl w:val="0"/>
              <w:jc w:val="both"/>
              <w:rPr>
                <w:rFonts w:eastAsia="宋体"/>
                <w:kern w:val="2"/>
                <w:sz w:val="21"/>
                <w:lang w:eastAsia="zh-CN"/>
              </w:rPr>
            </w:pPr>
          </w:p>
        </w:tc>
      </w:tr>
      <w:tr w14:paraId="13EF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Merge w:val="continue"/>
            <w:vAlign w:val="center"/>
          </w:tcPr>
          <w:p w14:paraId="19B122CC">
            <w:pPr>
              <w:widowControl w:val="0"/>
              <w:jc w:val="both"/>
              <w:rPr>
                <w:rFonts w:eastAsia="宋体"/>
                <w:kern w:val="2"/>
                <w:sz w:val="21"/>
                <w:lang w:eastAsia="zh-CN"/>
              </w:rPr>
            </w:pPr>
          </w:p>
        </w:tc>
        <w:tc>
          <w:tcPr>
            <w:tcW w:w="1222" w:type="dxa"/>
            <w:vMerge w:val="continue"/>
            <w:vAlign w:val="center"/>
          </w:tcPr>
          <w:p w14:paraId="7A1C911F">
            <w:pPr>
              <w:widowControl w:val="0"/>
              <w:jc w:val="both"/>
              <w:rPr>
                <w:rFonts w:eastAsia="宋体"/>
                <w:kern w:val="2"/>
                <w:sz w:val="21"/>
                <w:lang w:eastAsia="zh-CN"/>
              </w:rPr>
            </w:pPr>
          </w:p>
        </w:tc>
        <w:tc>
          <w:tcPr>
            <w:tcW w:w="6014" w:type="dxa"/>
            <w:vAlign w:val="center"/>
          </w:tcPr>
          <w:p w14:paraId="74ACBE08">
            <w:pPr>
              <w:widowControl w:val="0"/>
              <w:jc w:val="both"/>
              <w:rPr>
                <w:rFonts w:eastAsia="宋体"/>
                <w:kern w:val="2"/>
                <w:sz w:val="21"/>
                <w:lang w:eastAsia="zh-CN"/>
              </w:rPr>
            </w:pPr>
            <w:r>
              <w:rPr>
                <w:rFonts w:hint="eastAsia" w:eastAsia="宋体"/>
                <w:kern w:val="2"/>
                <w:sz w:val="21"/>
                <w:lang w:eastAsia="zh-CN"/>
              </w:rPr>
              <w:t>1.1</w:t>
            </w:r>
            <w:r>
              <w:rPr>
                <w:rFonts w:eastAsia="宋体"/>
                <w:kern w:val="2"/>
                <w:sz w:val="21"/>
                <w:lang w:eastAsia="zh-CN"/>
              </w:rPr>
              <w:t>2</w:t>
            </w:r>
            <w:r>
              <w:rPr>
                <w:rFonts w:hint="eastAsia" w:eastAsia="宋体"/>
                <w:kern w:val="2"/>
                <w:sz w:val="21"/>
                <w:lang w:eastAsia="zh-CN"/>
              </w:rPr>
              <w:t xml:space="preserve"> 成品：符合GB/T 3324-</w:t>
            </w:r>
            <w:r>
              <w:rPr>
                <w:rFonts w:eastAsia="宋体"/>
                <w:kern w:val="2"/>
                <w:sz w:val="21"/>
                <w:lang w:eastAsia="zh-CN"/>
              </w:rPr>
              <w:t>2024</w:t>
            </w:r>
            <w:r>
              <w:rPr>
                <w:rFonts w:hint="eastAsia" w:eastAsia="宋体"/>
                <w:kern w:val="2"/>
                <w:sz w:val="21"/>
                <w:lang w:eastAsia="zh-CN"/>
              </w:rPr>
              <w:t>《木家具通用技术条件》、QB/T 2741-2013《学生公寓多功能家具》，同时甲醛释放量、苯、甲苯、二甲苯、总挥发性有机化合物（TVOC）符合 GB/T35607-2024《绿色产品评价家具》标准的绿色产品要求。</w:t>
            </w:r>
          </w:p>
        </w:tc>
        <w:tc>
          <w:tcPr>
            <w:tcW w:w="1947" w:type="dxa"/>
            <w:vMerge w:val="continue"/>
          </w:tcPr>
          <w:p w14:paraId="1D2DEA6A">
            <w:pPr>
              <w:widowControl w:val="0"/>
              <w:jc w:val="both"/>
              <w:rPr>
                <w:rFonts w:eastAsia="宋体"/>
                <w:kern w:val="2"/>
                <w:sz w:val="21"/>
                <w:lang w:eastAsia="zh-CN"/>
              </w:rPr>
            </w:pPr>
          </w:p>
        </w:tc>
      </w:tr>
      <w:tr w14:paraId="5C6DE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restart"/>
            <w:vAlign w:val="center"/>
          </w:tcPr>
          <w:p w14:paraId="31DAAA59">
            <w:pPr>
              <w:widowControl w:val="0"/>
              <w:jc w:val="center"/>
              <w:rPr>
                <w:rFonts w:eastAsia="宋体"/>
                <w:kern w:val="2"/>
                <w:sz w:val="21"/>
                <w:lang w:eastAsia="zh-CN"/>
              </w:rPr>
            </w:pPr>
            <w:r>
              <w:rPr>
                <w:rFonts w:hint="eastAsia" w:eastAsia="宋体"/>
                <w:kern w:val="2"/>
                <w:sz w:val="21"/>
                <w:lang w:eastAsia="zh-CN"/>
              </w:rPr>
              <w:t>2</w:t>
            </w:r>
          </w:p>
        </w:tc>
        <w:tc>
          <w:tcPr>
            <w:tcW w:w="1222" w:type="dxa"/>
            <w:vMerge w:val="restart"/>
            <w:vAlign w:val="center"/>
          </w:tcPr>
          <w:p w14:paraId="5CD94EB3">
            <w:pPr>
              <w:widowControl w:val="0"/>
              <w:jc w:val="center"/>
              <w:rPr>
                <w:rFonts w:ascii="仿宋" w:hAnsi="仿宋" w:eastAsia="仿宋"/>
                <w:b/>
                <w:kern w:val="2"/>
                <w:sz w:val="21"/>
                <w:lang w:eastAsia="zh-CN"/>
              </w:rPr>
            </w:pPr>
            <w:r>
              <w:rPr>
                <w:rFonts w:hint="eastAsia" w:eastAsia="宋体"/>
                <w:kern w:val="2"/>
                <w:sz w:val="21"/>
                <w:lang w:eastAsia="zh-CN"/>
              </w:rPr>
              <w:t>楼梯柜</w:t>
            </w:r>
          </w:p>
        </w:tc>
        <w:tc>
          <w:tcPr>
            <w:tcW w:w="6014" w:type="dxa"/>
            <w:vAlign w:val="center"/>
          </w:tcPr>
          <w:p w14:paraId="04E83A38">
            <w:pPr>
              <w:widowControl w:val="0"/>
              <w:jc w:val="both"/>
              <w:rPr>
                <w:rFonts w:ascii="仿宋" w:hAnsi="仿宋" w:eastAsia="仿宋"/>
                <w:kern w:val="2"/>
                <w:sz w:val="21"/>
                <w:lang w:eastAsia="zh-CN"/>
              </w:rPr>
            </w:pPr>
            <w:r>
              <w:rPr>
                <w:rFonts w:hint="eastAsia" w:eastAsia="宋体"/>
                <w:kern w:val="2"/>
                <w:sz w:val="21"/>
                <w:lang w:eastAsia="zh-CN"/>
              </w:rPr>
              <w:t>2.1 参考规格（mm）：</w:t>
            </w:r>
            <w:r>
              <w:rPr>
                <w:rFonts w:hint="eastAsia" w:eastAsia="宋体"/>
                <w:kern w:val="2"/>
                <w:sz w:val="21"/>
                <w:lang w:eastAsia="zh-CN"/>
              </w:rPr>
              <w:br w:type="textWrapping"/>
            </w:r>
            <w:r>
              <w:rPr>
                <w:rFonts w:hint="eastAsia" w:eastAsia="宋体"/>
                <w:kern w:val="2"/>
                <w:sz w:val="21"/>
                <w:lang w:eastAsia="zh-CN"/>
              </w:rPr>
              <w:t>W600*D940*H1460（根据现场安装需求尺寸调整）</w:t>
            </w:r>
          </w:p>
        </w:tc>
        <w:tc>
          <w:tcPr>
            <w:tcW w:w="1947" w:type="dxa"/>
            <w:vMerge w:val="restart"/>
          </w:tcPr>
          <w:p w14:paraId="099A7500">
            <w:pPr>
              <w:widowControl w:val="0"/>
              <w:jc w:val="both"/>
              <w:rPr>
                <w:rFonts w:eastAsia="宋体"/>
                <w:kern w:val="2"/>
                <w:sz w:val="21"/>
                <w:lang w:eastAsia="zh-CN"/>
              </w:rPr>
            </w:pPr>
          </w:p>
          <w:p w14:paraId="098E8E2E">
            <w:pPr>
              <w:widowControl w:val="0"/>
              <w:jc w:val="both"/>
              <w:rPr>
                <w:rFonts w:eastAsia="宋体"/>
                <w:kern w:val="2"/>
                <w:sz w:val="21"/>
                <w:lang w:eastAsia="zh-CN"/>
              </w:rPr>
            </w:pPr>
          </w:p>
          <w:p w14:paraId="1DBD0953">
            <w:pPr>
              <w:widowControl w:val="0"/>
              <w:jc w:val="both"/>
              <w:rPr>
                <w:rFonts w:eastAsia="宋体"/>
                <w:color w:val="000000"/>
                <w:kern w:val="2"/>
                <w:sz w:val="22"/>
                <w:lang w:eastAsia="zh-CN"/>
              </w:rPr>
            </w:pPr>
            <w:r>
              <w:drawing>
                <wp:anchor distT="0" distB="0" distL="114300" distR="114300" simplePos="0" relativeHeight="251660288" behindDoc="0" locked="0" layoutInCell="1" allowOverlap="1">
                  <wp:simplePos x="0" y="0"/>
                  <wp:positionH relativeFrom="column">
                    <wp:posOffset>108585</wp:posOffset>
                  </wp:positionH>
                  <wp:positionV relativeFrom="paragraph">
                    <wp:posOffset>2313305</wp:posOffset>
                  </wp:positionV>
                  <wp:extent cx="822325" cy="1225550"/>
                  <wp:effectExtent l="0" t="0" r="15875" b="12700"/>
                  <wp:wrapSquare wrapText="bothSides"/>
                  <wp:docPr id="19" name="Image 9" descr="C:\Users\tinali\AppData\Local\Temp\WeChat Files\11b22b13e210350a03a2c18f5deac29.png"/>
                  <wp:cNvGraphicFramePr/>
                  <a:graphic xmlns:a="http://schemas.openxmlformats.org/drawingml/2006/main">
                    <a:graphicData uri="http://schemas.openxmlformats.org/drawingml/2006/picture">
                      <pic:pic xmlns:pic="http://schemas.openxmlformats.org/drawingml/2006/picture">
                        <pic:nvPicPr>
                          <pic:cNvPr id="19" name="Image 9" descr="C:\Users\tinali\AppData\Local\Temp\WeChat Files\11b22b13e210350a03a2c18f5deac29.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2325" cy="1225550"/>
                          </a:xfrm>
                          <a:prstGeom prst="rect">
                            <a:avLst/>
                          </a:prstGeom>
                        </pic:spPr>
                      </pic:pic>
                    </a:graphicData>
                  </a:graphic>
                </wp:anchor>
              </w:drawing>
            </w:r>
          </w:p>
        </w:tc>
      </w:tr>
      <w:tr w14:paraId="2B791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52588AAA">
            <w:pPr>
              <w:widowControl w:val="0"/>
              <w:jc w:val="both"/>
              <w:rPr>
                <w:rFonts w:eastAsia="宋体"/>
                <w:kern w:val="2"/>
                <w:sz w:val="21"/>
                <w:lang w:eastAsia="zh-CN"/>
              </w:rPr>
            </w:pPr>
          </w:p>
        </w:tc>
        <w:tc>
          <w:tcPr>
            <w:tcW w:w="1222" w:type="dxa"/>
            <w:vMerge w:val="continue"/>
            <w:vAlign w:val="center"/>
          </w:tcPr>
          <w:p w14:paraId="629E3034">
            <w:pPr>
              <w:widowControl w:val="0"/>
              <w:jc w:val="both"/>
              <w:rPr>
                <w:rFonts w:eastAsia="宋体"/>
                <w:kern w:val="2"/>
                <w:sz w:val="21"/>
                <w:lang w:eastAsia="zh-CN"/>
              </w:rPr>
            </w:pPr>
          </w:p>
        </w:tc>
        <w:tc>
          <w:tcPr>
            <w:tcW w:w="6014" w:type="dxa"/>
            <w:vAlign w:val="center"/>
          </w:tcPr>
          <w:p w14:paraId="6AAD1AFD">
            <w:pPr>
              <w:widowControl w:val="0"/>
              <w:jc w:val="both"/>
              <w:rPr>
                <w:rFonts w:eastAsia="宋体"/>
                <w:kern w:val="2"/>
                <w:sz w:val="21"/>
                <w:lang w:eastAsia="zh-CN"/>
              </w:rPr>
            </w:pPr>
            <w:r>
              <w:rPr>
                <w:rFonts w:hint="eastAsia" w:eastAsia="宋体"/>
                <w:kern w:val="2"/>
                <w:sz w:val="21"/>
                <w:lang w:eastAsia="zh-CN"/>
              </w:rPr>
              <w:t>2</w:t>
            </w:r>
            <w:r>
              <w:rPr>
                <w:rFonts w:eastAsia="宋体"/>
                <w:kern w:val="2"/>
                <w:sz w:val="21"/>
                <w:lang w:eastAsia="zh-CN"/>
              </w:rPr>
              <w:t xml:space="preserve">.2 </w:t>
            </w:r>
            <w:r>
              <w:rPr>
                <w:rFonts w:hint="eastAsia" w:eastAsia="宋体"/>
                <w:kern w:val="2"/>
                <w:sz w:val="21"/>
                <w:lang w:eastAsia="zh-CN"/>
              </w:rPr>
              <w:t>基材：采用E</w:t>
            </w:r>
            <w:r>
              <w:rPr>
                <w:rFonts w:eastAsia="宋体"/>
                <w:kern w:val="2"/>
                <w:sz w:val="21"/>
                <w:vertAlign w:val="subscript"/>
                <w:lang w:eastAsia="zh-CN"/>
              </w:rPr>
              <w:t>NF</w:t>
            </w:r>
            <w:r>
              <w:rPr>
                <w:rFonts w:hint="eastAsia" w:eastAsia="宋体"/>
                <w:kern w:val="2"/>
                <w:sz w:val="21"/>
                <w:lang w:eastAsia="zh-CN"/>
              </w:rPr>
              <w:t>级三聚氰胺浸渍纸双饰面胶合板制作，三聚氰胺饰面胶合板含水率、表面耐冷热循环，表面耐划痕，表面耐磨，表面耐干热，表面耐污染腐蚀，表面耐龟裂，表面耐水蒸气，耐光色牢度、胶合强度、表面胶合强度需符合 GB/T 34722-2017《浸渍胶膜纸饰面胶合板和细木工板》，挥发性有机化合物（7d）：苯、甲苯、二甲苯、总挥发性有机化合物(TVOC）需符合 GB/T 35601-2024《绿色产品评价人造板和木质地板》绿色标杆产品要求。顶板、侧板与背板厚≥25mm，其余全部板材厚≥18mm。经防潮、防腐、防虫等处理。甲醛释放量达到 E</w:t>
            </w:r>
            <w:r>
              <w:rPr>
                <w:rFonts w:eastAsia="宋体"/>
                <w:kern w:val="2"/>
                <w:sz w:val="21"/>
                <w:vertAlign w:val="subscript"/>
                <w:lang w:eastAsia="zh-CN"/>
              </w:rPr>
              <w:t>NF</w:t>
            </w:r>
            <w:r>
              <w:rPr>
                <w:rFonts w:hint="eastAsia" w:eastAsia="宋体"/>
                <w:kern w:val="2"/>
                <w:sz w:val="21"/>
                <w:lang w:eastAsia="zh-CN"/>
              </w:rPr>
              <w:t>排放标准。ABS 激光封边处理，ABS 激光封边条耐干热性，耐磨性，耐开裂性（耐龟裂性），耐老化性，耐冷热循环性，耐光色牢度；甲醛释放量、氯乙烯单体、可迁移元素（可溶性重金属）的铅、镉、铬、汞、砷、锑、钡、硒；邻苯二甲酸酯的总量（DBP、 BBP、DEHP、DNOP、DINP 和DIDP），多溴联苯、多溴联苯醚，以上均需符合 QB/T 4463- 2013《家具用封边条技术要求》，封边厚度≥1mm，所有板材四边均需封边。楼梯柜底部采用 6根钢制架 25mm*25mm*1.2mm厚方管结构制作，钢管符合国标GB/T 3325-2024要求。表面焊接口平衡光滑，表面经除油，酸洗去锈、磷化，环氧树脂静电粉末高温固化而成。钢制架底部需配有防滑脚垫。</w:t>
            </w:r>
          </w:p>
        </w:tc>
        <w:tc>
          <w:tcPr>
            <w:tcW w:w="1947" w:type="dxa"/>
            <w:vMerge w:val="continue"/>
          </w:tcPr>
          <w:p w14:paraId="5346CF10">
            <w:pPr>
              <w:widowControl w:val="0"/>
              <w:jc w:val="both"/>
              <w:rPr>
                <w:rFonts w:eastAsia="宋体"/>
                <w:kern w:val="2"/>
                <w:sz w:val="21"/>
                <w:lang w:eastAsia="zh-CN"/>
              </w:rPr>
            </w:pPr>
          </w:p>
        </w:tc>
      </w:tr>
      <w:tr w14:paraId="58047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62D46653">
            <w:pPr>
              <w:widowControl w:val="0"/>
              <w:jc w:val="both"/>
              <w:rPr>
                <w:rFonts w:eastAsia="宋体"/>
                <w:kern w:val="2"/>
                <w:sz w:val="21"/>
                <w:lang w:eastAsia="zh-CN"/>
              </w:rPr>
            </w:pPr>
          </w:p>
        </w:tc>
        <w:tc>
          <w:tcPr>
            <w:tcW w:w="1222" w:type="dxa"/>
            <w:vMerge w:val="continue"/>
            <w:vAlign w:val="center"/>
          </w:tcPr>
          <w:p w14:paraId="20D33FC9">
            <w:pPr>
              <w:widowControl w:val="0"/>
              <w:jc w:val="both"/>
              <w:rPr>
                <w:rFonts w:eastAsia="宋体"/>
                <w:kern w:val="2"/>
                <w:sz w:val="21"/>
                <w:lang w:eastAsia="zh-CN"/>
              </w:rPr>
            </w:pPr>
          </w:p>
        </w:tc>
        <w:tc>
          <w:tcPr>
            <w:tcW w:w="6014" w:type="dxa"/>
            <w:vAlign w:val="center"/>
          </w:tcPr>
          <w:p w14:paraId="1D52BA4A">
            <w:pPr>
              <w:widowControl w:val="0"/>
              <w:jc w:val="both"/>
              <w:rPr>
                <w:rFonts w:eastAsia="宋体"/>
                <w:kern w:val="2"/>
                <w:sz w:val="21"/>
                <w:lang w:eastAsia="zh-CN"/>
              </w:rPr>
            </w:pPr>
            <w:r>
              <w:rPr>
                <w:rFonts w:hint="eastAsia" w:eastAsia="宋体"/>
                <w:kern w:val="2"/>
                <w:sz w:val="21"/>
                <w:lang w:eastAsia="zh-CN"/>
              </w:rPr>
              <w:t>2.3 五金配件：三节静音阻尼导轨，阻尼导轨过载：垂直向下静载荷，水平侧向静载荷，猛关或猛开；功能：抽屉导轨组件结构强度，抽屉导轨组件底部变形，操作力，垂直向下静载荷，水平侧向静载荷，拉出安全性，下沉量，猛关或猛开；耐久性（试验次数≥80000次）需符合 QB/T 2454-2013《家具五金抽屉导轨》标准商用要求；中性盐雾试验（≥120h）需符合 QB/T 3826-1999《轻工产品金属镀层和化学处理层的耐腐蚀试验方法中性盐雾试验(NSS)法》，QB/T 3832 -1999《轻工产品金属镀层腐蚀试验结果的评价》，检测结果达到 9 级或以上，三合一连接件的孔位贴防潮防水装饰盖。</w:t>
            </w:r>
          </w:p>
        </w:tc>
        <w:tc>
          <w:tcPr>
            <w:tcW w:w="1947" w:type="dxa"/>
            <w:vMerge w:val="continue"/>
          </w:tcPr>
          <w:p w14:paraId="64B3EA77">
            <w:pPr>
              <w:widowControl w:val="0"/>
              <w:jc w:val="both"/>
              <w:rPr>
                <w:rFonts w:eastAsia="宋体"/>
                <w:kern w:val="2"/>
                <w:sz w:val="21"/>
                <w:lang w:eastAsia="zh-CN"/>
              </w:rPr>
            </w:pPr>
          </w:p>
        </w:tc>
      </w:tr>
      <w:tr w14:paraId="4403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4B720DD8">
            <w:pPr>
              <w:widowControl w:val="0"/>
              <w:jc w:val="both"/>
              <w:rPr>
                <w:rFonts w:eastAsia="宋体"/>
                <w:kern w:val="2"/>
                <w:sz w:val="21"/>
                <w:lang w:eastAsia="zh-CN"/>
              </w:rPr>
            </w:pPr>
          </w:p>
        </w:tc>
        <w:tc>
          <w:tcPr>
            <w:tcW w:w="1222" w:type="dxa"/>
            <w:vMerge w:val="continue"/>
            <w:vAlign w:val="center"/>
          </w:tcPr>
          <w:p w14:paraId="2246929A">
            <w:pPr>
              <w:widowControl w:val="0"/>
              <w:jc w:val="both"/>
              <w:rPr>
                <w:rFonts w:eastAsia="宋体"/>
                <w:kern w:val="2"/>
                <w:sz w:val="21"/>
                <w:lang w:eastAsia="zh-CN"/>
              </w:rPr>
            </w:pPr>
          </w:p>
        </w:tc>
        <w:tc>
          <w:tcPr>
            <w:tcW w:w="6014" w:type="dxa"/>
            <w:vAlign w:val="center"/>
          </w:tcPr>
          <w:p w14:paraId="49583DC4">
            <w:pPr>
              <w:widowControl w:val="0"/>
              <w:jc w:val="both"/>
              <w:rPr>
                <w:rFonts w:eastAsia="宋体"/>
                <w:kern w:val="2"/>
                <w:sz w:val="21"/>
                <w:lang w:eastAsia="zh-CN"/>
              </w:rPr>
            </w:pPr>
            <w:r>
              <w:rPr>
                <w:rFonts w:hint="eastAsia" w:eastAsia="宋体"/>
                <w:kern w:val="2"/>
                <w:sz w:val="21"/>
                <w:lang w:eastAsia="zh-CN"/>
              </w:rPr>
              <w:t>2.4 工艺结构：楼梯台阶面板做防滑处理，楼梯台阶配置抽屉，抽屉面板带斜边工艺。内置可储存物品。</w:t>
            </w:r>
          </w:p>
        </w:tc>
        <w:tc>
          <w:tcPr>
            <w:tcW w:w="1947" w:type="dxa"/>
            <w:vMerge w:val="continue"/>
          </w:tcPr>
          <w:p w14:paraId="387B3D4A">
            <w:pPr>
              <w:widowControl w:val="0"/>
              <w:jc w:val="both"/>
              <w:rPr>
                <w:rFonts w:eastAsia="宋体"/>
                <w:kern w:val="2"/>
                <w:sz w:val="21"/>
                <w:lang w:eastAsia="zh-CN"/>
              </w:rPr>
            </w:pPr>
          </w:p>
        </w:tc>
      </w:tr>
      <w:tr w14:paraId="0E3A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71FD20E6">
            <w:pPr>
              <w:widowControl w:val="0"/>
              <w:jc w:val="both"/>
              <w:rPr>
                <w:rFonts w:eastAsia="宋体"/>
                <w:kern w:val="2"/>
                <w:sz w:val="21"/>
                <w:lang w:eastAsia="zh-CN"/>
              </w:rPr>
            </w:pPr>
          </w:p>
        </w:tc>
        <w:tc>
          <w:tcPr>
            <w:tcW w:w="1222" w:type="dxa"/>
            <w:vMerge w:val="continue"/>
            <w:vAlign w:val="center"/>
          </w:tcPr>
          <w:p w14:paraId="7CBF4AC6">
            <w:pPr>
              <w:widowControl w:val="0"/>
              <w:jc w:val="both"/>
              <w:rPr>
                <w:rFonts w:eastAsia="宋体"/>
                <w:kern w:val="2"/>
                <w:sz w:val="21"/>
                <w:lang w:eastAsia="zh-CN"/>
              </w:rPr>
            </w:pPr>
          </w:p>
        </w:tc>
        <w:tc>
          <w:tcPr>
            <w:tcW w:w="6014" w:type="dxa"/>
            <w:vAlign w:val="center"/>
          </w:tcPr>
          <w:p w14:paraId="6F1D3E07">
            <w:pPr>
              <w:widowControl w:val="0"/>
              <w:jc w:val="both"/>
              <w:rPr>
                <w:rFonts w:eastAsia="宋体"/>
                <w:kern w:val="2"/>
                <w:sz w:val="21"/>
                <w:lang w:eastAsia="zh-CN"/>
              </w:rPr>
            </w:pPr>
            <w:r>
              <w:rPr>
                <w:rFonts w:hint="eastAsia" w:eastAsia="宋体"/>
                <w:kern w:val="2"/>
                <w:sz w:val="21"/>
                <w:lang w:eastAsia="zh-CN"/>
              </w:rPr>
              <w:t>2.5 颜色、款式：根据采购人需求制定。制作前深化结构图报采购人书面确认。</w:t>
            </w:r>
          </w:p>
        </w:tc>
        <w:tc>
          <w:tcPr>
            <w:tcW w:w="1947" w:type="dxa"/>
            <w:vMerge w:val="continue"/>
          </w:tcPr>
          <w:p w14:paraId="60A89A31">
            <w:pPr>
              <w:widowControl w:val="0"/>
              <w:jc w:val="both"/>
              <w:rPr>
                <w:rFonts w:eastAsia="宋体"/>
                <w:kern w:val="2"/>
                <w:sz w:val="21"/>
                <w:lang w:eastAsia="zh-CN"/>
              </w:rPr>
            </w:pPr>
          </w:p>
        </w:tc>
      </w:tr>
      <w:tr w14:paraId="33AC0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66AFC1AA">
            <w:pPr>
              <w:widowControl w:val="0"/>
              <w:jc w:val="both"/>
              <w:rPr>
                <w:rFonts w:eastAsia="宋体"/>
                <w:kern w:val="2"/>
                <w:sz w:val="21"/>
                <w:lang w:eastAsia="zh-CN"/>
              </w:rPr>
            </w:pPr>
          </w:p>
        </w:tc>
        <w:tc>
          <w:tcPr>
            <w:tcW w:w="1222" w:type="dxa"/>
            <w:vMerge w:val="continue"/>
            <w:vAlign w:val="center"/>
          </w:tcPr>
          <w:p w14:paraId="3F9666D2">
            <w:pPr>
              <w:widowControl w:val="0"/>
              <w:jc w:val="both"/>
              <w:rPr>
                <w:rFonts w:eastAsia="宋体"/>
                <w:kern w:val="2"/>
                <w:sz w:val="21"/>
                <w:lang w:eastAsia="zh-CN"/>
              </w:rPr>
            </w:pPr>
          </w:p>
        </w:tc>
        <w:tc>
          <w:tcPr>
            <w:tcW w:w="6014" w:type="dxa"/>
            <w:vAlign w:val="center"/>
          </w:tcPr>
          <w:p w14:paraId="12135DDA">
            <w:pPr>
              <w:widowControl w:val="0"/>
              <w:jc w:val="both"/>
              <w:rPr>
                <w:rFonts w:eastAsia="宋体"/>
                <w:kern w:val="2"/>
                <w:sz w:val="21"/>
                <w:lang w:eastAsia="zh-CN"/>
              </w:rPr>
            </w:pPr>
            <w:r>
              <w:rPr>
                <w:rFonts w:hint="eastAsia" w:eastAsia="宋体"/>
                <w:kern w:val="2"/>
                <w:sz w:val="21"/>
                <w:lang w:eastAsia="zh-CN"/>
              </w:rPr>
              <w:t>2.6 成品：符合 QB/T 2741-2013《学生公寓多功能家具》GB/T 3324-</w:t>
            </w:r>
            <w:r>
              <w:rPr>
                <w:rFonts w:eastAsia="宋体"/>
                <w:kern w:val="2"/>
                <w:sz w:val="21"/>
                <w:lang w:eastAsia="zh-CN"/>
              </w:rPr>
              <w:t>2024</w:t>
            </w:r>
            <w:r>
              <w:rPr>
                <w:rFonts w:hint="eastAsia" w:eastAsia="宋体"/>
                <w:kern w:val="2"/>
                <w:sz w:val="21"/>
                <w:lang w:eastAsia="zh-CN"/>
              </w:rPr>
              <w:t>《木家具通用技术条件》，同时甲醛释放量、苯、甲苯、二甲苯、总挥发性有机化合物（TVOC）符合 GB/T35607-2024《绿色产品评价家具》标准的绿色产品要求。</w:t>
            </w:r>
          </w:p>
        </w:tc>
        <w:tc>
          <w:tcPr>
            <w:tcW w:w="1947" w:type="dxa"/>
            <w:vMerge w:val="continue"/>
          </w:tcPr>
          <w:p w14:paraId="183450B6">
            <w:pPr>
              <w:widowControl w:val="0"/>
              <w:jc w:val="both"/>
              <w:rPr>
                <w:rFonts w:eastAsia="宋体"/>
                <w:kern w:val="2"/>
                <w:sz w:val="21"/>
                <w:lang w:eastAsia="zh-CN"/>
              </w:rPr>
            </w:pPr>
          </w:p>
        </w:tc>
      </w:tr>
      <w:tr w14:paraId="087D5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Merge w:val="restart"/>
            <w:vAlign w:val="center"/>
          </w:tcPr>
          <w:p w14:paraId="6B5F774E">
            <w:pPr>
              <w:widowControl w:val="0"/>
              <w:jc w:val="center"/>
              <w:rPr>
                <w:rFonts w:eastAsia="宋体"/>
                <w:kern w:val="2"/>
                <w:sz w:val="21"/>
                <w:lang w:eastAsia="zh-CN"/>
              </w:rPr>
            </w:pPr>
            <w:r>
              <w:rPr>
                <w:rFonts w:hint="eastAsia" w:eastAsia="宋体"/>
                <w:kern w:val="2"/>
                <w:sz w:val="21"/>
                <w:lang w:eastAsia="zh-CN"/>
              </w:rPr>
              <w:t>3</w:t>
            </w:r>
          </w:p>
        </w:tc>
        <w:tc>
          <w:tcPr>
            <w:tcW w:w="1222" w:type="dxa"/>
            <w:vMerge w:val="restart"/>
            <w:vAlign w:val="center"/>
          </w:tcPr>
          <w:p w14:paraId="3D93934C">
            <w:pPr>
              <w:widowControl w:val="0"/>
              <w:jc w:val="center"/>
              <w:rPr>
                <w:rFonts w:ascii="仿宋" w:hAnsi="仿宋" w:eastAsia="仿宋"/>
                <w:b/>
                <w:kern w:val="2"/>
                <w:sz w:val="21"/>
                <w:lang w:eastAsia="zh-CN"/>
              </w:rPr>
            </w:pPr>
            <w:r>
              <w:rPr>
                <w:rFonts w:hint="eastAsia" w:eastAsia="宋体"/>
                <w:kern w:val="2"/>
                <w:sz w:val="21"/>
                <w:lang w:eastAsia="zh-CN"/>
              </w:rPr>
              <w:t>组合书桌+衣柜</w:t>
            </w:r>
          </w:p>
        </w:tc>
        <w:tc>
          <w:tcPr>
            <w:tcW w:w="6014" w:type="dxa"/>
            <w:vAlign w:val="center"/>
          </w:tcPr>
          <w:p w14:paraId="1446E2CA">
            <w:pPr>
              <w:widowControl w:val="0"/>
              <w:jc w:val="both"/>
              <w:rPr>
                <w:rFonts w:ascii="仿宋" w:hAnsi="仿宋" w:eastAsia="仿宋"/>
                <w:kern w:val="2"/>
                <w:sz w:val="21"/>
                <w:lang w:eastAsia="zh-CN"/>
              </w:rPr>
            </w:pPr>
            <w:r>
              <w:rPr>
                <w:rFonts w:hint="eastAsia" w:eastAsia="宋体"/>
                <w:kern w:val="2"/>
                <w:sz w:val="21"/>
                <w:lang w:eastAsia="zh-CN"/>
              </w:rPr>
              <w:t>3.1 参考规格（mm）：</w:t>
            </w:r>
            <w:r>
              <w:rPr>
                <w:rFonts w:hint="eastAsia" w:eastAsia="宋体"/>
                <w:kern w:val="2"/>
                <w:sz w:val="21"/>
                <w:lang w:eastAsia="zh-CN"/>
              </w:rPr>
              <w:br w:type="textWrapping"/>
            </w:r>
            <w:r>
              <w:rPr>
                <w:rFonts w:hint="eastAsia" w:eastAsia="宋体"/>
                <w:kern w:val="2"/>
                <w:sz w:val="21"/>
                <w:lang w:eastAsia="zh-CN"/>
              </w:rPr>
              <w:t>书桌：W1400*D600*H750</w:t>
            </w:r>
            <w:r>
              <w:rPr>
                <w:rFonts w:hint="eastAsia" w:eastAsia="宋体"/>
                <w:kern w:val="2"/>
                <w:sz w:val="21"/>
                <w:lang w:eastAsia="zh-CN"/>
              </w:rPr>
              <w:br w:type="textWrapping"/>
            </w:r>
            <w:r>
              <w:rPr>
                <w:rFonts w:hint="eastAsia" w:eastAsia="宋体"/>
                <w:kern w:val="2"/>
                <w:sz w:val="21"/>
                <w:lang w:eastAsia="zh-CN"/>
              </w:rPr>
              <w:t>书桌柜：W1400*D300*H930衣柜：W550*D620*H1680</w:t>
            </w:r>
            <w:r>
              <w:rPr>
                <w:rFonts w:hint="eastAsia" w:eastAsia="宋体"/>
                <w:kern w:val="2"/>
                <w:sz w:val="21"/>
                <w:lang w:eastAsia="zh-CN"/>
              </w:rPr>
              <w:br w:type="textWrapping"/>
            </w:r>
            <w:r>
              <w:rPr>
                <w:rFonts w:hint="eastAsia" w:eastAsia="宋体"/>
                <w:kern w:val="2"/>
                <w:sz w:val="21"/>
                <w:lang w:eastAsia="zh-CN"/>
              </w:rPr>
              <w:t>（根据现场安装需求尺寸调整）</w:t>
            </w:r>
          </w:p>
        </w:tc>
        <w:tc>
          <w:tcPr>
            <w:tcW w:w="1947" w:type="dxa"/>
            <w:vMerge w:val="restart"/>
          </w:tcPr>
          <w:p w14:paraId="30E63DB2">
            <w:pPr>
              <w:widowControl w:val="0"/>
              <w:jc w:val="both"/>
              <w:rPr>
                <w:rFonts w:eastAsia="宋体"/>
                <w:kern w:val="2"/>
                <w:sz w:val="21"/>
                <w:lang w:eastAsia="zh-CN"/>
              </w:rPr>
            </w:pPr>
          </w:p>
          <w:p w14:paraId="6F9C435E">
            <w:pPr>
              <w:widowControl w:val="0"/>
              <w:jc w:val="both"/>
              <w:rPr>
                <w:rFonts w:eastAsia="宋体"/>
                <w:kern w:val="2"/>
                <w:sz w:val="21"/>
                <w:lang w:eastAsia="zh-CN"/>
              </w:rPr>
            </w:pPr>
          </w:p>
          <w:p w14:paraId="58E5F670">
            <w:pPr>
              <w:widowControl w:val="0"/>
              <w:jc w:val="both"/>
              <w:rPr>
                <w:rFonts w:eastAsia="宋体"/>
                <w:kern w:val="2"/>
                <w:sz w:val="21"/>
                <w:lang w:eastAsia="zh-CN"/>
              </w:rPr>
            </w:pPr>
          </w:p>
          <w:p w14:paraId="11833618">
            <w:pPr>
              <w:widowControl w:val="0"/>
              <w:jc w:val="both"/>
              <w:rPr>
                <w:rFonts w:eastAsia="宋体"/>
                <w:kern w:val="2"/>
                <w:sz w:val="21"/>
                <w:lang w:eastAsia="zh-CN"/>
              </w:rPr>
            </w:pPr>
          </w:p>
          <w:p w14:paraId="61ABF85B">
            <w:pPr>
              <w:widowControl w:val="0"/>
              <w:jc w:val="both"/>
              <w:rPr>
                <w:rFonts w:eastAsia="宋体"/>
                <w:kern w:val="2"/>
                <w:sz w:val="21"/>
                <w:lang w:eastAsia="zh-CN"/>
              </w:rPr>
            </w:pPr>
          </w:p>
          <w:p w14:paraId="705FAE34">
            <w:pPr>
              <w:widowControl w:val="0"/>
              <w:jc w:val="both"/>
              <w:rPr>
                <w:rFonts w:eastAsia="宋体"/>
                <w:color w:val="000000"/>
                <w:kern w:val="2"/>
                <w:sz w:val="22"/>
                <w:lang w:eastAsia="zh-CN"/>
              </w:rPr>
            </w:pPr>
            <w:r>
              <w:drawing>
                <wp:anchor distT="0" distB="0" distL="0" distR="0" simplePos="0" relativeHeight="251662336" behindDoc="0" locked="0" layoutInCell="1" allowOverlap="1">
                  <wp:simplePos x="0" y="0"/>
                  <wp:positionH relativeFrom="column">
                    <wp:posOffset>81280</wp:posOffset>
                  </wp:positionH>
                  <wp:positionV relativeFrom="paragraph">
                    <wp:posOffset>2021205</wp:posOffset>
                  </wp:positionV>
                  <wp:extent cx="925830" cy="1001395"/>
                  <wp:effectExtent l="0" t="0" r="7620" b="8255"/>
                  <wp:wrapSquare wrapText="bothSides"/>
                  <wp:docPr id="10" name="Image 10"/>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2" cstate="print"/>
                          <a:stretch>
                            <a:fillRect/>
                          </a:stretch>
                        </pic:blipFill>
                        <pic:spPr>
                          <a:xfrm>
                            <a:off x="0" y="0"/>
                            <a:ext cx="925830" cy="1001395"/>
                          </a:xfrm>
                          <a:prstGeom prst="rect">
                            <a:avLst/>
                          </a:prstGeom>
                        </pic:spPr>
                      </pic:pic>
                    </a:graphicData>
                  </a:graphic>
                </wp:anchor>
              </w:drawing>
            </w:r>
          </w:p>
        </w:tc>
      </w:tr>
      <w:tr w14:paraId="42A5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486E597F">
            <w:pPr>
              <w:widowControl w:val="0"/>
              <w:jc w:val="both"/>
              <w:rPr>
                <w:rFonts w:eastAsia="宋体"/>
                <w:kern w:val="2"/>
                <w:sz w:val="21"/>
                <w:lang w:eastAsia="zh-CN"/>
              </w:rPr>
            </w:pPr>
          </w:p>
        </w:tc>
        <w:tc>
          <w:tcPr>
            <w:tcW w:w="1222" w:type="dxa"/>
            <w:vMerge w:val="continue"/>
            <w:vAlign w:val="center"/>
          </w:tcPr>
          <w:p w14:paraId="0E4CB5DE">
            <w:pPr>
              <w:widowControl w:val="0"/>
              <w:jc w:val="both"/>
              <w:rPr>
                <w:rFonts w:eastAsia="宋体"/>
                <w:kern w:val="2"/>
                <w:sz w:val="21"/>
                <w:lang w:eastAsia="zh-CN"/>
              </w:rPr>
            </w:pPr>
          </w:p>
        </w:tc>
        <w:tc>
          <w:tcPr>
            <w:tcW w:w="6014" w:type="dxa"/>
            <w:vAlign w:val="center"/>
          </w:tcPr>
          <w:p w14:paraId="442D5A72">
            <w:pPr>
              <w:widowControl w:val="0"/>
              <w:jc w:val="both"/>
              <w:rPr>
                <w:rFonts w:eastAsia="宋体"/>
                <w:kern w:val="2"/>
                <w:sz w:val="21"/>
                <w:lang w:eastAsia="zh-CN"/>
              </w:rPr>
            </w:pPr>
            <w:r>
              <w:rPr>
                <w:rFonts w:hint="eastAsia" w:eastAsia="宋体"/>
                <w:kern w:val="2"/>
                <w:sz w:val="21"/>
                <w:lang w:eastAsia="zh-CN"/>
              </w:rPr>
              <w:t>3.2基材：采用E</w:t>
            </w:r>
            <w:r>
              <w:rPr>
                <w:rFonts w:eastAsia="宋体"/>
                <w:kern w:val="2"/>
                <w:sz w:val="21"/>
                <w:vertAlign w:val="subscript"/>
                <w:lang w:eastAsia="zh-CN"/>
              </w:rPr>
              <w:t>NF</w:t>
            </w:r>
            <w:r>
              <w:rPr>
                <w:rFonts w:hint="eastAsia" w:eastAsia="宋体"/>
                <w:kern w:val="2"/>
                <w:sz w:val="21"/>
                <w:lang w:eastAsia="zh-CN"/>
              </w:rPr>
              <w:t>级三聚氰胺浸渍纸双饰面胶合板制作，三聚氰胺饰面胶合板含水率、表面耐冷热循环，表面耐划痕，表面耐磨，表面耐干热，表面耐污染腐蚀，表面耐龟裂，表面耐水蒸气，耐光色牢度、胶合强度、表面胶合强度需符合GB/T 34722-2017《浸渍胶膜纸饰面胶合板和细木工板》，挥发性有机化合物（7d）：苯、甲苯、二甲苯、总挥发性有机化合物(TVOC）需符合 GB/T 35601-2024《绿色产品评价人造板和木质地板》绿色标杆产品要求。台面厚≥ 25mm，背板、抽屉底板厚≥9mm。书桌桌上挡条及桌下挡板厚≥15mm，桌下挡板高度 300mm。其他全部用板厚度≥18mm，经防潮、防腐、防虫等处理。甲醛释放量达到E</w:t>
            </w:r>
            <w:r>
              <w:rPr>
                <w:rFonts w:eastAsia="宋体"/>
                <w:kern w:val="2"/>
                <w:sz w:val="21"/>
                <w:vertAlign w:val="subscript"/>
                <w:lang w:eastAsia="zh-CN"/>
              </w:rPr>
              <w:t>NF</w:t>
            </w:r>
            <w:r>
              <w:rPr>
                <w:rFonts w:hint="eastAsia" w:eastAsia="宋体"/>
                <w:kern w:val="2"/>
                <w:sz w:val="21"/>
                <w:lang w:eastAsia="zh-CN"/>
              </w:rPr>
              <w:t>级排放标准。ABS 激光封边工艺，ABS 激光封边条耐干热性，耐磨性，耐开裂性（耐龟裂性），耐老化性，耐冷热循环性，耐光色牢 度；甲醛释放量、氯乙烯单体、可迁移元素（可溶性重金属）的铅、镉、铬、汞、砷、锑、钡、硒；邻苯二甲酸酯的总量（DBP、 BBP、DEHP、DNOP、DINP 和DIDP），多溴联苯、多溴联苯醚，以上均需符合 QB/T 4463- 2013《家具用封边条技术要求》,封边厚度≥1mm，所有板材四边均需封边。</w:t>
            </w:r>
          </w:p>
        </w:tc>
        <w:tc>
          <w:tcPr>
            <w:tcW w:w="1947" w:type="dxa"/>
            <w:vMerge w:val="continue"/>
          </w:tcPr>
          <w:p w14:paraId="146FB28D">
            <w:pPr>
              <w:widowControl w:val="0"/>
              <w:jc w:val="both"/>
              <w:rPr>
                <w:rFonts w:eastAsia="宋体"/>
                <w:kern w:val="2"/>
                <w:sz w:val="21"/>
                <w:lang w:eastAsia="zh-CN"/>
              </w:rPr>
            </w:pPr>
          </w:p>
        </w:tc>
      </w:tr>
      <w:tr w14:paraId="1360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1C991BB5">
            <w:pPr>
              <w:widowControl w:val="0"/>
              <w:jc w:val="both"/>
              <w:rPr>
                <w:rFonts w:eastAsia="宋体"/>
                <w:kern w:val="2"/>
                <w:sz w:val="21"/>
                <w:lang w:eastAsia="zh-CN"/>
              </w:rPr>
            </w:pPr>
          </w:p>
        </w:tc>
        <w:tc>
          <w:tcPr>
            <w:tcW w:w="1222" w:type="dxa"/>
            <w:vMerge w:val="continue"/>
            <w:vAlign w:val="center"/>
          </w:tcPr>
          <w:p w14:paraId="1DEC9C16">
            <w:pPr>
              <w:widowControl w:val="0"/>
              <w:jc w:val="both"/>
              <w:rPr>
                <w:rFonts w:eastAsia="宋体"/>
                <w:kern w:val="2"/>
                <w:sz w:val="21"/>
                <w:lang w:eastAsia="zh-CN"/>
              </w:rPr>
            </w:pPr>
          </w:p>
        </w:tc>
        <w:tc>
          <w:tcPr>
            <w:tcW w:w="6014" w:type="dxa"/>
            <w:vAlign w:val="center"/>
          </w:tcPr>
          <w:p w14:paraId="291DF294">
            <w:pPr>
              <w:widowControl w:val="0"/>
              <w:jc w:val="both"/>
              <w:rPr>
                <w:rFonts w:eastAsia="宋体"/>
                <w:b/>
                <w:bCs/>
                <w:color w:val="FF0000"/>
                <w:kern w:val="2"/>
                <w:sz w:val="21"/>
                <w:lang w:eastAsia="zh-CN"/>
              </w:rPr>
            </w:pPr>
            <w:r>
              <w:rPr>
                <w:rFonts w:hint="eastAsia" w:eastAsia="宋体"/>
                <w:b/>
                <w:bCs/>
                <w:color w:val="FF0000"/>
                <w:kern w:val="2"/>
                <w:sz w:val="21"/>
                <w:lang w:eastAsia="zh-CN"/>
              </w:rPr>
              <w:t>▲3.3提供符合以下要求的“</w:t>
            </w:r>
            <w:bookmarkStart w:id="38" w:name="_Hlk207887837"/>
            <w:r>
              <w:rPr>
                <w:rFonts w:hint="eastAsia" w:eastAsia="宋体"/>
                <w:b/>
                <w:bCs/>
                <w:color w:val="FF0000"/>
                <w:kern w:val="2"/>
                <w:sz w:val="21"/>
                <w:lang w:eastAsia="zh-CN"/>
              </w:rPr>
              <w:t>三聚氰胺饰面胶合板</w:t>
            </w:r>
            <w:bookmarkEnd w:id="38"/>
            <w:r>
              <w:rPr>
                <w:rFonts w:hint="eastAsia" w:eastAsia="宋体"/>
                <w:b/>
                <w:bCs/>
                <w:color w:val="FF0000"/>
                <w:kern w:val="2"/>
                <w:sz w:val="21"/>
                <w:lang w:eastAsia="zh-CN"/>
              </w:rPr>
              <w:t>”检测报告：</w:t>
            </w:r>
          </w:p>
          <w:p w14:paraId="076B7F4B">
            <w:pPr>
              <w:widowControl w:val="0"/>
              <w:jc w:val="both"/>
              <w:rPr>
                <w:rFonts w:eastAsia="宋体"/>
                <w:b/>
                <w:bCs/>
                <w:color w:val="FF0000"/>
                <w:kern w:val="2"/>
                <w:sz w:val="21"/>
                <w:lang w:eastAsia="zh-CN"/>
              </w:rPr>
            </w:pPr>
            <w:r>
              <w:rPr>
                <w:rFonts w:hint="eastAsia" w:eastAsia="宋体"/>
                <w:b/>
                <w:bCs/>
                <w:color w:val="FF0000"/>
                <w:kern w:val="2"/>
                <w:sz w:val="21"/>
                <w:lang w:eastAsia="zh-CN"/>
              </w:rPr>
              <w:t>(1)提供2023年1月1日至本项目投标截止之日前，第三方检测机构出具的具有 CMA标识的合格的检测报告（若相关检测项目不在实施该项检验（检测）的第三方检测机构的 CMA资质许可范围内的，该检测报告视为不满足招标文件要求，作负偏离处理）。</w:t>
            </w:r>
          </w:p>
          <w:p w14:paraId="1AF53C60">
            <w:pPr>
              <w:widowControl w:val="0"/>
              <w:jc w:val="both"/>
              <w:rPr>
                <w:rFonts w:eastAsia="宋体"/>
                <w:b/>
                <w:bCs/>
                <w:color w:val="FF0000"/>
                <w:kern w:val="2"/>
                <w:sz w:val="21"/>
                <w:lang w:eastAsia="zh-CN"/>
              </w:rPr>
            </w:pPr>
            <w:r>
              <w:rPr>
                <w:rFonts w:hint="eastAsia" w:eastAsia="宋体"/>
                <w:b/>
                <w:bCs/>
                <w:color w:val="FF0000"/>
                <w:kern w:val="2"/>
                <w:sz w:val="21"/>
                <w:lang w:eastAsia="zh-CN"/>
              </w:rPr>
              <w:t>(2)检验（检测）报告送检单位（委托单位）须是投标人或所投产品制造商（须与分项报价表一致）或所投产品原材料供应商。若送检单位（委托单位）是所投产品原材料供应商，须同时提供投标人或所投产品制造商（须与分项报价表一致）购买对应原材料的发票扫描件（开票日期在投标截止日前）。</w:t>
            </w:r>
          </w:p>
          <w:p w14:paraId="73C1C1A1">
            <w:pPr>
              <w:widowControl w:val="0"/>
              <w:jc w:val="both"/>
              <w:rPr>
                <w:rFonts w:eastAsia="宋体"/>
                <w:b/>
                <w:bCs/>
                <w:color w:val="FF0000"/>
                <w:kern w:val="2"/>
                <w:sz w:val="21"/>
                <w:lang w:eastAsia="zh-CN"/>
              </w:rPr>
            </w:pPr>
            <w:r>
              <w:rPr>
                <w:rFonts w:hint="eastAsia" w:eastAsia="宋体"/>
                <w:b/>
                <w:bCs/>
                <w:color w:val="FF0000"/>
                <w:kern w:val="2"/>
                <w:sz w:val="21"/>
                <w:lang w:eastAsia="zh-CN"/>
              </w:rPr>
              <w:t>(3)检测报告中“检测产品名称”与招标文件要求的名称不完全一致的，需提供为同种产品的说明，由评审委员会判定是否符合招标文件要求。若名称不完全一致又未提供说明的，判定为不符合招标文件要求。</w:t>
            </w:r>
          </w:p>
          <w:p w14:paraId="3604CCF7">
            <w:pPr>
              <w:widowControl w:val="0"/>
              <w:jc w:val="both"/>
              <w:rPr>
                <w:rFonts w:eastAsia="宋体"/>
                <w:b/>
                <w:bCs/>
                <w:color w:val="FF0000"/>
                <w:kern w:val="2"/>
                <w:sz w:val="21"/>
                <w:lang w:eastAsia="zh-CN"/>
              </w:rPr>
            </w:pPr>
            <w:r>
              <w:rPr>
                <w:rFonts w:hint="eastAsia" w:eastAsia="宋体"/>
                <w:b/>
                <w:bCs/>
                <w:color w:val="FF0000"/>
                <w:kern w:val="2"/>
                <w:sz w:val="21"/>
                <w:lang w:eastAsia="zh-CN"/>
              </w:rPr>
              <w:t>(4)检测报告需满足以下检测依据和检测内容及要求：</w:t>
            </w:r>
          </w:p>
          <w:p w14:paraId="68BB6CB7">
            <w:pPr>
              <w:widowControl w:val="0"/>
              <w:jc w:val="both"/>
              <w:rPr>
                <w:rFonts w:eastAsia="宋体"/>
                <w:b/>
                <w:bCs/>
                <w:color w:val="FF0000"/>
                <w:kern w:val="2"/>
                <w:sz w:val="21"/>
                <w:lang w:eastAsia="zh-CN"/>
              </w:rPr>
            </w:pPr>
            <w:r>
              <w:rPr>
                <w:rFonts w:hint="eastAsia" w:eastAsia="宋体"/>
                <w:b/>
                <w:bCs/>
                <w:color w:val="FF0000"/>
                <w:kern w:val="2"/>
                <w:sz w:val="21"/>
                <w:lang w:eastAsia="zh-CN"/>
              </w:rPr>
              <w:t>检测依据：GB/T 34722-2017《浸渍胶膜纸饰面胶合板和细木工板》、GB/T 35601-2024《绿色产品评价人造板和木质地板》、GB/T 39600-2021《人造板及其制品甲醛释放量分级》标准。</w:t>
            </w:r>
          </w:p>
          <w:p w14:paraId="01A9168F">
            <w:pPr>
              <w:widowControl w:val="0"/>
              <w:jc w:val="both"/>
              <w:rPr>
                <w:rFonts w:eastAsia="宋体"/>
                <w:kern w:val="2"/>
                <w:sz w:val="21"/>
                <w:lang w:eastAsia="zh-CN"/>
              </w:rPr>
            </w:pPr>
            <w:r>
              <w:rPr>
                <w:rFonts w:hint="eastAsia" w:eastAsia="宋体"/>
                <w:b/>
                <w:bCs/>
                <w:color w:val="FF0000"/>
                <w:kern w:val="2"/>
                <w:sz w:val="21"/>
                <w:lang w:eastAsia="zh-CN"/>
              </w:rPr>
              <w:t>检测内容及要求：含水率、表面耐冷热循环，表面耐划痕，表面耐磨，表面耐干热，表面耐污染腐蚀，表面耐龟裂，表面耐水蒸气，耐光色牢度、胶合强度、表面胶合强度，以上检测结果均为符合或合格；品质属性-挥发性有机化合物（7d）：苯、甲苯、二甲苯、总挥发性有机化合物(TVOC）符合绿色标杆产品要求，检测结果均为符合或合格，甲醛释放量达到 E</w:t>
            </w:r>
            <w:r>
              <w:rPr>
                <w:rFonts w:eastAsia="宋体"/>
                <w:b/>
                <w:bCs/>
                <w:color w:val="FF0000"/>
                <w:kern w:val="2"/>
                <w:sz w:val="21"/>
                <w:vertAlign w:val="subscript"/>
                <w:lang w:eastAsia="zh-CN"/>
              </w:rPr>
              <w:t>NF</w:t>
            </w:r>
            <w:r>
              <w:rPr>
                <w:rFonts w:hint="eastAsia" w:eastAsia="宋体"/>
                <w:b/>
                <w:bCs/>
                <w:color w:val="FF0000"/>
                <w:kern w:val="2"/>
                <w:sz w:val="21"/>
                <w:lang w:eastAsia="zh-CN"/>
              </w:rPr>
              <w:t>级。</w:t>
            </w:r>
          </w:p>
        </w:tc>
        <w:tc>
          <w:tcPr>
            <w:tcW w:w="1947" w:type="dxa"/>
            <w:vMerge w:val="continue"/>
          </w:tcPr>
          <w:p w14:paraId="60F7295E">
            <w:pPr>
              <w:widowControl w:val="0"/>
              <w:jc w:val="both"/>
              <w:rPr>
                <w:rFonts w:eastAsia="宋体"/>
                <w:kern w:val="2"/>
                <w:sz w:val="21"/>
                <w:lang w:eastAsia="zh-CN"/>
              </w:rPr>
            </w:pPr>
          </w:p>
        </w:tc>
      </w:tr>
      <w:tr w14:paraId="230F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6C0D2642">
            <w:pPr>
              <w:widowControl w:val="0"/>
              <w:jc w:val="both"/>
              <w:rPr>
                <w:rFonts w:eastAsia="宋体"/>
                <w:kern w:val="2"/>
                <w:sz w:val="21"/>
                <w:lang w:eastAsia="zh-CN"/>
              </w:rPr>
            </w:pPr>
          </w:p>
        </w:tc>
        <w:tc>
          <w:tcPr>
            <w:tcW w:w="1222" w:type="dxa"/>
            <w:vMerge w:val="continue"/>
            <w:vAlign w:val="center"/>
          </w:tcPr>
          <w:p w14:paraId="0C11A677">
            <w:pPr>
              <w:widowControl w:val="0"/>
              <w:jc w:val="both"/>
              <w:rPr>
                <w:rFonts w:eastAsia="宋体"/>
                <w:kern w:val="2"/>
                <w:sz w:val="21"/>
                <w:lang w:eastAsia="zh-CN"/>
              </w:rPr>
            </w:pPr>
          </w:p>
        </w:tc>
        <w:tc>
          <w:tcPr>
            <w:tcW w:w="6014" w:type="dxa"/>
            <w:vAlign w:val="center"/>
          </w:tcPr>
          <w:p w14:paraId="4A853A05">
            <w:pPr>
              <w:widowControl w:val="0"/>
              <w:jc w:val="both"/>
              <w:rPr>
                <w:rFonts w:eastAsia="宋体"/>
                <w:kern w:val="2"/>
                <w:sz w:val="21"/>
                <w:lang w:eastAsia="zh-CN"/>
              </w:rPr>
            </w:pPr>
            <w:r>
              <w:rPr>
                <w:rFonts w:hint="eastAsia" w:eastAsia="宋体"/>
                <w:kern w:val="2"/>
                <w:sz w:val="21"/>
                <w:lang w:eastAsia="zh-CN"/>
              </w:rPr>
              <w:t>3.4配置：书桌面采用斜边工艺处理，舒适性高及耐用。面板配有走线孔位及金属线孔盖φ60mm，需做封边处理。书柜竖板做圆角处理，台面下带金属加固支撑件与衣柜连接固定。台面下配抽屉掩门柜，规格400mm*450~600mm*725mm（尺寸偏差±10mm）。抽屉面及抽屉柜门做斜边工艺，方便开合。柜内带固定层板，配304不锈钢锁钩≥1.5mm 厚。衣柜柜内含层板（内侧固定层板，外侧活动层板，（也可根据采购方需求定制为整块活动层板）及φ25 圆管1.2mm厚304不锈钢挂衣棍，两头配有法兰方便拆卸。门板做斜边工艺，方便开合。门板中间带有磁吸。</w:t>
            </w:r>
          </w:p>
        </w:tc>
        <w:tc>
          <w:tcPr>
            <w:tcW w:w="1947" w:type="dxa"/>
            <w:vMerge w:val="continue"/>
          </w:tcPr>
          <w:p w14:paraId="03C74D0D">
            <w:pPr>
              <w:widowControl w:val="0"/>
              <w:jc w:val="both"/>
              <w:rPr>
                <w:rFonts w:eastAsia="宋体"/>
                <w:kern w:val="2"/>
                <w:sz w:val="21"/>
                <w:lang w:eastAsia="zh-CN"/>
              </w:rPr>
            </w:pPr>
          </w:p>
        </w:tc>
      </w:tr>
      <w:tr w14:paraId="24AE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7F2853DE">
            <w:pPr>
              <w:widowControl w:val="0"/>
              <w:jc w:val="both"/>
              <w:rPr>
                <w:rFonts w:eastAsia="宋体"/>
                <w:kern w:val="2"/>
                <w:sz w:val="21"/>
                <w:lang w:eastAsia="zh-CN"/>
              </w:rPr>
            </w:pPr>
          </w:p>
        </w:tc>
        <w:tc>
          <w:tcPr>
            <w:tcW w:w="1222" w:type="dxa"/>
            <w:vMerge w:val="continue"/>
            <w:vAlign w:val="center"/>
          </w:tcPr>
          <w:p w14:paraId="6CC66976">
            <w:pPr>
              <w:widowControl w:val="0"/>
              <w:jc w:val="both"/>
              <w:rPr>
                <w:rFonts w:eastAsia="宋体"/>
                <w:kern w:val="2"/>
                <w:sz w:val="21"/>
                <w:lang w:eastAsia="zh-CN"/>
              </w:rPr>
            </w:pPr>
          </w:p>
        </w:tc>
        <w:tc>
          <w:tcPr>
            <w:tcW w:w="6014" w:type="dxa"/>
            <w:vAlign w:val="center"/>
          </w:tcPr>
          <w:p w14:paraId="10D8B37C">
            <w:pPr>
              <w:widowControl w:val="0"/>
              <w:jc w:val="both"/>
              <w:rPr>
                <w:rFonts w:eastAsia="宋体"/>
                <w:kern w:val="2"/>
                <w:sz w:val="21"/>
                <w:lang w:eastAsia="zh-CN"/>
              </w:rPr>
            </w:pPr>
            <w:r>
              <w:rPr>
                <w:rFonts w:hint="eastAsia" w:eastAsia="宋体"/>
                <w:kern w:val="2"/>
                <w:sz w:val="21"/>
                <w:lang w:eastAsia="zh-CN"/>
              </w:rPr>
              <w:t>3.5 脚架：衣柜与书桌脚采用冷轧钢板滚压制而成 25mm*25mm*1.2mm 厚方管。表面焊接口平衡光滑，表面经除油、去锈，环氧树脂静电粉末高温固化而成。脚架底部配有防滑脚垫。</w:t>
            </w:r>
          </w:p>
        </w:tc>
        <w:tc>
          <w:tcPr>
            <w:tcW w:w="1947" w:type="dxa"/>
            <w:vMerge w:val="continue"/>
          </w:tcPr>
          <w:p w14:paraId="591317BE">
            <w:pPr>
              <w:widowControl w:val="0"/>
              <w:jc w:val="both"/>
              <w:rPr>
                <w:rFonts w:eastAsia="宋体"/>
                <w:kern w:val="2"/>
                <w:sz w:val="21"/>
                <w:lang w:eastAsia="zh-CN"/>
              </w:rPr>
            </w:pPr>
          </w:p>
        </w:tc>
      </w:tr>
      <w:tr w14:paraId="0F03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7E1CE898">
            <w:pPr>
              <w:widowControl w:val="0"/>
              <w:jc w:val="both"/>
              <w:rPr>
                <w:rFonts w:eastAsia="宋体"/>
                <w:kern w:val="2"/>
                <w:sz w:val="21"/>
                <w:lang w:eastAsia="zh-CN"/>
              </w:rPr>
            </w:pPr>
          </w:p>
        </w:tc>
        <w:tc>
          <w:tcPr>
            <w:tcW w:w="1222" w:type="dxa"/>
            <w:vMerge w:val="continue"/>
            <w:vAlign w:val="center"/>
          </w:tcPr>
          <w:p w14:paraId="7EFA1E69">
            <w:pPr>
              <w:widowControl w:val="0"/>
              <w:jc w:val="both"/>
              <w:rPr>
                <w:rFonts w:eastAsia="宋体"/>
                <w:kern w:val="2"/>
                <w:sz w:val="21"/>
                <w:lang w:eastAsia="zh-CN"/>
              </w:rPr>
            </w:pPr>
          </w:p>
        </w:tc>
        <w:tc>
          <w:tcPr>
            <w:tcW w:w="6014" w:type="dxa"/>
            <w:vAlign w:val="center"/>
          </w:tcPr>
          <w:p w14:paraId="7CA46995">
            <w:pPr>
              <w:widowControl w:val="0"/>
              <w:jc w:val="both"/>
              <w:rPr>
                <w:rFonts w:eastAsia="宋体"/>
                <w:kern w:val="2"/>
                <w:sz w:val="21"/>
                <w:lang w:eastAsia="zh-CN"/>
              </w:rPr>
            </w:pPr>
            <w:r>
              <w:rPr>
                <w:rFonts w:hint="eastAsia" w:eastAsia="宋体"/>
                <w:kern w:val="2"/>
                <w:sz w:val="21"/>
                <w:lang w:eastAsia="zh-CN"/>
              </w:rPr>
              <w:t xml:space="preserve">3.6 五金配件：三节静音阻尼导轨，阻尼导轨过载：垂直向下静载荷，水平侧向静载荷，猛关或猛开；功能：抽屉导轨组件结构强度，抽屉导轨组件底部变形，操作力，垂直向下静载荷，水平侧向静载荷，拉出安全性，下沉量，猛关或猛开；耐久性（试验次数≥80000次）需符合 QB/T </w:t>
            </w:r>
            <w:r>
              <w:rPr>
                <w:rFonts w:eastAsia="宋体"/>
                <w:kern w:val="2"/>
                <w:sz w:val="21"/>
                <w:lang w:eastAsia="zh-CN"/>
              </w:rPr>
              <w:t xml:space="preserve"> </w:t>
            </w:r>
            <w:r>
              <w:rPr>
                <w:rFonts w:hint="eastAsia" w:eastAsia="宋体"/>
                <w:kern w:val="2"/>
                <w:sz w:val="21"/>
                <w:lang w:eastAsia="zh-CN"/>
              </w:rPr>
              <w:t>2454-2013《家具五金抽屉导轨》标准商用要求；中性盐雾试验（≥ 120h）需符合 QB/T 3826-1999《轻工产品金属镀层和化学处理层的耐腐蚀试验方法中性盐雾试验(NSS)法》，QB/T 3832 -1999《轻工产品金属镀层腐蚀试验结果的评价》，检测结果达到9级或以上，三合一连接件的孔位贴防潮防水装饰盖，缓冲铰链，缓冲铰链过载：垂直静载荷、水平静载荷；功能：耐久性（≥80000次）；操作力，垂直静载荷，水平静载荷，下沉量需符合 QB/T 2189-2013《家具五金 杯状暗铰链》标准商用要求，中性盐雾试验（≥120h）需符合QB/T 3826-1999《轻工产品金属镀层和化学处理层的耐腐蚀试验方法中性盐雾试验(NSS)法》，QB/T 3832-1999《轻工产品金属镀层腐蚀试验结果的评价》，检测结果达到9级或以上，304不锈钢锁钩。</w:t>
            </w:r>
          </w:p>
        </w:tc>
        <w:tc>
          <w:tcPr>
            <w:tcW w:w="1947" w:type="dxa"/>
            <w:vMerge w:val="continue"/>
          </w:tcPr>
          <w:p w14:paraId="49E796DF">
            <w:pPr>
              <w:widowControl w:val="0"/>
              <w:jc w:val="both"/>
              <w:rPr>
                <w:rFonts w:eastAsia="宋体"/>
                <w:kern w:val="2"/>
                <w:sz w:val="21"/>
                <w:lang w:eastAsia="zh-CN"/>
              </w:rPr>
            </w:pPr>
          </w:p>
        </w:tc>
      </w:tr>
      <w:tr w14:paraId="1C291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14283949">
            <w:pPr>
              <w:widowControl w:val="0"/>
              <w:jc w:val="both"/>
              <w:rPr>
                <w:rFonts w:eastAsia="宋体"/>
                <w:kern w:val="2"/>
                <w:sz w:val="21"/>
                <w:lang w:eastAsia="zh-CN"/>
              </w:rPr>
            </w:pPr>
          </w:p>
        </w:tc>
        <w:tc>
          <w:tcPr>
            <w:tcW w:w="1222" w:type="dxa"/>
            <w:vMerge w:val="continue"/>
            <w:vAlign w:val="center"/>
          </w:tcPr>
          <w:p w14:paraId="68F9EA26">
            <w:pPr>
              <w:widowControl w:val="0"/>
              <w:jc w:val="both"/>
              <w:rPr>
                <w:rFonts w:eastAsia="宋体"/>
                <w:kern w:val="2"/>
                <w:sz w:val="21"/>
                <w:lang w:eastAsia="zh-CN"/>
              </w:rPr>
            </w:pPr>
          </w:p>
        </w:tc>
        <w:tc>
          <w:tcPr>
            <w:tcW w:w="6014" w:type="dxa"/>
            <w:vAlign w:val="center"/>
          </w:tcPr>
          <w:p w14:paraId="2D3B70E7">
            <w:pPr>
              <w:widowControl w:val="0"/>
              <w:jc w:val="both"/>
              <w:rPr>
                <w:rFonts w:eastAsia="宋体"/>
                <w:kern w:val="2"/>
                <w:sz w:val="21"/>
                <w:lang w:eastAsia="zh-CN"/>
              </w:rPr>
            </w:pPr>
            <w:r>
              <w:rPr>
                <w:rFonts w:hint="eastAsia" w:eastAsia="宋体"/>
                <w:kern w:val="2"/>
                <w:sz w:val="21"/>
                <w:lang w:eastAsia="zh-CN"/>
              </w:rPr>
              <w:t>3.7 颜色、款式：根据采购人需求制定。制作前深化结构图报采购人书面确认。</w:t>
            </w:r>
          </w:p>
        </w:tc>
        <w:tc>
          <w:tcPr>
            <w:tcW w:w="1947" w:type="dxa"/>
            <w:vMerge w:val="continue"/>
          </w:tcPr>
          <w:p w14:paraId="399FBDA4">
            <w:pPr>
              <w:widowControl w:val="0"/>
              <w:jc w:val="both"/>
              <w:rPr>
                <w:rFonts w:eastAsia="宋体"/>
                <w:kern w:val="2"/>
                <w:sz w:val="21"/>
                <w:lang w:eastAsia="zh-CN"/>
              </w:rPr>
            </w:pPr>
          </w:p>
        </w:tc>
      </w:tr>
      <w:tr w14:paraId="7E06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2AA4BE62">
            <w:pPr>
              <w:widowControl w:val="0"/>
              <w:jc w:val="both"/>
              <w:rPr>
                <w:rFonts w:eastAsia="宋体"/>
                <w:kern w:val="2"/>
                <w:sz w:val="21"/>
                <w:lang w:eastAsia="zh-CN"/>
              </w:rPr>
            </w:pPr>
          </w:p>
        </w:tc>
        <w:tc>
          <w:tcPr>
            <w:tcW w:w="1222" w:type="dxa"/>
            <w:vMerge w:val="continue"/>
            <w:vAlign w:val="center"/>
          </w:tcPr>
          <w:p w14:paraId="6DFD4CEE">
            <w:pPr>
              <w:widowControl w:val="0"/>
              <w:jc w:val="both"/>
              <w:rPr>
                <w:rFonts w:eastAsia="宋体"/>
                <w:kern w:val="2"/>
                <w:sz w:val="21"/>
                <w:lang w:eastAsia="zh-CN"/>
              </w:rPr>
            </w:pPr>
          </w:p>
        </w:tc>
        <w:tc>
          <w:tcPr>
            <w:tcW w:w="6014" w:type="dxa"/>
            <w:vAlign w:val="center"/>
          </w:tcPr>
          <w:p w14:paraId="52AF4E87">
            <w:pPr>
              <w:widowControl w:val="0"/>
              <w:jc w:val="both"/>
              <w:rPr>
                <w:rFonts w:eastAsia="宋体"/>
                <w:kern w:val="2"/>
                <w:sz w:val="21"/>
                <w:lang w:eastAsia="zh-CN"/>
              </w:rPr>
            </w:pPr>
            <w:r>
              <w:rPr>
                <w:rFonts w:hint="eastAsia" w:eastAsia="宋体"/>
                <w:kern w:val="2"/>
                <w:sz w:val="21"/>
                <w:lang w:eastAsia="zh-CN"/>
              </w:rPr>
              <w:t>3.8 成品：符合 GB/T 3324-</w:t>
            </w:r>
            <w:r>
              <w:rPr>
                <w:rFonts w:eastAsia="宋体"/>
                <w:kern w:val="2"/>
                <w:sz w:val="21"/>
                <w:lang w:eastAsia="zh-CN"/>
              </w:rPr>
              <w:t>2024</w:t>
            </w:r>
            <w:r>
              <w:rPr>
                <w:rFonts w:hint="eastAsia" w:eastAsia="宋体"/>
                <w:kern w:val="2"/>
                <w:sz w:val="21"/>
                <w:lang w:eastAsia="zh-CN"/>
              </w:rPr>
              <w:t>《木家具通用技术条件》，同时甲醛释放量、苯、甲苯、二甲苯、总挥发性有机化合物（TVOC）符合 GB/T 35607-2024《绿色产品评价家具》标准的绿色产品要求。</w:t>
            </w:r>
          </w:p>
        </w:tc>
        <w:tc>
          <w:tcPr>
            <w:tcW w:w="1947" w:type="dxa"/>
            <w:vMerge w:val="continue"/>
          </w:tcPr>
          <w:p w14:paraId="24DA9717">
            <w:pPr>
              <w:widowControl w:val="0"/>
              <w:jc w:val="both"/>
              <w:rPr>
                <w:rFonts w:eastAsia="宋体"/>
                <w:kern w:val="2"/>
                <w:sz w:val="21"/>
                <w:lang w:eastAsia="zh-CN"/>
              </w:rPr>
            </w:pPr>
          </w:p>
        </w:tc>
      </w:tr>
      <w:tr w14:paraId="59E8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restart"/>
            <w:vAlign w:val="center"/>
          </w:tcPr>
          <w:p w14:paraId="7FF7FDDF">
            <w:pPr>
              <w:widowControl w:val="0"/>
              <w:jc w:val="center"/>
              <w:rPr>
                <w:rFonts w:eastAsia="宋体"/>
                <w:kern w:val="2"/>
                <w:sz w:val="21"/>
                <w:lang w:eastAsia="zh-CN"/>
              </w:rPr>
            </w:pPr>
            <w:r>
              <w:rPr>
                <w:rFonts w:hint="eastAsia" w:eastAsia="宋体"/>
                <w:kern w:val="2"/>
                <w:sz w:val="21"/>
                <w:lang w:eastAsia="zh-CN"/>
              </w:rPr>
              <w:t>4</w:t>
            </w:r>
          </w:p>
        </w:tc>
        <w:tc>
          <w:tcPr>
            <w:tcW w:w="1222" w:type="dxa"/>
            <w:vMerge w:val="restart"/>
            <w:vAlign w:val="center"/>
          </w:tcPr>
          <w:p w14:paraId="002A0896">
            <w:pPr>
              <w:widowControl w:val="0"/>
              <w:jc w:val="center"/>
              <w:rPr>
                <w:rFonts w:ascii="仿宋" w:hAnsi="仿宋" w:eastAsia="仿宋"/>
                <w:b/>
                <w:kern w:val="2"/>
                <w:sz w:val="21"/>
                <w:lang w:eastAsia="zh-CN"/>
              </w:rPr>
            </w:pPr>
            <w:r>
              <w:rPr>
                <w:rFonts w:hint="eastAsia" w:eastAsia="宋体"/>
                <w:kern w:val="2"/>
                <w:sz w:val="21"/>
                <w:lang w:eastAsia="zh-CN"/>
              </w:rPr>
              <w:t>实木书椅</w:t>
            </w:r>
          </w:p>
        </w:tc>
        <w:tc>
          <w:tcPr>
            <w:tcW w:w="6014" w:type="dxa"/>
            <w:vAlign w:val="center"/>
          </w:tcPr>
          <w:p w14:paraId="24FE669B">
            <w:pPr>
              <w:widowControl w:val="0"/>
              <w:jc w:val="both"/>
              <w:rPr>
                <w:rFonts w:ascii="仿宋" w:hAnsi="仿宋" w:eastAsia="仿宋"/>
                <w:kern w:val="2"/>
                <w:sz w:val="21"/>
                <w:lang w:eastAsia="zh-CN"/>
              </w:rPr>
            </w:pPr>
            <w:r>
              <w:rPr>
                <w:rFonts w:hint="eastAsia" w:eastAsia="宋体"/>
                <w:kern w:val="2"/>
                <w:sz w:val="21"/>
                <w:lang w:eastAsia="zh-CN"/>
              </w:rPr>
              <w:t>4.1 参考规格（mm）：常规</w:t>
            </w:r>
          </w:p>
        </w:tc>
        <w:tc>
          <w:tcPr>
            <w:tcW w:w="1947" w:type="dxa"/>
            <w:vMerge w:val="restart"/>
          </w:tcPr>
          <w:p w14:paraId="7074B4A8">
            <w:pPr>
              <w:widowControl w:val="0"/>
              <w:jc w:val="both"/>
              <w:rPr>
                <w:rFonts w:eastAsia="宋体"/>
                <w:kern w:val="2"/>
                <w:sz w:val="21"/>
                <w:lang w:eastAsia="zh-CN"/>
              </w:rPr>
            </w:pPr>
          </w:p>
          <w:p w14:paraId="6E1006CB">
            <w:pPr>
              <w:widowControl w:val="0"/>
              <w:jc w:val="both"/>
              <w:rPr>
                <w:rFonts w:eastAsia="宋体"/>
                <w:kern w:val="2"/>
                <w:sz w:val="21"/>
                <w:lang w:eastAsia="zh-CN"/>
              </w:rPr>
            </w:pPr>
          </w:p>
          <w:p w14:paraId="30F23CF3">
            <w:pPr>
              <w:widowControl w:val="0"/>
              <w:jc w:val="both"/>
              <w:rPr>
                <w:rFonts w:eastAsia="宋体"/>
                <w:kern w:val="2"/>
                <w:sz w:val="21"/>
                <w:lang w:eastAsia="zh-CN"/>
              </w:rPr>
            </w:pPr>
          </w:p>
          <w:p w14:paraId="3D55E19B">
            <w:pPr>
              <w:widowControl w:val="0"/>
              <w:jc w:val="both"/>
              <w:rPr>
                <w:rFonts w:eastAsia="宋体"/>
                <w:kern w:val="2"/>
                <w:sz w:val="21"/>
                <w:lang w:eastAsia="zh-CN"/>
              </w:rPr>
            </w:pPr>
          </w:p>
          <w:p w14:paraId="57B139E3">
            <w:pPr>
              <w:widowControl w:val="0"/>
              <w:jc w:val="both"/>
              <w:rPr>
                <w:rFonts w:eastAsia="宋体"/>
                <w:color w:val="000000"/>
                <w:kern w:val="2"/>
                <w:sz w:val="22"/>
                <w:lang w:eastAsia="zh-CN"/>
              </w:rPr>
            </w:pPr>
            <w: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773430" cy="1173480"/>
                  <wp:effectExtent l="0" t="0" r="7620" b="7620"/>
                  <wp:wrapSquare wrapText="bothSides"/>
                  <wp:docPr id="17" name="Image 17"/>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597" cy="1173479"/>
                          </a:xfrm>
                          <a:prstGeom prst="rect">
                            <a:avLst/>
                          </a:prstGeom>
                        </pic:spPr>
                      </pic:pic>
                    </a:graphicData>
                  </a:graphic>
                </wp:anchor>
              </w:drawing>
            </w:r>
          </w:p>
        </w:tc>
      </w:tr>
      <w:tr w14:paraId="2084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66716CA5">
            <w:pPr>
              <w:widowControl w:val="0"/>
              <w:jc w:val="both"/>
              <w:rPr>
                <w:rFonts w:eastAsia="宋体"/>
                <w:kern w:val="2"/>
                <w:sz w:val="21"/>
                <w:lang w:eastAsia="zh-CN"/>
              </w:rPr>
            </w:pPr>
          </w:p>
        </w:tc>
        <w:tc>
          <w:tcPr>
            <w:tcW w:w="1222" w:type="dxa"/>
            <w:vMerge w:val="continue"/>
            <w:vAlign w:val="center"/>
          </w:tcPr>
          <w:p w14:paraId="4AD60A6A">
            <w:pPr>
              <w:widowControl w:val="0"/>
              <w:jc w:val="both"/>
              <w:rPr>
                <w:rFonts w:eastAsia="宋体"/>
                <w:kern w:val="2"/>
                <w:sz w:val="21"/>
                <w:lang w:eastAsia="zh-CN"/>
              </w:rPr>
            </w:pPr>
          </w:p>
        </w:tc>
        <w:tc>
          <w:tcPr>
            <w:tcW w:w="6014" w:type="dxa"/>
            <w:vAlign w:val="center"/>
          </w:tcPr>
          <w:p w14:paraId="5C97ABF3">
            <w:pPr>
              <w:widowControl w:val="0"/>
              <w:jc w:val="both"/>
              <w:rPr>
                <w:rFonts w:eastAsia="宋体"/>
                <w:kern w:val="2"/>
                <w:sz w:val="21"/>
                <w:lang w:eastAsia="zh-CN"/>
              </w:rPr>
            </w:pPr>
            <w:r>
              <w:rPr>
                <w:rFonts w:hint="eastAsia" w:eastAsia="宋体"/>
                <w:kern w:val="2"/>
                <w:sz w:val="21"/>
                <w:lang w:eastAsia="zh-CN"/>
              </w:rPr>
              <w:t>4.2基材：椅子整体采用白蜡木实木制作，榫卯结构。座板采用≥25mm 厚原木直拼木板制作而成（每块直拼板宽度≥60mm），椅背、脚架部件用单块白蜡木制作，无拼接。脚架上部分直径≥42mm，下部分直径≥35mm。椅背一体弧形结构，并结构稳固性。木制件外 观、含水率需符合：GB/T 3324-2024《木家具通用技术条件》，白蜡木鉴定结果需符合 GB/T 18513-2022《中国主要进口木材名称》(或 GB/T 16734-1997《中国主要木材名称》)。</w:t>
            </w:r>
          </w:p>
        </w:tc>
        <w:tc>
          <w:tcPr>
            <w:tcW w:w="1947" w:type="dxa"/>
            <w:vMerge w:val="continue"/>
          </w:tcPr>
          <w:p w14:paraId="7F302CBD">
            <w:pPr>
              <w:widowControl w:val="0"/>
              <w:jc w:val="both"/>
              <w:rPr>
                <w:rFonts w:eastAsia="宋体"/>
                <w:kern w:val="2"/>
                <w:sz w:val="21"/>
                <w:lang w:eastAsia="zh-CN"/>
              </w:rPr>
            </w:pPr>
          </w:p>
        </w:tc>
      </w:tr>
      <w:tr w14:paraId="49D6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0FD20E31">
            <w:pPr>
              <w:widowControl w:val="0"/>
              <w:jc w:val="both"/>
              <w:rPr>
                <w:rFonts w:eastAsia="宋体"/>
                <w:kern w:val="2"/>
                <w:sz w:val="21"/>
                <w:lang w:eastAsia="zh-CN"/>
              </w:rPr>
            </w:pPr>
          </w:p>
        </w:tc>
        <w:tc>
          <w:tcPr>
            <w:tcW w:w="1222" w:type="dxa"/>
            <w:vMerge w:val="continue"/>
            <w:vAlign w:val="center"/>
          </w:tcPr>
          <w:p w14:paraId="50E82E12">
            <w:pPr>
              <w:widowControl w:val="0"/>
              <w:jc w:val="both"/>
              <w:rPr>
                <w:rFonts w:eastAsia="宋体"/>
                <w:kern w:val="2"/>
                <w:sz w:val="21"/>
                <w:lang w:eastAsia="zh-CN"/>
              </w:rPr>
            </w:pPr>
          </w:p>
        </w:tc>
        <w:tc>
          <w:tcPr>
            <w:tcW w:w="6014" w:type="dxa"/>
            <w:vAlign w:val="center"/>
          </w:tcPr>
          <w:p w14:paraId="29694AA6">
            <w:pPr>
              <w:widowControl w:val="0"/>
              <w:jc w:val="both"/>
              <w:rPr>
                <w:rFonts w:eastAsia="宋体"/>
                <w:kern w:val="2"/>
                <w:sz w:val="21"/>
                <w:lang w:eastAsia="zh-CN"/>
              </w:rPr>
            </w:pPr>
            <w:r>
              <w:rPr>
                <w:rFonts w:hint="eastAsia" w:eastAsia="宋体"/>
                <w:kern w:val="2"/>
                <w:sz w:val="21"/>
                <w:lang w:eastAsia="zh-CN"/>
              </w:rPr>
              <w:t>4.3 环保水性漆喷涂，水性漆挥发性有机化合物(VOC)含量≤180g/L，甲醛含量（乙酰丙酮法）≤100mg/kg，苯、甲苯、乙苯和二甲苯的含量总和≤100mg/kg，乙二醇醚（乙二醇丁醚、乙二醇己醚、乙二醇苯醚、二乙二醇丁醚）含量总和≤4%，乙二醇醚酯（乙二醇丁醚醋酸酯、二乙二醇丁醚醋酸酯）含量总和≤1%，N 甲基吡咯烷酮（NMP）含量≤0.1%，N,N-二甲基甲酰胺（DMF）含量≤0.1%。重金属元素含量：铅（Pb）≤20mg/kg、镉（Cd）≤20mg/kg、六价铬（Cr</w:t>
            </w:r>
            <w:r>
              <w:rPr>
                <w:rFonts w:eastAsia="宋体"/>
                <w:kern w:val="2"/>
                <w:sz w:val="21"/>
                <w:vertAlign w:val="superscript"/>
                <w:lang w:eastAsia="zh-CN"/>
              </w:rPr>
              <w:t>6+</w:t>
            </w:r>
            <w:r>
              <w:rPr>
                <w:rFonts w:hint="eastAsia" w:eastAsia="宋体"/>
                <w:kern w:val="2"/>
                <w:sz w:val="21"/>
                <w:lang w:eastAsia="zh-CN"/>
              </w:rPr>
              <w:t>）≤20mg/kg、汞（Hg）≤20mg/kg、砷（As）≤20mg/kg、钡（Ba）≤100mg/kg、硒（Se）≤20mg/kg、锑（Sb）≤20mg/kg、钴（Co）≤20mg/kg，需符合 GB/T 35602-2017《绿色产品评价涂料》，半开放/封闭漆工艺，涂膜外观应符合相关标准要求。</w:t>
            </w:r>
          </w:p>
        </w:tc>
        <w:tc>
          <w:tcPr>
            <w:tcW w:w="1947" w:type="dxa"/>
            <w:vMerge w:val="continue"/>
          </w:tcPr>
          <w:p w14:paraId="119CA333">
            <w:pPr>
              <w:widowControl w:val="0"/>
              <w:jc w:val="both"/>
              <w:rPr>
                <w:rFonts w:eastAsia="宋体"/>
                <w:kern w:val="2"/>
                <w:sz w:val="21"/>
                <w:lang w:eastAsia="zh-CN"/>
              </w:rPr>
            </w:pPr>
          </w:p>
        </w:tc>
      </w:tr>
      <w:tr w14:paraId="20FA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3F3088AF">
            <w:pPr>
              <w:widowControl w:val="0"/>
              <w:jc w:val="both"/>
              <w:rPr>
                <w:rFonts w:eastAsia="宋体"/>
                <w:kern w:val="2"/>
                <w:sz w:val="21"/>
                <w:lang w:eastAsia="zh-CN"/>
              </w:rPr>
            </w:pPr>
          </w:p>
        </w:tc>
        <w:tc>
          <w:tcPr>
            <w:tcW w:w="1222" w:type="dxa"/>
            <w:vMerge w:val="continue"/>
            <w:vAlign w:val="center"/>
          </w:tcPr>
          <w:p w14:paraId="470CB924">
            <w:pPr>
              <w:widowControl w:val="0"/>
              <w:jc w:val="both"/>
              <w:rPr>
                <w:rFonts w:eastAsia="宋体"/>
                <w:kern w:val="2"/>
                <w:sz w:val="21"/>
                <w:lang w:eastAsia="zh-CN"/>
              </w:rPr>
            </w:pPr>
          </w:p>
        </w:tc>
        <w:tc>
          <w:tcPr>
            <w:tcW w:w="6014" w:type="dxa"/>
            <w:vAlign w:val="center"/>
          </w:tcPr>
          <w:p w14:paraId="3E429668">
            <w:pPr>
              <w:widowControl w:val="0"/>
              <w:jc w:val="both"/>
              <w:rPr>
                <w:rFonts w:eastAsia="宋体"/>
                <w:kern w:val="2"/>
                <w:sz w:val="21"/>
                <w:lang w:eastAsia="zh-CN"/>
              </w:rPr>
            </w:pPr>
            <w:r>
              <w:rPr>
                <w:rFonts w:hint="eastAsia" w:eastAsia="宋体"/>
                <w:kern w:val="2"/>
                <w:sz w:val="21"/>
                <w:lang w:eastAsia="zh-CN"/>
              </w:rPr>
              <w:t>4.4工艺结构：座椅面带弧度造型。座椅边缘带弧形结构，整体经过圆角打磨。靠背立柱中间大于上下两端。椅背整体造型为弧形设计。椅腿通过榫卯结构与底部加固实木条连接，实木条通过钉接方式固定于座板底部，整体实现椅腿与座板的稳固连接，用纵横锥形实木拉档加强加固连接。椅腿为锥形设计。椅脚底部配耐磨防滑PU脚垫。</w:t>
            </w:r>
          </w:p>
        </w:tc>
        <w:tc>
          <w:tcPr>
            <w:tcW w:w="1947" w:type="dxa"/>
            <w:vMerge w:val="continue"/>
          </w:tcPr>
          <w:p w14:paraId="52D77B31">
            <w:pPr>
              <w:widowControl w:val="0"/>
              <w:jc w:val="both"/>
              <w:rPr>
                <w:rFonts w:eastAsia="宋体"/>
                <w:kern w:val="2"/>
                <w:sz w:val="21"/>
                <w:lang w:eastAsia="zh-CN"/>
              </w:rPr>
            </w:pPr>
          </w:p>
        </w:tc>
      </w:tr>
      <w:tr w14:paraId="0231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7E5F080A">
            <w:pPr>
              <w:widowControl w:val="0"/>
              <w:jc w:val="both"/>
              <w:rPr>
                <w:rFonts w:eastAsia="宋体"/>
                <w:kern w:val="2"/>
                <w:sz w:val="21"/>
                <w:lang w:eastAsia="zh-CN"/>
              </w:rPr>
            </w:pPr>
          </w:p>
        </w:tc>
        <w:tc>
          <w:tcPr>
            <w:tcW w:w="1222" w:type="dxa"/>
            <w:vMerge w:val="continue"/>
            <w:vAlign w:val="center"/>
          </w:tcPr>
          <w:p w14:paraId="4940B773">
            <w:pPr>
              <w:widowControl w:val="0"/>
              <w:jc w:val="both"/>
              <w:rPr>
                <w:rFonts w:eastAsia="宋体"/>
                <w:kern w:val="2"/>
                <w:sz w:val="21"/>
                <w:lang w:eastAsia="zh-CN"/>
              </w:rPr>
            </w:pPr>
          </w:p>
        </w:tc>
        <w:tc>
          <w:tcPr>
            <w:tcW w:w="6014" w:type="dxa"/>
            <w:vAlign w:val="center"/>
          </w:tcPr>
          <w:p w14:paraId="39249E1E">
            <w:pPr>
              <w:widowControl w:val="0"/>
              <w:jc w:val="both"/>
              <w:rPr>
                <w:rFonts w:eastAsia="宋体"/>
                <w:kern w:val="2"/>
                <w:sz w:val="21"/>
                <w:lang w:eastAsia="zh-CN"/>
              </w:rPr>
            </w:pPr>
            <w:r>
              <w:rPr>
                <w:rFonts w:hint="eastAsia" w:eastAsia="宋体"/>
                <w:kern w:val="2"/>
                <w:sz w:val="21"/>
                <w:lang w:eastAsia="zh-CN"/>
              </w:rPr>
              <w:t>4.5 颜色、款式：根据采购人需求制定。制作前深化结构图报采购人书面确认。</w:t>
            </w:r>
          </w:p>
        </w:tc>
        <w:tc>
          <w:tcPr>
            <w:tcW w:w="1947" w:type="dxa"/>
            <w:vMerge w:val="continue"/>
          </w:tcPr>
          <w:p w14:paraId="30667B96">
            <w:pPr>
              <w:widowControl w:val="0"/>
              <w:jc w:val="both"/>
              <w:rPr>
                <w:rFonts w:eastAsia="宋体"/>
                <w:kern w:val="2"/>
                <w:sz w:val="21"/>
                <w:lang w:eastAsia="zh-CN"/>
              </w:rPr>
            </w:pPr>
          </w:p>
        </w:tc>
      </w:tr>
      <w:tr w14:paraId="7486F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36272B40">
            <w:pPr>
              <w:widowControl w:val="0"/>
              <w:jc w:val="both"/>
              <w:rPr>
                <w:rFonts w:eastAsia="宋体"/>
                <w:kern w:val="2"/>
                <w:sz w:val="21"/>
                <w:lang w:eastAsia="zh-CN"/>
              </w:rPr>
            </w:pPr>
          </w:p>
        </w:tc>
        <w:tc>
          <w:tcPr>
            <w:tcW w:w="1222" w:type="dxa"/>
            <w:vMerge w:val="continue"/>
            <w:vAlign w:val="center"/>
          </w:tcPr>
          <w:p w14:paraId="2605C13B">
            <w:pPr>
              <w:widowControl w:val="0"/>
              <w:jc w:val="both"/>
              <w:rPr>
                <w:rFonts w:eastAsia="宋体"/>
                <w:kern w:val="2"/>
                <w:sz w:val="21"/>
                <w:lang w:eastAsia="zh-CN"/>
              </w:rPr>
            </w:pPr>
          </w:p>
        </w:tc>
        <w:tc>
          <w:tcPr>
            <w:tcW w:w="6014" w:type="dxa"/>
            <w:vAlign w:val="center"/>
          </w:tcPr>
          <w:p w14:paraId="22CEED57">
            <w:pPr>
              <w:widowControl w:val="0"/>
              <w:jc w:val="both"/>
              <w:rPr>
                <w:rFonts w:eastAsia="宋体"/>
                <w:kern w:val="2"/>
                <w:sz w:val="21"/>
                <w:lang w:eastAsia="zh-CN"/>
              </w:rPr>
            </w:pPr>
            <w:r>
              <w:rPr>
                <w:rFonts w:hint="eastAsia" w:eastAsia="宋体"/>
                <w:kern w:val="2"/>
                <w:sz w:val="21"/>
                <w:lang w:eastAsia="zh-CN"/>
              </w:rPr>
              <w:t>4.6 成品：符合 GB/T 3324-</w:t>
            </w:r>
            <w:r>
              <w:rPr>
                <w:rFonts w:eastAsia="宋体"/>
                <w:kern w:val="2"/>
                <w:sz w:val="21"/>
                <w:lang w:eastAsia="zh-CN"/>
              </w:rPr>
              <w:t>2024</w:t>
            </w:r>
            <w:r>
              <w:rPr>
                <w:rFonts w:hint="eastAsia" w:eastAsia="宋体"/>
                <w:kern w:val="2"/>
                <w:sz w:val="21"/>
                <w:lang w:eastAsia="zh-CN"/>
              </w:rPr>
              <w:t>《木家具通用技术条件》，同时甲醛释放量、苯、甲苯、二甲苯、总挥发性有机化合物（TVOC）符合 GB/T 35607-2024《绿色产品评价家具》标准的绿色产品要求。</w:t>
            </w:r>
          </w:p>
        </w:tc>
        <w:tc>
          <w:tcPr>
            <w:tcW w:w="1947" w:type="dxa"/>
            <w:vMerge w:val="continue"/>
          </w:tcPr>
          <w:p w14:paraId="336C26C9">
            <w:pPr>
              <w:widowControl w:val="0"/>
              <w:jc w:val="both"/>
              <w:rPr>
                <w:rFonts w:eastAsia="宋体"/>
                <w:kern w:val="2"/>
                <w:sz w:val="21"/>
                <w:lang w:eastAsia="zh-CN"/>
              </w:rPr>
            </w:pPr>
          </w:p>
        </w:tc>
      </w:tr>
    </w:tbl>
    <w:p w14:paraId="25169586">
      <w:pPr>
        <w:widowControl w:val="0"/>
        <w:spacing w:line="360" w:lineRule="auto"/>
        <w:jc w:val="both"/>
        <w:rPr>
          <w:rFonts w:eastAsia="宋体"/>
          <w:b/>
          <w:bCs/>
          <w:color w:val="FF0000"/>
          <w:kern w:val="2"/>
          <w:szCs w:val="21"/>
          <w:lang w:eastAsia="zh-CN"/>
        </w:rPr>
      </w:pPr>
    </w:p>
    <w:p w14:paraId="11E0E95F">
      <w:pPr>
        <w:widowControl w:val="0"/>
        <w:jc w:val="both"/>
        <w:rPr>
          <w:rFonts w:eastAsia="宋体"/>
          <w:kern w:val="2"/>
          <w:sz w:val="21"/>
          <w:lang w:eastAsia="zh-CN"/>
        </w:rPr>
      </w:pPr>
      <w:r>
        <w:rPr>
          <w:rFonts w:hint="eastAsia" w:eastAsia="宋体"/>
          <w:kern w:val="2"/>
          <w:sz w:val="21"/>
          <w:lang w:eastAsia="zh-CN"/>
        </w:rPr>
        <w:br w:type="page"/>
      </w:r>
    </w:p>
    <w:p w14:paraId="0E25F757">
      <w:pPr>
        <w:keepNext/>
        <w:keepLines/>
        <w:widowControl w:val="0"/>
        <w:adjustRightInd w:val="0"/>
        <w:spacing w:before="260" w:after="260" w:line="240" w:lineRule="auto"/>
        <w:jc w:val="center"/>
        <w:textAlignment w:val="baseline"/>
        <w:outlineLvl w:val="1"/>
        <w:rPr>
          <w:rFonts w:ascii="宋体" w:hAnsi="宋体" w:eastAsia="宋体"/>
          <w:b/>
          <w:bCs/>
          <w:szCs w:val="20"/>
          <w:lang w:eastAsia="zh-CN"/>
        </w:rPr>
      </w:pPr>
      <w:r>
        <w:rPr>
          <w:rFonts w:hint="eastAsia" w:ascii="宋体" w:hAnsi="宋体" w:eastAsia="宋体"/>
          <w:b/>
          <w:bCs/>
          <w:szCs w:val="20"/>
          <w:lang w:eastAsia="zh-CN"/>
        </w:rPr>
        <w:t>五、商务要求</w:t>
      </w:r>
    </w:p>
    <w:p w14:paraId="1C61B442">
      <w:pPr>
        <w:widowControl w:val="0"/>
        <w:jc w:val="both"/>
        <w:rPr>
          <w:rFonts w:eastAsia="宋体"/>
          <w:b/>
          <w:bCs/>
          <w:kern w:val="2"/>
          <w:sz w:val="21"/>
          <w:lang w:eastAsia="zh-CN"/>
        </w:rPr>
      </w:pPr>
      <w:r>
        <w:rPr>
          <w:rFonts w:hint="eastAsia" w:eastAsia="宋体"/>
          <w:b/>
          <w:bCs/>
          <w:kern w:val="2"/>
          <w:sz w:val="21"/>
          <w:szCs w:val="21"/>
          <w:lang w:eastAsia="zh-CN"/>
        </w:rPr>
        <w:t>说明：</w:t>
      </w:r>
      <w:r>
        <w:rPr>
          <w:rFonts w:eastAsia="宋体"/>
          <w:b/>
          <w:bCs/>
          <w:kern w:val="2"/>
          <w:sz w:val="21"/>
          <w:lang w:eastAsia="zh-CN"/>
        </w:rPr>
        <w:t>1</w:t>
      </w:r>
      <w:r>
        <w:rPr>
          <w:rFonts w:hint="eastAsia" w:eastAsia="宋体"/>
          <w:b/>
          <w:bCs/>
          <w:kern w:val="2"/>
          <w:sz w:val="21"/>
          <w:lang w:eastAsia="zh-CN"/>
        </w:rPr>
        <w:t>、评分时，如对一项招标商务要求（以划分框为准）中的内容存在两处（或以上）负偏离的，在评分时只作一项负偏离扣分。</w:t>
      </w:r>
    </w:p>
    <w:p w14:paraId="0CD3A65A">
      <w:pPr>
        <w:widowControl w:val="0"/>
        <w:jc w:val="both"/>
        <w:rPr>
          <w:rFonts w:eastAsia="宋体"/>
          <w:b/>
          <w:bCs/>
          <w:color w:val="FF0000"/>
          <w:kern w:val="2"/>
          <w:sz w:val="21"/>
          <w:szCs w:val="21"/>
          <w:lang w:eastAsia="zh-CN"/>
        </w:rPr>
      </w:pPr>
      <w:r>
        <w:rPr>
          <w:rFonts w:eastAsia="宋体"/>
          <w:b/>
          <w:bCs/>
          <w:kern w:val="2"/>
          <w:sz w:val="21"/>
          <w:lang w:eastAsia="zh-CN"/>
        </w:rPr>
        <w:t>2</w:t>
      </w:r>
      <w:r>
        <w:rPr>
          <w:rFonts w:hint="eastAsia" w:eastAsia="宋体"/>
          <w:b/>
          <w:bCs/>
          <w:kern w:val="2"/>
          <w:sz w:val="21"/>
          <w:lang w:eastAsia="zh-CN"/>
        </w:rPr>
        <w:t>、带★号条款为不可偏离条款，不作为评分准则中的评分内容，如未响应或出现负偏离的，将作投标无效处理；带“</w:t>
      </w:r>
      <w:r>
        <w:rPr>
          <w:rFonts w:eastAsia="宋体"/>
          <w:b/>
          <w:bCs/>
          <w:kern w:val="2"/>
          <w:sz w:val="21"/>
          <w:lang w:eastAsia="zh-CN"/>
        </w:rPr>
        <w:t>▲</w:t>
      </w:r>
      <w:r>
        <w:rPr>
          <w:rFonts w:hint="eastAsia" w:eastAsia="宋体"/>
          <w:b/>
          <w:bCs/>
          <w:kern w:val="2"/>
          <w:sz w:val="21"/>
          <w:lang w:eastAsia="zh-CN"/>
        </w:rPr>
        <w:t>”指标项为重要参数，负偏离时依相关评分准则内容作重点扣分处理。</w:t>
      </w:r>
    </w:p>
    <w:bookmarkEnd w:id="36"/>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352"/>
        <w:gridCol w:w="6831"/>
      </w:tblGrid>
      <w:tr w14:paraId="7D47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7" w:type="dxa"/>
            <w:vAlign w:val="center"/>
          </w:tcPr>
          <w:p w14:paraId="796D3F3D">
            <w:pPr>
              <w:widowControl w:val="0"/>
              <w:jc w:val="center"/>
              <w:rPr>
                <w:rFonts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序号</w:t>
            </w:r>
          </w:p>
        </w:tc>
        <w:tc>
          <w:tcPr>
            <w:tcW w:w="1458" w:type="dxa"/>
            <w:vAlign w:val="center"/>
          </w:tcPr>
          <w:p w14:paraId="389A7416">
            <w:pPr>
              <w:widowControl w:val="0"/>
              <w:jc w:val="center"/>
              <w:rPr>
                <w:rFonts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商务需求项</w:t>
            </w:r>
          </w:p>
        </w:tc>
        <w:tc>
          <w:tcPr>
            <w:tcW w:w="7457" w:type="dxa"/>
            <w:vAlign w:val="center"/>
          </w:tcPr>
          <w:p w14:paraId="2E8E3859">
            <w:pPr>
              <w:widowControl w:val="0"/>
              <w:jc w:val="center"/>
              <w:rPr>
                <w:rFonts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招标商务要求</w:t>
            </w:r>
          </w:p>
        </w:tc>
      </w:tr>
      <w:tr w14:paraId="4EE94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792" w:type="dxa"/>
            <w:gridSpan w:val="3"/>
          </w:tcPr>
          <w:p w14:paraId="2184F7E2">
            <w:pPr>
              <w:widowControl w:val="0"/>
              <w:jc w:val="both"/>
              <w:rPr>
                <w:rFonts w:ascii="宋体" w:hAnsi="宋体" w:eastAsia="宋体" w:cs="宋体"/>
                <w:kern w:val="2"/>
                <w:sz w:val="21"/>
                <w:szCs w:val="21"/>
                <w:lang w:eastAsia="zh-CN"/>
              </w:rPr>
            </w:pPr>
            <w:r>
              <w:rPr>
                <w:rFonts w:hint="eastAsia" w:ascii="宋体" w:hAnsi="宋体" w:eastAsia="宋体" w:cs="宋体"/>
                <w:b/>
                <w:bCs/>
                <w:kern w:val="2"/>
                <w:sz w:val="21"/>
                <w:szCs w:val="21"/>
                <w:lang w:eastAsia="zh-CN"/>
              </w:rPr>
              <w:t>（一）免费保修期内售后服务要求</w:t>
            </w:r>
          </w:p>
        </w:tc>
      </w:tr>
      <w:tr w14:paraId="72D4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877" w:type="dxa"/>
            <w:vAlign w:val="center"/>
          </w:tcPr>
          <w:p w14:paraId="42C95BE0">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1</w:t>
            </w:r>
          </w:p>
        </w:tc>
        <w:tc>
          <w:tcPr>
            <w:tcW w:w="1458" w:type="dxa"/>
            <w:vAlign w:val="center"/>
          </w:tcPr>
          <w:p w14:paraId="2B72C0C0">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维修响应及故障解决时间</w:t>
            </w:r>
          </w:p>
        </w:tc>
        <w:tc>
          <w:tcPr>
            <w:tcW w:w="7457" w:type="dxa"/>
          </w:tcPr>
          <w:p w14:paraId="7D5C2702">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在免费保修期内，一旦发生质量问题，中标人保证在接到通知2小时响应，48小时内派人到用户产品使用现场进行免费修理或更换。中标人如在派人到现场后48小时内仍不能修复有关产品，应在5个日历日内提供与该产品同一型号的备用产品，由此给采购人造成的损失，应负责赔偿。</w:t>
            </w:r>
          </w:p>
          <w:p w14:paraId="5FB97492">
            <w:pPr>
              <w:widowControl w:val="0"/>
              <w:jc w:val="both"/>
              <w:rPr>
                <w:rFonts w:ascii="宋体" w:hAnsi="宋体" w:eastAsia="宋体" w:cs="宋体"/>
                <w:b/>
                <w:kern w:val="2"/>
                <w:sz w:val="21"/>
                <w:szCs w:val="21"/>
                <w:lang w:eastAsia="zh-CN"/>
              </w:rPr>
            </w:pPr>
            <w:r>
              <w:rPr>
                <w:rFonts w:hint="eastAsia" w:ascii="宋体" w:hAnsi="宋体" w:eastAsia="宋体" w:cs="宋体"/>
                <w:kern w:val="2"/>
                <w:sz w:val="21"/>
                <w:szCs w:val="21"/>
                <w:lang w:eastAsia="zh-CN"/>
              </w:rPr>
              <w:t>免费保修期内产生的一切费用均由中标人承担，并赔偿因质量问题造成的损失。</w:t>
            </w:r>
          </w:p>
        </w:tc>
      </w:tr>
      <w:tr w14:paraId="6C6A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77" w:type="dxa"/>
            <w:vAlign w:val="center"/>
          </w:tcPr>
          <w:p w14:paraId="360E6AF5">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2</w:t>
            </w:r>
          </w:p>
        </w:tc>
        <w:tc>
          <w:tcPr>
            <w:tcW w:w="1458" w:type="dxa"/>
            <w:vAlign w:val="center"/>
          </w:tcPr>
          <w:p w14:paraId="7C7FBD41">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免费保修期</w:t>
            </w:r>
          </w:p>
        </w:tc>
        <w:tc>
          <w:tcPr>
            <w:tcW w:w="7457" w:type="dxa"/>
          </w:tcPr>
          <w:p w14:paraId="117DEB43">
            <w:pPr>
              <w:widowControl w:val="0"/>
              <w:jc w:val="both"/>
              <w:rPr>
                <w:rFonts w:ascii="宋体" w:hAnsi="宋体" w:eastAsia="宋体" w:cs="宋体"/>
                <w:b/>
                <w:kern w:val="2"/>
                <w:sz w:val="21"/>
                <w:szCs w:val="21"/>
                <w:lang w:eastAsia="zh-CN"/>
              </w:rPr>
            </w:pPr>
            <w:r>
              <w:rPr>
                <w:rFonts w:hint="eastAsia" w:ascii="宋体" w:hAnsi="宋体" w:eastAsia="宋体" w:cs="宋体"/>
                <w:kern w:val="2"/>
                <w:sz w:val="21"/>
                <w:szCs w:val="21"/>
                <w:lang w:eastAsia="zh-CN"/>
              </w:rPr>
              <w:t>★免费保修期: 8年，自最终验收合格之日（以验收报告合格签字为标准）起计算。免费保修期内，中标人向采购人提供免费上门保修服务，且提供免费原厂配件更换。</w:t>
            </w:r>
          </w:p>
        </w:tc>
      </w:tr>
      <w:tr w14:paraId="1466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877" w:type="dxa"/>
            <w:vAlign w:val="center"/>
          </w:tcPr>
          <w:p w14:paraId="139BD913">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3</w:t>
            </w:r>
          </w:p>
        </w:tc>
        <w:tc>
          <w:tcPr>
            <w:tcW w:w="1458" w:type="dxa"/>
            <w:vAlign w:val="center"/>
          </w:tcPr>
          <w:p w14:paraId="6CF33755">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其他</w:t>
            </w:r>
          </w:p>
        </w:tc>
        <w:tc>
          <w:tcPr>
            <w:tcW w:w="7457" w:type="dxa"/>
          </w:tcPr>
          <w:p w14:paraId="09577F2C">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中标人应按其投标文件中的承诺，进行其他售后服务工作。</w:t>
            </w:r>
          </w:p>
        </w:tc>
      </w:tr>
      <w:tr w14:paraId="41B6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9792" w:type="dxa"/>
            <w:gridSpan w:val="3"/>
            <w:vAlign w:val="center"/>
          </w:tcPr>
          <w:p w14:paraId="7AC57C6A">
            <w:pPr>
              <w:widowControl w:val="0"/>
              <w:jc w:val="both"/>
              <w:rPr>
                <w:rFonts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（二）免费保修期外售后服务要求</w:t>
            </w:r>
          </w:p>
        </w:tc>
      </w:tr>
      <w:tr w14:paraId="614E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Align w:val="center"/>
          </w:tcPr>
          <w:p w14:paraId="54457258">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1</w:t>
            </w:r>
          </w:p>
        </w:tc>
        <w:tc>
          <w:tcPr>
            <w:tcW w:w="1458" w:type="dxa"/>
            <w:vAlign w:val="center"/>
          </w:tcPr>
          <w:p w14:paraId="7BA694B8">
            <w:pPr>
              <w:widowControl w:val="0"/>
              <w:jc w:val="center"/>
              <w:rPr>
                <w:rFonts w:ascii="宋体" w:hAnsi="宋体" w:eastAsia="宋体" w:cs="宋体"/>
                <w:color w:val="000000"/>
                <w:kern w:val="2"/>
                <w:sz w:val="21"/>
                <w:szCs w:val="21"/>
                <w:lang w:eastAsia="zh-CN"/>
              </w:rPr>
            </w:pPr>
            <w:r>
              <w:rPr>
                <w:rFonts w:hint="eastAsia" w:ascii="宋体" w:hAnsi="宋体" w:eastAsia="宋体" w:cs="宋体"/>
                <w:bCs/>
                <w:kern w:val="2"/>
                <w:sz w:val="21"/>
                <w:szCs w:val="21"/>
                <w:lang w:eastAsia="zh-CN"/>
              </w:rPr>
              <w:t>维保期外</w:t>
            </w:r>
          </w:p>
        </w:tc>
        <w:tc>
          <w:tcPr>
            <w:tcW w:w="7457" w:type="dxa"/>
            <w:vAlign w:val="center"/>
          </w:tcPr>
          <w:p w14:paraId="1F73F06E">
            <w:pPr>
              <w:widowControl w:val="0"/>
              <w:jc w:val="both"/>
              <w:rPr>
                <w:rFonts w:ascii="宋体" w:hAnsi="宋体" w:eastAsia="宋体" w:cs="宋体"/>
                <w:b/>
                <w:kern w:val="2"/>
                <w:sz w:val="21"/>
                <w:szCs w:val="21"/>
                <w:lang w:eastAsia="zh-CN"/>
              </w:rPr>
            </w:pPr>
            <w:r>
              <w:rPr>
                <w:rFonts w:hint="eastAsia" w:ascii="宋体" w:hAnsi="宋体" w:eastAsia="宋体" w:cs="宋体"/>
                <w:kern w:val="2"/>
                <w:sz w:val="21"/>
                <w:szCs w:val="21"/>
                <w:lang w:eastAsia="zh-CN"/>
              </w:rPr>
              <w:t>免费保修期后，定期对产品进行维护保养及正常的零部件维修，需要更换零部件的，只收取零部件成本费用。保修期外的产品维修费用的支付应先维修后付款。零配件的购买应先交货后付款。</w:t>
            </w:r>
          </w:p>
        </w:tc>
      </w:tr>
      <w:tr w14:paraId="27475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792" w:type="dxa"/>
            <w:gridSpan w:val="3"/>
            <w:vAlign w:val="center"/>
          </w:tcPr>
          <w:p w14:paraId="7039B066">
            <w:pPr>
              <w:widowControl w:val="0"/>
              <w:jc w:val="both"/>
              <w:rPr>
                <w:rFonts w:ascii="宋体" w:hAnsi="宋体" w:eastAsia="宋体" w:cs="宋体"/>
                <w:kern w:val="2"/>
                <w:sz w:val="21"/>
                <w:szCs w:val="21"/>
                <w:lang w:eastAsia="zh-CN"/>
              </w:rPr>
            </w:pPr>
            <w:r>
              <w:rPr>
                <w:rFonts w:hint="eastAsia" w:ascii="宋体" w:hAnsi="宋体" w:eastAsia="宋体" w:cs="宋体"/>
                <w:b/>
                <w:bCs/>
                <w:kern w:val="2"/>
                <w:sz w:val="21"/>
                <w:szCs w:val="21"/>
                <w:lang w:eastAsia="zh-CN"/>
              </w:rPr>
              <w:t>（三）其他商务要求</w:t>
            </w:r>
          </w:p>
        </w:tc>
      </w:tr>
      <w:tr w14:paraId="7107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Merge w:val="restart"/>
            <w:vAlign w:val="center"/>
          </w:tcPr>
          <w:p w14:paraId="1DE6C035">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1</w:t>
            </w:r>
          </w:p>
        </w:tc>
        <w:tc>
          <w:tcPr>
            <w:tcW w:w="1458" w:type="dxa"/>
            <w:vMerge w:val="restart"/>
            <w:vAlign w:val="center"/>
          </w:tcPr>
          <w:p w14:paraId="11362A1E">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违约责任</w:t>
            </w:r>
          </w:p>
        </w:tc>
        <w:tc>
          <w:tcPr>
            <w:tcW w:w="7457" w:type="dxa"/>
          </w:tcPr>
          <w:p w14:paraId="0B7007B9">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★1.1 合同生效后，中标人应当按照采购人的时间要求完成交货，如不能在规定时间完成交货，在原定交货时间基础上最长给予中标人 5 个日历日的顺延，如中标人在 5 个日历日或再次确定的交货时间届满后（以先到期的时间为准）仍无法按照合同约定逾期交付产品的，视为中标人逾期，中标人应自原约定交货时间之日起算，每日支付逾期交货部分金额 0.3%的违约金，并视为中标人已构成严重逾期交货违约。</w:t>
            </w:r>
          </w:p>
          <w:p w14:paraId="6281B141">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 xml:space="preserve">在中标人构成严重逾期交货违约的情况下，除继续计算逾期交付违约金外，采购人有权选择采取以下措施向中标人主张违约责任，或选择直接解除合同： </w:t>
            </w:r>
          </w:p>
          <w:p w14:paraId="0B5A75AA">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采购人选择主张违约责任的，终止合同履行，但保留已交付且通过采购人验收对应部分产品的，将在合同总价中扣除中标人未交付产品金额，未交付的产品无需再交付，中标人不得再向采购人主张任何与未交付产品相关的任何费用，且中标人须向采购人支付未交付产品 15%的违约金，同时须支付采购人重新采购该项未交付产品的采购差价（即重新采购后价格高于中标人未交付产品价格的差额），并按采购人主管部门相关规定处理。</w:t>
            </w:r>
          </w:p>
          <w:p w14:paraId="3C18D27A">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如采购人选择解除合同，全部退还产品的，采购人有权要求中标人退还已支付所有款项，不再支付任何剩余款项，没收履约保证金，并退还所有中标人已提供的产品（由中标人自行在采购人指定的时间内拆除搬离），未交付的产品无需再交付，中标人不得再向采购人主张任何与本次采购产品相关的任何费用，解除合同后 5 个日历日内，中标人须向采购人支付合同总价 15%的违约金，并按采购人主管部门相关规定处理。</w:t>
            </w:r>
          </w:p>
        </w:tc>
      </w:tr>
      <w:tr w14:paraId="3B4E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77" w:type="dxa"/>
            <w:vMerge w:val="continue"/>
            <w:vAlign w:val="center"/>
          </w:tcPr>
          <w:p w14:paraId="3DCA7EB6">
            <w:pPr>
              <w:widowControl w:val="0"/>
              <w:jc w:val="center"/>
              <w:rPr>
                <w:rFonts w:ascii="宋体" w:hAnsi="宋体" w:eastAsia="宋体" w:cs="宋体"/>
                <w:kern w:val="2"/>
                <w:sz w:val="21"/>
                <w:szCs w:val="21"/>
                <w:lang w:eastAsia="zh-CN"/>
              </w:rPr>
            </w:pPr>
          </w:p>
        </w:tc>
        <w:tc>
          <w:tcPr>
            <w:tcW w:w="1458" w:type="dxa"/>
            <w:vMerge w:val="continue"/>
            <w:vAlign w:val="center"/>
          </w:tcPr>
          <w:p w14:paraId="320F2962">
            <w:pPr>
              <w:widowControl w:val="0"/>
              <w:jc w:val="center"/>
              <w:rPr>
                <w:rFonts w:ascii="宋体" w:hAnsi="宋体" w:eastAsia="宋体" w:cs="宋体"/>
                <w:kern w:val="2"/>
                <w:sz w:val="21"/>
                <w:szCs w:val="21"/>
                <w:lang w:eastAsia="zh-CN"/>
              </w:rPr>
            </w:pPr>
          </w:p>
        </w:tc>
        <w:tc>
          <w:tcPr>
            <w:tcW w:w="7457" w:type="dxa"/>
          </w:tcPr>
          <w:p w14:paraId="1F956E90">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1.2 有以下情况之一的，采购人将按主管部门相关规定处理：</w:t>
            </w:r>
          </w:p>
          <w:p w14:paraId="649517F9">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（1）中标人所交付的产品品种、型号、规格、质量不符合同规定标准的，供货的材料不是招标文件中约定的原材料的，采购人有权拒绝收货；</w:t>
            </w:r>
          </w:p>
          <w:p w14:paraId="295F0EBA">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（2）中标人不能依约提供技术服务或单方终止合同；</w:t>
            </w:r>
          </w:p>
          <w:p w14:paraId="3A3D3BFD">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有以上情况之一，按照1.1的第（2）条约定行使解除合同，退还全部货物，并追究中标人违约责任之权利。</w:t>
            </w:r>
          </w:p>
        </w:tc>
      </w:tr>
      <w:tr w14:paraId="5398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Merge w:val="continue"/>
            <w:vAlign w:val="center"/>
          </w:tcPr>
          <w:p w14:paraId="6ACD8BA5">
            <w:pPr>
              <w:widowControl w:val="0"/>
              <w:jc w:val="center"/>
              <w:rPr>
                <w:rFonts w:ascii="宋体" w:hAnsi="宋体" w:eastAsia="宋体" w:cs="宋体"/>
                <w:kern w:val="2"/>
                <w:sz w:val="21"/>
                <w:szCs w:val="21"/>
                <w:lang w:eastAsia="zh-CN"/>
              </w:rPr>
            </w:pPr>
          </w:p>
        </w:tc>
        <w:tc>
          <w:tcPr>
            <w:tcW w:w="1458" w:type="dxa"/>
            <w:vMerge w:val="continue"/>
            <w:vAlign w:val="center"/>
          </w:tcPr>
          <w:p w14:paraId="5CB6CC54">
            <w:pPr>
              <w:widowControl w:val="0"/>
              <w:jc w:val="center"/>
              <w:rPr>
                <w:rFonts w:ascii="宋体" w:hAnsi="宋体" w:eastAsia="宋体" w:cs="宋体"/>
                <w:kern w:val="2"/>
                <w:sz w:val="21"/>
                <w:szCs w:val="21"/>
                <w:lang w:eastAsia="zh-CN"/>
              </w:rPr>
            </w:pPr>
          </w:p>
        </w:tc>
        <w:tc>
          <w:tcPr>
            <w:tcW w:w="7457" w:type="dxa"/>
          </w:tcPr>
          <w:p w14:paraId="2A4725BB">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1.3 中标人交付的产品存在采购人验收人员在验收时无法肉眼现场发现的质量问题，包括但不限于产品技术质量问题、使用后才能发现的问题、专业仪器检测才能发现的问题、假冒产品经原厂或专业部门检测后发现的问题等，采购人有权要求中标人在免费保修期内免费换货或退货，中标人需向采购人支付由于中标人行为给采购人造成的损失，并按主管部门相关规定处理。</w:t>
            </w:r>
          </w:p>
        </w:tc>
      </w:tr>
      <w:tr w14:paraId="6E27B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77" w:type="dxa"/>
            <w:vMerge w:val="continue"/>
            <w:vAlign w:val="center"/>
          </w:tcPr>
          <w:p w14:paraId="06D002B3">
            <w:pPr>
              <w:widowControl w:val="0"/>
              <w:jc w:val="center"/>
              <w:rPr>
                <w:rFonts w:ascii="宋体" w:hAnsi="宋体" w:eastAsia="宋体" w:cs="宋体"/>
                <w:kern w:val="2"/>
                <w:sz w:val="21"/>
                <w:szCs w:val="21"/>
                <w:lang w:eastAsia="zh-CN"/>
              </w:rPr>
            </w:pPr>
          </w:p>
        </w:tc>
        <w:tc>
          <w:tcPr>
            <w:tcW w:w="1458" w:type="dxa"/>
            <w:vMerge w:val="continue"/>
            <w:vAlign w:val="center"/>
          </w:tcPr>
          <w:p w14:paraId="31216280">
            <w:pPr>
              <w:widowControl w:val="0"/>
              <w:jc w:val="center"/>
              <w:rPr>
                <w:rFonts w:ascii="宋体" w:hAnsi="宋体" w:eastAsia="宋体" w:cs="宋体"/>
                <w:kern w:val="2"/>
                <w:sz w:val="21"/>
                <w:szCs w:val="21"/>
                <w:lang w:eastAsia="zh-CN"/>
              </w:rPr>
            </w:pPr>
          </w:p>
        </w:tc>
        <w:tc>
          <w:tcPr>
            <w:tcW w:w="7457" w:type="dxa"/>
          </w:tcPr>
          <w:p w14:paraId="6F012616">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1.4 中标人严格按照招标文件中约定的技术要求完成供货，若货品自交付使用之日起的 2 年期间里，出现大规模质量问题（瑕疵品占总数的 3%及以上）则将按照合同约定被追究相应违约责任。</w:t>
            </w:r>
          </w:p>
        </w:tc>
      </w:tr>
      <w:tr w14:paraId="174A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77" w:type="dxa"/>
            <w:vMerge w:val="continue"/>
            <w:vAlign w:val="center"/>
          </w:tcPr>
          <w:p w14:paraId="7C209E1B">
            <w:pPr>
              <w:widowControl w:val="0"/>
              <w:jc w:val="center"/>
              <w:rPr>
                <w:rFonts w:ascii="宋体" w:hAnsi="宋体" w:eastAsia="宋体" w:cs="宋体"/>
                <w:kern w:val="2"/>
                <w:sz w:val="21"/>
                <w:szCs w:val="21"/>
                <w:lang w:eastAsia="zh-CN"/>
              </w:rPr>
            </w:pPr>
          </w:p>
        </w:tc>
        <w:tc>
          <w:tcPr>
            <w:tcW w:w="1458" w:type="dxa"/>
            <w:vMerge w:val="continue"/>
            <w:vAlign w:val="center"/>
          </w:tcPr>
          <w:p w14:paraId="37D677FC">
            <w:pPr>
              <w:widowControl w:val="0"/>
              <w:jc w:val="center"/>
              <w:rPr>
                <w:rFonts w:ascii="宋体" w:hAnsi="宋体" w:eastAsia="宋体" w:cs="宋体"/>
                <w:kern w:val="2"/>
                <w:sz w:val="21"/>
                <w:szCs w:val="21"/>
                <w:lang w:eastAsia="zh-CN"/>
              </w:rPr>
            </w:pPr>
          </w:p>
        </w:tc>
        <w:tc>
          <w:tcPr>
            <w:tcW w:w="7457" w:type="dxa"/>
          </w:tcPr>
          <w:p w14:paraId="2BFB2607">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1.5 中标人如果未能按照招投标文件的规定履行相关服务，按照招投标文件相关规定进行赔偿。若项目有履约保证金，如中标人不及时接受处理或支付违约金，采购人可直接从履约保证金中扣除相应金额，如果履约保证金不足以扣除违约金，中标人须弥补违约金的不足。</w:t>
            </w:r>
          </w:p>
        </w:tc>
      </w:tr>
      <w:tr w14:paraId="0E4D8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77" w:type="dxa"/>
            <w:vMerge w:val="continue"/>
            <w:vAlign w:val="center"/>
          </w:tcPr>
          <w:p w14:paraId="49EA9F18">
            <w:pPr>
              <w:widowControl w:val="0"/>
              <w:jc w:val="center"/>
              <w:rPr>
                <w:rFonts w:ascii="宋体" w:hAnsi="宋体" w:eastAsia="宋体" w:cs="宋体"/>
                <w:kern w:val="2"/>
                <w:sz w:val="21"/>
                <w:szCs w:val="21"/>
                <w:lang w:eastAsia="zh-CN"/>
              </w:rPr>
            </w:pPr>
          </w:p>
        </w:tc>
        <w:tc>
          <w:tcPr>
            <w:tcW w:w="1458" w:type="dxa"/>
            <w:vMerge w:val="continue"/>
            <w:vAlign w:val="center"/>
          </w:tcPr>
          <w:p w14:paraId="1E8E6538">
            <w:pPr>
              <w:widowControl w:val="0"/>
              <w:jc w:val="center"/>
              <w:rPr>
                <w:rFonts w:ascii="宋体" w:hAnsi="宋体" w:eastAsia="宋体" w:cs="宋体"/>
                <w:kern w:val="2"/>
                <w:sz w:val="21"/>
                <w:szCs w:val="21"/>
                <w:lang w:eastAsia="zh-CN"/>
              </w:rPr>
            </w:pPr>
          </w:p>
        </w:tc>
        <w:tc>
          <w:tcPr>
            <w:tcW w:w="7457" w:type="dxa"/>
          </w:tcPr>
          <w:p w14:paraId="71552124">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1.6 如中标人之违约行为发生在已退还履约担保金后，中标人同意所有对应之违约责任之违约金均按照合同金额的 5%进行上调，以敦促中标人在免费保修期内妥善履约。</w:t>
            </w:r>
          </w:p>
        </w:tc>
      </w:tr>
      <w:tr w14:paraId="3C59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Merge w:val="restart"/>
            <w:vAlign w:val="center"/>
          </w:tcPr>
          <w:p w14:paraId="1B558BD6">
            <w:pPr>
              <w:widowControl w:val="0"/>
              <w:jc w:val="center"/>
              <w:rPr>
                <w:rFonts w:ascii="宋体" w:hAnsi="宋体" w:eastAsia="宋体" w:cs="宋体"/>
                <w:kern w:val="2"/>
                <w:sz w:val="21"/>
                <w:szCs w:val="21"/>
                <w:lang w:eastAsia="zh-CN"/>
              </w:rPr>
            </w:pPr>
            <w:bookmarkStart w:id="39" w:name="_Hlk72260973"/>
            <w:r>
              <w:rPr>
                <w:rFonts w:hint="eastAsia" w:ascii="宋体" w:hAnsi="宋体" w:eastAsia="宋体" w:cs="宋体"/>
                <w:kern w:val="2"/>
                <w:sz w:val="21"/>
                <w:szCs w:val="21"/>
                <w:lang w:eastAsia="zh-CN"/>
              </w:rPr>
              <w:t>2</w:t>
            </w:r>
          </w:p>
        </w:tc>
        <w:tc>
          <w:tcPr>
            <w:tcW w:w="1458" w:type="dxa"/>
            <w:vMerge w:val="restart"/>
            <w:vAlign w:val="center"/>
          </w:tcPr>
          <w:p w14:paraId="00601009">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关于交货</w:t>
            </w:r>
          </w:p>
        </w:tc>
        <w:tc>
          <w:tcPr>
            <w:tcW w:w="7457" w:type="dxa"/>
            <w:vAlign w:val="center"/>
          </w:tcPr>
          <w:p w14:paraId="0B0D3EF7">
            <w:pPr>
              <w:widowControl w:val="0"/>
              <w:spacing w:line="240" w:lineRule="auto"/>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2.1交货地点：香港中文大学(深圳)学勤书院，在每次发货前中标人应书面通知采购人，并在获得采购人书面确认后方可发货，否则采购人有权拒收货物。</w:t>
            </w:r>
          </w:p>
        </w:tc>
      </w:tr>
      <w:tr w14:paraId="07877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77" w:type="dxa"/>
            <w:vMerge w:val="continue"/>
            <w:vAlign w:val="center"/>
          </w:tcPr>
          <w:p w14:paraId="2BD14502">
            <w:pPr>
              <w:widowControl w:val="0"/>
              <w:jc w:val="both"/>
              <w:rPr>
                <w:rFonts w:ascii="宋体" w:hAnsi="宋体" w:eastAsia="宋体" w:cs="宋体"/>
                <w:kern w:val="2"/>
                <w:sz w:val="21"/>
                <w:szCs w:val="21"/>
                <w:lang w:eastAsia="zh-CN"/>
              </w:rPr>
            </w:pPr>
          </w:p>
        </w:tc>
        <w:tc>
          <w:tcPr>
            <w:tcW w:w="1458" w:type="dxa"/>
            <w:vMerge w:val="continue"/>
            <w:vAlign w:val="center"/>
          </w:tcPr>
          <w:p w14:paraId="55BEE908">
            <w:pPr>
              <w:widowControl w:val="0"/>
              <w:jc w:val="both"/>
              <w:rPr>
                <w:rFonts w:ascii="宋体" w:hAnsi="宋体" w:eastAsia="宋体" w:cs="宋体"/>
                <w:kern w:val="2"/>
                <w:sz w:val="21"/>
                <w:szCs w:val="21"/>
                <w:lang w:eastAsia="zh-CN"/>
              </w:rPr>
            </w:pPr>
          </w:p>
        </w:tc>
        <w:tc>
          <w:tcPr>
            <w:tcW w:w="7457" w:type="dxa"/>
            <w:vAlign w:val="center"/>
          </w:tcPr>
          <w:p w14:paraId="638A91A6">
            <w:pPr>
              <w:widowControl w:val="0"/>
              <w:spacing w:line="240" w:lineRule="auto"/>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2.2交货要求：产品的附件、备品备件及图纸、环保证明、检验（检测）报告、溯源原产地的证明文件（包括但不限于原材料进货单和收货单、生产排期表、生产过程图片和视频资料、物流单据、物流轨迹图）等资料随产品一同交付。中标人承担设备运输、安装调试、验收检测等其他类似的义务。</w:t>
            </w:r>
          </w:p>
        </w:tc>
      </w:tr>
      <w:tr w14:paraId="36BD8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77" w:type="dxa"/>
            <w:vMerge w:val="continue"/>
            <w:vAlign w:val="center"/>
          </w:tcPr>
          <w:p w14:paraId="160FEEF0">
            <w:pPr>
              <w:widowControl w:val="0"/>
              <w:jc w:val="both"/>
              <w:rPr>
                <w:rFonts w:ascii="宋体" w:hAnsi="宋体" w:eastAsia="宋体" w:cs="宋体"/>
                <w:kern w:val="2"/>
                <w:sz w:val="21"/>
                <w:szCs w:val="21"/>
                <w:lang w:eastAsia="zh-CN"/>
              </w:rPr>
            </w:pPr>
          </w:p>
        </w:tc>
        <w:tc>
          <w:tcPr>
            <w:tcW w:w="1458" w:type="dxa"/>
            <w:vMerge w:val="continue"/>
            <w:vAlign w:val="center"/>
          </w:tcPr>
          <w:p w14:paraId="220D5E05">
            <w:pPr>
              <w:widowControl w:val="0"/>
              <w:jc w:val="both"/>
              <w:rPr>
                <w:rFonts w:ascii="宋体" w:hAnsi="宋体" w:eastAsia="宋体" w:cs="宋体"/>
                <w:kern w:val="2"/>
                <w:sz w:val="21"/>
                <w:szCs w:val="21"/>
                <w:lang w:eastAsia="zh-CN"/>
              </w:rPr>
            </w:pPr>
          </w:p>
        </w:tc>
        <w:tc>
          <w:tcPr>
            <w:tcW w:w="7457" w:type="dxa"/>
            <w:vAlign w:val="center"/>
          </w:tcPr>
          <w:p w14:paraId="3D75FA9B">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2.3交货期限：签订合同之日起50个日历日内发货并完成全部安装，交货期限50个日历日包含中标人打样生产及确认时间；根据采购人要求可分间段分批次送货。产品的附件、备品备件及专用工具、技术文件和资料等应随产品一同交付。(具体交货日期、送货日期以采购人通知为准）。</w:t>
            </w:r>
          </w:p>
        </w:tc>
      </w:tr>
      <w:tr w14:paraId="6A893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77" w:type="dxa"/>
            <w:vMerge w:val="continue"/>
            <w:vAlign w:val="center"/>
          </w:tcPr>
          <w:p w14:paraId="12FA772D">
            <w:pPr>
              <w:widowControl w:val="0"/>
              <w:jc w:val="both"/>
              <w:rPr>
                <w:rFonts w:ascii="宋体" w:hAnsi="宋体" w:eastAsia="宋体" w:cs="宋体"/>
                <w:kern w:val="2"/>
                <w:sz w:val="21"/>
                <w:szCs w:val="21"/>
                <w:lang w:eastAsia="zh-CN"/>
              </w:rPr>
            </w:pPr>
          </w:p>
        </w:tc>
        <w:tc>
          <w:tcPr>
            <w:tcW w:w="1458" w:type="dxa"/>
            <w:vMerge w:val="continue"/>
            <w:vAlign w:val="center"/>
          </w:tcPr>
          <w:p w14:paraId="49F4E157">
            <w:pPr>
              <w:widowControl w:val="0"/>
              <w:jc w:val="both"/>
              <w:rPr>
                <w:rFonts w:ascii="宋体" w:hAnsi="宋体" w:eastAsia="宋体" w:cs="宋体"/>
                <w:kern w:val="2"/>
                <w:sz w:val="21"/>
                <w:szCs w:val="21"/>
                <w:lang w:eastAsia="zh-CN"/>
              </w:rPr>
            </w:pPr>
          </w:p>
        </w:tc>
        <w:tc>
          <w:tcPr>
            <w:tcW w:w="7457" w:type="dxa"/>
            <w:vAlign w:val="center"/>
          </w:tcPr>
          <w:p w14:paraId="381FB249">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2.4中标人负责免费安装、调试。安装、调试完成后，由验收小组进行验收。产品质量和安装调试检验标准遵照国家相关规定和最新标准执行。</w:t>
            </w:r>
          </w:p>
        </w:tc>
      </w:tr>
      <w:tr w14:paraId="5D425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877" w:type="dxa"/>
            <w:vMerge w:val="continue"/>
            <w:vAlign w:val="center"/>
          </w:tcPr>
          <w:p w14:paraId="1D7F1D66">
            <w:pPr>
              <w:widowControl w:val="0"/>
              <w:jc w:val="both"/>
              <w:rPr>
                <w:rFonts w:ascii="宋体" w:hAnsi="宋体" w:eastAsia="宋体" w:cs="宋体"/>
                <w:kern w:val="2"/>
                <w:sz w:val="21"/>
                <w:szCs w:val="21"/>
                <w:lang w:eastAsia="zh-CN"/>
              </w:rPr>
            </w:pPr>
          </w:p>
        </w:tc>
        <w:tc>
          <w:tcPr>
            <w:tcW w:w="1458" w:type="dxa"/>
            <w:vMerge w:val="continue"/>
            <w:vAlign w:val="center"/>
          </w:tcPr>
          <w:p w14:paraId="6A6A954B">
            <w:pPr>
              <w:widowControl w:val="0"/>
              <w:jc w:val="both"/>
              <w:rPr>
                <w:rFonts w:ascii="宋体" w:hAnsi="宋体" w:eastAsia="宋体" w:cs="宋体"/>
                <w:kern w:val="2"/>
                <w:sz w:val="21"/>
                <w:szCs w:val="21"/>
                <w:lang w:eastAsia="zh-CN"/>
              </w:rPr>
            </w:pPr>
          </w:p>
        </w:tc>
        <w:tc>
          <w:tcPr>
            <w:tcW w:w="7457" w:type="dxa"/>
            <w:vAlign w:val="center"/>
          </w:tcPr>
          <w:p w14:paraId="74D39C1B">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2.5所有产品应当按照招标文件技术参数响应情况交付，除非受现场安装环境等因素影响，由采购人发起变更，否则中标人不允许擅自做任何变更。如中标人未经采购人同意，擅自变更，采购人有权退货处理，由此带来的一切风险损失由中标人自行承担。</w:t>
            </w:r>
          </w:p>
        </w:tc>
      </w:tr>
      <w:tr w14:paraId="534F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Merge w:val="restart"/>
            <w:vAlign w:val="center"/>
          </w:tcPr>
          <w:p w14:paraId="3A4A9EEA">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3</w:t>
            </w:r>
          </w:p>
        </w:tc>
        <w:tc>
          <w:tcPr>
            <w:tcW w:w="1458" w:type="dxa"/>
            <w:vMerge w:val="restart"/>
            <w:vAlign w:val="center"/>
          </w:tcPr>
          <w:p w14:paraId="3D146591">
            <w:pPr>
              <w:widowControl w:val="0"/>
              <w:jc w:val="center"/>
              <w:rPr>
                <w:rFonts w:ascii="宋体" w:hAnsi="宋体" w:eastAsia="宋体" w:cs="宋体"/>
                <w:b/>
                <w:color w:val="000000"/>
                <w:kern w:val="2"/>
                <w:sz w:val="21"/>
                <w:szCs w:val="21"/>
                <w:lang w:eastAsia="zh-CN"/>
              </w:rPr>
            </w:pPr>
            <w:r>
              <w:rPr>
                <w:rFonts w:hint="eastAsia" w:ascii="宋体" w:hAnsi="宋体" w:eastAsia="宋体" w:cs="宋体"/>
                <w:kern w:val="2"/>
                <w:sz w:val="21"/>
                <w:szCs w:val="21"/>
                <w:lang w:eastAsia="zh-CN"/>
              </w:rPr>
              <w:t>关于验收</w:t>
            </w:r>
          </w:p>
        </w:tc>
        <w:tc>
          <w:tcPr>
            <w:tcW w:w="7457" w:type="dxa"/>
          </w:tcPr>
          <w:p w14:paraId="436C6C63">
            <w:pPr>
              <w:widowControl w:val="0"/>
              <w:jc w:val="both"/>
              <w:rPr>
                <w:rFonts w:ascii="宋体" w:hAnsi="宋体" w:eastAsia="宋体" w:cs="宋体"/>
                <w:color w:val="000000"/>
                <w:kern w:val="2"/>
                <w:sz w:val="21"/>
                <w:szCs w:val="21"/>
                <w:lang w:eastAsia="zh-CN"/>
              </w:rPr>
            </w:pPr>
            <w:r>
              <w:rPr>
                <w:rFonts w:hint="eastAsia" w:ascii="宋体" w:hAnsi="宋体" w:eastAsia="宋体" w:cs="宋体"/>
                <w:bCs/>
                <w:kern w:val="2"/>
                <w:sz w:val="21"/>
                <w:szCs w:val="21"/>
                <w:lang w:eastAsia="zh-CN"/>
              </w:rPr>
              <w:t>★</w:t>
            </w:r>
            <w:r>
              <w:rPr>
                <w:rFonts w:hint="eastAsia" w:ascii="宋体" w:hAnsi="宋体" w:eastAsia="宋体" w:cs="宋体"/>
                <w:kern w:val="2"/>
                <w:sz w:val="21"/>
                <w:szCs w:val="21"/>
                <w:lang w:eastAsia="zh-CN"/>
              </w:rPr>
              <w:t>3.1采购人和中标人应在交付时对货物进行开箱验货，以确认货物的数量、型号、规格等是否符合合同要求。</w:t>
            </w:r>
          </w:p>
        </w:tc>
      </w:tr>
      <w:tr w14:paraId="04C6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77" w:type="dxa"/>
            <w:vMerge w:val="continue"/>
            <w:vAlign w:val="center"/>
          </w:tcPr>
          <w:p w14:paraId="3127514C">
            <w:pPr>
              <w:widowControl w:val="0"/>
              <w:jc w:val="center"/>
              <w:rPr>
                <w:rFonts w:ascii="宋体" w:hAnsi="宋体" w:eastAsia="宋体" w:cs="宋体"/>
                <w:kern w:val="2"/>
                <w:sz w:val="21"/>
                <w:szCs w:val="21"/>
                <w:lang w:eastAsia="zh-CN"/>
              </w:rPr>
            </w:pPr>
          </w:p>
        </w:tc>
        <w:tc>
          <w:tcPr>
            <w:tcW w:w="1458" w:type="dxa"/>
            <w:vMerge w:val="continue"/>
            <w:vAlign w:val="center"/>
          </w:tcPr>
          <w:p w14:paraId="740CD728">
            <w:pPr>
              <w:widowControl w:val="0"/>
              <w:jc w:val="center"/>
              <w:rPr>
                <w:rFonts w:ascii="宋体" w:hAnsi="宋体" w:eastAsia="宋体" w:cs="宋体"/>
                <w:kern w:val="2"/>
                <w:sz w:val="21"/>
                <w:szCs w:val="21"/>
                <w:lang w:eastAsia="zh-CN"/>
              </w:rPr>
            </w:pPr>
          </w:p>
        </w:tc>
        <w:tc>
          <w:tcPr>
            <w:tcW w:w="7457" w:type="dxa"/>
          </w:tcPr>
          <w:p w14:paraId="0876F3EF">
            <w:pPr>
              <w:widowControl w:val="0"/>
              <w:jc w:val="both"/>
              <w:rPr>
                <w:rFonts w:ascii="宋体" w:hAnsi="宋体" w:eastAsia="宋体" w:cs="宋体"/>
                <w:kern w:val="2"/>
                <w:sz w:val="21"/>
                <w:szCs w:val="21"/>
                <w:lang w:eastAsia="zh-CN"/>
              </w:rPr>
            </w:pPr>
            <w:r>
              <w:rPr>
                <w:rFonts w:hint="eastAsia" w:ascii="宋体" w:hAnsi="宋体" w:eastAsia="宋体" w:cs="宋体"/>
                <w:bCs/>
                <w:kern w:val="2"/>
                <w:sz w:val="21"/>
                <w:szCs w:val="21"/>
                <w:lang w:eastAsia="zh-CN"/>
              </w:rPr>
              <w:t>★</w:t>
            </w:r>
            <w:r>
              <w:rPr>
                <w:rFonts w:hint="eastAsia" w:ascii="宋体" w:hAnsi="宋体" w:eastAsia="宋体" w:cs="宋体"/>
                <w:kern w:val="2"/>
                <w:sz w:val="21"/>
                <w:szCs w:val="21"/>
                <w:lang w:eastAsia="zh-CN"/>
              </w:rPr>
              <w:t>3.2采购人最终验收合格前，除货物已由采购人实际使用的情况外，货物的一切风险(包括但不限于货物的损毁、灭失及可能的侵权等)，均由中标人承担。</w:t>
            </w:r>
          </w:p>
        </w:tc>
      </w:tr>
      <w:tr w14:paraId="783CA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77" w:type="dxa"/>
            <w:vMerge w:val="continue"/>
            <w:vAlign w:val="center"/>
          </w:tcPr>
          <w:p w14:paraId="2FEAB4DE">
            <w:pPr>
              <w:widowControl w:val="0"/>
              <w:jc w:val="center"/>
              <w:rPr>
                <w:rFonts w:ascii="宋体" w:hAnsi="宋体" w:eastAsia="宋体" w:cs="宋体"/>
                <w:kern w:val="2"/>
                <w:sz w:val="21"/>
                <w:szCs w:val="21"/>
                <w:lang w:eastAsia="zh-CN"/>
              </w:rPr>
            </w:pPr>
          </w:p>
        </w:tc>
        <w:tc>
          <w:tcPr>
            <w:tcW w:w="1458" w:type="dxa"/>
            <w:vMerge w:val="continue"/>
            <w:vAlign w:val="center"/>
          </w:tcPr>
          <w:p w14:paraId="785ADA97">
            <w:pPr>
              <w:widowControl w:val="0"/>
              <w:jc w:val="center"/>
              <w:rPr>
                <w:rFonts w:ascii="宋体" w:hAnsi="宋体" w:eastAsia="宋体" w:cs="宋体"/>
                <w:kern w:val="2"/>
                <w:sz w:val="21"/>
                <w:szCs w:val="21"/>
                <w:lang w:eastAsia="zh-CN"/>
              </w:rPr>
            </w:pPr>
          </w:p>
        </w:tc>
        <w:tc>
          <w:tcPr>
            <w:tcW w:w="7457" w:type="dxa"/>
          </w:tcPr>
          <w:p w14:paraId="05C95A0F">
            <w:pPr>
              <w:widowControl w:val="0"/>
              <w:jc w:val="both"/>
              <w:rPr>
                <w:rFonts w:ascii="宋体" w:hAnsi="宋体" w:eastAsia="宋体" w:cs="宋体"/>
                <w:kern w:val="2"/>
                <w:sz w:val="21"/>
                <w:szCs w:val="21"/>
                <w:lang w:eastAsia="zh-CN"/>
              </w:rPr>
            </w:pPr>
            <w:r>
              <w:rPr>
                <w:rFonts w:hint="eastAsia" w:ascii="宋体" w:hAnsi="宋体" w:eastAsia="宋体" w:cs="宋体"/>
                <w:bCs/>
                <w:kern w:val="2"/>
                <w:sz w:val="21"/>
                <w:szCs w:val="21"/>
                <w:lang w:eastAsia="zh-CN"/>
              </w:rPr>
              <w:t>★</w:t>
            </w:r>
            <w:r>
              <w:rPr>
                <w:rFonts w:hint="eastAsia" w:ascii="宋体" w:hAnsi="宋体" w:eastAsia="宋体" w:cs="宋体"/>
                <w:kern w:val="2"/>
                <w:sz w:val="21"/>
                <w:szCs w:val="21"/>
                <w:lang w:eastAsia="zh-CN"/>
              </w:rPr>
              <w:t>3.3验收时，双方按照合同约定及时对交付的货物进行验收，中标人应配合采购人的履约检查及验收。</w:t>
            </w:r>
          </w:p>
        </w:tc>
      </w:tr>
      <w:tr w14:paraId="061F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877" w:type="dxa"/>
            <w:vMerge w:val="continue"/>
            <w:vAlign w:val="center"/>
          </w:tcPr>
          <w:p w14:paraId="5B212CEF">
            <w:pPr>
              <w:widowControl w:val="0"/>
              <w:jc w:val="center"/>
              <w:rPr>
                <w:rFonts w:ascii="宋体" w:hAnsi="宋体" w:eastAsia="宋体" w:cs="宋体"/>
                <w:kern w:val="2"/>
                <w:sz w:val="21"/>
                <w:szCs w:val="21"/>
                <w:lang w:eastAsia="zh-CN"/>
              </w:rPr>
            </w:pPr>
          </w:p>
        </w:tc>
        <w:tc>
          <w:tcPr>
            <w:tcW w:w="1458" w:type="dxa"/>
            <w:vMerge w:val="continue"/>
            <w:vAlign w:val="center"/>
          </w:tcPr>
          <w:p w14:paraId="3DA8BC42">
            <w:pPr>
              <w:widowControl w:val="0"/>
              <w:jc w:val="center"/>
              <w:rPr>
                <w:rFonts w:ascii="宋体" w:hAnsi="宋体" w:eastAsia="宋体" w:cs="宋体"/>
                <w:kern w:val="2"/>
                <w:sz w:val="21"/>
                <w:szCs w:val="21"/>
                <w:lang w:eastAsia="zh-CN"/>
              </w:rPr>
            </w:pPr>
          </w:p>
        </w:tc>
        <w:tc>
          <w:tcPr>
            <w:tcW w:w="7457" w:type="dxa"/>
          </w:tcPr>
          <w:p w14:paraId="15FFB2F4">
            <w:pPr>
              <w:widowControl w:val="0"/>
              <w:spacing w:line="360" w:lineRule="auto"/>
              <w:jc w:val="both"/>
              <w:rPr>
                <w:rFonts w:ascii="宋体" w:hAnsi="宋体" w:eastAsia="宋体" w:cs="宋体"/>
                <w:b/>
                <w:bCs/>
                <w:kern w:val="2"/>
                <w:sz w:val="21"/>
                <w:szCs w:val="21"/>
                <w:lang w:eastAsia="zh-CN"/>
              </w:rPr>
            </w:pPr>
            <w:r>
              <w:rPr>
                <w:rFonts w:hint="eastAsia" w:ascii="宋体" w:hAnsi="宋体" w:eastAsia="宋体" w:cs="宋体"/>
                <w:kern w:val="2"/>
                <w:sz w:val="21"/>
                <w:szCs w:val="21"/>
                <w:lang w:eastAsia="zh-CN"/>
              </w:rPr>
              <w:t>★</w:t>
            </w:r>
            <w:r>
              <w:rPr>
                <w:rFonts w:ascii="宋体" w:hAnsi="宋体" w:eastAsia="宋体" w:cs="宋体"/>
                <w:kern w:val="2"/>
                <w:sz w:val="21"/>
                <w:szCs w:val="21"/>
                <w:lang w:eastAsia="zh-CN"/>
              </w:rPr>
              <w:t>3.4</w:t>
            </w:r>
            <w:r>
              <w:rPr>
                <w:rFonts w:hint="eastAsia" w:ascii="宋体" w:hAnsi="宋体" w:eastAsia="宋体" w:cs="宋体"/>
                <w:kern w:val="2"/>
                <w:sz w:val="21"/>
                <w:szCs w:val="21"/>
                <w:lang w:eastAsia="zh-CN"/>
              </w:rPr>
              <w:t>中标人货物经过大学组织的验收后，中标人需提供产品保修文件。</w:t>
            </w:r>
          </w:p>
        </w:tc>
      </w:tr>
      <w:tr w14:paraId="5E43C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Align w:val="center"/>
          </w:tcPr>
          <w:p w14:paraId="7C382148">
            <w:pPr>
              <w:widowControl w:val="0"/>
              <w:jc w:val="center"/>
              <w:rPr>
                <w:rFonts w:ascii="宋体" w:hAnsi="宋体" w:eastAsia="宋体" w:cs="宋体"/>
                <w:kern w:val="2"/>
                <w:sz w:val="21"/>
                <w:szCs w:val="21"/>
                <w:lang w:eastAsia="zh-CN"/>
              </w:rPr>
            </w:pPr>
            <w:r>
              <w:rPr>
                <w:rFonts w:ascii="宋体" w:hAnsi="宋体" w:eastAsia="宋体" w:cs="宋体"/>
                <w:kern w:val="2"/>
                <w:sz w:val="21"/>
                <w:szCs w:val="21"/>
                <w:lang w:eastAsia="zh-CN"/>
              </w:rPr>
              <w:t>5</w:t>
            </w:r>
          </w:p>
        </w:tc>
        <w:tc>
          <w:tcPr>
            <w:tcW w:w="1458" w:type="dxa"/>
            <w:vAlign w:val="center"/>
          </w:tcPr>
          <w:p w14:paraId="13281D15">
            <w:pPr>
              <w:widowControl w:val="0"/>
              <w:jc w:val="center"/>
              <w:rPr>
                <w:rFonts w:ascii="宋体" w:hAnsi="宋体" w:eastAsia="宋体" w:cs="宋体"/>
                <w:b/>
                <w:color w:val="000000"/>
                <w:kern w:val="2"/>
                <w:sz w:val="21"/>
                <w:szCs w:val="21"/>
                <w:lang w:eastAsia="zh-CN"/>
              </w:rPr>
            </w:pPr>
            <w:r>
              <w:rPr>
                <w:rFonts w:hint="eastAsia" w:ascii="宋体" w:hAnsi="宋体" w:eastAsia="宋体" w:cs="宋体"/>
                <w:kern w:val="2"/>
                <w:sz w:val="21"/>
                <w:szCs w:val="21"/>
                <w:lang w:eastAsia="zh-CN"/>
              </w:rPr>
              <w:t>检测验证</w:t>
            </w:r>
          </w:p>
        </w:tc>
        <w:tc>
          <w:tcPr>
            <w:tcW w:w="7457" w:type="dxa"/>
            <w:vAlign w:val="center"/>
          </w:tcPr>
          <w:p w14:paraId="197E6861">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如招标方发现中标人提供的货物与投标资料明显不相符且投标人不能提供证据，招标方有权直接通过第三方检测机构对于中标方提供的本项目全部或部分设备，依据投标技术响应情况逐一测试验证，其检测结果作为验证中标方提供设备与其投标资料是否相符的认定标准。如检测结果符合合同要求，其检测费用由采购人承担；如检测结果不符合合同要求，其检测费用由中标人承担。</w:t>
            </w:r>
          </w:p>
        </w:tc>
      </w:tr>
      <w:bookmarkEnd w:id="39"/>
      <w:tr w14:paraId="6B268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Align w:val="center"/>
          </w:tcPr>
          <w:p w14:paraId="7BFD407E">
            <w:pPr>
              <w:widowControl w:val="0"/>
              <w:jc w:val="center"/>
              <w:rPr>
                <w:rFonts w:ascii="宋体" w:hAnsi="宋体" w:eastAsia="宋体" w:cs="宋体"/>
                <w:kern w:val="2"/>
                <w:sz w:val="21"/>
                <w:szCs w:val="21"/>
                <w:lang w:eastAsia="zh-CN"/>
              </w:rPr>
            </w:pPr>
            <w:r>
              <w:rPr>
                <w:rFonts w:ascii="宋体" w:hAnsi="宋体" w:eastAsia="宋体" w:cs="宋体"/>
                <w:kern w:val="2"/>
                <w:sz w:val="21"/>
                <w:szCs w:val="21"/>
                <w:lang w:eastAsia="zh-CN"/>
              </w:rPr>
              <w:t>6</w:t>
            </w:r>
          </w:p>
        </w:tc>
        <w:tc>
          <w:tcPr>
            <w:tcW w:w="1458" w:type="dxa"/>
            <w:vAlign w:val="center"/>
          </w:tcPr>
          <w:p w14:paraId="38C40634">
            <w:pPr>
              <w:widowControl w:val="0"/>
              <w:jc w:val="center"/>
              <w:rPr>
                <w:rFonts w:ascii="宋体" w:hAnsi="宋体" w:eastAsia="宋体" w:cs="宋体"/>
                <w:kern w:val="2"/>
                <w:sz w:val="21"/>
                <w:szCs w:val="21"/>
                <w:lang w:eastAsia="zh-CN"/>
              </w:rPr>
            </w:pPr>
            <w:r>
              <w:rPr>
                <w:rFonts w:hint="eastAsia" w:ascii="宋体" w:hAnsi="宋体" w:eastAsia="宋体" w:cs="宋体"/>
                <w:color w:val="000000"/>
                <w:kern w:val="2"/>
                <w:sz w:val="21"/>
                <w:szCs w:val="21"/>
                <w:lang w:eastAsia="zh-CN"/>
              </w:rPr>
              <w:t>关于付款</w:t>
            </w:r>
          </w:p>
        </w:tc>
        <w:tc>
          <w:tcPr>
            <w:tcW w:w="7457" w:type="dxa"/>
            <w:vAlign w:val="center"/>
          </w:tcPr>
          <w:p w14:paraId="5782C62C">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 xml:space="preserve">★本项目付款共分 3期支付： </w:t>
            </w:r>
          </w:p>
          <w:p w14:paraId="3F68FEA3">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第 1 期：合同签订后，采购人收到中标人足额履约保证金，且中标人提供产品批量生产前的大样，经采购人确认后1</w:t>
            </w:r>
            <w:r>
              <w:rPr>
                <w:rFonts w:ascii="宋体" w:hAnsi="宋体" w:eastAsia="宋体" w:cs="宋体"/>
                <w:kern w:val="2"/>
                <w:sz w:val="21"/>
                <w:szCs w:val="21"/>
                <w:lang w:eastAsia="zh-CN"/>
              </w:rPr>
              <w:t>0</w:t>
            </w:r>
            <w:r>
              <w:rPr>
                <w:rFonts w:hint="eastAsia" w:ascii="宋体" w:hAnsi="宋体" w:eastAsia="宋体" w:cs="宋体"/>
                <w:kern w:val="2"/>
                <w:sz w:val="21"/>
                <w:szCs w:val="21"/>
                <w:lang w:eastAsia="zh-CN"/>
              </w:rPr>
              <w:t xml:space="preserve">个工作日开始启动支付流程，支付20%，具体时间以财政拨付为准； </w:t>
            </w:r>
          </w:p>
          <w:p w14:paraId="00E0D562">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第 2 期：所有货物按时到现场，通过采购人到货检查后开始安装，中标人完成所有安装工作后，由采购人进行数量检查，并经采购人签字确认后1</w:t>
            </w:r>
            <w:r>
              <w:rPr>
                <w:rFonts w:ascii="宋体" w:hAnsi="宋体" w:eastAsia="宋体" w:cs="宋体"/>
                <w:kern w:val="2"/>
                <w:sz w:val="21"/>
                <w:szCs w:val="21"/>
                <w:lang w:eastAsia="zh-CN"/>
              </w:rPr>
              <w:t>0</w:t>
            </w:r>
            <w:r>
              <w:rPr>
                <w:rFonts w:hint="eastAsia" w:ascii="宋体" w:hAnsi="宋体" w:eastAsia="宋体" w:cs="宋体"/>
                <w:kern w:val="2"/>
                <w:sz w:val="21"/>
                <w:szCs w:val="21"/>
                <w:lang w:eastAsia="zh-CN"/>
              </w:rPr>
              <w:t xml:space="preserve">个工作日开始启动支付流程，支付 40%，具体时间以财政拨付为准； </w:t>
            </w:r>
          </w:p>
          <w:p w14:paraId="103480AB">
            <w:pPr>
              <w:widowControl w:val="0"/>
              <w:jc w:val="both"/>
              <w:rPr>
                <w:rFonts w:ascii="宋体" w:hAnsi="宋体" w:eastAsia="宋体" w:cs="宋体"/>
                <w:bCs/>
                <w:kern w:val="2"/>
                <w:sz w:val="21"/>
                <w:szCs w:val="21"/>
                <w:lang w:eastAsia="zh-CN"/>
              </w:rPr>
            </w:pPr>
            <w:r>
              <w:rPr>
                <w:rFonts w:hint="eastAsia" w:ascii="宋体" w:hAnsi="宋体" w:eastAsia="宋体" w:cs="宋体"/>
                <w:kern w:val="2"/>
                <w:sz w:val="21"/>
                <w:szCs w:val="21"/>
                <w:lang w:eastAsia="zh-CN"/>
              </w:rPr>
              <w:t>第 3 期：待所有货物安装调试、试运行正常，经采购人最终质量验收合格并收到中标人开具的正规发票后 1</w:t>
            </w:r>
            <w:r>
              <w:rPr>
                <w:rFonts w:ascii="宋体" w:hAnsi="宋体" w:eastAsia="宋体" w:cs="宋体"/>
                <w:kern w:val="2"/>
                <w:sz w:val="21"/>
                <w:szCs w:val="21"/>
                <w:lang w:eastAsia="zh-CN"/>
              </w:rPr>
              <w:t>0</w:t>
            </w:r>
            <w:r>
              <w:rPr>
                <w:rFonts w:hint="eastAsia" w:ascii="宋体" w:hAnsi="宋体" w:eastAsia="宋体" w:cs="宋体"/>
                <w:kern w:val="2"/>
                <w:sz w:val="21"/>
                <w:szCs w:val="21"/>
                <w:lang w:eastAsia="zh-CN"/>
              </w:rPr>
              <w:t xml:space="preserve"> 个工作日开始启动支付流程，支付 40%作为验收款，具体时间以财政拨付为准。</w:t>
            </w:r>
          </w:p>
        </w:tc>
      </w:tr>
      <w:tr w14:paraId="1C89B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Align w:val="center"/>
          </w:tcPr>
          <w:p w14:paraId="7B8C45E9">
            <w:pPr>
              <w:widowControl w:val="0"/>
              <w:jc w:val="center"/>
              <w:rPr>
                <w:rFonts w:ascii="宋体" w:hAnsi="宋体" w:eastAsia="宋体" w:cs="宋体"/>
                <w:kern w:val="2"/>
                <w:sz w:val="21"/>
                <w:szCs w:val="21"/>
                <w:lang w:eastAsia="zh-CN"/>
              </w:rPr>
            </w:pPr>
            <w:r>
              <w:rPr>
                <w:rFonts w:ascii="宋体" w:hAnsi="宋体" w:eastAsia="宋体" w:cs="宋体"/>
                <w:kern w:val="2"/>
                <w:sz w:val="21"/>
                <w:szCs w:val="21"/>
                <w:lang w:eastAsia="zh-CN"/>
              </w:rPr>
              <w:t>7</w:t>
            </w:r>
          </w:p>
        </w:tc>
        <w:tc>
          <w:tcPr>
            <w:tcW w:w="1458" w:type="dxa"/>
            <w:vAlign w:val="center"/>
          </w:tcPr>
          <w:p w14:paraId="28D8504D">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关于报价</w:t>
            </w:r>
          </w:p>
        </w:tc>
        <w:tc>
          <w:tcPr>
            <w:tcW w:w="7457" w:type="dxa"/>
          </w:tcPr>
          <w:p w14:paraId="16EFBB10">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投标人应按分项报价表的要求逐项报价。投标人提供的报价除另有约定外，均已包含购买货物费用及售后服务所发生的所有费用，包括但不限于代理费、税费、货物运至指定地点的如运输费、保险费、叉车费和装卸费、配套资料费、安装调试费、服务培训费、设计费包含原辅材料检测、成品检测、室内空气检测及差旅费、施工保障措施费用以及免费保修期内的售后服务费用及国家规定的各项税费等全部费用。与总项目相关的上述安装调试等费用须分摊计入各分项，不得以单项计费。</w:t>
            </w:r>
          </w:p>
        </w:tc>
      </w:tr>
      <w:tr w14:paraId="3AE46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Merge w:val="restart"/>
            <w:vAlign w:val="center"/>
          </w:tcPr>
          <w:p w14:paraId="768C9499">
            <w:pPr>
              <w:widowControl w:val="0"/>
              <w:jc w:val="center"/>
              <w:rPr>
                <w:rFonts w:ascii="宋体" w:hAnsi="宋体" w:eastAsia="宋体" w:cs="宋体"/>
                <w:kern w:val="2"/>
                <w:sz w:val="21"/>
                <w:szCs w:val="21"/>
                <w:lang w:eastAsia="zh-CN"/>
              </w:rPr>
            </w:pPr>
            <w:r>
              <w:rPr>
                <w:rFonts w:ascii="宋体" w:hAnsi="宋体" w:eastAsia="宋体" w:cs="宋体"/>
                <w:kern w:val="2"/>
                <w:sz w:val="21"/>
                <w:szCs w:val="21"/>
                <w:lang w:eastAsia="zh-CN"/>
              </w:rPr>
              <w:t>8</w:t>
            </w:r>
          </w:p>
        </w:tc>
        <w:tc>
          <w:tcPr>
            <w:tcW w:w="1458" w:type="dxa"/>
            <w:vMerge w:val="restart"/>
            <w:vAlign w:val="center"/>
          </w:tcPr>
          <w:p w14:paraId="114BA070">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其他</w:t>
            </w:r>
          </w:p>
        </w:tc>
        <w:tc>
          <w:tcPr>
            <w:tcW w:w="7457" w:type="dxa"/>
          </w:tcPr>
          <w:p w14:paraId="15738BEF">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★7.1本项目中所涉及产品必须满足现场户型要求，中标人应做好全面复核测量工作，并提供满足现场户型摆放安装的要求，相关作业产生的费用应包含在投标报价中。</w:t>
            </w:r>
          </w:p>
        </w:tc>
      </w:tr>
      <w:tr w14:paraId="58A6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877" w:type="dxa"/>
            <w:vMerge w:val="continue"/>
            <w:vAlign w:val="center"/>
          </w:tcPr>
          <w:p w14:paraId="258CEBC7">
            <w:pPr>
              <w:widowControl w:val="0"/>
              <w:jc w:val="both"/>
              <w:rPr>
                <w:rFonts w:ascii="宋体" w:hAnsi="宋体" w:eastAsia="宋体" w:cs="宋体"/>
                <w:kern w:val="2"/>
                <w:sz w:val="21"/>
                <w:szCs w:val="21"/>
                <w:lang w:eastAsia="zh-CN"/>
              </w:rPr>
            </w:pPr>
          </w:p>
        </w:tc>
        <w:tc>
          <w:tcPr>
            <w:tcW w:w="1458" w:type="dxa"/>
            <w:vMerge w:val="continue"/>
            <w:vAlign w:val="center"/>
          </w:tcPr>
          <w:p w14:paraId="09E1B14D">
            <w:pPr>
              <w:widowControl w:val="0"/>
              <w:jc w:val="both"/>
              <w:rPr>
                <w:rFonts w:ascii="宋体" w:hAnsi="宋体" w:eastAsia="宋体" w:cs="宋体"/>
                <w:kern w:val="2"/>
                <w:sz w:val="21"/>
                <w:szCs w:val="21"/>
                <w:lang w:eastAsia="zh-CN"/>
              </w:rPr>
            </w:pPr>
          </w:p>
        </w:tc>
        <w:tc>
          <w:tcPr>
            <w:tcW w:w="7457" w:type="dxa"/>
          </w:tcPr>
          <w:p w14:paraId="7DF04A79">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7.2中标人提供的产品需符合国家及省市相关安全要求，符合国家质量检测标准，若因产品设计和制造等原因而导致安全事故，由中标人承担全部责任及经济损失，包括因此给采购人造成的任何损害。</w:t>
            </w:r>
          </w:p>
        </w:tc>
      </w:tr>
      <w:tr w14:paraId="5BE09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877" w:type="dxa"/>
            <w:vMerge w:val="continue"/>
            <w:vAlign w:val="center"/>
          </w:tcPr>
          <w:p w14:paraId="3E625C5C">
            <w:pPr>
              <w:widowControl w:val="0"/>
              <w:jc w:val="both"/>
              <w:rPr>
                <w:rFonts w:ascii="宋体" w:hAnsi="宋体" w:eastAsia="宋体" w:cs="宋体"/>
                <w:kern w:val="2"/>
                <w:sz w:val="21"/>
                <w:szCs w:val="21"/>
                <w:lang w:eastAsia="zh-CN"/>
              </w:rPr>
            </w:pPr>
          </w:p>
        </w:tc>
        <w:tc>
          <w:tcPr>
            <w:tcW w:w="1458" w:type="dxa"/>
            <w:vMerge w:val="continue"/>
            <w:vAlign w:val="center"/>
          </w:tcPr>
          <w:p w14:paraId="7746C20D">
            <w:pPr>
              <w:widowControl w:val="0"/>
              <w:jc w:val="both"/>
              <w:rPr>
                <w:rFonts w:ascii="宋体" w:hAnsi="宋体" w:eastAsia="宋体" w:cs="宋体"/>
                <w:kern w:val="2"/>
                <w:sz w:val="21"/>
                <w:szCs w:val="21"/>
                <w:lang w:eastAsia="zh-CN"/>
              </w:rPr>
            </w:pPr>
          </w:p>
        </w:tc>
        <w:tc>
          <w:tcPr>
            <w:tcW w:w="7457" w:type="dxa"/>
          </w:tcPr>
          <w:p w14:paraId="63D59BDD">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7.3采购人在中国使用该产品或产品的任何一部分时，免受第三方提出的侵犯其专利权、商标权或工业设计权等知识产权的起诉或司法干预。若因为知识产权纠纷造成的一切损害赔偿及损失由中标人承担，包括但不限于实际损失、预期损失和对方要求赔偿损失及支出的律师费、交通费和差旅费等。</w:t>
            </w:r>
          </w:p>
        </w:tc>
      </w:tr>
      <w:tr w14:paraId="7DDFE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77" w:type="dxa"/>
            <w:vMerge w:val="continue"/>
            <w:vAlign w:val="center"/>
          </w:tcPr>
          <w:p w14:paraId="12C286CF">
            <w:pPr>
              <w:widowControl w:val="0"/>
              <w:jc w:val="both"/>
              <w:rPr>
                <w:rFonts w:ascii="宋体" w:hAnsi="宋体" w:eastAsia="宋体" w:cs="宋体"/>
                <w:kern w:val="2"/>
                <w:sz w:val="21"/>
                <w:szCs w:val="21"/>
                <w:lang w:eastAsia="zh-CN"/>
              </w:rPr>
            </w:pPr>
          </w:p>
        </w:tc>
        <w:tc>
          <w:tcPr>
            <w:tcW w:w="1458" w:type="dxa"/>
            <w:vMerge w:val="continue"/>
            <w:vAlign w:val="center"/>
          </w:tcPr>
          <w:p w14:paraId="3280E4D2">
            <w:pPr>
              <w:widowControl w:val="0"/>
              <w:jc w:val="both"/>
              <w:rPr>
                <w:rFonts w:ascii="宋体" w:hAnsi="宋体" w:eastAsia="宋体" w:cs="宋体"/>
                <w:kern w:val="2"/>
                <w:sz w:val="21"/>
                <w:szCs w:val="21"/>
                <w:lang w:eastAsia="zh-CN"/>
              </w:rPr>
            </w:pPr>
          </w:p>
        </w:tc>
        <w:tc>
          <w:tcPr>
            <w:tcW w:w="7457" w:type="dxa"/>
          </w:tcPr>
          <w:p w14:paraId="74FF0BCA">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7.4中标通知书发布之日起到合同签署之日，期间双方往来的各类事项同样适用合同相关约定。</w:t>
            </w:r>
          </w:p>
        </w:tc>
      </w:tr>
      <w:tr w14:paraId="5995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877" w:type="dxa"/>
            <w:vMerge w:val="continue"/>
            <w:vAlign w:val="center"/>
          </w:tcPr>
          <w:p w14:paraId="75AE7513">
            <w:pPr>
              <w:widowControl w:val="0"/>
              <w:jc w:val="both"/>
              <w:rPr>
                <w:rFonts w:ascii="宋体" w:hAnsi="宋体" w:eastAsia="宋体" w:cs="宋体"/>
                <w:kern w:val="2"/>
                <w:sz w:val="21"/>
                <w:szCs w:val="21"/>
                <w:lang w:eastAsia="zh-CN"/>
              </w:rPr>
            </w:pPr>
          </w:p>
        </w:tc>
        <w:tc>
          <w:tcPr>
            <w:tcW w:w="1458" w:type="dxa"/>
            <w:vMerge w:val="continue"/>
            <w:vAlign w:val="center"/>
          </w:tcPr>
          <w:p w14:paraId="5DB5BCF7">
            <w:pPr>
              <w:widowControl w:val="0"/>
              <w:jc w:val="both"/>
              <w:rPr>
                <w:rFonts w:ascii="宋体" w:hAnsi="宋体" w:eastAsia="宋体" w:cs="宋体"/>
                <w:kern w:val="2"/>
                <w:sz w:val="21"/>
                <w:szCs w:val="21"/>
                <w:lang w:eastAsia="zh-CN"/>
              </w:rPr>
            </w:pPr>
          </w:p>
        </w:tc>
        <w:tc>
          <w:tcPr>
            <w:tcW w:w="7457" w:type="dxa"/>
          </w:tcPr>
          <w:p w14:paraId="2FF44B48">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7.5本招标文件未对家具具体颜色做出要求，实物颜色由中标人根据采购人现有家具颜色报样板给采购人选择确认再制作，否则造成损失由中标人全力承担。中标人中标后项目不转包，未经采购人同意不进行分包。</w:t>
            </w:r>
          </w:p>
        </w:tc>
      </w:tr>
      <w:tr w14:paraId="6DAB0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77" w:type="dxa"/>
            <w:vMerge w:val="continue"/>
            <w:vAlign w:val="center"/>
          </w:tcPr>
          <w:p w14:paraId="1B8F85CC">
            <w:pPr>
              <w:widowControl w:val="0"/>
              <w:jc w:val="both"/>
              <w:rPr>
                <w:rFonts w:ascii="宋体" w:hAnsi="宋体" w:eastAsia="宋体" w:cs="宋体"/>
                <w:kern w:val="2"/>
                <w:sz w:val="21"/>
                <w:szCs w:val="21"/>
                <w:lang w:eastAsia="zh-CN"/>
              </w:rPr>
            </w:pPr>
          </w:p>
        </w:tc>
        <w:tc>
          <w:tcPr>
            <w:tcW w:w="1458" w:type="dxa"/>
            <w:vMerge w:val="continue"/>
            <w:vAlign w:val="center"/>
          </w:tcPr>
          <w:p w14:paraId="394C732D">
            <w:pPr>
              <w:widowControl w:val="0"/>
              <w:jc w:val="both"/>
              <w:rPr>
                <w:rFonts w:ascii="宋体" w:hAnsi="宋体" w:eastAsia="宋体" w:cs="宋体"/>
                <w:kern w:val="2"/>
                <w:sz w:val="21"/>
                <w:szCs w:val="21"/>
                <w:lang w:eastAsia="zh-CN"/>
              </w:rPr>
            </w:pPr>
          </w:p>
        </w:tc>
        <w:tc>
          <w:tcPr>
            <w:tcW w:w="7457" w:type="dxa"/>
          </w:tcPr>
          <w:p w14:paraId="3C984E92">
            <w:pPr>
              <w:widowControl w:val="0"/>
              <w:jc w:val="both"/>
              <w:rPr>
                <w:rFonts w:ascii="宋体" w:hAnsi="宋体" w:eastAsia="宋体" w:cs="宋体"/>
                <w:color w:val="000000"/>
                <w:kern w:val="2"/>
                <w:sz w:val="21"/>
                <w:szCs w:val="21"/>
                <w:lang w:eastAsia="zh-CN"/>
              </w:rPr>
            </w:pPr>
            <w:r>
              <w:rPr>
                <w:rFonts w:hint="eastAsia" w:ascii="宋体" w:hAnsi="宋体" w:eastAsia="宋体" w:cs="宋体"/>
                <w:b/>
                <w:bCs/>
                <w:color w:val="FF0000"/>
                <w:kern w:val="2"/>
                <w:sz w:val="21"/>
                <w:szCs w:val="21"/>
                <w:lang w:eastAsia="zh-CN"/>
              </w:rPr>
              <w:t>★7.6投标人应承诺所投产品符合国家强制性标准要求。（在《采购投标及履约承诺函》中承诺视为符合规定）未提供相关承诺将视为投标无效。</w:t>
            </w:r>
          </w:p>
        </w:tc>
      </w:tr>
    </w:tbl>
    <w:p w14:paraId="6817E69A">
      <w:pPr>
        <w:widowControl w:val="0"/>
        <w:jc w:val="both"/>
        <w:rPr>
          <w:rFonts w:eastAsia="宋体"/>
          <w:kern w:val="2"/>
          <w:sz w:val="21"/>
          <w:lang w:eastAsia="zh-CN"/>
        </w:rPr>
      </w:pPr>
    </w:p>
    <w:p w14:paraId="536EA9E7">
      <w:pPr>
        <w:widowControl w:val="0"/>
        <w:spacing w:line="360" w:lineRule="auto"/>
        <w:jc w:val="both"/>
        <w:rPr>
          <w:rFonts w:eastAsia="宋体"/>
          <w:b/>
          <w:bCs/>
          <w:kern w:val="2"/>
          <w:lang w:eastAsia="zh-CN"/>
        </w:rPr>
      </w:pPr>
    </w:p>
    <w:p w14:paraId="4B37FB82">
      <w:pPr>
        <w:widowControl w:val="0"/>
        <w:spacing w:line="360" w:lineRule="auto"/>
        <w:jc w:val="both"/>
        <w:rPr>
          <w:rFonts w:eastAsia="宋体"/>
          <w:b/>
          <w:bCs/>
          <w:kern w:val="2"/>
          <w:lang w:eastAsia="zh-CN"/>
        </w:rPr>
      </w:pPr>
    </w:p>
    <w:p w14:paraId="30732DE9">
      <w:pPr>
        <w:keepNext/>
        <w:keepLines/>
        <w:widowControl w:val="0"/>
        <w:adjustRightInd w:val="0"/>
        <w:spacing w:before="156" w:beforeLines="50" w:after="156" w:afterLines="50" w:line="240" w:lineRule="auto"/>
        <w:jc w:val="center"/>
        <w:textAlignment w:val="baseline"/>
        <w:outlineLvl w:val="1"/>
        <w:rPr>
          <w:rFonts w:ascii="宋体" w:hAnsi="宋体" w:eastAsia="宋体"/>
          <w:b/>
          <w:bCs/>
          <w:lang w:eastAsia="zh-CN"/>
        </w:rPr>
      </w:pPr>
      <w:r>
        <w:rPr>
          <w:rFonts w:hint="eastAsia" w:ascii="宋体" w:hAnsi="宋体" w:eastAsia="宋体"/>
          <w:b/>
          <w:bCs/>
          <w:lang w:eastAsia="zh-CN"/>
        </w:rPr>
        <w:t>六、其他重要条款</w:t>
      </w:r>
    </w:p>
    <w:p w14:paraId="522BB175">
      <w:pPr>
        <w:widowControl w:val="0"/>
        <w:ind w:firstLine="420" w:firstLineChars="200"/>
        <w:jc w:val="both"/>
        <w:rPr>
          <w:rFonts w:eastAsia="宋体"/>
          <w:bCs/>
          <w:kern w:val="2"/>
          <w:sz w:val="21"/>
          <w:szCs w:val="21"/>
          <w:lang w:eastAsia="zh-CN"/>
        </w:rPr>
      </w:pPr>
      <w:r>
        <w:rPr>
          <w:rFonts w:eastAsia="宋体"/>
          <w:bCs/>
          <w:kern w:val="2"/>
          <w:sz w:val="21"/>
          <w:szCs w:val="21"/>
          <w:lang w:eastAsia="zh-CN" w:bidi="ar"/>
        </w:rPr>
        <w:t>1</w:t>
      </w:r>
      <w:r>
        <w:rPr>
          <w:rFonts w:hint="eastAsia" w:eastAsia="宋体" w:cs="宋体"/>
          <w:bCs/>
          <w:kern w:val="2"/>
          <w:sz w:val="21"/>
          <w:szCs w:val="21"/>
          <w:lang w:eastAsia="zh-CN" w:bidi="ar"/>
        </w:rPr>
        <w:t>、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14:paraId="0B4F2BAC">
      <w:pPr>
        <w:widowControl w:val="0"/>
        <w:spacing w:beforeAutospacing="0" w:afterAutospacing="0"/>
        <w:ind w:firstLine="392" w:firstLineChars="187"/>
        <w:jc w:val="left"/>
        <w:rPr>
          <w:rFonts w:ascii="宋体" w:hAnsi="宋体" w:eastAsia="宋体" w:cs="宋体"/>
          <w:szCs w:val="21"/>
          <w:lang w:eastAsia="zh-CN"/>
        </w:rPr>
      </w:pPr>
      <w:r>
        <w:rPr>
          <w:rFonts w:eastAsia="宋体"/>
          <w:bCs/>
          <w:sz w:val="21"/>
          <w:szCs w:val="21"/>
          <w:lang w:eastAsia="zh-CN" w:bidi="ar"/>
        </w:rPr>
        <w:t>2</w:t>
      </w:r>
      <w:r>
        <w:rPr>
          <w:rFonts w:hint="eastAsia" w:eastAsia="宋体" w:cs="宋体"/>
          <w:bCs/>
          <w:sz w:val="21"/>
          <w:szCs w:val="21"/>
          <w:lang w:eastAsia="zh-CN" w:bidi="ar"/>
        </w:rPr>
        <w:t>、投标人应充分了解项目的位置、情况、道路及任何其它足以影响投标报价的情况，任何因忽视或误解项目情况而导致的索赔或服务期限延长申请将不获批准。</w:t>
      </w:r>
    </w:p>
    <w:p w14:paraId="6DF1CBCF">
      <w:pPr>
        <w:widowControl w:val="0"/>
        <w:ind w:firstLine="420" w:firstLineChars="200"/>
        <w:jc w:val="both"/>
        <w:rPr>
          <w:rFonts w:eastAsia="宋体"/>
          <w:bCs/>
          <w:kern w:val="2"/>
          <w:sz w:val="21"/>
          <w:szCs w:val="21"/>
          <w:lang w:eastAsia="zh-CN"/>
        </w:rPr>
      </w:pPr>
      <w:r>
        <w:rPr>
          <w:rFonts w:eastAsia="宋体"/>
          <w:bCs/>
          <w:kern w:val="2"/>
          <w:sz w:val="21"/>
          <w:szCs w:val="21"/>
          <w:lang w:eastAsia="zh-CN" w:bidi="ar"/>
        </w:rPr>
        <w:t>3</w:t>
      </w:r>
      <w:r>
        <w:rPr>
          <w:rFonts w:hint="eastAsia" w:eastAsia="宋体" w:cs="宋体"/>
          <w:bCs/>
          <w:kern w:val="2"/>
          <w:sz w:val="21"/>
          <w:szCs w:val="21"/>
          <w:lang w:eastAsia="zh-CN" w:bidi="ar"/>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149BC97E">
      <w:pPr>
        <w:widowControl w:val="0"/>
        <w:ind w:firstLine="420" w:firstLineChars="200"/>
        <w:jc w:val="both"/>
        <w:rPr>
          <w:rFonts w:eastAsia="宋体"/>
          <w:bCs/>
          <w:kern w:val="2"/>
          <w:sz w:val="21"/>
          <w:szCs w:val="21"/>
          <w:lang w:eastAsia="zh-CN"/>
        </w:rPr>
      </w:pPr>
      <w:r>
        <w:rPr>
          <w:rFonts w:eastAsia="宋体"/>
          <w:bCs/>
          <w:kern w:val="2"/>
          <w:sz w:val="21"/>
          <w:szCs w:val="21"/>
          <w:lang w:eastAsia="zh-CN" w:bidi="ar"/>
        </w:rPr>
        <w:t>4</w:t>
      </w:r>
      <w:r>
        <w:rPr>
          <w:rFonts w:hint="eastAsia" w:eastAsia="宋体" w:cs="宋体"/>
          <w:bCs/>
          <w:kern w:val="2"/>
          <w:sz w:val="21"/>
          <w:szCs w:val="21"/>
          <w:lang w:eastAsia="zh-CN" w:bidi="ar"/>
        </w:rPr>
        <w:t>、除采购合同继续履行将损害国家利益和社会公共利益外，双方当事人不得擅自变更、中止或者终止合同。</w:t>
      </w:r>
    </w:p>
    <w:p w14:paraId="1803A71C">
      <w:pPr>
        <w:widowControl w:val="0"/>
        <w:ind w:firstLine="420" w:firstLineChars="200"/>
        <w:jc w:val="both"/>
        <w:rPr>
          <w:rFonts w:eastAsia="宋体"/>
          <w:bCs/>
          <w:kern w:val="2"/>
          <w:sz w:val="21"/>
          <w:szCs w:val="21"/>
          <w:lang w:eastAsia="zh-CN"/>
        </w:rPr>
      </w:pPr>
      <w:r>
        <w:rPr>
          <w:rFonts w:eastAsia="宋体"/>
          <w:bCs/>
          <w:kern w:val="2"/>
          <w:sz w:val="21"/>
          <w:szCs w:val="21"/>
          <w:lang w:eastAsia="zh-CN" w:bidi="ar"/>
        </w:rPr>
        <w:t>5</w:t>
      </w:r>
      <w:r>
        <w:rPr>
          <w:rFonts w:hint="eastAsia" w:eastAsia="宋体" w:cs="宋体"/>
          <w:bCs/>
          <w:kern w:val="2"/>
          <w:sz w:val="21"/>
          <w:szCs w:val="21"/>
          <w:lang w:eastAsia="zh-CN" w:bidi="ar"/>
        </w:rPr>
        <w:t>、“信用中国”中“信用服务”栏的“重大税收违法失信主体”“失信被执行人”，“中国政府采购网”中的“政府采购严重违法失信行为记录名单”，以及“深圳市政府采购监管网”为供应商信用信息的查询渠道，相关信息以开标当日的查询结果为准。</w:t>
      </w:r>
    </w:p>
    <w:p w14:paraId="30B8203D">
      <w:pPr>
        <w:widowControl w:val="0"/>
        <w:spacing w:line="360" w:lineRule="auto"/>
        <w:jc w:val="both"/>
        <w:rPr>
          <w:rFonts w:ascii="宋体" w:hAnsi="宋体" w:eastAsia="宋体"/>
          <w:b/>
          <w:bCs/>
          <w:sz w:val="28"/>
          <w:szCs w:val="28"/>
          <w:lang w:eastAsia="zh-CN"/>
        </w:rPr>
      </w:pPr>
    </w:p>
    <w:p w14:paraId="292DED66">
      <w:pPr>
        <w:widowControl w:val="0"/>
        <w:jc w:val="both"/>
        <w:rPr>
          <w:rFonts w:ascii="宋体" w:hAnsi="宋体" w:eastAsia="宋体"/>
          <w:b/>
          <w:bCs/>
          <w:sz w:val="28"/>
          <w:szCs w:val="28"/>
          <w:lang w:eastAsia="zh-CN"/>
        </w:rPr>
      </w:pPr>
      <w:r>
        <w:rPr>
          <w:rFonts w:hint="eastAsia" w:ascii="宋体" w:hAnsi="宋体" w:eastAsia="宋体"/>
          <w:b/>
          <w:bCs/>
          <w:sz w:val="28"/>
          <w:szCs w:val="28"/>
          <w:lang w:eastAsia="zh-CN"/>
        </w:rPr>
        <w:br w:type="page"/>
      </w:r>
    </w:p>
    <w:p w14:paraId="25FEFEA4">
      <w:pPr>
        <w:keepNext/>
        <w:keepLines/>
        <w:widowControl w:val="0"/>
        <w:adjustRightInd w:val="0"/>
        <w:spacing w:before="260" w:after="260" w:line="240" w:lineRule="auto"/>
        <w:jc w:val="center"/>
        <w:textAlignment w:val="baseline"/>
        <w:outlineLvl w:val="1"/>
        <w:rPr>
          <w:rFonts w:ascii="宋体" w:hAnsi="宋体" w:eastAsia="宋体"/>
          <w:b/>
          <w:bCs/>
          <w:sz w:val="28"/>
          <w:szCs w:val="28"/>
          <w:lang w:eastAsia="zh-CN"/>
        </w:rPr>
      </w:pPr>
      <w:r>
        <w:rPr>
          <w:rFonts w:hint="eastAsia" w:ascii="宋体" w:hAnsi="宋体" w:eastAsia="宋体"/>
          <w:b/>
          <w:bCs/>
          <w:sz w:val="28"/>
          <w:szCs w:val="28"/>
          <w:lang w:eastAsia="zh-CN"/>
        </w:rPr>
        <w:t>第四章 投标文件组成要求及格式</w:t>
      </w:r>
    </w:p>
    <w:p w14:paraId="13E3B3F1">
      <w:pPr>
        <w:widowControl w:val="0"/>
        <w:jc w:val="both"/>
        <w:rPr>
          <w:rFonts w:ascii="黑体" w:eastAsia="黑体"/>
          <w:bCs/>
          <w:kern w:val="2"/>
          <w:lang w:eastAsia="zh-CN"/>
        </w:rPr>
      </w:pPr>
      <w:r>
        <w:rPr>
          <w:rFonts w:hint="eastAsia" w:ascii="黑体" w:eastAsia="黑体"/>
          <w:bCs/>
          <w:kern w:val="2"/>
          <w:lang w:eastAsia="zh-CN"/>
        </w:rPr>
        <w:t>特别提醒：</w:t>
      </w:r>
    </w:p>
    <w:p w14:paraId="2F666989">
      <w:pPr>
        <w:widowControl w:val="0"/>
        <w:tabs>
          <w:tab w:val="left" w:pos="1470"/>
        </w:tabs>
        <w:snapToGrid w:val="0"/>
        <w:spacing w:line="320" w:lineRule="atLeast"/>
        <w:ind w:firstLine="482" w:firstLineChars="200"/>
        <w:jc w:val="both"/>
        <w:rPr>
          <w:rFonts w:ascii="宋体" w:hAnsi="宋体" w:eastAsia="宋体" w:cs="宋体"/>
          <w:b/>
          <w:color w:val="FF0000"/>
          <w:kern w:val="2"/>
          <w:lang w:eastAsia="zh-CN"/>
        </w:rPr>
      </w:pPr>
      <w:r>
        <w:rPr>
          <w:rFonts w:hint="eastAsia" w:ascii="宋体" w:hAnsi="宋体" w:eastAsia="宋体" w:cs="宋体"/>
          <w:b/>
          <w:color w:val="FF0000"/>
          <w:kern w:val="2"/>
          <w:lang w:eastAsia="zh-CN"/>
        </w:rPr>
        <w:t>1.投标人在编辑投标文件时，在投标文件目录中属于本节点内容的需在对应节点中填写，填写到其他节点后果由供应商自行承担。</w:t>
      </w:r>
    </w:p>
    <w:p w14:paraId="290F1A95">
      <w:pPr>
        <w:widowControl w:val="0"/>
        <w:tabs>
          <w:tab w:val="left" w:pos="1470"/>
        </w:tabs>
        <w:snapToGrid w:val="0"/>
        <w:spacing w:line="320" w:lineRule="atLeast"/>
        <w:ind w:firstLine="482" w:firstLineChars="200"/>
        <w:jc w:val="both"/>
        <w:rPr>
          <w:rFonts w:ascii="宋体" w:hAnsi="宋体" w:eastAsia="宋体" w:cs="宋体"/>
          <w:b/>
          <w:color w:val="FF0000"/>
          <w:kern w:val="2"/>
          <w:lang w:eastAsia="zh-CN"/>
        </w:rPr>
      </w:pPr>
      <w:r>
        <w:rPr>
          <w:rFonts w:hint="eastAsia" w:ascii="宋体" w:hAnsi="宋体" w:eastAsia="宋体" w:cs="宋体"/>
          <w:b/>
          <w:color w:val="FF0000"/>
          <w:kern w:val="2"/>
          <w:lang w:eastAsia="zh-CN"/>
        </w:rPr>
        <w:t>2.投标文件均不对外公开。</w:t>
      </w:r>
    </w:p>
    <w:p w14:paraId="6504F159">
      <w:pPr>
        <w:widowControl w:val="0"/>
        <w:tabs>
          <w:tab w:val="left" w:pos="1470"/>
        </w:tabs>
        <w:snapToGrid w:val="0"/>
        <w:spacing w:line="320" w:lineRule="atLeast"/>
        <w:ind w:firstLine="482" w:firstLineChars="200"/>
        <w:jc w:val="both"/>
        <w:rPr>
          <w:rFonts w:ascii="宋体" w:hAnsi="宋体" w:eastAsia="宋体" w:cs="宋体"/>
          <w:b/>
          <w:color w:val="FF0000"/>
          <w:kern w:val="2"/>
          <w:lang w:eastAsia="zh-CN"/>
        </w:rPr>
      </w:pPr>
    </w:p>
    <w:p w14:paraId="4E4721FB">
      <w:pPr>
        <w:widowControl w:val="0"/>
        <w:jc w:val="both"/>
        <w:rPr>
          <w:rFonts w:ascii="宋体" w:hAnsi="宋体" w:eastAsia="宋体"/>
          <w:b/>
          <w:bCs/>
          <w:kern w:val="2"/>
          <w:lang w:eastAsia="zh-CN"/>
        </w:rPr>
      </w:pPr>
      <w:r>
        <w:rPr>
          <w:rFonts w:hint="eastAsia" w:ascii="宋体" w:hAnsi="宋体" w:eastAsia="宋体"/>
          <w:b/>
          <w:bCs/>
          <w:kern w:val="2"/>
          <w:lang w:eastAsia="zh-CN"/>
        </w:rPr>
        <w:t>投标文件组成：</w:t>
      </w:r>
    </w:p>
    <w:p w14:paraId="4C96F7B3">
      <w:pPr>
        <w:widowControl w:val="0"/>
        <w:ind w:firstLine="480" w:firstLineChars="200"/>
        <w:jc w:val="both"/>
        <w:outlineLvl w:val="0"/>
        <w:rPr>
          <w:rFonts w:ascii="宋体" w:hAnsi="宋体" w:eastAsia="宋体"/>
          <w:kern w:val="2"/>
          <w:lang w:eastAsia="zh-CN"/>
        </w:rPr>
      </w:pPr>
      <w:r>
        <w:rPr>
          <w:rFonts w:hint="eastAsia" w:ascii="宋体" w:hAnsi="宋体" w:eastAsia="宋体"/>
          <w:kern w:val="2"/>
          <w:lang w:eastAsia="zh-CN"/>
        </w:rPr>
        <w:t>投标文件主要包括以下内容：</w:t>
      </w:r>
    </w:p>
    <w:p w14:paraId="7E7D4F2A">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（1）投标函</w:t>
      </w:r>
    </w:p>
    <w:p w14:paraId="1DA6FCD3">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（2）采购投标及履约承诺函</w:t>
      </w:r>
    </w:p>
    <w:p w14:paraId="2EBFBF44">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（3）投标人情况及资格证明文件</w:t>
      </w:r>
    </w:p>
    <w:p w14:paraId="6A4649AD">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（4）项目详细报价</w:t>
      </w:r>
    </w:p>
    <w:p w14:paraId="1B40394B">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（5）供应商基本情况表</w:t>
      </w:r>
      <w:r>
        <w:rPr>
          <w:rFonts w:hint="eastAsia" w:eastAsia="宋体"/>
          <w:b/>
          <w:bCs/>
          <w:color w:val="FF0000"/>
          <w:kern w:val="2"/>
          <w:sz w:val="21"/>
          <w:szCs w:val="21"/>
          <w:lang w:eastAsia="zh-CN"/>
        </w:rPr>
        <w:t>（须加盖投标单位公章）</w:t>
      </w:r>
    </w:p>
    <w:p w14:paraId="7E9F6857">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（6）法定代表人（负责人）证明书</w:t>
      </w:r>
    </w:p>
    <w:p w14:paraId="081078BA">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（7）投标文件签署授权委托书</w:t>
      </w:r>
    </w:p>
    <w:p w14:paraId="5D187E03">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（8）实质性条款响应情况表</w:t>
      </w:r>
    </w:p>
    <w:p w14:paraId="196BA363">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（9）技术要求偏离表</w:t>
      </w:r>
    </w:p>
    <w:p w14:paraId="05C6D338">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（10）商务要求偏离表</w:t>
      </w:r>
    </w:p>
    <w:p w14:paraId="58A014A6">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（11）技术保障措施（格式自定）</w:t>
      </w:r>
    </w:p>
    <w:p w14:paraId="615AF7C0">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（12）</w:t>
      </w:r>
      <w:r>
        <w:rPr>
          <w:rFonts w:hint="eastAsia" w:eastAsia="宋体"/>
          <w:kern w:val="2"/>
          <w:sz w:val="21"/>
          <w:lang w:eastAsia="zh-CN"/>
        </w:rPr>
        <w:t>项目实施方案</w:t>
      </w:r>
      <w:r>
        <w:rPr>
          <w:rFonts w:hint="eastAsia" w:eastAsia="宋体"/>
          <w:kern w:val="2"/>
          <w:sz w:val="21"/>
          <w:szCs w:val="21"/>
          <w:lang w:eastAsia="zh-CN"/>
        </w:rPr>
        <w:t>（格式自定）</w:t>
      </w:r>
    </w:p>
    <w:p w14:paraId="2A8C8619">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（13）投标人认证情况（格式自定）</w:t>
      </w:r>
    </w:p>
    <w:p w14:paraId="2E2E899F">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（14）投标人同类业绩</w:t>
      </w:r>
    </w:p>
    <w:p w14:paraId="4FF1E594">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（15）投标人认为需要加以说明的其他内容</w:t>
      </w:r>
    </w:p>
    <w:p w14:paraId="59C71D58">
      <w:pPr>
        <w:widowControl w:val="0"/>
        <w:ind w:firstLine="426" w:firstLineChars="202"/>
        <w:jc w:val="both"/>
        <w:rPr>
          <w:rFonts w:ascii="宋体" w:hAnsi="宋体" w:eastAsia="宋体"/>
          <w:b/>
          <w:kern w:val="2"/>
          <w:sz w:val="21"/>
          <w:szCs w:val="21"/>
          <w:lang w:eastAsia="zh-CN"/>
        </w:rPr>
      </w:pPr>
    </w:p>
    <w:p w14:paraId="165DB2CD">
      <w:pPr>
        <w:widowControl w:val="0"/>
        <w:ind w:firstLine="426" w:firstLineChars="202"/>
        <w:jc w:val="both"/>
        <w:rPr>
          <w:rFonts w:ascii="宋体" w:hAnsi="宋体" w:eastAsia="宋体"/>
          <w:b/>
          <w:kern w:val="2"/>
          <w:sz w:val="21"/>
          <w:szCs w:val="21"/>
          <w:lang w:eastAsia="zh-CN"/>
        </w:rPr>
      </w:pPr>
      <w:r>
        <w:rPr>
          <w:rFonts w:hint="eastAsia" w:ascii="宋体" w:hAnsi="宋体" w:eastAsia="宋体"/>
          <w:b/>
          <w:kern w:val="2"/>
          <w:sz w:val="21"/>
          <w:szCs w:val="21"/>
          <w:lang w:eastAsia="zh-CN"/>
        </w:rPr>
        <w:t>备注：1.本项目为网上电子投标项目，投标文件不需法人或授权委托人另行签字，无需加盖单位公章，招标文件专用条款另有规定的除外。</w:t>
      </w:r>
    </w:p>
    <w:p w14:paraId="1094B67E">
      <w:pPr>
        <w:widowControl w:val="0"/>
        <w:ind w:firstLine="426" w:firstLineChars="202"/>
        <w:jc w:val="both"/>
        <w:rPr>
          <w:rFonts w:ascii="宋体" w:hAnsi="宋体" w:eastAsia="宋体"/>
          <w:b/>
          <w:kern w:val="2"/>
          <w:sz w:val="21"/>
          <w:szCs w:val="21"/>
          <w:lang w:eastAsia="zh-CN"/>
        </w:rPr>
      </w:pPr>
      <w:r>
        <w:rPr>
          <w:rFonts w:hint="eastAsia" w:ascii="宋体" w:hAnsi="宋体" w:eastAsia="宋体"/>
          <w:b/>
          <w:kern w:val="2"/>
          <w:sz w:val="21"/>
          <w:szCs w:val="21"/>
          <w:lang w:eastAsia="zh-CN"/>
        </w:rPr>
        <w:t>2.关于填写“开标一览表”的说明：“开标一览表”中除“投标报价”外，其他信息不作评审依据。</w:t>
      </w:r>
    </w:p>
    <w:p w14:paraId="49A69558">
      <w:pPr>
        <w:widowControl w:val="0"/>
        <w:jc w:val="left"/>
        <w:rPr>
          <w:rFonts w:ascii="宋体" w:hAnsi="宋体" w:eastAsia="宋体"/>
          <w:b/>
          <w:color w:val="FF0000"/>
          <w:kern w:val="2"/>
          <w:sz w:val="28"/>
          <w:szCs w:val="28"/>
          <w:lang w:eastAsia="zh-CN"/>
        </w:rPr>
      </w:pPr>
      <w:r>
        <w:rPr>
          <w:rFonts w:hint="eastAsia" w:ascii="宋体" w:hAnsi="宋体" w:eastAsia="宋体"/>
          <w:b/>
          <w:color w:val="FF0000"/>
          <w:kern w:val="2"/>
          <w:sz w:val="36"/>
          <w:szCs w:val="36"/>
          <w:lang w:eastAsia="zh-CN"/>
        </w:rPr>
        <w:br w:type="page"/>
      </w:r>
      <w:r>
        <w:rPr>
          <w:rFonts w:hint="eastAsia" w:ascii="宋体" w:hAnsi="宋体" w:eastAsia="宋体"/>
          <w:b/>
          <w:color w:val="FF0000"/>
          <w:kern w:val="2"/>
          <w:sz w:val="28"/>
          <w:szCs w:val="28"/>
          <w:lang w:eastAsia="zh-CN"/>
        </w:rPr>
        <w:t>投标文件</w:t>
      </w:r>
    </w:p>
    <w:p w14:paraId="294404FD">
      <w:pPr>
        <w:keepNext/>
        <w:keepLines/>
        <w:widowControl w:val="0"/>
        <w:spacing w:before="260" w:after="260" w:line="240" w:lineRule="auto"/>
        <w:jc w:val="center"/>
        <w:outlineLvl w:val="2"/>
        <w:rPr>
          <w:rFonts w:ascii="黑体" w:hAnsi="宋体" w:eastAsia="黑体"/>
          <w:bCs/>
          <w:szCs w:val="32"/>
          <w:lang w:eastAsia="zh-CN"/>
        </w:rPr>
      </w:pPr>
      <w:r>
        <w:rPr>
          <w:rFonts w:hint="eastAsia" w:ascii="黑体" w:hAnsi="宋体" w:eastAsia="黑体"/>
          <w:bCs/>
          <w:szCs w:val="32"/>
          <w:lang w:eastAsia="zh-CN"/>
        </w:rPr>
        <w:t>一、投标函</w:t>
      </w:r>
    </w:p>
    <w:p w14:paraId="0E0E4E85">
      <w:pPr>
        <w:widowControl w:val="0"/>
        <w:spacing w:line="360" w:lineRule="auto"/>
        <w:jc w:val="both"/>
        <w:rPr>
          <w:rFonts w:ascii="宋体" w:hAnsi="宋体" w:eastAsia="宋体"/>
          <w:color w:val="000000"/>
          <w:kern w:val="2"/>
          <w:sz w:val="21"/>
          <w:szCs w:val="21"/>
          <w:lang w:eastAsia="zh-CN"/>
        </w:rPr>
      </w:pPr>
      <w:r>
        <w:rPr>
          <w:rFonts w:hint="eastAsia" w:ascii="宋体" w:hAnsi="宋体" w:eastAsia="宋体"/>
          <w:kern w:val="2"/>
          <w:sz w:val="21"/>
          <w:szCs w:val="21"/>
          <w:lang w:eastAsia="zh-CN"/>
        </w:rPr>
        <w:t>致：</w:t>
      </w:r>
      <w:r>
        <w:rPr>
          <w:rFonts w:hint="eastAsia" w:ascii="宋体" w:hAnsi="宋体" w:eastAsia="宋体"/>
          <w:color w:val="000000"/>
          <w:kern w:val="2"/>
          <w:sz w:val="21"/>
          <w:szCs w:val="21"/>
          <w:u w:val="single"/>
          <w:lang w:eastAsia="zh-CN"/>
        </w:rPr>
        <w:t>深圳公共资源交易中心（深圳交易集团有限公司政府采购业务分公司）</w:t>
      </w:r>
    </w:p>
    <w:p w14:paraId="1E9DFD58">
      <w:pPr>
        <w:widowControl w:val="0"/>
        <w:ind w:firstLine="420" w:firstLineChars="200"/>
        <w:jc w:val="both"/>
        <w:rPr>
          <w:rFonts w:ascii="宋体" w:hAnsi="宋体" w:eastAsia="宋体"/>
          <w:kern w:val="2"/>
          <w:sz w:val="21"/>
          <w:szCs w:val="21"/>
          <w:lang w:eastAsia="zh-CN"/>
        </w:rPr>
      </w:pPr>
      <w:bookmarkStart w:id="40" w:name="_Hlk73818812"/>
      <w:r>
        <w:rPr>
          <w:rFonts w:hint="eastAsia" w:eastAsia="宋体"/>
          <w:kern w:val="2"/>
          <w:sz w:val="21"/>
          <w:szCs w:val="21"/>
          <w:lang w:eastAsia="zh-CN"/>
        </w:rPr>
        <w:t>1、根据已收到贵单位的项目编号为</w:t>
      </w:r>
      <w:r>
        <w:rPr>
          <w:rFonts w:hint="eastAsia" w:eastAsia="宋体"/>
          <w:b/>
          <w:bCs/>
          <w:color w:val="0000FF"/>
          <w:kern w:val="2"/>
          <w:sz w:val="21"/>
          <w:szCs w:val="21"/>
          <w:u w:val="single"/>
          <w:lang w:eastAsia="zh-CN"/>
        </w:rPr>
        <w:t>SZZXCG-2025-00417</w:t>
      </w:r>
      <w:r>
        <w:rPr>
          <w:rFonts w:hint="eastAsia" w:eastAsia="宋体"/>
          <w:kern w:val="2"/>
          <w:sz w:val="21"/>
          <w:szCs w:val="21"/>
          <w:lang w:eastAsia="zh-CN"/>
        </w:rPr>
        <w:t>的</w:t>
      </w:r>
      <w:r>
        <w:rPr>
          <w:rFonts w:hint="eastAsia" w:eastAsia="宋体"/>
          <w:b/>
          <w:bCs/>
          <w:color w:val="0000FF"/>
          <w:kern w:val="2"/>
          <w:sz w:val="21"/>
          <w:szCs w:val="21"/>
          <w:u w:val="single"/>
          <w:lang w:eastAsia="zh-CN"/>
        </w:rPr>
        <w:t>香港中文大学（深圳）书院家具项目</w:t>
      </w:r>
      <w:r>
        <w:rPr>
          <w:rFonts w:hint="eastAsia" w:eastAsia="宋体"/>
          <w:kern w:val="2"/>
          <w:sz w:val="21"/>
          <w:szCs w:val="21"/>
          <w:u w:val="single"/>
          <w:lang w:eastAsia="zh-CN" w:bidi="ar"/>
        </w:rPr>
        <w:t>（项目名称）</w:t>
      </w:r>
      <w:r>
        <w:rPr>
          <w:rFonts w:hint="eastAsia" w:eastAsia="宋体"/>
          <w:kern w:val="2"/>
          <w:sz w:val="21"/>
          <w:szCs w:val="21"/>
          <w:lang w:eastAsia="zh-CN"/>
        </w:rPr>
        <w:t>的招标文件，遵照《深圳经济特区政府采购条例》和《深圳网上政府采购管理暂行办法》等有关规定，我单位经研究上述招标文件的专用条款及通用条款后，</w:t>
      </w:r>
      <w:bookmarkStart w:id="41" w:name="_Hlk72263588"/>
      <w:r>
        <w:rPr>
          <w:rFonts w:hint="eastAsia" w:eastAsia="宋体"/>
          <w:kern w:val="2"/>
          <w:sz w:val="21"/>
          <w:szCs w:val="21"/>
          <w:lang w:eastAsia="zh-CN"/>
        </w:rPr>
        <w:t>愿意按照招标文件要求承包上述项目并修补其任何缺陷。</w:t>
      </w:r>
      <w:bookmarkEnd w:id="41"/>
    </w:p>
    <w:p w14:paraId="05657927">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2</w:t>
      </w:r>
      <w:r>
        <w:rPr>
          <w:rFonts w:hint="eastAsia" w:ascii="宋体" w:hAnsi="宋体" w:eastAsia="宋体"/>
          <w:kern w:val="2"/>
          <w:sz w:val="21"/>
          <w:szCs w:val="21"/>
          <w:lang w:eastAsia="zh-CN"/>
        </w:rPr>
        <w:t>、投标价格见</w:t>
      </w:r>
      <w:r>
        <w:rPr>
          <w:rFonts w:hint="eastAsia" w:eastAsia="宋体"/>
          <w:kern w:val="2"/>
          <w:sz w:val="21"/>
          <w:szCs w:val="21"/>
          <w:lang w:eastAsia="zh-CN"/>
        </w:rPr>
        <w:t>投标书编制软件中《开标一览表》中填写的投标报价。</w:t>
      </w:r>
    </w:p>
    <w:p w14:paraId="44010A2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3、如果我单位中标，我单位将按照招标文件的要求提交履约担保。</w:t>
      </w:r>
    </w:p>
    <w:p w14:paraId="69CBD35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4、我单位同意所递交的投标文件在“对通用条款的补充内容”中明确的投标有效期内有效，在此期间内我单位的投标有可能中标，我方将受此约束。</w:t>
      </w:r>
    </w:p>
    <w:p w14:paraId="3A5D791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5、除非另外达成协议并生效，贵单位的中标通知书和本投标文件将构成合同的重要内容。</w:t>
      </w:r>
    </w:p>
    <w:p w14:paraId="5244EEB4">
      <w:pPr>
        <w:widowControl w:val="0"/>
        <w:ind w:left="585" w:leftChars="200" w:hanging="105" w:hangingChars="50"/>
        <w:jc w:val="both"/>
        <w:rPr>
          <w:rFonts w:ascii="宋体" w:hAnsi="宋体" w:eastAsia="宋体"/>
          <w:kern w:val="2"/>
          <w:sz w:val="21"/>
          <w:szCs w:val="21"/>
          <w:lang w:eastAsia="zh-CN"/>
        </w:rPr>
      </w:pPr>
      <w:r>
        <w:rPr>
          <w:rFonts w:hint="eastAsia" w:ascii="宋体" w:hAnsi="宋体" w:eastAsia="宋体"/>
          <w:kern w:val="2"/>
          <w:sz w:val="21"/>
          <w:szCs w:val="21"/>
          <w:lang w:eastAsia="zh-CN"/>
        </w:rPr>
        <w:t>6、我单位理解贵单位将不受必须接受所收到的最低报价或其它任何投标文件的约束。</w:t>
      </w:r>
      <w:bookmarkEnd w:id="40"/>
    </w:p>
    <w:p w14:paraId="6D87419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7、如我单位按项目要求提供样品，且未在规定时间内取回样品的，视同放弃取回，同意深圳公共资源交易中心（深圳交易集团有限公司政府采购业务分公司）对样品进行清理。</w:t>
      </w:r>
    </w:p>
    <w:p w14:paraId="2C48FA6B">
      <w:pPr>
        <w:widowControl w:val="0"/>
        <w:spacing w:line="360" w:lineRule="auto"/>
        <w:jc w:val="both"/>
        <w:rPr>
          <w:rFonts w:eastAsia="宋体"/>
          <w:b/>
          <w:bCs/>
          <w:kern w:val="2"/>
          <w:lang w:eastAsia="zh-CN"/>
        </w:rPr>
      </w:pPr>
    </w:p>
    <w:p w14:paraId="001F51FA">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投标人：</w:t>
      </w:r>
      <w:r>
        <w:rPr>
          <w:rFonts w:eastAsia="宋体"/>
          <w:kern w:val="2"/>
          <w:sz w:val="21"/>
          <w:szCs w:val="21"/>
          <w:u w:val="single"/>
          <w:lang w:eastAsia="zh-CN" w:bidi="ar"/>
        </w:rPr>
        <w:t xml:space="preserve">    </w:t>
      </w:r>
      <w:r>
        <w:rPr>
          <w:rFonts w:hint="eastAsia" w:eastAsia="宋体"/>
          <w:kern w:val="2"/>
          <w:sz w:val="21"/>
          <w:szCs w:val="21"/>
          <w:u w:val="single"/>
          <w:lang w:eastAsia="zh-CN" w:bidi="ar"/>
        </w:rPr>
        <w:t xml:space="preserve">        </w:t>
      </w:r>
      <w:r>
        <w:rPr>
          <w:rFonts w:eastAsia="宋体"/>
          <w:kern w:val="2"/>
          <w:sz w:val="21"/>
          <w:szCs w:val="21"/>
          <w:u w:val="single"/>
          <w:lang w:eastAsia="zh-CN" w:bidi="ar"/>
        </w:rPr>
        <w:t xml:space="preserve">   </w:t>
      </w:r>
      <w:r>
        <w:rPr>
          <w:rFonts w:hint="eastAsia" w:eastAsia="宋体" w:cs="宋体"/>
          <w:kern w:val="2"/>
          <w:sz w:val="21"/>
          <w:szCs w:val="21"/>
          <w:lang w:eastAsia="zh-CN" w:bidi="ar"/>
        </w:rPr>
        <w:t>；单位地址：</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5290787D">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法定代表人（负责人）或其授权委托代理人：</w:t>
      </w:r>
      <w:r>
        <w:rPr>
          <w:rFonts w:eastAsia="宋体"/>
          <w:kern w:val="2"/>
          <w:sz w:val="21"/>
          <w:szCs w:val="21"/>
          <w:u w:val="single"/>
          <w:lang w:eastAsia="zh-CN" w:bidi="ar"/>
        </w:rPr>
        <w:t xml:space="preserve">      </w:t>
      </w:r>
      <w:r>
        <w:rPr>
          <w:rFonts w:hint="eastAsia" w:eastAsia="宋体"/>
          <w:kern w:val="2"/>
          <w:sz w:val="21"/>
          <w:szCs w:val="21"/>
          <w:u w:val="single"/>
          <w:lang w:eastAsia="zh-CN" w:bidi="ar"/>
        </w:rPr>
        <w:t xml:space="preserve">      </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755C0D6B">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电话：</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7D41F1A9">
      <w:pPr>
        <w:widowControl/>
        <w:ind w:firstLine="630" w:firstLineChars="300"/>
        <w:jc w:val="left"/>
        <w:rPr>
          <w:rFonts w:eastAsia="宋体"/>
          <w:kern w:val="2"/>
          <w:sz w:val="21"/>
          <w:lang w:eastAsia="zh-CN"/>
        </w:rPr>
      </w:pPr>
      <w:r>
        <w:rPr>
          <w:rFonts w:hint="eastAsia" w:ascii="宋体" w:hAnsi="宋体" w:eastAsia="宋体"/>
          <w:kern w:val="2"/>
          <w:sz w:val="21"/>
          <w:szCs w:val="21"/>
          <w:lang w:eastAsia="zh-CN" w:bidi="ar"/>
        </w:rPr>
        <w:t>日期：</w:t>
      </w:r>
      <w:r>
        <w:rPr>
          <w:rFonts w:hint="eastAsia" w:ascii="宋体" w:hAnsi="宋体" w:eastAsia="宋体"/>
          <w:kern w:val="2"/>
          <w:sz w:val="21"/>
          <w:szCs w:val="21"/>
          <w:u w:val="single"/>
          <w:lang w:eastAsia="zh-CN" w:bidi="ar"/>
        </w:rPr>
        <w:t xml:space="preserve">       </w:t>
      </w:r>
      <w:r>
        <w:rPr>
          <w:rFonts w:hint="eastAsia" w:ascii="宋体" w:hAnsi="宋体" w:eastAsia="宋体"/>
          <w:kern w:val="2"/>
          <w:sz w:val="21"/>
          <w:szCs w:val="21"/>
          <w:lang w:eastAsia="zh-CN" w:bidi="ar"/>
        </w:rPr>
        <w:t>年</w:t>
      </w:r>
      <w:r>
        <w:rPr>
          <w:rFonts w:hint="eastAsia" w:ascii="宋体" w:hAnsi="宋体" w:eastAsia="宋体"/>
          <w:kern w:val="2"/>
          <w:sz w:val="21"/>
          <w:szCs w:val="21"/>
          <w:u w:val="single"/>
          <w:lang w:eastAsia="zh-CN" w:bidi="ar"/>
        </w:rPr>
        <w:t xml:space="preserve">     </w:t>
      </w:r>
      <w:r>
        <w:rPr>
          <w:rFonts w:hint="eastAsia" w:ascii="宋体" w:hAnsi="宋体" w:eastAsia="宋体"/>
          <w:kern w:val="2"/>
          <w:sz w:val="21"/>
          <w:szCs w:val="21"/>
          <w:lang w:eastAsia="zh-CN" w:bidi="ar"/>
        </w:rPr>
        <w:t>月</w:t>
      </w:r>
      <w:r>
        <w:rPr>
          <w:rFonts w:hint="eastAsia" w:ascii="宋体" w:hAnsi="宋体" w:eastAsia="宋体"/>
          <w:kern w:val="2"/>
          <w:sz w:val="21"/>
          <w:szCs w:val="21"/>
          <w:u w:val="single"/>
          <w:lang w:eastAsia="zh-CN" w:bidi="ar"/>
        </w:rPr>
        <w:t xml:space="preserve">    </w:t>
      </w:r>
      <w:r>
        <w:rPr>
          <w:rFonts w:hint="eastAsia" w:ascii="宋体" w:hAnsi="宋体" w:eastAsia="宋体"/>
          <w:kern w:val="2"/>
          <w:sz w:val="21"/>
          <w:szCs w:val="21"/>
          <w:lang w:eastAsia="zh-CN" w:bidi="ar"/>
        </w:rPr>
        <w:t>日</w:t>
      </w:r>
    </w:p>
    <w:p w14:paraId="00B2276E">
      <w:pPr>
        <w:widowControl w:val="0"/>
        <w:jc w:val="both"/>
        <w:rPr>
          <w:rFonts w:ascii="黑体" w:hAnsi="宋体" w:eastAsia="黑体"/>
          <w:kern w:val="2"/>
          <w:sz w:val="21"/>
          <w:lang w:eastAsia="zh-CN"/>
        </w:rPr>
      </w:pPr>
    </w:p>
    <w:p w14:paraId="0F715C2A">
      <w:pPr>
        <w:widowControl w:val="0"/>
        <w:jc w:val="both"/>
        <w:rPr>
          <w:rFonts w:ascii="黑体" w:hAnsi="宋体" w:eastAsia="黑体"/>
          <w:kern w:val="2"/>
          <w:sz w:val="21"/>
          <w:lang w:eastAsia="zh-CN"/>
        </w:rPr>
      </w:pPr>
    </w:p>
    <w:p w14:paraId="098520F3">
      <w:pPr>
        <w:widowControl/>
        <w:jc w:val="left"/>
        <w:rPr>
          <w:rFonts w:ascii="黑体" w:hAnsi="宋体" w:eastAsia="黑体"/>
          <w:bCs/>
          <w:szCs w:val="32"/>
          <w:lang w:eastAsia="zh-CN"/>
        </w:rPr>
      </w:pPr>
      <w:r>
        <w:rPr>
          <w:rFonts w:ascii="黑体" w:eastAsia="黑体"/>
          <w:b/>
          <w:lang w:eastAsia="zh-CN"/>
        </w:rPr>
        <w:br w:type="page"/>
      </w:r>
    </w:p>
    <w:p w14:paraId="302AA0D9">
      <w:pPr>
        <w:keepNext/>
        <w:keepLines/>
        <w:widowControl w:val="0"/>
        <w:spacing w:before="260" w:after="260" w:line="240" w:lineRule="auto"/>
        <w:jc w:val="center"/>
        <w:outlineLvl w:val="2"/>
        <w:rPr>
          <w:rFonts w:ascii="黑体" w:hAnsi="宋体" w:eastAsia="黑体"/>
          <w:bCs/>
          <w:szCs w:val="32"/>
          <w:lang w:eastAsia="zh-CN"/>
        </w:rPr>
      </w:pPr>
      <w:r>
        <w:rPr>
          <w:rFonts w:hint="eastAsia" w:ascii="黑体" w:hAnsi="宋体" w:eastAsia="黑体"/>
          <w:bCs/>
          <w:szCs w:val="32"/>
          <w:lang w:eastAsia="zh-CN"/>
        </w:rPr>
        <w:t>二、采购投标及履约承诺函</w:t>
      </w:r>
    </w:p>
    <w:p w14:paraId="649CF9A2">
      <w:pPr>
        <w:widowControl w:val="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致：深圳公共资源交易中心（深圳交易集团有限公司政府采购业务分公司）</w:t>
      </w:r>
    </w:p>
    <w:p w14:paraId="45F98B4B">
      <w:pPr>
        <w:widowControl w:val="0"/>
        <w:ind w:right="-815"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我单位承诺：</w:t>
      </w:r>
    </w:p>
    <w:p w14:paraId="1D619234">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1.我单位参与本项目</w:t>
      </w:r>
      <w:r>
        <w:rPr>
          <w:rFonts w:hint="eastAsia" w:ascii="宋体" w:hAnsi="宋体" w:eastAsia="宋体" w:cs="宋体"/>
          <w:kern w:val="2"/>
          <w:sz w:val="21"/>
          <w:lang w:eastAsia="zh-CN" w:bidi="ar"/>
        </w:rPr>
        <w:t>所投标（响应）的货物、工程或服务，不存在侵犯知识产权的情况。</w:t>
      </w:r>
    </w:p>
    <w:p w14:paraId="759C0C82">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2.我单位</w:t>
      </w:r>
      <w:r>
        <w:rPr>
          <w:rFonts w:hint="eastAsia" w:ascii="宋体" w:hAnsi="宋体" w:eastAsia="宋体" w:cs="宋体"/>
          <w:sz w:val="21"/>
          <w:szCs w:val="21"/>
          <w:lang w:eastAsia="zh-CN"/>
        </w:rPr>
        <w:t>参与本项目采购活动时</w:t>
      </w:r>
      <w:r>
        <w:rPr>
          <w:rFonts w:hint="eastAsia" w:eastAsia="宋体" w:cs="宋体"/>
          <w:kern w:val="2"/>
          <w:sz w:val="21"/>
          <w:lang w:eastAsia="zh-CN" w:bidi="ar"/>
        </w:rPr>
        <w:t>不存在被有关部门禁止参与政府采购活动且在有效期内的情况。</w:t>
      </w:r>
      <w:r>
        <w:rPr>
          <w:rFonts w:hint="eastAsia" w:eastAsia="宋体"/>
          <w:kern w:val="2"/>
          <w:sz w:val="21"/>
          <w:lang w:eastAsia="zh-CN"/>
        </w:rPr>
        <w:t>符合招标文件关于联合体及进口产品的相关资格要求。</w:t>
      </w:r>
    </w:p>
    <w:p w14:paraId="424E02E8">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3.我单位具备《中华人民共和国政府采购法》第二十二条第一款规定的六项条件。</w:t>
      </w:r>
    </w:p>
    <w:p w14:paraId="175B77E0">
      <w:pPr>
        <w:widowControl w:val="0"/>
        <w:ind w:firstLine="420" w:firstLineChars="200"/>
        <w:jc w:val="both"/>
        <w:rPr>
          <w:rFonts w:eastAsia="宋体"/>
          <w:kern w:val="2"/>
          <w:sz w:val="21"/>
          <w:lang w:eastAsia="zh-CN"/>
        </w:rPr>
      </w:pPr>
      <w:r>
        <w:rPr>
          <w:rFonts w:hint="eastAsia" w:ascii="宋体" w:hAnsi="宋体" w:eastAsia="宋体" w:cs="宋体"/>
          <w:kern w:val="2"/>
          <w:sz w:val="21"/>
          <w:szCs w:val="21"/>
          <w:lang w:eastAsia="zh-CN" w:bidi="ar"/>
        </w:rPr>
        <w:t>4.我单位</w:t>
      </w:r>
      <w:r>
        <w:rPr>
          <w:rFonts w:hint="eastAsia" w:eastAsia="宋体" w:cs="宋体"/>
          <w:kern w:val="2"/>
          <w:sz w:val="21"/>
          <w:lang w:eastAsia="zh-CN" w:bidi="ar"/>
        </w:rPr>
        <w:t>未被列入失信被执行人、重大税收违法案件当事人名单、政府采购严重违法失信行为记录名单。</w:t>
      </w:r>
    </w:p>
    <w:p w14:paraId="4B38B624">
      <w:pPr>
        <w:widowControl w:val="0"/>
        <w:ind w:firstLine="420" w:firstLineChars="200"/>
        <w:jc w:val="both"/>
        <w:rPr>
          <w:rFonts w:eastAsia="宋体"/>
          <w:kern w:val="2"/>
          <w:sz w:val="21"/>
          <w:lang w:eastAsia="zh-CN"/>
        </w:rPr>
      </w:pPr>
      <w:r>
        <w:rPr>
          <w:rFonts w:eastAsia="宋体"/>
          <w:color w:val="FF0000"/>
          <w:kern w:val="2"/>
          <w:sz w:val="21"/>
          <w:lang w:eastAsia="zh-CN" w:bidi="ar"/>
        </w:rPr>
        <w:t>5.</w:t>
      </w:r>
      <w:r>
        <w:rPr>
          <w:rFonts w:hint="eastAsia" w:eastAsia="宋体" w:cs="宋体"/>
          <w:color w:val="FF0000"/>
          <w:kern w:val="2"/>
          <w:sz w:val="21"/>
          <w:lang w:eastAsia="zh-CN" w:bidi="ar"/>
        </w:rPr>
        <w:t>我单位不存在《深圳市财政局政府采购供应商信用信息管理办法》（深财规〔</w:t>
      </w:r>
      <w:r>
        <w:rPr>
          <w:rFonts w:eastAsia="宋体"/>
          <w:color w:val="FF0000"/>
          <w:kern w:val="2"/>
          <w:sz w:val="21"/>
          <w:lang w:eastAsia="zh-CN" w:bidi="ar"/>
        </w:rPr>
        <w:t>2023</w:t>
      </w:r>
      <w:r>
        <w:rPr>
          <w:rFonts w:hint="eastAsia" w:eastAsia="宋体" w:cs="宋体"/>
          <w:color w:val="FF0000"/>
          <w:kern w:val="2"/>
          <w:sz w:val="21"/>
          <w:lang w:eastAsia="zh-CN" w:bidi="ar"/>
        </w:rPr>
        <w:t>〕</w:t>
      </w:r>
      <w:r>
        <w:rPr>
          <w:rFonts w:eastAsia="宋体"/>
          <w:color w:val="FF0000"/>
          <w:kern w:val="2"/>
          <w:sz w:val="21"/>
          <w:lang w:eastAsia="zh-CN" w:bidi="ar"/>
        </w:rPr>
        <w:t>3</w:t>
      </w:r>
      <w:r>
        <w:rPr>
          <w:rFonts w:hint="eastAsia" w:eastAsia="宋体" w:cs="宋体"/>
          <w:color w:val="FF0000"/>
          <w:kern w:val="2"/>
          <w:sz w:val="21"/>
          <w:lang w:eastAsia="zh-CN" w:bidi="ar"/>
        </w:rPr>
        <w:t>号）列明的严重违法失信行为。</w:t>
      </w:r>
    </w:p>
    <w:p w14:paraId="11E7B593">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56E9070F">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7.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59680E10">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5BD98169">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68D48D60">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9.我单位承诺中标后项目不转包，未经采购人同意不进行分包。</w:t>
      </w:r>
    </w:p>
    <w:p w14:paraId="48BF4B2D">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szCs w:val="21"/>
          <w:lang w:eastAsia="zh-CN" w:bidi="ar"/>
        </w:rPr>
        <w:t>10.</w:t>
      </w:r>
      <w:r>
        <w:rPr>
          <w:rFonts w:hint="eastAsia" w:ascii="宋体" w:hAnsi="宋体" w:eastAsia="宋体" w:cs="宋体"/>
          <w:kern w:val="2"/>
          <w:sz w:val="21"/>
          <w:lang w:eastAsia="zh-CN" w:bidi="ar"/>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2E0423BF">
      <w:pPr>
        <w:widowControl w:val="0"/>
        <w:ind w:firstLine="420" w:firstLineChars="200"/>
        <w:jc w:val="both"/>
        <w:rPr>
          <w:rFonts w:ascii="宋体" w:hAnsi="宋体" w:eastAsia="宋体" w:cs="宋体"/>
          <w:color w:val="FF0000"/>
          <w:sz w:val="21"/>
          <w:szCs w:val="21"/>
          <w:lang w:eastAsia="zh-CN"/>
        </w:rPr>
      </w:pPr>
      <w:r>
        <w:rPr>
          <w:rFonts w:hint="eastAsia" w:ascii="宋体" w:hAnsi="宋体" w:eastAsia="宋体" w:cs="宋体"/>
          <w:kern w:val="2"/>
          <w:sz w:val="21"/>
          <w:lang w:eastAsia="zh-CN" w:bidi="ar"/>
        </w:rPr>
        <w:t>11.我单位保证，若所投货物涉及《财政部发展改革委关于印发节能产品政府采购品目清单的通知》（财库〔2019〕19号）列明的政府采购强制产品，则所投该产品符合节能产品的认证要求。若所投产品包括数据中心相关设备的，应满足</w:t>
      </w:r>
      <w:r>
        <w:rPr>
          <w:rFonts w:hint="eastAsia" w:eastAsia="宋体" w:cs="宋体"/>
          <w:kern w:val="2"/>
          <w:sz w:val="21"/>
          <w:lang w:eastAsia="zh-CN" w:bidi="ar"/>
        </w:rPr>
        <w:t>《财政部</w:t>
      </w:r>
      <w:r>
        <w:rPr>
          <w:rFonts w:eastAsia="宋体"/>
          <w:kern w:val="2"/>
          <w:sz w:val="21"/>
          <w:lang w:eastAsia="zh-CN" w:bidi="ar"/>
        </w:rPr>
        <w:t xml:space="preserve"> </w:t>
      </w:r>
      <w:r>
        <w:rPr>
          <w:rFonts w:hint="eastAsia" w:eastAsia="宋体" w:cs="宋体"/>
          <w:kern w:val="2"/>
          <w:sz w:val="21"/>
          <w:lang w:eastAsia="zh-CN" w:bidi="ar"/>
        </w:rPr>
        <w:t>生态环境部</w:t>
      </w:r>
      <w:r>
        <w:rPr>
          <w:rFonts w:eastAsia="宋体"/>
          <w:kern w:val="2"/>
          <w:sz w:val="21"/>
          <w:lang w:eastAsia="zh-CN" w:bidi="ar"/>
        </w:rPr>
        <w:t xml:space="preserve"> </w:t>
      </w:r>
      <w:r>
        <w:rPr>
          <w:rFonts w:hint="eastAsia" w:eastAsia="宋体" w:cs="宋体"/>
          <w:kern w:val="2"/>
          <w:sz w:val="21"/>
          <w:lang w:eastAsia="zh-CN" w:bidi="ar"/>
        </w:rPr>
        <w:t>工业和信息化部关于印发</w:t>
      </w:r>
      <w:r>
        <w:rPr>
          <w:rFonts w:eastAsia="宋体"/>
          <w:kern w:val="2"/>
          <w:sz w:val="21"/>
          <w:lang w:eastAsia="zh-CN" w:bidi="ar"/>
        </w:rPr>
        <w:t>&lt;</w:t>
      </w:r>
      <w:r>
        <w:rPr>
          <w:rFonts w:hint="eastAsia" w:eastAsia="宋体" w:cs="宋体"/>
          <w:kern w:val="2"/>
          <w:sz w:val="21"/>
          <w:lang w:eastAsia="zh-CN" w:bidi="ar"/>
        </w:rPr>
        <w:t>绿色数据中心政府采购需求标准（试行）</w:t>
      </w:r>
      <w:r>
        <w:rPr>
          <w:rFonts w:eastAsia="宋体"/>
          <w:kern w:val="2"/>
          <w:sz w:val="21"/>
          <w:lang w:eastAsia="zh-CN" w:bidi="ar"/>
        </w:rPr>
        <w:t>&gt;</w:t>
      </w:r>
      <w:r>
        <w:rPr>
          <w:rFonts w:hint="eastAsia" w:eastAsia="宋体" w:cs="宋体"/>
          <w:kern w:val="2"/>
          <w:sz w:val="21"/>
          <w:lang w:eastAsia="zh-CN" w:bidi="ar"/>
        </w:rPr>
        <w:t>的通知》（财库〔</w:t>
      </w:r>
      <w:r>
        <w:rPr>
          <w:rFonts w:eastAsia="宋体"/>
          <w:kern w:val="2"/>
          <w:sz w:val="21"/>
          <w:lang w:eastAsia="zh-CN" w:bidi="ar"/>
        </w:rPr>
        <w:t>2023</w:t>
      </w:r>
      <w:r>
        <w:rPr>
          <w:rFonts w:hint="eastAsia" w:eastAsia="宋体" w:cs="宋体"/>
          <w:kern w:val="2"/>
          <w:sz w:val="21"/>
          <w:lang w:eastAsia="zh-CN" w:bidi="ar"/>
        </w:rPr>
        <w:t>〕</w:t>
      </w:r>
      <w:r>
        <w:rPr>
          <w:rFonts w:eastAsia="宋体"/>
          <w:kern w:val="2"/>
          <w:sz w:val="21"/>
          <w:lang w:eastAsia="zh-CN" w:bidi="ar"/>
        </w:rPr>
        <w:t>7</w:t>
      </w:r>
      <w:r>
        <w:rPr>
          <w:rFonts w:hint="eastAsia" w:eastAsia="宋体" w:cs="宋体"/>
          <w:kern w:val="2"/>
          <w:sz w:val="21"/>
          <w:lang w:eastAsia="zh-CN" w:bidi="ar"/>
        </w:rPr>
        <w:t>号）要求。</w:t>
      </w:r>
      <w:r>
        <w:rPr>
          <w:rFonts w:hint="eastAsia" w:eastAsia="宋体" w:cs="宋体"/>
          <w:color w:val="FF0000"/>
          <w:kern w:val="2"/>
          <w:sz w:val="21"/>
          <w:lang w:eastAsia="zh-CN" w:bidi="ar"/>
        </w:rPr>
        <w:t>我单位承诺所投产品符合国家强制性标准要求。</w:t>
      </w:r>
    </w:p>
    <w:p w14:paraId="6BEFB369">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sz w:val="21"/>
          <w:szCs w:val="21"/>
          <w:lang w:eastAsia="zh-CN" w:bidi="ar"/>
        </w:rPr>
        <w:t>12.</w:t>
      </w:r>
      <w:r>
        <w:rPr>
          <w:rFonts w:hint="eastAsia" w:ascii="宋体" w:hAnsi="宋体" w:eastAsia="宋体" w:cs="宋体"/>
          <w:bCs/>
          <w:kern w:val="2"/>
          <w:sz w:val="21"/>
          <w:lang w:eastAsia="zh-CN" w:bidi="ar"/>
        </w:rPr>
        <w:t>我单位已知悉并同意中标（成交）结果信息公示（公开）的内容。</w:t>
      </w:r>
    </w:p>
    <w:p w14:paraId="2FFB1576">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kern w:val="2"/>
          <w:sz w:val="21"/>
          <w:lang w:eastAsia="zh-CN" w:bidi="ar"/>
        </w:rPr>
        <w:t>13.我单位保证，符合《中华人民共和国政府采购法实施条例》第十八条规定，与其他投标供应商不存在单位负责人为同一人或者存在直接控股、管理关系；不存在为本次采购项目提供整体设计、规范编制或者项目管理、监理、检测等服务的情形。若存在“不同供应商的董事、股东或其他高级管理人员为同一人的”情形的，我单位保证不存在串通投标、恶意串通或者视为串通投标的情形。</w:t>
      </w:r>
    </w:p>
    <w:p w14:paraId="45D9912F">
      <w:pPr>
        <w:widowControl w:val="0"/>
        <w:ind w:firstLine="422" w:firstLineChars="200"/>
        <w:jc w:val="both"/>
        <w:rPr>
          <w:rFonts w:ascii="宋体" w:hAnsi="宋体" w:eastAsia="宋体" w:cs="宋体"/>
          <w:b/>
          <w:kern w:val="2"/>
          <w:sz w:val="21"/>
          <w:lang w:eastAsia="zh-CN"/>
        </w:rPr>
      </w:pPr>
      <w:r>
        <w:rPr>
          <w:rFonts w:hint="eastAsia" w:ascii="宋体" w:hAnsi="宋体" w:eastAsia="宋体" w:cs="宋体"/>
          <w:b/>
          <w:kern w:val="2"/>
          <w:sz w:val="21"/>
          <w:lang w:eastAsia="zh-CN" w:bidi="ar"/>
        </w:rPr>
        <w:t>14.我单位清楚，如存在违反投标承诺行为情节严重的，将根据《深圳市财政局关于印发&lt;深圳市财政局政府采购供应商信用信息管理办法&gt;的通知》，依法被列入失信信息。</w:t>
      </w:r>
    </w:p>
    <w:p w14:paraId="33A8FE44">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kern w:val="2"/>
          <w:sz w:val="21"/>
          <w:lang w:eastAsia="zh-CN" w:bidi="ar"/>
        </w:rPr>
        <w:t>15.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502D53B2">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以上承诺，如有违反，愿依照国家相关法律法规处理，并承担由此给采购人带来的损失。</w:t>
      </w:r>
    </w:p>
    <w:p w14:paraId="0644C3EA">
      <w:pPr>
        <w:widowControl w:val="0"/>
        <w:spacing w:before="78" w:beforeLines="25" w:after="78" w:afterLines="25"/>
        <w:ind w:firstLine="5460" w:firstLineChars="2600"/>
        <w:jc w:val="both"/>
        <w:rPr>
          <w:rFonts w:eastAsia="宋体"/>
          <w:color w:val="FF0000"/>
          <w:kern w:val="2"/>
          <w:sz w:val="21"/>
          <w:szCs w:val="21"/>
          <w:u w:val="single"/>
          <w:lang w:eastAsia="zh-CN" w:bidi="ar"/>
        </w:rPr>
      </w:pPr>
      <w:r>
        <w:rPr>
          <w:rFonts w:hint="eastAsia" w:eastAsia="宋体" w:cs="宋体"/>
          <w:color w:val="FF0000"/>
          <w:kern w:val="2"/>
          <w:sz w:val="21"/>
          <w:szCs w:val="21"/>
          <w:lang w:eastAsia="zh-CN" w:bidi="ar"/>
        </w:rPr>
        <w:t>投标人：</w:t>
      </w:r>
      <w:r>
        <w:rPr>
          <w:rFonts w:eastAsia="宋体"/>
          <w:color w:val="FF0000"/>
          <w:kern w:val="2"/>
          <w:sz w:val="21"/>
          <w:szCs w:val="21"/>
          <w:u w:val="single"/>
          <w:lang w:eastAsia="zh-CN" w:bidi="ar"/>
        </w:rPr>
        <w:t xml:space="preserve">           </w:t>
      </w:r>
      <w:r>
        <w:rPr>
          <w:rFonts w:hint="eastAsia" w:eastAsia="宋体"/>
          <w:color w:val="FF0000"/>
          <w:kern w:val="2"/>
          <w:sz w:val="21"/>
          <w:szCs w:val="21"/>
          <w:u w:val="single"/>
          <w:lang w:eastAsia="zh-CN" w:bidi="ar"/>
        </w:rPr>
        <w:t xml:space="preserve">       </w:t>
      </w:r>
      <w:r>
        <w:rPr>
          <w:rFonts w:eastAsia="宋体"/>
          <w:color w:val="FF0000"/>
          <w:kern w:val="2"/>
          <w:sz w:val="21"/>
          <w:szCs w:val="21"/>
          <w:u w:val="single"/>
          <w:lang w:eastAsia="zh-CN" w:bidi="ar"/>
        </w:rPr>
        <w:t xml:space="preserve">         </w:t>
      </w:r>
      <w:r>
        <w:rPr>
          <w:rFonts w:hint="eastAsia" w:eastAsia="宋体" w:cs="宋体"/>
          <w:color w:val="FF0000"/>
          <w:kern w:val="2"/>
          <w:sz w:val="21"/>
          <w:szCs w:val="21"/>
          <w:lang w:eastAsia="zh-CN" w:bidi="ar"/>
        </w:rPr>
        <w:t>；</w:t>
      </w:r>
    </w:p>
    <w:p w14:paraId="486786EE">
      <w:pPr>
        <w:widowControl w:val="0"/>
        <w:spacing w:before="78" w:beforeLines="25" w:after="78" w:afterLines="25"/>
        <w:ind w:firstLine="5460" w:firstLineChars="26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日期：</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年</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月</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日</w:t>
      </w:r>
    </w:p>
    <w:p w14:paraId="47904F25">
      <w:pPr>
        <w:widowControl w:val="0"/>
        <w:jc w:val="both"/>
        <w:rPr>
          <w:rFonts w:eastAsia="宋体"/>
          <w:kern w:val="2"/>
          <w:sz w:val="21"/>
          <w:lang w:eastAsia="zh-CN"/>
        </w:rPr>
      </w:pPr>
    </w:p>
    <w:p w14:paraId="68D04239">
      <w:pPr>
        <w:widowControl w:val="0"/>
        <w:jc w:val="both"/>
        <w:rPr>
          <w:rFonts w:ascii="黑体" w:eastAsia="黑体"/>
          <w:lang w:eastAsia="zh-CN"/>
        </w:rPr>
      </w:pPr>
      <w:r>
        <w:rPr>
          <w:rFonts w:hint="eastAsia" w:ascii="黑体" w:eastAsia="黑体"/>
          <w:lang w:eastAsia="zh-CN"/>
        </w:rPr>
        <w:br w:type="page"/>
      </w:r>
    </w:p>
    <w:p w14:paraId="7BAB332C">
      <w:pPr>
        <w:keepNext/>
        <w:keepLines/>
        <w:widowControl w:val="0"/>
        <w:spacing w:before="120" w:after="120" w:line="240" w:lineRule="auto"/>
        <w:jc w:val="center"/>
        <w:outlineLvl w:val="2"/>
        <w:rPr>
          <w:rFonts w:ascii="黑体" w:hAnsi="宋体" w:eastAsia="黑体"/>
          <w:bCs/>
          <w:szCs w:val="32"/>
          <w:lang w:eastAsia="zh-CN"/>
        </w:rPr>
      </w:pPr>
      <w:r>
        <w:rPr>
          <w:rFonts w:hint="eastAsia" w:ascii="黑体" w:hAnsi="宋体" w:eastAsia="黑体"/>
          <w:bCs/>
          <w:szCs w:val="32"/>
          <w:lang w:eastAsia="zh-CN"/>
        </w:rPr>
        <w:t>三、投标人情况及资格证明文件</w:t>
      </w:r>
    </w:p>
    <w:p w14:paraId="29DB83EE">
      <w:pPr>
        <w:widowControl w:val="0"/>
        <w:jc w:val="both"/>
        <w:outlineLvl w:val="3"/>
        <w:rPr>
          <w:rFonts w:ascii="黑体" w:hAnsi="宋体" w:eastAsia="黑体"/>
          <w:bCs/>
          <w:szCs w:val="32"/>
          <w:lang w:eastAsia="zh-CN"/>
        </w:rPr>
      </w:pPr>
      <w:r>
        <w:rPr>
          <w:rFonts w:hint="eastAsia" w:ascii="黑体" w:hAnsi="宋体" w:eastAsia="黑体"/>
          <w:bCs/>
          <w:szCs w:val="32"/>
          <w:lang w:eastAsia="zh-CN"/>
        </w:rPr>
        <w:t>（一）投标人资格证明文件</w:t>
      </w:r>
    </w:p>
    <w:p w14:paraId="15DFE7F7">
      <w:pPr>
        <w:widowControl w:val="0"/>
        <w:spacing w:before="156" w:beforeLines="50"/>
        <w:ind w:firstLine="422" w:firstLineChars="200"/>
        <w:jc w:val="both"/>
        <w:rPr>
          <w:rFonts w:eastAsia="宋体"/>
          <w:b/>
          <w:bCs/>
          <w:color w:val="FF0000"/>
          <w:kern w:val="2"/>
          <w:sz w:val="21"/>
          <w:lang w:eastAsia="zh-CN"/>
        </w:rPr>
      </w:pPr>
      <w:r>
        <w:rPr>
          <w:rFonts w:hint="eastAsia" w:eastAsia="宋体"/>
          <w:b/>
          <w:bCs/>
          <w:color w:val="FF0000"/>
          <w:kern w:val="2"/>
          <w:sz w:val="21"/>
          <w:lang w:eastAsia="zh-CN"/>
        </w:rPr>
        <w:t>（特别提示：投标人须按本招标文件第一册第一章招标公告“投标人的资格要求”提供相关的资格证明资料，未提供或提供不完整、不符合要求的，将作投标无效处理，其中要求提供《采购投标及履约承诺函》《供应商基本情况表》且已在规定章节中提供的，此处不重复提供。）</w:t>
      </w:r>
    </w:p>
    <w:p w14:paraId="6A8B0421">
      <w:pPr>
        <w:widowControl/>
        <w:jc w:val="left"/>
        <w:rPr>
          <w:rFonts w:ascii="黑体" w:hAnsi="宋体" w:eastAsia="黑体"/>
          <w:bCs/>
          <w:szCs w:val="32"/>
          <w:lang w:eastAsia="zh-CN"/>
        </w:rPr>
      </w:pPr>
      <w:r>
        <w:rPr>
          <w:rFonts w:eastAsia="宋体"/>
          <w:kern w:val="2"/>
          <w:sz w:val="21"/>
          <w:lang w:eastAsia="zh-CN"/>
        </w:rPr>
        <w:br w:type="page"/>
      </w:r>
      <w:r>
        <w:rPr>
          <w:rFonts w:hint="eastAsia" w:ascii="黑体" w:hAnsi="宋体" w:eastAsia="黑体"/>
          <w:bCs/>
          <w:szCs w:val="32"/>
          <w:lang w:eastAsia="zh-CN"/>
        </w:rPr>
        <w:t>（二）中小企业声明函、残疾人福利性单位声明函及监狱企业声明函</w:t>
      </w:r>
    </w:p>
    <w:p w14:paraId="443316B6">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填写指引：</w:t>
      </w:r>
    </w:p>
    <w:p w14:paraId="709DE261">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宋体" w:eastAsia="黑体"/>
          <w:bCs/>
          <w:color w:val="FF0000"/>
          <w:sz w:val="21"/>
          <w:szCs w:val="21"/>
          <w:lang w:eastAsia="zh-CN"/>
        </w:rPr>
        <w:t>1、该部分内容由投标人根据自身实际情况填写，不符合要求的投标人可以不填写或直接删除相应的声明函。</w:t>
      </w:r>
      <w:r>
        <w:rPr>
          <w:rFonts w:hint="eastAsia" w:ascii="黑体" w:hAnsi="黑体" w:eastAsia="黑体"/>
          <w:color w:val="FF0000"/>
          <w:kern w:val="2"/>
          <w:sz w:val="21"/>
          <w:szCs w:val="21"/>
          <w:lang w:eastAsia="zh-CN"/>
        </w:rPr>
        <w:t>投标人提供的声明函不属实的，属于提供虚假资料谋取中标，依照《中华人民共和国政府采购法》等国家有关规定追究相应责任。</w:t>
      </w:r>
    </w:p>
    <w:p w14:paraId="02C425E0">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2、该部分内容填写需要参考的相关文件：</w:t>
      </w:r>
    </w:p>
    <w:p w14:paraId="278023A0">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w:t>
      </w:r>
      <w:r>
        <w:rPr>
          <w:rFonts w:ascii="黑体" w:hAnsi="黑体" w:eastAsia="黑体"/>
          <w:color w:val="FF0000"/>
          <w:kern w:val="2"/>
          <w:sz w:val="21"/>
          <w:szCs w:val="21"/>
          <w:lang w:eastAsia="zh-CN"/>
        </w:rPr>
        <w:t>1</w:t>
      </w:r>
      <w:r>
        <w:rPr>
          <w:rFonts w:hint="eastAsia" w:ascii="黑体" w:hAnsi="黑体" w:eastAsia="黑体"/>
          <w:color w:val="FF0000"/>
          <w:kern w:val="2"/>
          <w:sz w:val="21"/>
          <w:szCs w:val="21"/>
          <w:lang w:eastAsia="zh-CN"/>
        </w:rPr>
        <w:t>)财政部《政府采购促进中小企业发展管理办法》（财库〔2020〕46号）；</w:t>
      </w:r>
    </w:p>
    <w:p w14:paraId="2C0F1E0A">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w:t>
      </w:r>
      <w:r>
        <w:rPr>
          <w:rFonts w:ascii="黑体" w:hAnsi="黑体" w:eastAsia="黑体"/>
          <w:color w:val="FF0000"/>
          <w:kern w:val="2"/>
          <w:sz w:val="21"/>
          <w:szCs w:val="21"/>
          <w:lang w:eastAsia="zh-CN"/>
        </w:rPr>
        <w:t>2</w:t>
      </w:r>
      <w:r>
        <w:rPr>
          <w:rFonts w:hint="eastAsia" w:ascii="黑体" w:hAnsi="黑体" w:eastAsia="黑体"/>
          <w:color w:val="FF0000"/>
          <w:kern w:val="2"/>
          <w:sz w:val="21"/>
          <w:szCs w:val="21"/>
          <w:lang w:eastAsia="zh-CN"/>
        </w:rPr>
        <w:t>)《工业和信息化部、国家统计局、国家发展和改革委员会、财政部关于印发中小企业划型标准规定的通知》（工信部联企业〔2011〕300号）；</w:t>
      </w:r>
    </w:p>
    <w:p w14:paraId="576C100E">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(3)《统计上大中小微型企业划分办法(2017)》（国统字〔2017〕213号）；</w:t>
      </w:r>
    </w:p>
    <w:p w14:paraId="77275707">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(4)《关于促进残疾人就业政府采购政策的通知》（财库〔2017〕141号）；</w:t>
      </w:r>
    </w:p>
    <w:p w14:paraId="10CBABE1">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(5)《关于政府采购支持监狱企业发展有关问题的通知》（财库〔2014〕68号）</w:t>
      </w:r>
    </w:p>
    <w:p w14:paraId="3691549E">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3、请依照提供的格式和内容填写声明函，不要随意变更格式；声明函不需要盖章或签字；</w:t>
      </w:r>
      <w:r>
        <w:rPr>
          <w:rFonts w:hint="eastAsia" w:ascii="黑体" w:hAnsi="黑体" w:eastAsia="黑体"/>
          <w:color w:val="FF0000"/>
          <w:kern w:val="2"/>
          <w:sz w:val="21"/>
          <w:szCs w:val="21"/>
          <w:lang w:eastAsia="zh-CN"/>
        </w:rPr>
        <w:t>满足多项优惠政策的投标人，不重复享受多项价格扣除政策。</w:t>
      </w:r>
    </w:p>
    <w:p w14:paraId="1F5E83BA">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4、声明函具体填写要求：</w:t>
      </w:r>
    </w:p>
    <w:p w14:paraId="223C2980">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（1）声明是中小企业须填写《中小企业声明函》的以下内容：</w:t>
      </w:r>
    </w:p>
    <w:p w14:paraId="27294696">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第一处，在“单位名称”下划线处如实填写采购人名称（深圳公共资源交易中心不是本项目的采购人，而是组织实施机构）；</w:t>
      </w:r>
    </w:p>
    <w:p w14:paraId="3A6CD01B">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二处，在“项目名称”下划线处如实填写采购文件中确定的项目名称。对于分包方式面向中小企业采购的项目，应标明中小企业的具体分包内容；对于以联合体方式面向中小企业采购的项目，应标明联合体中中小企业所承担的具体内容；</w:t>
      </w:r>
    </w:p>
    <w:p w14:paraId="5B13FB48">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三处，在“标的名称”下划线处填写所采购货物（标的）的具体名称（以招标文件第一册第三章用户需求书“货物清单明细”的“货物名称”一栏为准）；如果涉及多项货物（标的）为同一企业制造，“标的名称”下划线处可以如实填写多项货物；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14:paraId="5BA69F54">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四处，在“采购文件中明确的所属行业”下划线处填写采购标的对应的中小企业划分标准所属行业（所属行业以招标文件第一册第三章用户需求书“货物清单明细”的“标的所属行业”一栏为准），并应确保与采购标的涉及的货物制造商本身的所属行业保持一致。对于分包方式面向中小企业采购的项目，“采购文件中明确的所属行业”应按照采购文件中注明的分包给中小企业的采购标的所属行业填写，并应确保与该分包部分采购标的涉及的货物制造商本身的所属行业保持一致；对于以联合体方式面向中小企业采购的项目，“采购文件中明确的所属行业”应按照采购文件中注明的联合体中中小企业承担的采购标的所属行业填写，并应确保与该联合体部分采购标的涉及的货物制造商本身的所属行业保持一致；</w:t>
      </w:r>
    </w:p>
    <w:p w14:paraId="794CDDE7">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第五处，在“企业名称”下划线处如实填写</w:t>
      </w:r>
      <w:r>
        <w:rPr>
          <w:rFonts w:hint="eastAsia" w:ascii="黑体" w:hAnsi="宋体" w:eastAsia="黑体"/>
          <w:b/>
          <w:color w:val="FF0000"/>
          <w:sz w:val="21"/>
          <w:szCs w:val="21"/>
          <w:lang w:eastAsia="zh-CN"/>
        </w:rPr>
        <w:t>货物制造商名称。</w:t>
      </w:r>
      <w:r>
        <w:rPr>
          <w:rFonts w:hint="eastAsia" w:ascii="黑体" w:hAnsi="宋体" w:eastAsia="黑体"/>
          <w:bCs/>
          <w:color w:val="FF0000"/>
          <w:sz w:val="21"/>
          <w:szCs w:val="21"/>
          <w:lang w:eastAsia="zh-CN"/>
        </w:rPr>
        <w:t>对于分包方式面向中小企业采购的项目，“企业名称”应填写分包部分采购标的对应的货物制造商；对于以联合体方式面向中小企业采购的项目，“企业名称”应填写联合体中中小企业承担采购标的对应的货物制造商；</w:t>
      </w:r>
    </w:p>
    <w:p w14:paraId="1C6E7EAA">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六、七、八处，在“从业人员”、“营业收入”、“资产总额”下划线处如实填写从业人员、营业收入、资产总额。从业人员、资产总额指标以上年度末数据为依据，营业收入指标以上年度累计数据为依据。无上年度数据的新成立企业可不填报。</w:t>
      </w:r>
    </w:p>
    <w:p w14:paraId="0880E80E">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九处，在“中型企业、小型企业、微型企业”下划线处应依据企业上年度从业人员、营业收入、资产总额等指标，按照《中小企业划型标准规定》（工信部联企业〔2011〕300号）、《金融业企业划型标准规定》（银发〔2015〕309号），判断《中小企业声明函》载明的货物制造商是否属于采购文件所属行业的中型企业/小型企业/微型企业。</w:t>
      </w:r>
    </w:p>
    <w:p w14:paraId="6F9DA73F">
      <w:pPr>
        <w:widowControl w:val="0"/>
        <w:ind w:firstLine="420" w:firstLineChars="200"/>
        <w:jc w:val="both"/>
        <w:rPr>
          <w:rFonts w:ascii="黑体" w:hAnsi="宋体" w:eastAsia="黑体"/>
          <w:bCs/>
          <w:color w:val="FF0000"/>
          <w:sz w:val="21"/>
          <w:szCs w:val="21"/>
          <w:lang w:eastAsia="zh-CN"/>
        </w:rPr>
      </w:pPr>
      <w:r>
        <w:rPr>
          <w:rFonts w:hint="eastAsia" w:ascii="黑体" w:hAnsi="宋体" w:eastAsia="黑体"/>
          <w:bCs/>
          <w:color w:val="FF0000"/>
          <w:sz w:val="21"/>
          <w:szCs w:val="21"/>
          <w:lang w:eastAsia="zh-CN"/>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71259D44">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（3）事业单位、社会组织等非企业主体不享受中小企业扶持政策，但事业单位、社会组织等非企业主体提供全部由中小企业制造的货物参加货物采购项目的除外。</w:t>
      </w:r>
    </w:p>
    <w:p w14:paraId="7E295F04">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（4）声明是残疾人福利性单位须填写《残疾人福利性单位声明函》的相关内容，具体参照以上《中小企业声明函》填写要求执行。</w:t>
      </w:r>
    </w:p>
    <w:p w14:paraId="38F7701F">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（5）声明是监狱企业须填写《监狱企业声明函》的三项内容（填写位置的字体已加粗），具体参照以上《中小企业声明函》填写要求执行。</w:t>
      </w:r>
    </w:p>
    <w:p w14:paraId="3D6DB467">
      <w:pPr>
        <w:widowControl w:val="0"/>
        <w:ind w:firstLine="420" w:firstLineChars="200"/>
        <w:jc w:val="both"/>
        <w:rPr>
          <w:rFonts w:ascii="黑体" w:hAnsi="宋体" w:eastAsia="黑体"/>
          <w:bCs/>
          <w:color w:val="FF0000"/>
          <w:sz w:val="21"/>
          <w:szCs w:val="21"/>
          <w:lang w:eastAsia="zh-CN"/>
        </w:rPr>
      </w:pPr>
      <w:r>
        <w:rPr>
          <w:rFonts w:hint="eastAsia" w:ascii="黑体" w:hAnsi="宋体" w:eastAsia="黑体"/>
          <w:bCs/>
          <w:color w:val="FF0000"/>
          <w:sz w:val="21"/>
          <w:szCs w:val="21"/>
          <w:lang w:eastAsia="zh-CN"/>
        </w:rPr>
        <w:t>5、若本项目非专门面向中小企业、残疾人福利性单位或监狱企业，声明函的有效性由评审委员会判定，如评审委员会判定声明函无效，相关供应商不享受价格扣除（但不作投标无效处理）。</w:t>
      </w:r>
    </w:p>
    <w:p w14:paraId="4CBC4DD4">
      <w:pPr>
        <w:widowControl w:val="0"/>
        <w:ind w:firstLine="420" w:firstLineChars="200"/>
        <w:jc w:val="both"/>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6、采购人、代理机构、评审委员会在依法进行资格审查、评审过程中，发现《中小企业声明函》存在明显笔误或含义不明确的，应按规定要求供应商进行澄清、说明或补正。澄清修改后符合中小企业条件的供应商，可以享受中小企业扶持政策。</w:t>
      </w:r>
    </w:p>
    <w:p w14:paraId="28C88FEB">
      <w:pPr>
        <w:widowControl w:val="0"/>
        <w:ind w:firstLine="420" w:firstLineChars="200"/>
        <w:jc w:val="both"/>
        <w:rPr>
          <w:rFonts w:hint="eastAsia" w:ascii="黑体" w:hAnsi="宋体" w:eastAsia="黑体"/>
          <w:bCs/>
          <w:color w:val="FF0000"/>
          <w:sz w:val="21"/>
          <w:szCs w:val="21"/>
          <w:lang w:eastAsia="zh-CN"/>
        </w:rPr>
      </w:pPr>
    </w:p>
    <w:p w14:paraId="698D8EC4">
      <w:pPr>
        <w:keepNext w:val="0"/>
        <w:keepLines w:val="0"/>
        <w:pageBreakBefore w:val="0"/>
        <w:widowControl w:val="0"/>
        <w:numPr>
          <w:ilvl w:val="0"/>
          <w:numId w:val="1"/>
        </w:numPr>
        <w:kinsoku/>
        <w:wordWrap/>
        <w:overflowPunct/>
        <w:topLinePunct w:val="0"/>
        <w:autoSpaceDE/>
        <w:autoSpaceDN/>
        <w:bidi w:val="0"/>
        <w:adjustRightInd/>
        <w:snapToGrid/>
        <w:spacing w:line="400" w:lineRule="exact"/>
        <w:jc w:val="center"/>
        <w:textAlignment w:val="auto"/>
        <w:outlineLvl w:val="3"/>
        <w:rPr>
          <w:rFonts w:eastAsia="宋体"/>
          <w:b/>
          <w:bCs/>
          <w:kern w:val="2"/>
          <w:lang w:eastAsia="zh-CN"/>
        </w:rPr>
      </w:pPr>
      <w:r>
        <w:rPr>
          <w:rFonts w:eastAsia="宋体"/>
          <w:b/>
          <w:kern w:val="2"/>
          <w:lang w:eastAsia="zh-CN"/>
        </w:rPr>
        <w:t>中小企业声明函（货物）</w:t>
      </w:r>
    </w:p>
    <w:p w14:paraId="7093247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kern w:val="2"/>
          <w:sz w:val="21"/>
          <w:szCs w:val="21"/>
          <w:lang w:eastAsia="zh-CN"/>
        </w:rPr>
      </w:pPr>
    </w:p>
    <w:p w14:paraId="6BCE238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cs="宋体"/>
          <w:kern w:val="2"/>
          <w:sz w:val="21"/>
          <w:szCs w:val="21"/>
          <w:lang w:eastAsia="zh-CN"/>
        </w:rPr>
      </w:pPr>
      <w:r>
        <w:rPr>
          <w:rFonts w:hint="eastAsia" w:ascii="宋体" w:hAnsi="宋体" w:eastAsia="宋体" w:cs="宋体"/>
          <w:kern w:val="2"/>
          <w:sz w:val="21"/>
          <w:szCs w:val="21"/>
          <w:lang w:eastAsia="zh-CN"/>
        </w:rPr>
        <w:t>本公司（联合体）郑重声明，根据《政府采购促进中小企业发展管理办法》（财库﹝2020﹞46号）的规定，本公司（联合体）参加</w:t>
      </w:r>
      <w:r>
        <w:rPr>
          <w:rFonts w:hint="eastAsia" w:ascii="宋体" w:hAnsi="宋体" w:eastAsia="宋体" w:cs="宋体"/>
          <w:b/>
          <w:bCs/>
          <w:color w:val="0000FF"/>
          <w:kern w:val="2"/>
          <w:sz w:val="21"/>
          <w:szCs w:val="21"/>
          <w:u w:val="single"/>
          <w:lang w:eastAsia="zh-CN"/>
        </w:rPr>
        <w:t>香港中文大学（深圳）</w:t>
      </w:r>
      <w:r>
        <w:rPr>
          <w:rFonts w:hint="eastAsia" w:ascii="宋体" w:hAnsi="宋体" w:eastAsia="宋体" w:cs="宋体"/>
          <w:b/>
          <w:bCs/>
          <w:i/>
          <w:iCs/>
          <w:kern w:val="2"/>
          <w:sz w:val="21"/>
          <w:szCs w:val="21"/>
          <w:u w:val="single"/>
          <w:lang w:eastAsia="zh-CN"/>
        </w:rPr>
        <w:t xml:space="preserve">（单位名称）    </w:t>
      </w:r>
      <w:r>
        <w:rPr>
          <w:rFonts w:hint="eastAsia" w:ascii="宋体" w:hAnsi="宋体" w:eastAsia="宋体" w:cs="宋体"/>
          <w:kern w:val="2"/>
          <w:sz w:val="21"/>
          <w:szCs w:val="21"/>
          <w:lang w:eastAsia="zh-CN"/>
        </w:rPr>
        <w:t>的</w:t>
      </w:r>
      <w:r>
        <w:rPr>
          <w:rFonts w:hint="eastAsia" w:ascii="宋体" w:hAnsi="宋体" w:eastAsia="宋体" w:cs="宋体"/>
          <w:b/>
          <w:bCs/>
          <w:color w:val="0000FF"/>
          <w:kern w:val="2"/>
          <w:sz w:val="21"/>
          <w:szCs w:val="21"/>
          <w:u w:val="single"/>
          <w:lang w:eastAsia="zh-CN"/>
        </w:rPr>
        <w:t>香港中文大学（深圳）书院家具项目</w:t>
      </w:r>
      <w:r>
        <w:rPr>
          <w:rFonts w:hint="eastAsia" w:ascii="宋体" w:hAnsi="宋体" w:eastAsia="宋体" w:cs="宋体"/>
          <w:b/>
          <w:bCs/>
          <w:i/>
          <w:iCs/>
          <w:kern w:val="2"/>
          <w:sz w:val="21"/>
          <w:szCs w:val="21"/>
          <w:u w:val="single"/>
          <w:lang w:eastAsia="zh-CN"/>
        </w:rPr>
        <w:t xml:space="preserve">（项目名称）    </w:t>
      </w:r>
      <w:r>
        <w:rPr>
          <w:rFonts w:hint="eastAsia" w:ascii="宋体" w:hAnsi="宋体" w:eastAsia="宋体" w:cs="宋体"/>
          <w:kern w:val="2"/>
          <w:sz w:val="21"/>
          <w:szCs w:val="21"/>
          <w:lang w:eastAsia="zh-CN"/>
        </w:rPr>
        <w:t>采购活动，提供的货物全部由符合政策要求的中小企业制造。相关企业（含联合体中的中小企业、签订分包意向协议的中小企业）的具体情况如下：</w:t>
      </w:r>
    </w:p>
    <w:p w14:paraId="51B77AC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cs="宋体"/>
          <w:kern w:val="2"/>
          <w:sz w:val="21"/>
          <w:szCs w:val="21"/>
          <w:lang w:eastAsia="zh-CN"/>
        </w:rPr>
      </w:pPr>
      <w:r>
        <w:rPr>
          <w:rFonts w:hint="eastAsia" w:ascii="宋体" w:hAnsi="宋体" w:eastAsia="宋体" w:cs="宋体"/>
          <w:kern w:val="2"/>
          <w:sz w:val="21"/>
          <w:szCs w:val="21"/>
          <w:lang w:eastAsia="zh-CN"/>
        </w:rPr>
        <w:t>1.</w:t>
      </w:r>
      <w:r>
        <w:rPr>
          <w:rFonts w:hint="eastAsia" w:ascii="宋体" w:hAnsi="宋体" w:eastAsia="宋体" w:cs="宋体"/>
          <w:b/>
          <w:bCs/>
          <w:i/>
          <w:iCs/>
          <w:kern w:val="2"/>
          <w:sz w:val="21"/>
          <w:szCs w:val="21"/>
          <w:u w:val="single"/>
          <w:lang w:eastAsia="zh-CN"/>
        </w:rPr>
        <w:t xml:space="preserve">           （标的名称）     </w:t>
      </w:r>
      <w:r>
        <w:rPr>
          <w:rFonts w:hint="eastAsia" w:ascii="宋体" w:hAnsi="宋体" w:eastAsia="宋体" w:cs="宋体"/>
          <w:kern w:val="2"/>
          <w:sz w:val="21"/>
          <w:szCs w:val="21"/>
          <w:lang w:eastAsia="zh-CN"/>
        </w:rPr>
        <w:t>，属于</w:t>
      </w:r>
      <w:r>
        <w:rPr>
          <w:rFonts w:hint="eastAsia" w:ascii="宋体" w:hAnsi="宋体" w:eastAsia="宋体" w:cs="宋体"/>
          <w:b/>
          <w:bCs/>
          <w:i/>
          <w:iCs/>
          <w:kern w:val="2"/>
          <w:sz w:val="21"/>
          <w:szCs w:val="21"/>
          <w:u w:val="single"/>
          <w:lang w:eastAsia="zh-CN"/>
        </w:rPr>
        <w:t xml:space="preserve"> </w:t>
      </w:r>
      <w:r>
        <w:rPr>
          <w:rFonts w:hint="eastAsia" w:ascii="宋体" w:hAnsi="宋体" w:eastAsia="宋体" w:cs="宋体"/>
          <w:b/>
          <w:bCs/>
          <w:i/>
          <w:iCs/>
          <w:color w:val="0000FF"/>
          <w:kern w:val="2"/>
          <w:sz w:val="21"/>
          <w:szCs w:val="21"/>
          <w:u w:val="single"/>
          <w:lang w:eastAsia="zh-CN"/>
        </w:rPr>
        <w:t xml:space="preserve">工业 </w:t>
      </w:r>
      <w:r>
        <w:rPr>
          <w:rFonts w:hint="eastAsia" w:ascii="宋体" w:hAnsi="宋体" w:eastAsia="宋体" w:cs="宋体"/>
          <w:b/>
          <w:bCs/>
          <w:i/>
          <w:iCs/>
          <w:kern w:val="2"/>
          <w:sz w:val="21"/>
          <w:szCs w:val="21"/>
          <w:u w:val="single"/>
          <w:lang w:eastAsia="zh-CN"/>
        </w:rPr>
        <w:t xml:space="preserve">（采购文件中明确的所属行业）   </w:t>
      </w:r>
      <w:r>
        <w:rPr>
          <w:rFonts w:hint="eastAsia" w:ascii="宋体" w:hAnsi="宋体" w:eastAsia="宋体" w:cs="宋体"/>
          <w:kern w:val="2"/>
          <w:sz w:val="21"/>
          <w:szCs w:val="21"/>
          <w:lang w:eastAsia="zh-CN"/>
        </w:rPr>
        <w:t>行业；制造商为</w:t>
      </w:r>
      <w:r>
        <w:rPr>
          <w:rFonts w:hint="eastAsia" w:ascii="宋体" w:hAnsi="宋体" w:eastAsia="宋体" w:cs="宋体"/>
          <w:b/>
          <w:bCs/>
          <w:i/>
          <w:iCs/>
          <w:kern w:val="2"/>
          <w:sz w:val="21"/>
          <w:szCs w:val="21"/>
          <w:u w:val="single"/>
          <w:lang w:eastAsia="zh-CN"/>
        </w:rPr>
        <w:t xml:space="preserve">                 （企业名称，要求制造商本身所属行业应当与招标文件要求的行业相一致）    </w:t>
      </w:r>
      <w:r>
        <w:rPr>
          <w:rFonts w:hint="eastAsia" w:ascii="宋体" w:hAnsi="宋体" w:eastAsia="宋体" w:cs="宋体"/>
          <w:kern w:val="2"/>
          <w:sz w:val="21"/>
          <w:szCs w:val="21"/>
          <w:lang w:eastAsia="zh-CN"/>
        </w:rPr>
        <w:t>，从业人员</w:t>
      </w:r>
      <w:r>
        <w:rPr>
          <w:rFonts w:hint="eastAsia" w:ascii="宋体" w:hAnsi="宋体" w:eastAsia="宋体" w:cs="宋体"/>
          <w:b/>
          <w:bCs/>
          <w:i/>
          <w:iCs/>
          <w:kern w:val="2"/>
          <w:sz w:val="21"/>
          <w:szCs w:val="21"/>
          <w:u w:val="single"/>
          <w:lang w:eastAsia="zh-CN"/>
        </w:rPr>
        <w:t xml:space="preserve">        </w:t>
      </w:r>
      <w:r>
        <w:rPr>
          <w:rFonts w:hint="eastAsia" w:ascii="宋体" w:hAnsi="宋体" w:eastAsia="宋体" w:cs="宋体"/>
          <w:kern w:val="2"/>
          <w:sz w:val="21"/>
          <w:szCs w:val="21"/>
          <w:lang w:eastAsia="zh-CN"/>
        </w:rPr>
        <w:t>人，营业收入为</w:t>
      </w:r>
      <w:r>
        <w:rPr>
          <w:rFonts w:hint="eastAsia" w:ascii="宋体" w:hAnsi="宋体" w:eastAsia="宋体" w:cs="宋体"/>
          <w:b/>
          <w:bCs/>
          <w:i/>
          <w:iCs/>
          <w:kern w:val="2"/>
          <w:sz w:val="21"/>
          <w:szCs w:val="21"/>
          <w:u w:val="single"/>
          <w:lang w:eastAsia="zh-CN"/>
        </w:rPr>
        <w:t xml:space="preserve">         </w:t>
      </w:r>
      <w:r>
        <w:rPr>
          <w:rFonts w:hint="eastAsia" w:ascii="宋体" w:hAnsi="宋体" w:eastAsia="宋体" w:cs="宋体"/>
          <w:kern w:val="2"/>
          <w:sz w:val="21"/>
          <w:szCs w:val="21"/>
          <w:lang w:eastAsia="zh-CN"/>
        </w:rPr>
        <w:t>万元，资产总额为</w:t>
      </w:r>
      <w:r>
        <w:rPr>
          <w:rFonts w:hint="eastAsia" w:ascii="宋体" w:hAnsi="宋体" w:eastAsia="宋体" w:cs="宋体"/>
          <w:b/>
          <w:bCs/>
          <w:i/>
          <w:iCs/>
          <w:kern w:val="2"/>
          <w:sz w:val="21"/>
          <w:szCs w:val="21"/>
          <w:u w:val="single"/>
          <w:lang w:eastAsia="zh-CN"/>
        </w:rPr>
        <w:t xml:space="preserve">         </w:t>
      </w:r>
      <w:r>
        <w:rPr>
          <w:rFonts w:hint="eastAsia" w:ascii="宋体" w:hAnsi="宋体" w:eastAsia="宋体" w:cs="宋体"/>
          <w:kern w:val="2"/>
          <w:sz w:val="21"/>
          <w:szCs w:val="21"/>
          <w:lang w:eastAsia="zh-CN"/>
        </w:rPr>
        <w:t>万元，属于</w:t>
      </w:r>
      <w:r>
        <w:rPr>
          <w:rFonts w:hint="eastAsia" w:ascii="宋体" w:hAnsi="宋体" w:eastAsia="宋体" w:cs="宋体"/>
          <w:b/>
          <w:bCs/>
          <w:i/>
          <w:iCs/>
          <w:kern w:val="2"/>
          <w:sz w:val="21"/>
          <w:szCs w:val="21"/>
          <w:u w:val="single"/>
          <w:lang w:eastAsia="zh-CN"/>
        </w:rPr>
        <w:t xml:space="preserve">    （中型企业、小型企业、微型企业）    </w:t>
      </w:r>
      <w:r>
        <w:rPr>
          <w:rFonts w:hint="eastAsia" w:ascii="宋体" w:hAnsi="宋体" w:eastAsia="宋体" w:cs="宋体"/>
          <w:kern w:val="2"/>
          <w:sz w:val="21"/>
          <w:szCs w:val="21"/>
          <w:lang w:eastAsia="zh-CN"/>
        </w:rPr>
        <w:t>；</w:t>
      </w:r>
    </w:p>
    <w:p w14:paraId="7F1E38E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cs="宋体"/>
          <w:kern w:val="2"/>
          <w:sz w:val="21"/>
          <w:szCs w:val="21"/>
          <w:lang w:eastAsia="zh-CN"/>
        </w:rPr>
      </w:pPr>
      <w:r>
        <w:rPr>
          <w:rFonts w:hint="eastAsia" w:ascii="宋体" w:hAnsi="宋体" w:eastAsia="宋体" w:cs="宋体"/>
          <w:kern w:val="2"/>
          <w:sz w:val="21"/>
          <w:szCs w:val="21"/>
          <w:lang w:eastAsia="zh-CN"/>
        </w:rPr>
        <w:t>2.</w:t>
      </w:r>
      <w:r>
        <w:rPr>
          <w:rFonts w:hint="eastAsia" w:ascii="宋体" w:hAnsi="宋体" w:eastAsia="宋体" w:cs="宋体"/>
          <w:b/>
          <w:bCs/>
          <w:i/>
          <w:iCs/>
          <w:kern w:val="2"/>
          <w:sz w:val="21"/>
          <w:szCs w:val="21"/>
          <w:u w:val="single"/>
          <w:lang w:eastAsia="zh-CN"/>
        </w:rPr>
        <w:t xml:space="preserve">           （标的名称）     </w:t>
      </w:r>
      <w:r>
        <w:rPr>
          <w:rFonts w:hint="eastAsia" w:ascii="宋体" w:hAnsi="宋体" w:eastAsia="宋体" w:cs="宋体"/>
          <w:kern w:val="2"/>
          <w:sz w:val="21"/>
          <w:szCs w:val="21"/>
          <w:lang w:eastAsia="zh-CN"/>
        </w:rPr>
        <w:t>，属于</w:t>
      </w:r>
      <w:r>
        <w:rPr>
          <w:rFonts w:hint="eastAsia" w:ascii="宋体" w:hAnsi="宋体" w:eastAsia="宋体" w:cs="宋体"/>
          <w:b/>
          <w:bCs/>
          <w:i/>
          <w:iCs/>
          <w:color w:val="0000FF"/>
          <w:kern w:val="2"/>
          <w:sz w:val="21"/>
          <w:szCs w:val="21"/>
          <w:u w:val="single"/>
          <w:lang w:eastAsia="zh-CN"/>
        </w:rPr>
        <w:t>工业</w:t>
      </w:r>
      <w:r>
        <w:rPr>
          <w:rFonts w:hint="eastAsia" w:ascii="宋体" w:hAnsi="宋体" w:eastAsia="宋体" w:cs="宋体"/>
          <w:b/>
          <w:bCs/>
          <w:i/>
          <w:iCs/>
          <w:kern w:val="2"/>
          <w:sz w:val="21"/>
          <w:szCs w:val="21"/>
          <w:u w:val="single"/>
          <w:lang w:eastAsia="zh-CN"/>
        </w:rPr>
        <w:t xml:space="preserve">（采购文件中明确的所属行业）    </w:t>
      </w:r>
      <w:r>
        <w:rPr>
          <w:rFonts w:hint="eastAsia" w:ascii="宋体" w:hAnsi="宋体" w:eastAsia="宋体" w:cs="宋体"/>
          <w:kern w:val="2"/>
          <w:sz w:val="21"/>
          <w:szCs w:val="21"/>
          <w:lang w:eastAsia="zh-CN"/>
        </w:rPr>
        <w:t>行业；制造商为</w:t>
      </w:r>
      <w:r>
        <w:rPr>
          <w:rFonts w:hint="eastAsia" w:ascii="宋体" w:hAnsi="宋体" w:eastAsia="宋体" w:cs="宋体"/>
          <w:b/>
          <w:bCs/>
          <w:i/>
          <w:iCs/>
          <w:kern w:val="2"/>
          <w:sz w:val="21"/>
          <w:szCs w:val="21"/>
          <w:u w:val="single"/>
          <w:lang w:eastAsia="zh-CN"/>
        </w:rPr>
        <w:t xml:space="preserve">                   （企业名称，要求制造商本身所属行业应当与招标文件要求的行业相一致）    </w:t>
      </w:r>
      <w:r>
        <w:rPr>
          <w:rFonts w:hint="eastAsia" w:ascii="宋体" w:hAnsi="宋体" w:eastAsia="宋体" w:cs="宋体"/>
          <w:kern w:val="2"/>
          <w:sz w:val="21"/>
          <w:szCs w:val="21"/>
          <w:lang w:eastAsia="zh-CN"/>
        </w:rPr>
        <w:t>，从业人员</w:t>
      </w:r>
      <w:r>
        <w:rPr>
          <w:rFonts w:hint="eastAsia" w:ascii="宋体" w:hAnsi="宋体" w:eastAsia="宋体" w:cs="宋体"/>
          <w:b/>
          <w:bCs/>
          <w:i/>
          <w:iCs/>
          <w:kern w:val="2"/>
          <w:sz w:val="21"/>
          <w:szCs w:val="21"/>
          <w:u w:val="single"/>
          <w:lang w:eastAsia="zh-CN"/>
        </w:rPr>
        <w:t xml:space="preserve">        </w:t>
      </w:r>
      <w:r>
        <w:rPr>
          <w:rFonts w:hint="eastAsia" w:ascii="宋体" w:hAnsi="宋体" w:eastAsia="宋体" w:cs="宋体"/>
          <w:kern w:val="2"/>
          <w:sz w:val="21"/>
          <w:szCs w:val="21"/>
          <w:lang w:eastAsia="zh-CN"/>
        </w:rPr>
        <w:t>人，营业收入为</w:t>
      </w:r>
      <w:r>
        <w:rPr>
          <w:rFonts w:hint="eastAsia" w:ascii="宋体" w:hAnsi="宋体" w:eastAsia="宋体" w:cs="宋体"/>
          <w:b/>
          <w:bCs/>
          <w:i/>
          <w:iCs/>
          <w:kern w:val="2"/>
          <w:sz w:val="21"/>
          <w:szCs w:val="21"/>
          <w:u w:val="single"/>
          <w:lang w:eastAsia="zh-CN"/>
        </w:rPr>
        <w:t xml:space="preserve">         </w:t>
      </w:r>
      <w:r>
        <w:rPr>
          <w:rFonts w:hint="eastAsia" w:ascii="宋体" w:hAnsi="宋体" w:eastAsia="宋体" w:cs="宋体"/>
          <w:kern w:val="2"/>
          <w:sz w:val="21"/>
          <w:szCs w:val="21"/>
          <w:lang w:eastAsia="zh-CN"/>
        </w:rPr>
        <w:t>万元，资产总额为</w:t>
      </w:r>
      <w:r>
        <w:rPr>
          <w:rFonts w:hint="eastAsia" w:ascii="宋体" w:hAnsi="宋体" w:eastAsia="宋体" w:cs="宋体"/>
          <w:b/>
          <w:bCs/>
          <w:i/>
          <w:iCs/>
          <w:kern w:val="2"/>
          <w:sz w:val="21"/>
          <w:szCs w:val="21"/>
          <w:u w:val="single"/>
          <w:lang w:eastAsia="zh-CN"/>
        </w:rPr>
        <w:t xml:space="preserve">         </w:t>
      </w:r>
      <w:r>
        <w:rPr>
          <w:rFonts w:hint="eastAsia" w:ascii="宋体" w:hAnsi="宋体" w:eastAsia="宋体" w:cs="宋体"/>
          <w:kern w:val="2"/>
          <w:sz w:val="21"/>
          <w:szCs w:val="21"/>
          <w:lang w:eastAsia="zh-CN"/>
        </w:rPr>
        <w:t>万元，属于</w:t>
      </w:r>
      <w:r>
        <w:rPr>
          <w:rFonts w:hint="eastAsia" w:ascii="宋体" w:hAnsi="宋体" w:eastAsia="宋体" w:cs="宋体"/>
          <w:b/>
          <w:bCs/>
          <w:i/>
          <w:iCs/>
          <w:kern w:val="2"/>
          <w:sz w:val="21"/>
          <w:szCs w:val="21"/>
          <w:u w:val="single"/>
          <w:lang w:eastAsia="zh-CN"/>
        </w:rPr>
        <w:t xml:space="preserve">    （中型企业、小型企业、微型企业）    </w:t>
      </w:r>
      <w:r>
        <w:rPr>
          <w:rFonts w:hint="eastAsia" w:ascii="宋体" w:hAnsi="宋体" w:eastAsia="宋体" w:cs="宋体"/>
          <w:kern w:val="2"/>
          <w:sz w:val="21"/>
          <w:szCs w:val="21"/>
          <w:lang w:eastAsia="zh-CN"/>
        </w:rPr>
        <w:t>；</w:t>
      </w:r>
    </w:p>
    <w:p w14:paraId="07C318C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cs="宋体"/>
          <w:kern w:val="2"/>
          <w:sz w:val="21"/>
          <w:szCs w:val="21"/>
          <w:lang w:eastAsia="zh-CN"/>
        </w:rPr>
      </w:pPr>
      <w:r>
        <w:rPr>
          <w:rFonts w:hint="eastAsia" w:ascii="宋体" w:hAnsi="宋体" w:eastAsia="宋体" w:cs="宋体"/>
          <w:kern w:val="2"/>
          <w:sz w:val="21"/>
          <w:szCs w:val="21"/>
          <w:lang w:eastAsia="zh-CN"/>
        </w:rPr>
        <w:t>……</w:t>
      </w:r>
    </w:p>
    <w:p w14:paraId="1917803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rPr>
        <w:t>以上企业，不属于大企业的分支机构，不存在控股股东为大企业的情形，也不存在与大企业的负责人为同一人的情形。</w:t>
      </w:r>
    </w:p>
    <w:p w14:paraId="0969899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cs="宋体"/>
          <w:kern w:val="2"/>
          <w:sz w:val="21"/>
          <w:szCs w:val="21"/>
          <w:lang w:eastAsia="zh-CN"/>
        </w:rPr>
      </w:pPr>
      <w:bookmarkStart w:id="42" w:name="_Hlk73562203"/>
      <w:r>
        <w:rPr>
          <w:rFonts w:hint="eastAsia" w:ascii="宋体" w:hAnsi="宋体" w:eastAsia="宋体" w:cs="宋体"/>
          <w:kern w:val="2"/>
          <w:sz w:val="21"/>
          <w:szCs w:val="21"/>
          <w:lang w:eastAsia="zh-CN"/>
        </w:rPr>
        <w:t>本投标人对上述声明内容的真实性负责。如有虚假，将依法承担相应责任。</w:t>
      </w:r>
    </w:p>
    <w:p w14:paraId="66397CD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eastAsia="宋体"/>
          <w:kern w:val="2"/>
          <w:sz w:val="21"/>
          <w:lang w:eastAsia="zh-CN"/>
        </w:rPr>
      </w:pPr>
      <w:r>
        <w:rPr>
          <w:rFonts w:hint="eastAsia" w:ascii="宋体" w:hAnsi="宋体" w:eastAsia="宋体" w:cs="宋体"/>
          <w:kern w:val="2"/>
          <w:sz w:val="21"/>
          <w:szCs w:val="21"/>
          <w:lang w:eastAsia="zh-CN"/>
        </w:rPr>
        <w:t>本投标人已知悉《政府采购促进中小企业发展管理办法》（财库〔2020〕46号）、《中小企业划型标准规定》（工信部联企〔2011〕300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bookmarkEnd w:id="42"/>
    </w:p>
    <w:p w14:paraId="6A91811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eastAsia="宋体"/>
          <w:kern w:val="2"/>
          <w:sz w:val="21"/>
          <w:lang w:eastAsia="zh-CN"/>
        </w:rPr>
      </w:pPr>
    </w:p>
    <w:p w14:paraId="6BA16A4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eastAsia="宋体"/>
          <w:kern w:val="2"/>
          <w:sz w:val="21"/>
          <w:lang w:eastAsia="zh-CN"/>
        </w:rPr>
      </w:pPr>
    </w:p>
    <w:p w14:paraId="16577598">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3"/>
        <w:rPr>
          <w:rFonts w:eastAsia="宋体"/>
          <w:b/>
          <w:bCs/>
          <w:kern w:val="2"/>
          <w:sz w:val="21"/>
          <w:lang w:eastAsia="zh-CN"/>
        </w:rPr>
      </w:pPr>
      <w:r>
        <w:rPr>
          <w:rFonts w:hint="eastAsia" w:eastAsia="宋体"/>
          <w:b/>
          <w:kern w:val="2"/>
          <w:lang w:eastAsia="zh-CN"/>
        </w:rPr>
        <w:t>2、残疾人福利性单位声明函（货物类）</w:t>
      </w:r>
    </w:p>
    <w:p w14:paraId="50D9230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cs="宋体"/>
          <w:kern w:val="2"/>
          <w:sz w:val="21"/>
          <w:szCs w:val="21"/>
          <w:lang w:eastAsia="zh-CN"/>
        </w:rPr>
      </w:pPr>
      <w:bookmarkStart w:id="43" w:name="_Hlk73562331"/>
      <w:bookmarkStart w:id="44" w:name="_Hlk73562245"/>
      <w:r>
        <w:rPr>
          <w:rFonts w:hint="eastAsia" w:ascii="宋体" w:hAnsi="宋体" w:eastAsia="宋体" w:cs="宋体"/>
          <w:kern w:val="2"/>
          <w:sz w:val="21"/>
          <w:szCs w:val="21"/>
          <w:lang w:eastAsia="zh-CN"/>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b/>
          <w:bCs/>
          <w:i/>
          <w:iCs/>
          <w:kern w:val="2"/>
          <w:sz w:val="21"/>
          <w:szCs w:val="21"/>
          <w:u w:val="single"/>
          <w:lang w:eastAsia="zh-CN"/>
        </w:rPr>
        <w:t xml:space="preserve">  </w:t>
      </w:r>
      <w:r>
        <w:rPr>
          <w:rFonts w:hint="eastAsia" w:ascii="宋体" w:hAnsi="宋体" w:eastAsia="宋体" w:cs="宋体"/>
          <w:b/>
          <w:bCs/>
          <w:color w:val="0000FF"/>
          <w:kern w:val="2"/>
          <w:sz w:val="21"/>
          <w:szCs w:val="21"/>
          <w:u w:val="single"/>
          <w:lang w:eastAsia="zh-CN"/>
        </w:rPr>
        <w:t>香港中文大学（深圳）</w:t>
      </w:r>
      <w:r>
        <w:rPr>
          <w:rFonts w:hint="eastAsia" w:ascii="宋体" w:hAnsi="宋体" w:eastAsia="宋体" w:cs="宋体"/>
          <w:b/>
          <w:bCs/>
          <w:i/>
          <w:iCs/>
          <w:kern w:val="2"/>
          <w:sz w:val="21"/>
          <w:szCs w:val="21"/>
          <w:u w:val="single"/>
          <w:lang w:eastAsia="zh-CN"/>
        </w:rPr>
        <w:t xml:space="preserve"> （单位名称）    </w:t>
      </w:r>
      <w:r>
        <w:rPr>
          <w:rFonts w:hint="eastAsia" w:ascii="宋体" w:hAnsi="宋体" w:eastAsia="宋体" w:cs="宋体"/>
          <w:kern w:val="2"/>
          <w:sz w:val="21"/>
          <w:szCs w:val="21"/>
          <w:lang w:eastAsia="zh-CN"/>
        </w:rPr>
        <w:t>单位的</w:t>
      </w:r>
      <w:r>
        <w:rPr>
          <w:rFonts w:hint="eastAsia" w:ascii="宋体" w:hAnsi="宋体" w:eastAsia="宋体" w:cs="宋体"/>
          <w:b/>
          <w:bCs/>
          <w:i/>
          <w:iCs/>
          <w:kern w:val="2"/>
          <w:sz w:val="21"/>
          <w:szCs w:val="21"/>
          <w:u w:val="single"/>
          <w:lang w:eastAsia="zh-CN"/>
        </w:rPr>
        <w:t xml:space="preserve">    （项目名称）    </w:t>
      </w:r>
      <w:r>
        <w:rPr>
          <w:rFonts w:hint="eastAsia" w:ascii="宋体" w:hAnsi="宋体" w:eastAsia="宋体" w:cs="宋体"/>
          <w:kern w:val="2"/>
          <w:sz w:val="21"/>
          <w:szCs w:val="21"/>
          <w:lang w:eastAsia="zh-CN"/>
        </w:rPr>
        <w:t>项目采购活动提供本单位制造的货物（由本单位承担工程/提供服务），或者提供其他残疾人福利性单位制造的货物（不包括使用非残疾人福利性单位注册商标的货物）。</w:t>
      </w:r>
    </w:p>
    <w:p w14:paraId="4538C3A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cs="宋体"/>
          <w:kern w:val="2"/>
          <w:sz w:val="21"/>
          <w:szCs w:val="21"/>
          <w:lang w:eastAsia="zh-CN"/>
        </w:rPr>
      </w:pPr>
      <w:r>
        <w:rPr>
          <w:rFonts w:hint="eastAsia" w:ascii="宋体" w:hAnsi="宋体" w:eastAsia="宋体" w:cs="宋体"/>
          <w:kern w:val="2"/>
          <w:sz w:val="21"/>
          <w:szCs w:val="21"/>
          <w:lang w:eastAsia="zh-CN"/>
        </w:rPr>
        <w:t>本单位对上述声明的真实性负责。如有虚假，将依法承担相应责任。</w:t>
      </w:r>
    </w:p>
    <w:p w14:paraId="6E6AE5F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cs="宋体"/>
          <w:kern w:val="2"/>
          <w:sz w:val="21"/>
          <w:szCs w:val="21"/>
          <w:lang w:eastAsia="zh-CN"/>
        </w:rPr>
      </w:pPr>
      <w:r>
        <w:rPr>
          <w:rFonts w:hint="eastAsia" w:ascii="宋体" w:hAnsi="宋体" w:eastAsia="宋体" w:cs="宋体"/>
          <w:kern w:val="2"/>
          <w:sz w:val="21"/>
          <w:szCs w:val="21"/>
          <w:lang w:eastAsia="zh-CN"/>
        </w:rPr>
        <w:t>本投标人已知悉《财政部民政部中国残疾人联合会关于促进残疾人就业政府采购政策的通知》（财库〔2017〕141号）的规定，承诺提供的声明函内容是真实的，如提供声明函内容不实，则依法追究相关法律责任。</w:t>
      </w:r>
      <w:bookmarkEnd w:id="43"/>
    </w:p>
    <w:bookmarkEnd w:id="44"/>
    <w:p w14:paraId="6FFBD35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宋体" w:hAnsi="宋体" w:eastAsia="宋体"/>
          <w:kern w:val="2"/>
          <w:sz w:val="21"/>
          <w:szCs w:val="21"/>
          <w:lang w:eastAsia="zh-CN"/>
        </w:rPr>
      </w:pPr>
    </w:p>
    <w:p w14:paraId="0843376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宋体" w:hAnsi="宋体" w:eastAsia="宋体"/>
          <w:kern w:val="2"/>
          <w:sz w:val="21"/>
          <w:szCs w:val="21"/>
          <w:lang w:eastAsia="zh-CN"/>
        </w:rPr>
      </w:pPr>
    </w:p>
    <w:p w14:paraId="0AB0CE4C">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3"/>
        <w:rPr>
          <w:rFonts w:eastAsia="宋体"/>
          <w:b/>
          <w:kern w:val="2"/>
          <w:lang w:eastAsia="zh-CN"/>
        </w:rPr>
      </w:pPr>
      <w:r>
        <w:rPr>
          <w:rFonts w:hint="eastAsia" w:eastAsia="宋体"/>
          <w:b/>
          <w:kern w:val="2"/>
          <w:lang w:eastAsia="zh-CN"/>
        </w:rPr>
        <w:t>3、监狱企业声明函【货物类，提供监狱企业货物的供应商如需享受优惠政策，还须另行提供省级以上监狱管理局、戒毒管理局（含新疆生产建设兵团）出具的监狱企业证明文件】</w:t>
      </w:r>
    </w:p>
    <w:p w14:paraId="7ACDE19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kern w:val="2"/>
          <w:sz w:val="21"/>
          <w:szCs w:val="21"/>
          <w:lang w:eastAsia="zh-CN"/>
        </w:rPr>
      </w:pPr>
      <w:r>
        <w:rPr>
          <w:rFonts w:hint="eastAsia" w:ascii="宋体" w:hAnsi="宋体" w:eastAsia="宋体"/>
          <w:kern w:val="2"/>
          <w:sz w:val="21"/>
          <w:szCs w:val="21"/>
          <w:lang w:eastAsia="zh-CN"/>
        </w:rPr>
        <w:t>本投标人郑重声明，根据《财政部司法部关于政府采购支持监狱企业发展有关问题的通知》（财库〔</w:t>
      </w:r>
      <w:r>
        <w:rPr>
          <w:rFonts w:ascii="宋体" w:hAnsi="宋体" w:eastAsia="宋体"/>
          <w:kern w:val="2"/>
          <w:sz w:val="21"/>
          <w:szCs w:val="21"/>
          <w:lang w:eastAsia="zh-CN"/>
        </w:rPr>
        <w:t>2014</w:t>
      </w:r>
      <w:r>
        <w:rPr>
          <w:rFonts w:hint="eastAsia" w:ascii="宋体" w:hAnsi="宋体" w:eastAsia="宋体"/>
          <w:kern w:val="2"/>
          <w:sz w:val="21"/>
          <w:szCs w:val="21"/>
          <w:lang w:eastAsia="zh-CN"/>
        </w:rPr>
        <w:t>〕</w:t>
      </w:r>
      <w:r>
        <w:rPr>
          <w:rFonts w:ascii="宋体" w:hAnsi="宋体" w:eastAsia="宋体"/>
          <w:kern w:val="2"/>
          <w:sz w:val="21"/>
          <w:szCs w:val="21"/>
          <w:lang w:eastAsia="zh-CN"/>
        </w:rPr>
        <w:t>68</w:t>
      </w:r>
      <w:r>
        <w:rPr>
          <w:rFonts w:hint="eastAsia" w:ascii="宋体" w:hAnsi="宋体" w:eastAsia="宋体"/>
          <w:kern w:val="2"/>
          <w:sz w:val="21"/>
          <w:szCs w:val="21"/>
          <w:lang w:eastAsia="zh-CN"/>
        </w:rPr>
        <w:t>号）的规定，本投标人</w:t>
      </w:r>
      <w:r>
        <w:rPr>
          <w:rFonts w:ascii="宋体" w:hAnsi="宋体" w:eastAsia="宋体" w:cstheme="minorBidi"/>
          <w:kern w:val="2"/>
          <w:sz w:val="21"/>
          <w:szCs w:val="21"/>
          <w:lang w:eastAsia="zh-CN"/>
        </w:rPr>
        <w:t>参加</w:t>
      </w:r>
      <w:r>
        <w:rPr>
          <w:rFonts w:hint="eastAsia" w:ascii="宋体" w:hAnsi="宋体" w:eastAsia="宋体" w:cs="宋体"/>
          <w:b/>
          <w:bCs/>
          <w:color w:val="0000FF"/>
          <w:kern w:val="2"/>
          <w:sz w:val="21"/>
          <w:szCs w:val="21"/>
          <w:u w:val="single"/>
          <w:lang w:eastAsia="zh-CN"/>
        </w:rPr>
        <w:t>香港中文大学（深圳）</w:t>
      </w:r>
      <w:r>
        <w:rPr>
          <w:rFonts w:ascii="宋体" w:hAnsi="宋体" w:eastAsia="宋体"/>
          <w:b/>
          <w:bCs/>
          <w:i/>
          <w:iCs/>
          <w:kern w:val="2"/>
          <w:sz w:val="21"/>
          <w:szCs w:val="21"/>
          <w:u w:val="single"/>
          <w:lang w:eastAsia="zh-CN"/>
        </w:rPr>
        <w:t>（</w:t>
      </w:r>
      <w:r>
        <w:rPr>
          <w:rFonts w:hint="eastAsia" w:ascii="宋体" w:hAnsi="宋体" w:eastAsia="宋体"/>
          <w:b/>
          <w:bCs/>
          <w:i/>
          <w:iCs/>
          <w:kern w:val="2"/>
          <w:sz w:val="21"/>
          <w:szCs w:val="21"/>
          <w:u w:val="single"/>
          <w:lang w:eastAsia="zh-CN"/>
        </w:rPr>
        <w:t>采购人</w:t>
      </w:r>
      <w:r>
        <w:rPr>
          <w:rFonts w:ascii="宋体" w:hAnsi="宋体" w:eastAsia="宋体"/>
          <w:b/>
          <w:bCs/>
          <w:i/>
          <w:iCs/>
          <w:kern w:val="2"/>
          <w:sz w:val="21"/>
          <w:szCs w:val="21"/>
          <w:u w:val="single"/>
          <w:lang w:eastAsia="zh-CN"/>
        </w:rPr>
        <w:t>名称）</w:t>
      </w:r>
      <w:r>
        <w:rPr>
          <w:rFonts w:ascii="宋体" w:hAnsi="宋体" w:eastAsia="宋体"/>
          <w:kern w:val="2"/>
          <w:sz w:val="21"/>
          <w:szCs w:val="21"/>
          <w:lang w:eastAsia="zh-CN"/>
        </w:rPr>
        <w:t>的</w:t>
      </w:r>
      <w:r>
        <w:rPr>
          <w:rFonts w:ascii="宋体" w:hAnsi="宋体" w:eastAsia="宋体"/>
          <w:b/>
          <w:bCs/>
          <w:i/>
          <w:iCs/>
          <w:kern w:val="2"/>
          <w:sz w:val="21"/>
          <w:szCs w:val="21"/>
          <w:u w:val="single"/>
          <w:lang w:eastAsia="zh-CN"/>
        </w:rPr>
        <w:t>（项目名称）</w:t>
      </w:r>
      <w:r>
        <w:rPr>
          <w:rFonts w:ascii="宋体" w:hAnsi="宋体" w:eastAsia="宋体"/>
          <w:kern w:val="2"/>
          <w:sz w:val="21"/>
          <w:szCs w:val="21"/>
          <w:lang w:eastAsia="zh-CN"/>
        </w:rPr>
        <w:t>采购活动，提供的货物全部由符合政策要求的</w:t>
      </w:r>
      <w:r>
        <w:rPr>
          <w:rFonts w:hint="eastAsia" w:ascii="宋体" w:hAnsi="宋体" w:eastAsia="宋体"/>
          <w:kern w:val="2"/>
          <w:sz w:val="21"/>
          <w:szCs w:val="21"/>
          <w:lang w:eastAsia="zh-CN"/>
        </w:rPr>
        <w:t>监狱企业</w:t>
      </w:r>
      <w:r>
        <w:rPr>
          <w:rFonts w:ascii="宋体" w:hAnsi="宋体" w:eastAsia="宋体"/>
          <w:kern w:val="2"/>
          <w:sz w:val="21"/>
          <w:szCs w:val="21"/>
          <w:lang w:eastAsia="zh-CN"/>
        </w:rPr>
        <w:t>制造。相关</w:t>
      </w:r>
      <w:r>
        <w:rPr>
          <w:rFonts w:hint="eastAsia" w:ascii="宋体" w:hAnsi="宋体" w:eastAsia="宋体"/>
          <w:kern w:val="2"/>
          <w:sz w:val="21"/>
          <w:szCs w:val="21"/>
          <w:lang w:eastAsia="zh-CN"/>
        </w:rPr>
        <w:t>监狱企业</w:t>
      </w:r>
      <w:r>
        <w:rPr>
          <w:rFonts w:ascii="宋体" w:hAnsi="宋体" w:eastAsia="宋体"/>
          <w:kern w:val="2"/>
          <w:sz w:val="21"/>
          <w:szCs w:val="21"/>
          <w:lang w:eastAsia="zh-CN"/>
        </w:rPr>
        <w:t>的具体情况如下：</w:t>
      </w:r>
    </w:p>
    <w:p w14:paraId="2DA3701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kern w:val="2"/>
          <w:sz w:val="21"/>
          <w:szCs w:val="21"/>
          <w:lang w:eastAsia="zh-CN"/>
        </w:rPr>
      </w:pPr>
      <w:r>
        <w:rPr>
          <w:rFonts w:ascii="宋体" w:hAnsi="宋体" w:eastAsia="宋体"/>
          <w:kern w:val="2"/>
          <w:sz w:val="21"/>
          <w:szCs w:val="21"/>
          <w:lang w:eastAsia="zh-CN"/>
        </w:rPr>
        <w:t>1.</w:t>
      </w:r>
      <w:r>
        <w:rPr>
          <w:rFonts w:ascii="宋体" w:hAnsi="宋体" w:eastAsia="宋体"/>
          <w:b/>
          <w:bCs/>
          <w:i/>
          <w:iCs/>
          <w:kern w:val="2"/>
          <w:sz w:val="21"/>
          <w:szCs w:val="21"/>
          <w:u w:val="single"/>
          <w:lang w:eastAsia="zh-CN"/>
        </w:rPr>
        <w:t xml:space="preserve"> </w:t>
      </w:r>
      <w:r>
        <w:rPr>
          <w:rFonts w:hint="eastAsia" w:ascii="宋体" w:hAnsi="宋体" w:eastAsia="宋体"/>
          <w:b/>
          <w:bCs/>
          <w:i/>
          <w:iCs/>
          <w:kern w:val="2"/>
          <w:sz w:val="21"/>
          <w:szCs w:val="21"/>
          <w:u w:val="single"/>
          <w:lang w:eastAsia="zh-CN"/>
        </w:rPr>
        <w:t xml:space="preserve">   </w:t>
      </w:r>
      <w:r>
        <w:rPr>
          <w:rFonts w:ascii="宋体" w:hAnsi="宋体" w:eastAsia="宋体"/>
          <w:b/>
          <w:bCs/>
          <w:i/>
          <w:iCs/>
          <w:kern w:val="2"/>
          <w:sz w:val="21"/>
          <w:szCs w:val="21"/>
          <w:u w:val="single"/>
          <w:lang w:eastAsia="zh-CN"/>
        </w:rPr>
        <w:t>（标的名称）</w:t>
      </w:r>
      <w:r>
        <w:rPr>
          <w:rFonts w:hint="eastAsia" w:ascii="宋体" w:hAnsi="宋体" w:eastAsia="宋体"/>
          <w:b/>
          <w:bCs/>
          <w:i/>
          <w:iCs/>
          <w:kern w:val="2"/>
          <w:sz w:val="21"/>
          <w:szCs w:val="21"/>
          <w:u w:val="single"/>
          <w:lang w:eastAsia="zh-CN"/>
        </w:rPr>
        <w:t xml:space="preserve">    </w:t>
      </w:r>
      <w:r>
        <w:rPr>
          <w:rFonts w:hint="eastAsia" w:ascii="宋体" w:hAnsi="宋体" w:eastAsia="宋体"/>
          <w:kern w:val="2"/>
          <w:sz w:val="21"/>
          <w:szCs w:val="21"/>
          <w:lang w:eastAsia="zh-CN"/>
        </w:rPr>
        <w:t>，</w:t>
      </w:r>
      <w:r>
        <w:rPr>
          <w:rFonts w:ascii="宋体" w:hAnsi="宋体" w:eastAsia="宋体"/>
          <w:kern w:val="2"/>
          <w:sz w:val="21"/>
          <w:szCs w:val="21"/>
          <w:lang w:eastAsia="zh-CN"/>
        </w:rPr>
        <w:t>制造商为</w:t>
      </w:r>
      <w:r>
        <w:rPr>
          <w:rFonts w:hint="eastAsia" w:ascii="宋体" w:hAnsi="宋体" w:eastAsia="宋体"/>
          <w:kern w:val="2"/>
          <w:sz w:val="21"/>
          <w:szCs w:val="21"/>
          <w:u w:val="single"/>
          <w:lang w:eastAsia="zh-CN"/>
        </w:rPr>
        <w:t xml:space="preserve">    </w:t>
      </w:r>
      <w:r>
        <w:rPr>
          <w:rFonts w:ascii="宋体" w:hAnsi="宋体" w:eastAsia="宋体"/>
          <w:b/>
          <w:bCs/>
          <w:i/>
          <w:iCs/>
          <w:kern w:val="2"/>
          <w:sz w:val="21"/>
          <w:szCs w:val="21"/>
          <w:u w:val="single"/>
          <w:lang w:eastAsia="zh-CN"/>
        </w:rPr>
        <w:t>（</w:t>
      </w:r>
      <w:r>
        <w:rPr>
          <w:rFonts w:hint="eastAsia" w:ascii="宋体" w:hAnsi="宋体" w:eastAsia="宋体"/>
          <w:b/>
          <w:bCs/>
          <w:i/>
          <w:iCs/>
          <w:kern w:val="2"/>
          <w:sz w:val="21"/>
          <w:szCs w:val="21"/>
          <w:u w:val="single"/>
          <w:lang w:eastAsia="zh-CN"/>
        </w:rPr>
        <w:t>企业</w:t>
      </w:r>
      <w:r>
        <w:rPr>
          <w:rFonts w:ascii="宋体" w:hAnsi="宋体" w:eastAsia="宋体"/>
          <w:b/>
          <w:bCs/>
          <w:i/>
          <w:iCs/>
          <w:kern w:val="2"/>
          <w:sz w:val="21"/>
          <w:szCs w:val="21"/>
          <w:u w:val="single"/>
          <w:lang w:eastAsia="zh-CN"/>
        </w:rPr>
        <w:t>名称）</w:t>
      </w:r>
      <w:r>
        <w:rPr>
          <w:rFonts w:hint="eastAsia" w:ascii="宋体" w:hAnsi="宋体" w:eastAsia="宋体"/>
          <w:b/>
          <w:bCs/>
          <w:i/>
          <w:iCs/>
          <w:kern w:val="2"/>
          <w:sz w:val="21"/>
          <w:szCs w:val="21"/>
          <w:u w:val="single"/>
          <w:lang w:eastAsia="zh-CN"/>
        </w:rPr>
        <w:t xml:space="preserve">    </w:t>
      </w:r>
      <w:r>
        <w:rPr>
          <w:rFonts w:ascii="宋体" w:hAnsi="宋体" w:eastAsia="宋体"/>
          <w:kern w:val="2"/>
          <w:sz w:val="21"/>
          <w:szCs w:val="21"/>
          <w:lang w:eastAsia="zh-CN"/>
        </w:rPr>
        <w:t>，属于</w:t>
      </w:r>
      <w:r>
        <w:rPr>
          <w:rFonts w:hint="eastAsia" w:ascii="宋体" w:hAnsi="宋体" w:eastAsia="宋体"/>
          <w:kern w:val="2"/>
          <w:sz w:val="21"/>
          <w:szCs w:val="21"/>
          <w:u w:val="single"/>
          <w:lang w:eastAsia="zh-CN"/>
        </w:rPr>
        <w:t xml:space="preserve">  </w:t>
      </w:r>
      <w:r>
        <w:rPr>
          <w:rFonts w:hint="eastAsia" w:ascii="宋体" w:hAnsi="宋体" w:eastAsia="宋体"/>
          <w:b/>
          <w:bCs/>
          <w:kern w:val="2"/>
          <w:sz w:val="21"/>
          <w:szCs w:val="21"/>
          <w:u w:val="single"/>
          <w:lang w:eastAsia="zh-CN"/>
        </w:rPr>
        <w:t xml:space="preserve">监狱企业  </w:t>
      </w:r>
      <w:r>
        <w:rPr>
          <w:rFonts w:ascii="宋体" w:hAnsi="宋体" w:eastAsia="宋体"/>
          <w:kern w:val="2"/>
          <w:sz w:val="21"/>
          <w:szCs w:val="21"/>
          <w:lang w:eastAsia="zh-CN"/>
        </w:rPr>
        <w:t>；</w:t>
      </w:r>
    </w:p>
    <w:p w14:paraId="3096B03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kern w:val="2"/>
          <w:sz w:val="21"/>
          <w:szCs w:val="21"/>
          <w:lang w:eastAsia="zh-CN"/>
        </w:rPr>
      </w:pPr>
      <w:r>
        <w:rPr>
          <w:rFonts w:ascii="宋体" w:hAnsi="宋体" w:eastAsia="宋体"/>
          <w:kern w:val="2"/>
          <w:sz w:val="21"/>
          <w:szCs w:val="21"/>
          <w:lang w:eastAsia="zh-CN"/>
        </w:rPr>
        <w:t>2.</w:t>
      </w:r>
      <w:r>
        <w:rPr>
          <w:rFonts w:ascii="宋体" w:hAnsi="宋体" w:eastAsia="宋体"/>
          <w:b/>
          <w:bCs/>
          <w:i/>
          <w:iCs/>
          <w:kern w:val="2"/>
          <w:sz w:val="21"/>
          <w:szCs w:val="21"/>
          <w:u w:val="single"/>
          <w:lang w:eastAsia="zh-CN"/>
        </w:rPr>
        <w:t xml:space="preserve"> </w:t>
      </w:r>
      <w:r>
        <w:rPr>
          <w:rFonts w:hint="eastAsia" w:ascii="宋体" w:hAnsi="宋体" w:eastAsia="宋体"/>
          <w:b/>
          <w:bCs/>
          <w:i/>
          <w:iCs/>
          <w:kern w:val="2"/>
          <w:sz w:val="21"/>
          <w:szCs w:val="21"/>
          <w:u w:val="single"/>
          <w:lang w:eastAsia="zh-CN"/>
        </w:rPr>
        <w:t xml:space="preserve">   </w:t>
      </w:r>
      <w:r>
        <w:rPr>
          <w:rFonts w:ascii="宋体" w:hAnsi="宋体" w:eastAsia="宋体"/>
          <w:b/>
          <w:bCs/>
          <w:i/>
          <w:iCs/>
          <w:kern w:val="2"/>
          <w:sz w:val="21"/>
          <w:szCs w:val="21"/>
          <w:u w:val="single"/>
          <w:lang w:eastAsia="zh-CN"/>
        </w:rPr>
        <w:t>（标的名称）</w:t>
      </w:r>
      <w:r>
        <w:rPr>
          <w:rFonts w:hint="eastAsia" w:ascii="宋体" w:hAnsi="宋体" w:eastAsia="宋体"/>
          <w:b/>
          <w:bCs/>
          <w:i/>
          <w:iCs/>
          <w:kern w:val="2"/>
          <w:sz w:val="21"/>
          <w:szCs w:val="21"/>
          <w:u w:val="single"/>
          <w:lang w:eastAsia="zh-CN"/>
        </w:rPr>
        <w:t xml:space="preserve">    </w:t>
      </w:r>
      <w:r>
        <w:rPr>
          <w:rFonts w:hint="eastAsia" w:ascii="宋体" w:hAnsi="宋体" w:eastAsia="宋体"/>
          <w:kern w:val="2"/>
          <w:sz w:val="21"/>
          <w:szCs w:val="21"/>
          <w:lang w:eastAsia="zh-CN"/>
        </w:rPr>
        <w:t>，</w:t>
      </w:r>
      <w:r>
        <w:rPr>
          <w:rFonts w:ascii="宋体" w:hAnsi="宋体" w:eastAsia="宋体"/>
          <w:kern w:val="2"/>
          <w:sz w:val="21"/>
          <w:szCs w:val="21"/>
          <w:lang w:eastAsia="zh-CN"/>
        </w:rPr>
        <w:t>制造商为</w:t>
      </w:r>
      <w:r>
        <w:rPr>
          <w:rFonts w:hint="eastAsia" w:ascii="宋体" w:hAnsi="宋体" w:eastAsia="宋体"/>
          <w:kern w:val="2"/>
          <w:sz w:val="21"/>
          <w:szCs w:val="21"/>
          <w:u w:val="single"/>
          <w:lang w:eastAsia="zh-CN"/>
        </w:rPr>
        <w:t xml:space="preserve">    </w:t>
      </w:r>
      <w:r>
        <w:rPr>
          <w:rFonts w:ascii="宋体" w:hAnsi="宋体" w:eastAsia="宋体"/>
          <w:b/>
          <w:bCs/>
          <w:i/>
          <w:iCs/>
          <w:kern w:val="2"/>
          <w:sz w:val="21"/>
          <w:szCs w:val="21"/>
          <w:u w:val="single"/>
          <w:lang w:eastAsia="zh-CN"/>
        </w:rPr>
        <w:t>（</w:t>
      </w:r>
      <w:r>
        <w:rPr>
          <w:rFonts w:hint="eastAsia" w:ascii="宋体" w:hAnsi="宋体" w:eastAsia="宋体"/>
          <w:b/>
          <w:bCs/>
          <w:i/>
          <w:iCs/>
          <w:kern w:val="2"/>
          <w:sz w:val="21"/>
          <w:szCs w:val="21"/>
          <w:u w:val="single"/>
          <w:lang w:eastAsia="zh-CN"/>
        </w:rPr>
        <w:t>企业</w:t>
      </w:r>
      <w:r>
        <w:rPr>
          <w:rFonts w:ascii="宋体" w:hAnsi="宋体" w:eastAsia="宋体"/>
          <w:b/>
          <w:bCs/>
          <w:i/>
          <w:iCs/>
          <w:kern w:val="2"/>
          <w:sz w:val="21"/>
          <w:szCs w:val="21"/>
          <w:u w:val="single"/>
          <w:lang w:eastAsia="zh-CN"/>
        </w:rPr>
        <w:t>名称）</w:t>
      </w:r>
      <w:r>
        <w:rPr>
          <w:rFonts w:hint="eastAsia" w:ascii="宋体" w:hAnsi="宋体" w:eastAsia="宋体"/>
          <w:b/>
          <w:bCs/>
          <w:i/>
          <w:iCs/>
          <w:kern w:val="2"/>
          <w:sz w:val="21"/>
          <w:szCs w:val="21"/>
          <w:u w:val="single"/>
          <w:lang w:eastAsia="zh-CN"/>
        </w:rPr>
        <w:t xml:space="preserve">    </w:t>
      </w:r>
      <w:r>
        <w:rPr>
          <w:rFonts w:ascii="宋体" w:hAnsi="宋体" w:eastAsia="宋体"/>
          <w:kern w:val="2"/>
          <w:sz w:val="21"/>
          <w:szCs w:val="21"/>
          <w:lang w:eastAsia="zh-CN"/>
        </w:rPr>
        <w:t>，属于</w:t>
      </w:r>
      <w:r>
        <w:rPr>
          <w:rFonts w:hint="eastAsia" w:ascii="宋体" w:hAnsi="宋体" w:eastAsia="宋体"/>
          <w:kern w:val="2"/>
          <w:sz w:val="21"/>
          <w:szCs w:val="21"/>
          <w:u w:val="single"/>
          <w:lang w:eastAsia="zh-CN"/>
        </w:rPr>
        <w:t xml:space="preserve">  </w:t>
      </w:r>
      <w:r>
        <w:rPr>
          <w:rFonts w:hint="eastAsia" w:ascii="宋体" w:hAnsi="宋体" w:eastAsia="宋体"/>
          <w:b/>
          <w:bCs/>
          <w:kern w:val="2"/>
          <w:sz w:val="21"/>
          <w:szCs w:val="21"/>
          <w:u w:val="single"/>
          <w:lang w:eastAsia="zh-CN"/>
        </w:rPr>
        <w:t xml:space="preserve">监狱企业  </w:t>
      </w:r>
      <w:r>
        <w:rPr>
          <w:rFonts w:hint="eastAsia" w:ascii="宋体" w:hAnsi="宋体" w:eastAsia="宋体"/>
          <w:kern w:val="2"/>
          <w:sz w:val="21"/>
          <w:szCs w:val="21"/>
          <w:lang w:eastAsia="zh-CN"/>
        </w:rPr>
        <w:t>。</w:t>
      </w:r>
    </w:p>
    <w:p w14:paraId="1736DDD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outlineLvl w:val="3"/>
        <w:rPr>
          <w:rFonts w:ascii="宋体" w:hAnsi="宋体" w:eastAsia="宋体"/>
          <w:kern w:val="2"/>
          <w:sz w:val="21"/>
          <w:szCs w:val="21"/>
          <w:lang w:eastAsia="zh-CN"/>
        </w:rPr>
      </w:pPr>
      <w:r>
        <w:rPr>
          <w:rFonts w:ascii="宋体" w:hAnsi="宋体" w:eastAsia="宋体"/>
          <w:kern w:val="2"/>
          <w:sz w:val="21"/>
          <w:szCs w:val="21"/>
          <w:lang w:eastAsia="zh-CN"/>
        </w:rPr>
        <w:t xml:space="preserve">…… </w:t>
      </w:r>
    </w:p>
    <w:p w14:paraId="66AFBF0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ascii="宋体" w:hAnsi="宋体" w:eastAsia="宋体"/>
          <w:kern w:val="2"/>
          <w:sz w:val="21"/>
          <w:szCs w:val="21"/>
          <w:lang w:eastAsia="zh-CN"/>
        </w:rPr>
      </w:pPr>
      <w:r>
        <w:rPr>
          <w:rFonts w:ascii="宋体" w:hAnsi="宋体" w:eastAsia="宋体" w:cstheme="minorBidi"/>
          <w:kern w:val="2"/>
          <w:sz w:val="21"/>
          <w:szCs w:val="21"/>
          <w:lang w:eastAsia="zh-CN"/>
        </w:rPr>
        <w:t>本</w:t>
      </w:r>
      <w:r>
        <w:rPr>
          <w:rFonts w:hint="eastAsia" w:ascii="宋体" w:hAnsi="宋体" w:eastAsia="宋体" w:cstheme="minorBidi"/>
          <w:kern w:val="2"/>
          <w:sz w:val="21"/>
          <w:szCs w:val="21"/>
          <w:lang w:eastAsia="zh-CN"/>
        </w:rPr>
        <w:t>投标人</w:t>
      </w:r>
      <w:r>
        <w:rPr>
          <w:rFonts w:ascii="宋体" w:hAnsi="宋体" w:eastAsia="宋体"/>
          <w:kern w:val="2"/>
          <w:sz w:val="21"/>
          <w:szCs w:val="21"/>
          <w:lang w:eastAsia="zh-CN"/>
        </w:rPr>
        <w:t>对上述声明内容的真实性负责。如有虚假，将依法承担相应责任。</w:t>
      </w:r>
    </w:p>
    <w:p w14:paraId="34F527A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Fonts w:eastAsia="宋体"/>
          <w:b/>
          <w:bCs/>
          <w:color w:val="FF0000"/>
          <w:kern w:val="2"/>
          <w:sz w:val="21"/>
          <w:szCs w:val="21"/>
          <w:lang w:eastAsia="zh-CN"/>
        </w:rPr>
      </w:pPr>
      <w:r>
        <w:rPr>
          <w:rFonts w:hint="eastAsia" w:ascii="宋体" w:hAnsi="宋体" w:eastAsia="宋体"/>
          <w:kern w:val="2"/>
          <w:sz w:val="21"/>
          <w:szCs w:val="21"/>
          <w:lang w:eastAsia="zh-CN"/>
        </w:rPr>
        <w:t>附：省级以上监狱管理局、戒毒管理局（含新疆生产建设兵团）出具的监狱企业证明文件。</w:t>
      </w:r>
    </w:p>
    <w:p w14:paraId="0A9D3D93">
      <w:pPr>
        <w:rPr>
          <w:rFonts w:hint="eastAsia" w:ascii="黑体" w:hAnsi="宋体" w:eastAsia="黑体"/>
          <w:bCs/>
          <w:kern w:val="2"/>
          <w:lang w:eastAsia="zh-CN"/>
        </w:rPr>
      </w:pPr>
      <w:r>
        <w:rPr>
          <w:rFonts w:hint="eastAsia" w:ascii="黑体" w:hAnsi="宋体" w:eastAsia="黑体"/>
          <w:bCs/>
          <w:kern w:val="2"/>
          <w:lang w:eastAsia="zh-CN"/>
        </w:rPr>
        <w:br w:type="page"/>
      </w:r>
    </w:p>
    <w:p w14:paraId="190EC3CB">
      <w:pPr>
        <w:keepNext/>
        <w:keepLines/>
        <w:widowControl w:val="0"/>
        <w:spacing w:before="260" w:after="260" w:line="240" w:lineRule="auto"/>
        <w:jc w:val="center"/>
        <w:outlineLvl w:val="2"/>
        <w:rPr>
          <w:rFonts w:ascii="黑体" w:hAnsi="宋体" w:eastAsia="黑体"/>
          <w:bCs/>
          <w:kern w:val="2"/>
          <w:lang w:eastAsia="zh-CN"/>
        </w:rPr>
      </w:pPr>
      <w:r>
        <w:rPr>
          <w:rFonts w:hint="eastAsia" w:ascii="黑体" w:hAnsi="宋体" w:eastAsia="黑体"/>
          <w:bCs/>
          <w:kern w:val="2"/>
          <w:lang w:eastAsia="zh-CN"/>
        </w:rPr>
        <w:t>四、项目详细报价</w:t>
      </w:r>
    </w:p>
    <w:p w14:paraId="5EE796D3">
      <w:pPr>
        <w:widowControl w:val="0"/>
        <w:tabs>
          <w:tab w:val="left" w:pos="720"/>
        </w:tabs>
        <w:ind w:firstLine="3132" w:firstLineChars="1300"/>
        <w:jc w:val="both"/>
        <w:rPr>
          <w:rFonts w:eastAsia="宋体"/>
          <w:b/>
          <w:kern w:val="2"/>
          <w:lang w:eastAsia="zh-CN"/>
        </w:rPr>
      </w:pPr>
      <w:r>
        <w:rPr>
          <w:rFonts w:hint="eastAsia" w:eastAsia="宋体"/>
          <w:b/>
          <w:kern w:val="2"/>
          <w:lang w:eastAsia="zh-CN"/>
        </w:rPr>
        <w:t>（一）分项报价表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747"/>
        <w:gridCol w:w="609"/>
        <w:gridCol w:w="736"/>
        <w:gridCol w:w="578"/>
        <w:gridCol w:w="832"/>
        <w:gridCol w:w="625"/>
        <w:gridCol w:w="673"/>
        <w:gridCol w:w="753"/>
        <w:gridCol w:w="784"/>
        <w:gridCol w:w="1030"/>
      </w:tblGrid>
      <w:tr w14:paraId="7ADB0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 w:type="dxa"/>
            <w:vAlign w:val="center"/>
          </w:tcPr>
          <w:p w14:paraId="5AA9E49A">
            <w:pPr>
              <w:widowControl w:val="0"/>
              <w:jc w:val="center"/>
              <w:rPr>
                <w:rFonts w:eastAsia="宋体"/>
                <w:bCs/>
                <w:kern w:val="2"/>
                <w:sz w:val="20"/>
                <w:szCs w:val="20"/>
                <w:lang w:eastAsia="zh-CN"/>
              </w:rPr>
            </w:pPr>
            <w:r>
              <w:rPr>
                <w:rFonts w:hint="eastAsia" w:eastAsia="宋体"/>
                <w:bCs/>
                <w:kern w:val="2"/>
                <w:sz w:val="20"/>
                <w:szCs w:val="20"/>
                <w:lang w:eastAsia="zh-CN"/>
              </w:rPr>
              <w:t>序号</w:t>
            </w:r>
          </w:p>
        </w:tc>
        <w:tc>
          <w:tcPr>
            <w:tcW w:w="1855" w:type="dxa"/>
            <w:vAlign w:val="center"/>
          </w:tcPr>
          <w:p w14:paraId="56572863">
            <w:pPr>
              <w:widowControl w:val="0"/>
              <w:jc w:val="center"/>
              <w:rPr>
                <w:rFonts w:eastAsia="宋体"/>
                <w:bCs/>
                <w:kern w:val="2"/>
                <w:sz w:val="20"/>
                <w:szCs w:val="20"/>
                <w:lang w:eastAsia="zh-CN"/>
              </w:rPr>
            </w:pPr>
            <w:r>
              <w:rPr>
                <w:rFonts w:hint="eastAsia" w:eastAsia="宋体"/>
                <w:bCs/>
                <w:kern w:val="2"/>
                <w:sz w:val="20"/>
                <w:szCs w:val="20"/>
                <w:lang w:eastAsia="zh-CN"/>
              </w:rPr>
              <w:t>货物名称</w:t>
            </w:r>
          </w:p>
        </w:tc>
        <w:tc>
          <w:tcPr>
            <w:tcW w:w="636" w:type="dxa"/>
            <w:vAlign w:val="center"/>
          </w:tcPr>
          <w:p w14:paraId="18CA2947">
            <w:pPr>
              <w:widowControl w:val="0"/>
              <w:jc w:val="center"/>
              <w:rPr>
                <w:rFonts w:eastAsia="宋体"/>
                <w:bCs/>
                <w:kern w:val="2"/>
                <w:sz w:val="20"/>
                <w:szCs w:val="20"/>
                <w:lang w:eastAsia="zh-CN"/>
              </w:rPr>
            </w:pPr>
            <w:r>
              <w:rPr>
                <w:rFonts w:hint="eastAsia" w:eastAsia="宋体"/>
                <w:kern w:val="2"/>
                <w:sz w:val="20"/>
                <w:szCs w:val="20"/>
                <w:lang w:eastAsia="zh-CN"/>
              </w:rPr>
              <w:t>品牌</w:t>
            </w:r>
          </w:p>
        </w:tc>
        <w:tc>
          <w:tcPr>
            <w:tcW w:w="772" w:type="dxa"/>
            <w:vAlign w:val="center"/>
          </w:tcPr>
          <w:p w14:paraId="3F2B1B5C">
            <w:pPr>
              <w:widowControl w:val="0"/>
              <w:jc w:val="center"/>
              <w:rPr>
                <w:rFonts w:eastAsia="宋体"/>
                <w:bCs/>
                <w:kern w:val="2"/>
                <w:sz w:val="20"/>
                <w:szCs w:val="20"/>
                <w:lang w:eastAsia="zh-CN"/>
              </w:rPr>
            </w:pPr>
            <w:r>
              <w:rPr>
                <w:rFonts w:hint="eastAsia" w:eastAsia="宋体"/>
                <w:kern w:val="2"/>
                <w:sz w:val="20"/>
                <w:szCs w:val="20"/>
                <w:lang w:eastAsia="zh-CN"/>
              </w:rPr>
              <w:t>规格/型号</w:t>
            </w:r>
          </w:p>
        </w:tc>
        <w:tc>
          <w:tcPr>
            <w:tcW w:w="602" w:type="dxa"/>
            <w:vAlign w:val="center"/>
          </w:tcPr>
          <w:p w14:paraId="4B398070">
            <w:pPr>
              <w:widowControl w:val="0"/>
              <w:jc w:val="center"/>
              <w:rPr>
                <w:rFonts w:eastAsia="宋体"/>
                <w:bCs/>
                <w:kern w:val="2"/>
                <w:sz w:val="20"/>
                <w:szCs w:val="20"/>
                <w:lang w:eastAsia="zh-CN"/>
              </w:rPr>
            </w:pPr>
            <w:r>
              <w:rPr>
                <w:rFonts w:hint="eastAsia" w:eastAsia="宋体"/>
                <w:b/>
                <w:color w:val="FF0000"/>
                <w:kern w:val="2"/>
                <w:sz w:val="20"/>
                <w:szCs w:val="20"/>
                <w:lang w:eastAsia="zh-CN"/>
              </w:rPr>
              <w:t>原产地</w:t>
            </w:r>
          </w:p>
        </w:tc>
        <w:tc>
          <w:tcPr>
            <w:tcW w:w="874" w:type="dxa"/>
            <w:vAlign w:val="center"/>
          </w:tcPr>
          <w:p w14:paraId="049BD590">
            <w:pPr>
              <w:widowControl w:val="0"/>
              <w:jc w:val="center"/>
              <w:rPr>
                <w:rFonts w:eastAsia="宋体"/>
                <w:bCs/>
                <w:kern w:val="2"/>
                <w:sz w:val="20"/>
                <w:szCs w:val="20"/>
                <w:lang w:eastAsia="zh-CN"/>
              </w:rPr>
            </w:pPr>
            <w:r>
              <w:rPr>
                <w:rFonts w:hint="eastAsia" w:eastAsia="宋体"/>
                <w:kern w:val="2"/>
                <w:sz w:val="20"/>
                <w:szCs w:val="20"/>
                <w:lang w:eastAsia="zh-CN"/>
              </w:rPr>
              <w:t>制造商名称</w:t>
            </w:r>
          </w:p>
        </w:tc>
        <w:tc>
          <w:tcPr>
            <w:tcW w:w="653" w:type="dxa"/>
            <w:vAlign w:val="center"/>
          </w:tcPr>
          <w:p w14:paraId="0BDD938C">
            <w:pPr>
              <w:widowControl w:val="0"/>
              <w:jc w:val="center"/>
              <w:rPr>
                <w:rFonts w:eastAsia="宋体"/>
                <w:bCs/>
                <w:kern w:val="2"/>
                <w:sz w:val="20"/>
                <w:szCs w:val="20"/>
                <w:lang w:eastAsia="zh-CN"/>
              </w:rPr>
            </w:pPr>
            <w:r>
              <w:rPr>
                <w:rFonts w:hint="eastAsia" w:eastAsia="宋体"/>
                <w:bCs/>
                <w:kern w:val="2"/>
                <w:sz w:val="20"/>
                <w:szCs w:val="20"/>
                <w:lang w:eastAsia="zh-CN"/>
              </w:rPr>
              <w:t>数量</w:t>
            </w:r>
          </w:p>
        </w:tc>
        <w:tc>
          <w:tcPr>
            <w:tcW w:w="704" w:type="dxa"/>
            <w:vAlign w:val="center"/>
          </w:tcPr>
          <w:p w14:paraId="26719F09">
            <w:pPr>
              <w:widowControl w:val="0"/>
              <w:jc w:val="center"/>
              <w:rPr>
                <w:rFonts w:eastAsia="宋体"/>
                <w:bCs/>
                <w:kern w:val="2"/>
                <w:sz w:val="20"/>
                <w:szCs w:val="20"/>
                <w:lang w:eastAsia="zh-CN"/>
              </w:rPr>
            </w:pPr>
            <w:r>
              <w:rPr>
                <w:rFonts w:hint="eastAsia" w:eastAsia="宋体"/>
                <w:bCs/>
                <w:kern w:val="2"/>
                <w:sz w:val="20"/>
                <w:szCs w:val="20"/>
                <w:lang w:eastAsia="zh-CN"/>
              </w:rPr>
              <w:t>单位</w:t>
            </w:r>
          </w:p>
        </w:tc>
        <w:tc>
          <w:tcPr>
            <w:tcW w:w="790" w:type="dxa"/>
            <w:vAlign w:val="center"/>
          </w:tcPr>
          <w:p w14:paraId="62F5BECF">
            <w:pPr>
              <w:widowControl w:val="0"/>
              <w:jc w:val="center"/>
              <w:rPr>
                <w:rFonts w:eastAsia="宋体"/>
                <w:bCs/>
                <w:kern w:val="2"/>
                <w:sz w:val="20"/>
                <w:szCs w:val="20"/>
                <w:lang w:eastAsia="zh-CN"/>
              </w:rPr>
            </w:pPr>
            <w:r>
              <w:rPr>
                <w:rFonts w:hint="eastAsia" w:eastAsia="宋体"/>
                <w:kern w:val="2"/>
                <w:sz w:val="20"/>
                <w:szCs w:val="20"/>
                <w:lang w:eastAsia="zh-CN"/>
              </w:rPr>
              <w:t>单价(元)</w:t>
            </w:r>
          </w:p>
        </w:tc>
        <w:tc>
          <w:tcPr>
            <w:tcW w:w="823" w:type="dxa"/>
            <w:vAlign w:val="center"/>
          </w:tcPr>
          <w:p w14:paraId="0D88C751">
            <w:pPr>
              <w:widowControl w:val="0"/>
              <w:jc w:val="center"/>
              <w:rPr>
                <w:rFonts w:eastAsia="宋体"/>
                <w:bCs/>
                <w:kern w:val="2"/>
                <w:sz w:val="20"/>
                <w:szCs w:val="20"/>
                <w:lang w:eastAsia="zh-CN"/>
              </w:rPr>
            </w:pPr>
            <w:r>
              <w:rPr>
                <w:rFonts w:hint="eastAsia" w:eastAsia="宋体"/>
                <w:kern w:val="2"/>
                <w:sz w:val="20"/>
                <w:szCs w:val="20"/>
                <w:lang w:eastAsia="zh-CN"/>
              </w:rPr>
              <w:t>合价(元)</w:t>
            </w:r>
          </w:p>
        </w:tc>
        <w:tc>
          <w:tcPr>
            <w:tcW w:w="1087" w:type="dxa"/>
            <w:vAlign w:val="center"/>
          </w:tcPr>
          <w:p w14:paraId="6F2F7746">
            <w:pPr>
              <w:widowControl w:val="0"/>
              <w:jc w:val="center"/>
              <w:rPr>
                <w:rFonts w:eastAsia="宋体"/>
                <w:b/>
                <w:bCs/>
                <w:color w:val="FF0000"/>
                <w:kern w:val="2"/>
                <w:sz w:val="20"/>
                <w:szCs w:val="20"/>
                <w:lang w:eastAsia="zh-CN"/>
              </w:rPr>
            </w:pPr>
            <w:r>
              <w:rPr>
                <w:rFonts w:hint="eastAsia" w:eastAsia="宋体"/>
                <w:b/>
                <w:bCs/>
                <w:color w:val="FF0000"/>
                <w:kern w:val="2"/>
                <w:sz w:val="20"/>
                <w:szCs w:val="20"/>
                <w:lang w:eastAsia="zh-CN"/>
              </w:rPr>
              <w:t>预算金额（元）</w:t>
            </w:r>
          </w:p>
        </w:tc>
      </w:tr>
      <w:tr w14:paraId="4613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 w:type="dxa"/>
            <w:vAlign w:val="center"/>
          </w:tcPr>
          <w:p w14:paraId="1FC11B29">
            <w:pPr>
              <w:widowControl w:val="0"/>
              <w:jc w:val="center"/>
              <w:rPr>
                <w:rFonts w:eastAsia="宋体"/>
                <w:bCs/>
                <w:kern w:val="2"/>
                <w:sz w:val="20"/>
                <w:szCs w:val="20"/>
                <w:lang w:eastAsia="zh-CN"/>
              </w:rPr>
            </w:pPr>
            <w:r>
              <w:rPr>
                <w:rFonts w:hint="eastAsia" w:eastAsia="宋体"/>
                <w:bCs/>
                <w:kern w:val="2"/>
                <w:sz w:val="20"/>
                <w:szCs w:val="20"/>
                <w:lang w:eastAsia="zh-CN"/>
              </w:rPr>
              <w:t>1</w:t>
            </w:r>
          </w:p>
        </w:tc>
        <w:tc>
          <w:tcPr>
            <w:tcW w:w="1855" w:type="dxa"/>
            <w:vAlign w:val="center"/>
          </w:tcPr>
          <w:p w14:paraId="1483E6F0">
            <w:pPr>
              <w:widowControl w:val="0"/>
              <w:spacing w:line="360" w:lineRule="auto"/>
              <w:jc w:val="center"/>
              <w:rPr>
                <w:rFonts w:eastAsia="宋体"/>
                <w:bCs/>
                <w:kern w:val="2"/>
                <w:sz w:val="20"/>
                <w:szCs w:val="20"/>
                <w:lang w:eastAsia="zh-CN"/>
              </w:rPr>
            </w:pPr>
            <w:r>
              <w:rPr>
                <w:rFonts w:hint="eastAsia" w:eastAsia="宋体"/>
                <w:kern w:val="2"/>
                <w:sz w:val="20"/>
                <w:szCs w:val="22"/>
                <w:lang w:eastAsia="zh-CN"/>
              </w:rPr>
              <w:t>实木公寓床（含床板、床垫）</w:t>
            </w:r>
          </w:p>
        </w:tc>
        <w:tc>
          <w:tcPr>
            <w:tcW w:w="636" w:type="dxa"/>
            <w:vAlign w:val="center"/>
          </w:tcPr>
          <w:p w14:paraId="148A8ACA">
            <w:pPr>
              <w:widowControl w:val="0"/>
              <w:jc w:val="center"/>
              <w:rPr>
                <w:rFonts w:eastAsia="宋体"/>
                <w:bCs/>
                <w:kern w:val="2"/>
                <w:sz w:val="20"/>
                <w:szCs w:val="20"/>
                <w:lang w:eastAsia="zh-CN"/>
              </w:rPr>
            </w:pPr>
          </w:p>
        </w:tc>
        <w:tc>
          <w:tcPr>
            <w:tcW w:w="772" w:type="dxa"/>
            <w:vAlign w:val="center"/>
          </w:tcPr>
          <w:p w14:paraId="737EC17C">
            <w:pPr>
              <w:widowControl w:val="0"/>
              <w:jc w:val="center"/>
              <w:rPr>
                <w:rFonts w:eastAsia="宋体"/>
                <w:bCs/>
                <w:kern w:val="2"/>
                <w:sz w:val="20"/>
                <w:szCs w:val="20"/>
                <w:lang w:eastAsia="zh-CN"/>
              </w:rPr>
            </w:pPr>
          </w:p>
        </w:tc>
        <w:tc>
          <w:tcPr>
            <w:tcW w:w="602" w:type="dxa"/>
            <w:vAlign w:val="center"/>
          </w:tcPr>
          <w:p w14:paraId="66D4EF54">
            <w:pPr>
              <w:widowControl w:val="0"/>
              <w:jc w:val="center"/>
              <w:rPr>
                <w:rFonts w:eastAsia="宋体"/>
                <w:bCs/>
                <w:kern w:val="2"/>
                <w:sz w:val="20"/>
                <w:szCs w:val="20"/>
                <w:lang w:eastAsia="zh-CN"/>
              </w:rPr>
            </w:pPr>
          </w:p>
        </w:tc>
        <w:tc>
          <w:tcPr>
            <w:tcW w:w="874" w:type="dxa"/>
            <w:vAlign w:val="center"/>
          </w:tcPr>
          <w:p w14:paraId="5F34BE11">
            <w:pPr>
              <w:widowControl w:val="0"/>
              <w:jc w:val="center"/>
              <w:rPr>
                <w:rFonts w:eastAsia="宋体"/>
                <w:bCs/>
                <w:kern w:val="2"/>
                <w:sz w:val="20"/>
                <w:szCs w:val="20"/>
                <w:lang w:eastAsia="zh-CN"/>
              </w:rPr>
            </w:pPr>
          </w:p>
        </w:tc>
        <w:tc>
          <w:tcPr>
            <w:tcW w:w="653" w:type="dxa"/>
            <w:vAlign w:val="center"/>
          </w:tcPr>
          <w:p w14:paraId="7F92E881">
            <w:pPr>
              <w:widowControl w:val="0"/>
              <w:spacing w:line="360" w:lineRule="auto"/>
              <w:jc w:val="center"/>
              <w:rPr>
                <w:rFonts w:eastAsia="宋体"/>
                <w:bCs/>
                <w:kern w:val="2"/>
                <w:sz w:val="20"/>
                <w:szCs w:val="20"/>
                <w:lang w:eastAsia="zh-CN"/>
              </w:rPr>
            </w:pPr>
            <w:r>
              <w:rPr>
                <w:rFonts w:eastAsia="宋体"/>
                <w:bCs/>
                <w:kern w:val="2"/>
                <w:sz w:val="20"/>
                <w:szCs w:val="22"/>
                <w:lang w:eastAsia="zh-CN"/>
              </w:rPr>
              <w:t>64</w:t>
            </w:r>
          </w:p>
        </w:tc>
        <w:tc>
          <w:tcPr>
            <w:tcW w:w="704" w:type="dxa"/>
            <w:vAlign w:val="center"/>
          </w:tcPr>
          <w:p w14:paraId="3A175F63">
            <w:pPr>
              <w:widowControl w:val="0"/>
              <w:spacing w:line="360" w:lineRule="auto"/>
              <w:jc w:val="center"/>
              <w:rPr>
                <w:rFonts w:eastAsia="宋体"/>
                <w:bCs/>
                <w:kern w:val="2"/>
                <w:sz w:val="20"/>
                <w:szCs w:val="20"/>
                <w:lang w:eastAsia="zh-CN"/>
              </w:rPr>
            </w:pPr>
            <w:r>
              <w:rPr>
                <w:rFonts w:hint="eastAsia" w:eastAsia="宋体"/>
                <w:kern w:val="2"/>
                <w:sz w:val="20"/>
                <w:szCs w:val="22"/>
                <w:lang w:eastAsia="zh-CN"/>
              </w:rPr>
              <w:t>张</w:t>
            </w:r>
          </w:p>
        </w:tc>
        <w:tc>
          <w:tcPr>
            <w:tcW w:w="790" w:type="dxa"/>
            <w:vAlign w:val="center"/>
          </w:tcPr>
          <w:p w14:paraId="36B8844A">
            <w:pPr>
              <w:widowControl w:val="0"/>
              <w:jc w:val="center"/>
              <w:rPr>
                <w:rFonts w:eastAsia="宋体"/>
                <w:bCs/>
                <w:kern w:val="2"/>
                <w:sz w:val="20"/>
                <w:szCs w:val="20"/>
                <w:lang w:eastAsia="zh-CN"/>
              </w:rPr>
            </w:pPr>
          </w:p>
        </w:tc>
        <w:tc>
          <w:tcPr>
            <w:tcW w:w="823" w:type="dxa"/>
            <w:vAlign w:val="center"/>
          </w:tcPr>
          <w:p w14:paraId="2527D884">
            <w:pPr>
              <w:widowControl w:val="0"/>
              <w:jc w:val="center"/>
              <w:rPr>
                <w:rFonts w:eastAsia="宋体"/>
                <w:bCs/>
                <w:kern w:val="2"/>
                <w:sz w:val="20"/>
                <w:szCs w:val="20"/>
                <w:lang w:eastAsia="zh-CN"/>
              </w:rPr>
            </w:pPr>
          </w:p>
        </w:tc>
        <w:tc>
          <w:tcPr>
            <w:tcW w:w="1087" w:type="dxa"/>
            <w:vMerge w:val="restart"/>
            <w:vAlign w:val="center"/>
          </w:tcPr>
          <w:p w14:paraId="3DF1E0E9">
            <w:pPr>
              <w:widowControl w:val="0"/>
              <w:jc w:val="center"/>
              <w:rPr>
                <w:rFonts w:eastAsia="宋体"/>
                <w:b/>
                <w:bCs/>
                <w:color w:val="FF0000"/>
                <w:kern w:val="2"/>
                <w:sz w:val="20"/>
                <w:szCs w:val="20"/>
                <w:lang w:eastAsia="zh-CN"/>
              </w:rPr>
            </w:pPr>
            <w:r>
              <w:rPr>
                <w:rFonts w:hint="eastAsia" w:eastAsia="宋体"/>
                <w:b/>
                <w:bCs/>
                <w:color w:val="FF0000"/>
                <w:kern w:val="2"/>
                <w:sz w:val="20"/>
                <w:szCs w:val="20"/>
                <w:lang w:eastAsia="zh-CN"/>
              </w:rPr>
              <w:t>475,520</w:t>
            </w:r>
          </w:p>
        </w:tc>
      </w:tr>
      <w:tr w14:paraId="0F3A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 w:type="dxa"/>
            <w:vAlign w:val="center"/>
          </w:tcPr>
          <w:p w14:paraId="53D92FA6">
            <w:pPr>
              <w:widowControl w:val="0"/>
              <w:jc w:val="center"/>
              <w:rPr>
                <w:rFonts w:eastAsia="宋体"/>
                <w:bCs/>
                <w:kern w:val="2"/>
                <w:sz w:val="20"/>
                <w:szCs w:val="20"/>
                <w:lang w:eastAsia="zh-CN"/>
              </w:rPr>
            </w:pPr>
            <w:r>
              <w:rPr>
                <w:rFonts w:hint="eastAsia" w:eastAsia="宋体"/>
                <w:bCs/>
                <w:kern w:val="2"/>
                <w:sz w:val="20"/>
                <w:szCs w:val="20"/>
                <w:lang w:eastAsia="zh-CN"/>
              </w:rPr>
              <w:t>2</w:t>
            </w:r>
          </w:p>
        </w:tc>
        <w:tc>
          <w:tcPr>
            <w:tcW w:w="1855" w:type="dxa"/>
            <w:vAlign w:val="center"/>
          </w:tcPr>
          <w:p w14:paraId="645173F9">
            <w:pPr>
              <w:widowControl w:val="0"/>
              <w:spacing w:line="360" w:lineRule="auto"/>
              <w:jc w:val="center"/>
              <w:rPr>
                <w:rFonts w:eastAsia="宋体"/>
                <w:bCs/>
                <w:kern w:val="2"/>
                <w:sz w:val="20"/>
                <w:szCs w:val="20"/>
                <w:lang w:eastAsia="zh-CN"/>
              </w:rPr>
            </w:pPr>
            <w:r>
              <w:rPr>
                <w:rFonts w:hint="eastAsia" w:eastAsia="宋体"/>
                <w:kern w:val="2"/>
                <w:sz w:val="20"/>
                <w:szCs w:val="22"/>
                <w:lang w:eastAsia="zh-CN"/>
              </w:rPr>
              <w:t>楼梯柜</w:t>
            </w:r>
          </w:p>
        </w:tc>
        <w:tc>
          <w:tcPr>
            <w:tcW w:w="636" w:type="dxa"/>
            <w:vAlign w:val="center"/>
          </w:tcPr>
          <w:p w14:paraId="776BD822">
            <w:pPr>
              <w:widowControl w:val="0"/>
              <w:jc w:val="center"/>
              <w:rPr>
                <w:rFonts w:eastAsia="宋体"/>
                <w:bCs/>
                <w:kern w:val="2"/>
                <w:sz w:val="20"/>
                <w:szCs w:val="20"/>
                <w:lang w:eastAsia="zh-CN"/>
              </w:rPr>
            </w:pPr>
          </w:p>
        </w:tc>
        <w:tc>
          <w:tcPr>
            <w:tcW w:w="772" w:type="dxa"/>
            <w:vAlign w:val="center"/>
          </w:tcPr>
          <w:p w14:paraId="0C10A37B">
            <w:pPr>
              <w:widowControl w:val="0"/>
              <w:jc w:val="center"/>
              <w:rPr>
                <w:rFonts w:eastAsia="宋体"/>
                <w:bCs/>
                <w:kern w:val="2"/>
                <w:sz w:val="20"/>
                <w:szCs w:val="20"/>
                <w:lang w:eastAsia="zh-CN"/>
              </w:rPr>
            </w:pPr>
          </w:p>
        </w:tc>
        <w:tc>
          <w:tcPr>
            <w:tcW w:w="602" w:type="dxa"/>
            <w:vAlign w:val="center"/>
          </w:tcPr>
          <w:p w14:paraId="64C2045B">
            <w:pPr>
              <w:widowControl w:val="0"/>
              <w:jc w:val="center"/>
              <w:rPr>
                <w:rFonts w:eastAsia="宋体"/>
                <w:bCs/>
                <w:kern w:val="2"/>
                <w:sz w:val="20"/>
                <w:szCs w:val="20"/>
                <w:lang w:eastAsia="zh-CN"/>
              </w:rPr>
            </w:pPr>
          </w:p>
        </w:tc>
        <w:tc>
          <w:tcPr>
            <w:tcW w:w="874" w:type="dxa"/>
            <w:vAlign w:val="center"/>
          </w:tcPr>
          <w:p w14:paraId="19D517A9">
            <w:pPr>
              <w:widowControl w:val="0"/>
              <w:jc w:val="center"/>
              <w:rPr>
                <w:rFonts w:eastAsia="宋体"/>
                <w:bCs/>
                <w:kern w:val="2"/>
                <w:sz w:val="20"/>
                <w:szCs w:val="20"/>
                <w:lang w:eastAsia="zh-CN"/>
              </w:rPr>
            </w:pPr>
          </w:p>
        </w:tc>
        <w:tc>
          <w:tcPr>
            <w:tcW w:w="653" w:type="dxa"/>
            <w:vAlign w:val="center"/>
          </w:tcPr>
          <w:p w14:paraId="0DE92795">
            <w:pPr>
              <w:widowControl w:val="0"/>
              <w:spacing w:line="360" w:lineRule="auto"/>
              <w:jc w:val="center"/>
              <w:rPr>
                <w:rFonts w:eastAsia="宋体"/>
                <w:bCs/>
                <w:kern w:val="2"/>
                <w:sz w:val="20"/>
                <w:szCs w:val="20"/>
                <w:lang w:eastAsia="zh-CN"/>
              </w:rPr>
            </w:pPr>
            <w:r>
              <w:rPr>
                <w:rFonts w:eastAsia="宋体"/>
                <w:bCs/>
                <w:kern w:val="2"/>
                <w:sz w:val="20"/>
                <w:szCs w:val="22"/>
                <w:lang w:eastAsia="zh-CN"/>
              </w:rPr>
              <w:t>32</w:t>
            </w:r>
          </w:p>
        </w:tc>
        <w:tc>
          <w:tcPr>
            <w:tcW w:w="704" w:type="dxa"/>
            <w:vAlign w:val="center"/>
          </w:tcPr>
          <w:p w14:paraId="5A024337">
            <w:pPr>
              <w:widowControl w:val="0"/>
              <w:spacing w:line="360" w:lineRule="auto"/>
              <w:jc w:val="center"/>
              <w:rPr>
                <w:rFonts w:eastAsia="宋体"/>
                <w:bCs/>
                <w:kern w:val="2"/>
                <w:sz w:val="20"/>
                <w:szCs w:val="20"/>
                <w:lang w:eastAsia="zh-CN"/>
              </w:rPr>
            </w:pPr>
            <w:r>
              <w:rPr>
                <w:rFonts w:hint="eastAsia" w:eastAsia="宋体"/>
                <w:bCs/>
                <w:kern w:val="2"/>
                <w:sz w:val="20"/>
                <w:szCs w:val="22"/>
                <w:lang w:eastAsia="zh-CN"/>
              </w:rPr>
              <w:t>张</w:t>
            </w:r>
          </w:p>
        </w:tc>
        <w:tc>
          <w:tcPr>
            <w:tcW w:w="790" w:type="dxa"/>
            <w:vAlign w:val="center"/>
          </w:tcPr>
          <w:p w14:paraId="45FC0920">
            <w:pPr>
              <w:widowControl w:val="0"/>
              <w:jc w:val="center"/>
              <w:rPr>
                <w:rFonts w:eastAsia="宋体"/>
                <w:bCs/>
                <w:kern w:val="2"/>
                <w:sz w:val="20"/>
                <w:szCs w:val="20"/>
                <w:lang w:eastAsia="zh-CN"/>
              </w:rPr>
            </w:pPr>
          </w:p>
        </w:tc>
        <w:tc>
          <w:tcPr>
            <w:tcW w:w="823" w:type="dxa"/>
            <w:vAlign w:val="center"/>
          </w:tcPr>
          <w:p w14:paraId="76AEEF76">
            <w:pPr>
              <w:widowControl w:val="0"/>
              <w:jc w:val="center"/>
              <w:rPr>
                <w:rFonts w:eastAsia="宋体"/>
                <w:bCs/>
                <w:kern w:val="2"/>
                <w:sz w:val="20"/>
                <w:szCs w:val="20"/>
                <w:lang w:eastAsia="zh-CN"/>
              </w:rPr>
            </w:pPr>
          </w:p>
        </w:tc>
        <w:tc>
          <w:tcPr>
            <w:tcW w:w="1087" w:type="dxa"/>
            <w:vMerge w:val="continue"/>
            <w:vAlign w:val="center"/>
          </w:tcPr>
          <w:p w14:paraId="0E261785">
            <w:pPr>
              <w:widowControl w:val="0"/>
              <w:jc w:val="center"/>
              <w:rPr>
                <w:rFonts w:eastAsia="宋体"/>
                <w:b/>
                <w:bCs/>
                <w:color w:val="FF0000"/>
                <w:kern w:val="2"/>
                <w:sz w:val="20"/>
                <w:szCs w:val="20"/>
                <w:lang w:eastAsia="zh-CN"/>
              </w:rPr>
            </w:pPr>
          </w:p>
        </w:tc>
      </w:tr>
      <w:tr w14:paraId="3618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 w:type="dxa"/>
            <w:vAlign w:val="center"/>
          </w:tcPr>
          <w:p w14:paraId="3AE8EED5">
            <w:pPr>
              <w:widowControl w:val="0"/>
              <w:jc w:val="center"/>
              <w:rPr>
                <w:rFonts w:eastAsia="宋体"/>
                <w:bCs/>
                <w:kern w:val="2"/>
                <w:sz w:val="20"/>
                <w:szCs w:val="20"/>
                <w:lang w:eastAsia="zh-CN"/>
              </w:rPr>
            </w:pPr>
            <w:r>
              <w:rPr>
                <w:rFonts w:hint="eastAsia" w:eastAsia="宋体"/>
                <w:bCs/>
                <w:kern w:val="2"/>
                <w:sz w:val="20"/>
                <w:szCs w:val="20"/>
                <w:lang w:eastAsia="zh-CN"/>
              </w:rPr>
              <w:t>3</w:t>
            </w:r>
          </w:p>
        </w:tc>
        <w:tc>
          <w:tcPr>
            <w:tcW w:w="1855" w:type="dxa"/>
            <w:vAlign w:val="center"/>
          </w:tcPr>
          <w:p w14:paraId="6AF5104B">
            <w:pPr>
              <w:widowControl w:val="0"/>
              <w:spacing w:line="360" w:lineRule="auto"/>
              <w:jc w:val="center"/>
              <w:rPr>
                <w:rFonts w:eastAsia="宋体"/>
                <w:bCs/>
                <w:kern w:val="2"/>
                <w:sz w:val="20"/>
                <w:szCs w:val="20"/>
                <w:lang w:eastAsia="zh-CN"/>
              </w:rPr>
            </w:pPr>
            <w:r>
              <w:rPr>
                <w:rFonts w:hint="eastAsia" w:eastAsia="宋体"/>
                <w:kern w:val="2"/>
                <w:sz w:val="20"/>
                <w:szCs w:val="22"/>
                <w:lang w:eastAsia="zh-CN"/>
              </w:rPr>
              <w:t>组合书桌+衣柜</w:t>
            </w:r>
          </w:p>
        </w:tc>
        <w:tc>
          <w:tcPr>
            <w:tcW w:w="636" w:type="dxa"/>
            <w:vAlign w:val="center"/>
          </w:tcPr>
          <w:p w14:paraId="493AF62A">
            <w:pPr>
              <w:widowControl w:val="0"/>
              <w:jc w:val="center"/>
              <w:rPr>
                <w:rFonts w:eastAsia="宋体"/>
                <w:bCs/>
                <w:kern w:val="2"/>
                <w:sz w:val="20"/>
                <w:szCs w:val="20"/>
                <w:lang w:eastAsia="zh-CN"/>
              </w:rPr>
            </w:pPr>
          </w:p>
        </w:tc>
        <w:tc>
          <w:tcPr>
            <w:tcW w:w="772" w:type="dxa"/>
            <w:vAlign w:val="center"/>
          </w:tcPr>
          <w:p w14:paraId="71BC8B34">
            <w:pPr>
              <w:widowControl w:val="0"/>
              <w:jc w:val="center"/>
              <w:rPr>
                <w:rFonts w:eastAsia="宋体"/>
                <w:bCs/>
                <w:kern w:val="2"/>
                <w:sz w:val="20"/>
                <w:szCs w:val="20"/>
                <w:lang w:eastAsia="zh-CN"/>
              </w:rPr>
            </w:pPr>
          </w:p>
        </w:tc>
        <w:tc>
          <w:tcPr>
            <w:tcW w:w="602" w:type="dxa"/>
            <w:vAlign w:val="center"/>
          </w:tcPr>
          <w:p w14:paraId="2F1BFCD2">
            <w:pPr>
              <w:widowControl w:val="0"/>
              <w:jc w:val="center"/>
              <w:rPr>
                <w:rFonts w:eastAsia="宋体"/>
                <w:bCs/>
                <w:kern w:val="2"/>
                <w:sz w:val="20"/>
                <w:szCs w:val="20"/>
                <w:lang w:eastAsia="zh-CN"/>
              </w:rPr>
            </w:pPr>
          </w:p>
        </w:tc>
        <w:tc>
          <w:tcPr>
            <w:tcW w:w="874" w:type="dxa"/>
            <w:vAlign w:val="center"/>
          </w:tcPr>
          <w:p w14:paraId="71B7FA55">
            <w:pPr>
              <w:widowControl w:val="0"/>
              <w:jc w:val="center"/>
              <w:rPr>
                <w:rFonts w:eastAsia="宋体"/>
                <w:bCs/>
                <w:kern w:val="2"/>
                <w:sz w:val="20"/>
                <w:szCs w:val="20"/>
                <w:lang w:eastAsia="zh-CN"/>
              </w:rPr>
            </w:pPr>
          </w:p>
        </w:tc>
        <w:tc>
          <w:tcPr>
            <w:tcW w:w="653" w:type="dxa"/>
            <w:vAlign w:val="center"/>
          </w:tcPr>
          <w:p w14:paraId="142ACB23">
            <w:pPr>
              <w:widowControl w:val="0"/>
              <w:spacing w:line="360" w:lineRule="auto"/>
              <w:jc w:val="center"/>
              <w:rPr>
                <w:rFonts w:eastAsia="宋体"/>
                <w:bCs/>
                <w:kern w:val="2"/>
                <w:sz w:val="20"/>
                <w:szCs w:val="20"/>
                <w:lang w:eastAsia="zh-CN"/>
              </w:rPr>
            </w:pPr>
            <w:r>
              <w:rPr>
                <w:rFonts w:eastAsia="宋体"/>
                <w:bCs/>
                <w:kern w:val="2"/>
                <w:sz w:val="20"/>
                <w:szCs w:val="22"/>
                <w:lang w:eastAsia="zh-CN"/>
              </w:rPr>
              <w:t>64</w:t>
            </w:r>
          </w:p>
        </w:tc>
        <w:tc>
          <w:tcPr>
            <w:tcW w:w="704" w:type="dxa"/>
            <w:vAlign w:val="center"/>
          </w:tcPr>
          <w:p w14:paraId="0F3FBBE7">
            <w:pPr>
              <w:widowControl w:val="0"/>
              <w:spacing w:line="360" w:lineRule="auto"/>
              <w:jc w:val="center"/>
              <w:rPr>
                <w:rFonts w:eastAsia="宋体"/>
                <w:bCs/>
                <w:kern w:val="2"/>
                <w:sz w:val="20"/>
                <w:szCs w:val="20"/>
                <w:lang w:eastAsia="zh-CN"/>
              </w:rPr>
            </w:pPr>
            <w:r>
              <w:rPr>
                <w:rFonts w:hint="eastAsia" w:eastAsia="宋体"/>
                <w:kern w:val="2"/>
                <w:sz w:val="20"/>
                <w:szCs w:val="22"/>
                <w:lang w:eastAsia="zh-CN"/>
              </w:rPr>
              <w:t>张</w:t>
            </w:r>
          </w:p>
        </w:tc>
        <w:tc>
          <w:tcPr>
            <w:tcW w:w="790" w:type="dxa"/>
            <w:vAlign w:val="center"/>
          </w:tcPr>
          <w:p w14:paraId="11B09E38">
            <w:pPr>
              <w:widowControl w:val="0"/>
              <w:jc w:val="center"/>
              <w:rPr>
                <w:rFonts w:eastAsia="宋体"/>
                <w:bCs/>
                <w:kern w:val="2"/>
                <w:sz w:val="20"/>
                <w:szCs w:val="20"/>
                <w:lang w:eastAsia="zh-CN"/>
              </w:rPr>
            </w:pPr>
          </w:p>
        </w:tc>
        <w:tc>
          <w:tcPr>
            <w:tcW w:w="823" w:type="dxa"/>
            <w:vAlign w:val="center"/>
          </w:tcPr>
          <w:p w14:paraId="247DEF08">
            <w:pPr>
              <w:widowControl w:val="0"/>
              <w:jc w:val="center"/>
              <w:rPr>
                <w:rFonts w:eastAsia="宋体"/>
                <w:bCs/>
                <w:kern w:val="2"/>
                <w:sz w:val="20"/>
                <w:szCs w:val="20"/>
                <w:lang w:eastAsia="zh-CN"/>
              </w:rPr>
            </w:pPr>
          </w:p>
        </w:tc>
        <w:tc>
          <w:tcPr>
            <w:tcW w:w="1087" w:type="dxa"/>
            <w:vMerge w:val="continue"/>
            <w:vAlign w:val="center"/>
          </w:tcPr>
          <w:p w14:paraId="3E9EC12E">
            <w:pPr>
              <w:widowControl w:val="0"/>
              <w:jc w:val="center"/>
              <w:rPr>
                <w:rFonts w:eastAsia="宋体"/>
                <w:b/>
                <w:bCs/>
                <w:kern w:val="2"/>
                <w:sz w:val="20"/>
                <w:szCs w:val="20"/>
                <w:lang w:eastAsia="zh-CN"/>
              </w:rPr>
            </w:pPr>
          </w:p>
        </w:tc>
      </w:tr>
      <w:tr w14:paraId="57FDC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 w:type="dxa"/>
            <w:vAlign w:val="center"/>
          </w:tcPr>
          <w:p w14:paraId="262D9E68">
            <w:pPr>
              <w:widowControl w:val="0"/>
              <w:jc w:val="center"/>
              <w:rPr>
                <w:rFonts w:eastAsia="宋体"/>
                <w:bCs/>
                <w:kern w:val="2"/>
                <w:sz w:val="20"/>
                <w:szCs w:val="20"/>
                <w:lang w:eastAsia="zh-CN"/>
              </w:rPr>
            </w:pPr>
            <w:r>
              <w:rPr>
                <w:rFonts w:hint="eastAsia" w:eastAsia="宋体"/>
                <w:bCs/>
                <w:kern w:val="2"/>
                <w:sz w:val="20"/>
                <w:szCs w:val="20"/>
                <w:lang w:eastAsia="zh-CN"/>
              </w:rPr>
              <w:t>4</w:t>
            </w:r>
          </w:p>
        </w:tc>
        <w:tc>
          <w:tcPr>
            <w:tcW w:w="1855" w:type="dxa"/>
            <w:vAlign w:val="center"/>
          </w:tcPr>
          <w:p w14:paraId="09778D9D">
            <w:pPr>
              <w:widowControl w:val="0"/>
              <w:spacing w:line="360" w:lineRule="auto"/>
              <w:jc w:val="center"/>
              <w:rPr>
                <w:rFonts w:eastAsia="宋体"/>
                <w:bCs/>
                <w:kern w:val="2"/>
                <w:sz w:val="20"/>
                <w:szCs w:val="20"/>
                <w:lang w:eastAsia="zh-CN"/>
              </w:rPr>
            </w:pPr>
            <w:r>
              <w:rPr>
                <w:rFonts w:hint="eastAsia" w:eastAsia="宋体"/>
                <w:kern w:val="2"/>
                <w:sz w:val="20"/>
                <w:szCs w:val="22"/>
                <w:lang w:eastAsia="zh-CN"/>
              </w:rPr>
              <w:t>实木书椅</w:t>
            </w:r>
          </w:p>
        </w:tc>
        <w:tc>
          <w:tcPr>
            <w:tcW w:w="636" w:type="dxa"/>
            <w:vAlign w:val="center"/>
          </w:tcPr>
          <w:p w14:paraId="2F19F2EE">
            <w:pPr>
              <w:widowControl w:val="0"/>
              <w:jc w:val="center"/>
              <w:rPr>
                <w:rFonts w:eastAsia="宋体"/>
                <w:bCs/>
                <w:kern w:val="2"/>
                <w:sz w:val="20"/>
                <w:szCs w:val="20"/>
                <w:lang w:eastAsia="zh-CN"/>
              </w:rPr>
            </w:pPr>
          </w:p>
        </w:tc>
        <w:tc>
          <w:tcPr>
            <w:tcW w:w="772" w:type="dxa"/>
            <w:vAlign w:val="center"/>
          </w:tcPr>
          <w:p w14:paraId="03FAEE76">
            <w:pPr>
              <w:widowControl w:val="0"/>
              <w:jc w:val="center"/>
              <w:rPr>
                <w:rFonts w:eastAsia="宋体"/>
                <w:bCs/>
                <w:kern w:val="2"/>
                <w:sz w:val="20"/>
                <w:szCs w:val="20"/>
                <w:lang w:eastAsia="zh-CN"/>
              </w:rPr>
            </w:pPr>
          </w:p>
        </w:tc>
        <w:tc>
          <w:tcPr>
            <w:tcW w:w="602" w:type="dxa"/>
            <w:vAlign w:val="center"/>
          </w:tcPr>
          <w:p w14:paraId="2C77121A">
            <w:pPr>
              <w:widowControl w:val="0"/>
              <w:jc w:val="center"/>
              <w:rPr>
                <w:rFonts w:eastAsia="宋体"/>
                <w:bCs/>
                <w:kern w:val="2"/>
                <w:sz w:val="20"/>
                <w:szCs w:val="20"/>
                <w:lang w:eastAsia="zh-CN"/>
              </w:rPr>
            </w:pPr>
          </w:p>
        </w:tc>
        <w:tc>
          <w:tcPr>
            <w:tcW w:w="874" w:type="dxa"/>
            <w:vAlign w:val="center"/>
          </w:tcPr>
          <w:p w14:paraId="6DFE3355">
            <w:pPr>
              <w:widowControl w:val="0"/>
              <w:jc w:val="center"/>
              <w:rPr>
                <w:rFonts w:eastAsia="宋体"/>
                <w:bCs/>
                <w:kern w:val="2"/>
                <w:sz w:val="20"/>
                <w:szCs w:val="20"/>
                <w:lang w:eastAsia="zh-CN"/>
              </w:rPr>
            </w:pPr>
          </w:p>
        </w:tc>
        <w:tc>
          <w:tcPr>
            <w:tcW w:w="653" w:type="dxa"/>
            <w:vAlign w:val="center"/>
          </w:tcPr>
          <w:p w14:paraId="5530B34D">
            <w:pPr>
              <w:widowControl w:val="0"/>
              <w:spacing w:line="360" w:lineRule="auto"/>
              <w:jc w:val="center"/>
              <w:rPr>
                <w:rFonts w:eastAsia="宋体"/>
                <w:bCs/>
                <w:kern w:val="2"/>
                <w:sz w:val="20"/>
                <w:szCs w:val="20"/>
                <w:lang w:eastAsia="zh-CN"/>
              </w:rPr>
            </w:pPr>
            <w:r>
              <w:rPr>
                <w:rFonts w:eastAsia="宋体"/>
                <w:bCs/>
                <w:kern w:val="2"/>
                <w:sz w:val="20"/>
                <w:szCs w:val="22"/>
                <w:lang w:eastAsia="zh-CN"/>
              </w:rPr>
              <w:t>64</w:t>
            </w:r>
          </w:p>
        </w:tc>
        <w:tc>
          <w:tcPr>
            <w:tcW w:w="704" w:type="dxa"/>
            <w:vAlign w:val="center"/>
          </w:tcPr>
          <w:p w14:paraId="57EF4221">
            <w:pPr>
              <w:widowControl w:val="0"/>
              <w:spacing w:line="360" w:lineRule="auto"/>
              <w:jc w:val="center"/>
              <w:rPr>
                <w:rFonts w:eastAsia="宋体"/>
                <w:bCs/>
                <w:kern w:val="2"/>
                <w:sz w:val="20"/>
                <w:szCs w:val="20"/>
                <w:lang w:eastAsia="zh-CN"/>
              </w:rPr>
            </w:pPr>
            <w:r>
              <w:rPr>
                <w:rFonts w:hint="eastAsia" w:eastAsia="宋体"/>
                <w:kern w:val="2"/>
                <w:sz w:val="20"/>
                <w:szCs w:val="22"/>
                <w:lang w:eastAsia="zh-CN"/>
              </w:rPr>
              <w:t>张</w:t>
            </w:r>
          </w:p>
        </w:tc>
        <w:tc>
          <w:tcPr>
            <w:tcW w:w="790" w:type="dxa"/>
            <w:vAlign w:val="center"/>
          </w:tcPr>
          <w:p w14:paraId="46528FF0">
            <w:pPr>
              <w:widowControl w:val="0"/>
              <w:jc w:val="center"/>
              <w:rPr>
                <w:rFonts w:eastAsia="宋体"/>
                <w:bCs/>
                <w:kern w:val="2"/>
                <w:sz w:val="20"/>
                <w:szCs w:val="20"/>
                <w:lang w:eastAsia="zh-CN"/>
              </w:rPr>
            </w:pPr>
          </w:p>
        </w:tc>
        <w:tc>
          <w:tcPr>
            <w:tcW w:w="823" w:type="dxa"/>
            <w:vAlign w:val="center"/>
          </w:tcPr>
          <w:p w14:paraId="46F8B343">
            <w:pPr>
              <w:widowControl w:val="0"/>
              <w:jc w:val="center"/>
              <w:rPr>
                <w:rFonts w:eastAsia="宋体"/>
                <w:bCs/>
                <w:kern w:val="2"/>
                <w:sz w:val="20"/>
                <w:szCs w:val="20"/>
                <w:lang w:eastAsia="zh-CN"/>
              </w:rPr>
            </w:pPr>
          </w:p>
        </w:tc>
        <w:tc>
          <w:tcPr>
            <w:tcW w:w="1087" w:type="dxa"/>
            <w:vMerge w:val="continue"/>
            <w:vAlign w:val="center"/>
          </w:tcPr>
          <w:p w14:paraId="06D9BFB8">
            <w:pPr>
              <w:widowControl w:val="0"/>
              <w:jc w:val="center"/>
              <w:rPr>
                <w:rFonts w:eastAsia="宋体"/>
                <w:b/>
                <w:bCs/>
                <w:kern w:val="2"/>
                <w:sz w:val="20"/>
                <w:szCs w:val="20"/>
                <w:lang w:eastAsia="zh-CN"/>
              </w:rPr>
            </w:pPr>
          </w:p>
        </w:tc>
      </w:tr>
      <w:tr w14:paraId="3B28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9460" w:type="dxa"/>
            <w:gridSpan w:val="11"/>
            <w:vAlign w:val="center"/>
          </w:tcPr>
          <w:p w14:paraId="6A3347DB">
            <w:pPr>
              <w:widowControl w:val="0"/>
              <w:jc w:val="left"/>
              <w:rPr>
                <w:rFonts w:eastAsia="宋体"/>
                <w:b/>
                <w:bCs/>
                <w:color w:val="FF0000"/>
                <w:kern w:val="2"/>
                <w:sz w:val="20"/>
                <w:szCs w:val="20"/>
                <w:lang w:eastAsia="zh-CN"/>
              </w:rPr>
            </w:pPr>
            <w:r>
              <w:rPr>
                <w:rFonts w:hint="eastAsia" w:eastAsia="宋体"/>
                <w:b/>
                <w:bCs/>
                <w:color w:val="FF0000"/>
                <w:kern w:val="2"/>
                <w:sz w:val="21"/>
                <w:szCs w:val="21"/>
                <w:lang w:eastAsia="zh-CN"/>
              </w:rPr>
              <w:t>合计（即投标总价；币种：人民币；单位：元） 小写：               大写：</w:t>
            </w:r>
          </w:p>
        </w:tc>
      </w:tr>
    </w:tbl>
    <w:p w14:paraId="23C311AC">
      <w:pPr>
        <w:widowControl w:val="0"/>
        <w:jc w:val="both"/>
        <w:rPr>
          <w:rFonts w:ascii="宋体" w:hAnsi="宋体" w:eastAsia="宋体"/>
          <w:b/>
          <w:kern w:val="2"/>
          <w:lang w:eastAsia="zh-CN"/>
        </w:rPr>
      </w:pPr>
      <w:r>
        <w:rPr>
          <w:rFonts w:hint="eastAsia" w:ascii="宋体" w:hAnsi="宋体" w:eastAsia="宋体"/>
          <w:b/>
          <w:kern w:val="2"/>
          <w:lang w:eastAsia="zh-CN"/>
        </w:rPr>
        <w:t>注：1.本表可按同样格式扩展。</w:t>
      </w:r>
    </w:p>
    <w:p w14:paraId="1C39D043">
      <w:pPr>
        <w:widowControl w:val="0"/>
        <w:ind w:firstLine="472" w:firstLineChars="196"/>
        <w:jc w:val="both"/>
        <w:rPr>
          <w:rFonts w:ascii="宋体" w:hAnsi="宋体" w:eastAsia="宋体"/>
          <w:b/>
          <w:kern w:val="2"/>
          <w:lang w:eastAsia="zh-CN"/>
        </w:rPr>
      </w:pPr>
      <w:r>
        <w:rPr>
          <w:rFonts w:hint="eastAsia" w:ascii="宋体" w:hAnsi="宋体" w:eastAsia="宋体"/>
          <w:b/>
          <w:kern w:val="2"/>
          <w:lang w:eastAsia="zh-CN"/>
        </w:rPr>
        <w:t>2</w:t>
      </w:r>
      <w:r>
        <w:rPr>
          <w:rFonts w:ascii="宋体" w:hAnsi="宋体" w:eastAsia="宋体"/>
          <w:b/>
          <w:kern w:val="2"/>
          <w:lang w:eastAsia="zh-CN"/>
        </w:rPr>
        <w:t>.</w:t>
      </w:r>
      <w:r>
        <w:rPr>
          <w:rFonts w:hint="eastAsia" w:ascii="宋体" w:hAnsi="宋体" w:eastAsia="宋体"/>
          <w:b/>
          <w:kern w:val="2"/>
          <w:lang w:eastAsia="zh-CN"/>
        </w:rPr>
        <w:t>“品牌”可以与商标一致，也可以填写便于区分其他公司商品的制造商简称或者制造商认可的品牌名称。此类填写错误或缺漏的不利后果由供应商承担。经评审委员会认定，在使用综合评分法的项目中一项此类填写错误或缺漏将按照一项普通招标技术要求（一般参数/普通参数）负偏离扣分处理。</w:t>
      </w:r>
    </w:p>
    <w:p w14:paraId="30894295">
      <w:pPr>
        <w:widowControl w:val="0"/>
        <w:ind w:firstLine="472" w:firstLineChars="196"/>
        <w:jc w:val="both"/>
        <w:rPr>
          <w:rFonts w:eastAsia="宋体"/>
          <w:b/>
          <w:kern w:val="2"/>
          <w:lang w:eastAsia="zh-CN"/>
        </w:rPr>
      </w:pPr>
      <w:r>
        <w:rPr>
          <w:rFonts w:hint="eastAsia" w:ascii="宋体" w:hAnsi="宋体" w:eastAsia="宋体"/>
          <w:b/>
          <w:kern w:val="2"/>
          <w:lang w:eastAsia="zh-CN"/>
        </w:rPr>
        <w:t>3.如所投货物属于定制类的非量产货物或无具体型号的货物，可以在“规格/型号”栏目仅填写规格信息而不填型号信息（型号信息用“定制”描述即可）；</w:t>
      </w:r>
      <w:bookmarkStart w:id="45" w:name="_Hlk73646428"/>
      <w:r>
        <w:rPr>
          <w:rFonts w:hint="eastAsia" w:ascii="宋体" w:hAnsi="宋体" w:eastAsia="宋体"/>
          <w:b/>
          <w:kern w:val="2"/>
          <w:lang w:eastAsia="zh-CN"/>
        </w:rPr>
        <w:t>此类填写错误或缺漏（所投货物为定制类的非量产货物但供应商却错误填报了型号）的不利后果</w:t>
      </w:r>
      <w:r>
        <w:rPr>
          <w:rFonts w:hint="eastAsia" w:eastAsia="宋体"/>
          <w:b/>
          <w:kern w:val="2"/>
          <w:lang w:eastAsia="zh-CN"/>
        </w:rPr>
        <w:t>由供应商承担。经评审委员会认定，在使用综合评分法的项目中一项此类填写错误或缺漏将按照一项普通招标技术要求（一般参数/普通参数）负偏离扣分处理。</w:t>
      </w:r>
      <w:bookmarkEnd w:id="45"/>
    </w:p>
    <w:p w14:paraId="47C70FD4">
      <w:pPr>
        <w:widowControl w:val="0"/>
        <w:ind w:firstLine="472" w:firstLineChars="196"/>
        <w:jc w:val="both"/>
        <w:rPr>
          <w:rFonts w:ascii="宋体" w:hAnsi="宋体" w:eastAsia="宋体"/>
          <w:b/>
          <w:kern w:val="2"/>
          <w:lang w:eastAsia="zh-CN"/>
        </w:rPr>
      </w:pPr>
      <w:r>
        <w:rPr>
          <w:rFonts w:ascii="宋体" w:hAnsi="宋体" w:eastAsia="宋体"/>
          <w:b/>
          <w:kern w:val="2"/>
          <w:lang w:eastAsia="zh-CN"/>
        </w:rPr>
        <w:t>3</w:t>
      </w:r>
      <w:r>
        <w:rPr>
          <w:rFonts w:hint="eastAsia" w:ascii="宋体" w:hAnsi="宋体" w:eastAsia="宋体"/>
          <w:b/>
          <w:kern w:val="2"/>
          <w:lang w:eastAsia="zh-CN"/>
        </w:rPr>
        <w:t>.“原产地”是指货物的实际生产加工地，非品牌所在地</w:t>
      </w:r>
    </w:p>
    <w:p w14:paraId="75E6890D">
      <w:pPr>
        <w:widowControl w:val="0"/>
        <w:ind w:firstLine="472" w:firstLineChars="196"/>
        <w:jc w:val="both"/>
        <w:rPr>
          <w:rFonts w:ascii="宋体" w:hAnsi="宋体" w:eastAsia="宋体"/>
          <w:b/>
          <w:kern w:val="2"/>
          <w:lang w:eastAsia="zh-CN"/>
        </w:rPr>
      </w:pPr>
      <w:r>
        <w:rPr>
          <w:rFonts w:ascii="宋体" w:hAnsi="宋体" w:eastAsia="宋体"/>
          <w:b/>
          <w:kern w:val="2"/>
          <w:lang w:eastAsia="zh-CN"/>
        </w:rPr>
        <w:t>4</w:t>
      </w:r>
      <w:r>
        <w:rPr>
          <w:rFonts w:hint="eastAsia" w:ascii="宋体" w:hAnsi="宋体" w:eastAsia="宋体"/>
          <w:b/>
          <w:kern w:val="2"/>
          <w:lang w:eastAsia="zh-CN"/>
        </w:rPr>
        <w:t>.所投货物均应填写制造商名称，“制造商”是指产品品牌厂商，产品代工制造的，应填写接受委托生产制造的制造商。</w:t>
      </w:r>
    </w:p>
    <w:p w14:paraId="192D75C6">
      <w:pPr>
        <w:widowControl w:val="0"/>
        <w:ind w:firstLine="482" w:firstLineChars="200"/>
        <w:jc w:val="both"/>
        <w:rPr>
          <w:rFonts w:ascii="宋体" w:hAnsi="宋体" w:eastAsia="宋体"/>
          <w:b/>
          <w:kern w:val="2"/>
          <w:lang w:eastAsia="zh-CN"/>
        </w:rPr>
      </w:pPr>
      <w:r>
        <w:rPr>
          <w:rFonts w:ascii="宋体" w:hAnsi="宋体" w:eastAsia="宋体"/>
          <w:b/>
          <w:kern w:val="2"/>
          <w:lang w:eastAsia="zh-CN"/>
        </w:rPr>
        <w:t>5</w:t>
      </w:r>
      <w:r>
        <w:rPr>
          <w:rFonts w:hint="eastAsia" w:ascii="宋体" w:hAnsi="宋体" w:eastAsia="宋体"/>
          <w:b/>
          <w:kern w:val="2"/>
          <w:lang w:eastAsia="zh-CN"/>
        </w:rPr>
        <w:t>.以上分项报价表的投标总价应当与开标一览表的投标总价一致。</w:t>
      </w:r>
    </w:p>
    <w:p w14:paraId="10B38FF7">
      <w:pPr>
        <w:widowControl w:val="0"/>
        <w:ind w:firstLine="482" w:firstLineChars="200"/>
        <w:jc w:val="both"/>
        <w:rPr>
          <w:rFonts w:ascii="宋体" w:hAnsi="宋体" w:eastAsia="宋体"/>
          <w:b/>
          <w:kern w:val="2"/>
          <w:lang w:eastAsia="zh-CN"/>
        </w:rPr>
      </w:pPr>
      <w:r>
        <w:rPr>
          <w:rFonts w:ascii="宋体" w:hAnsi="宋体" w:eastAsia="宋体"/>
          <w:b/>
          <w:kern w:val="2"/>
          <w:lang w:eastAsia="zh-CN"/>
        </w:rPr>
        <w:t>6</w:t>
      </w:r>
      <w:r>
        <w:rPr>
          <w:rFonts w:hint="eastAsia" w:ascii="宋体" w:hAnsi="宋体" w:eastAsia="宋体"/>
          <w:b/>
          <w:kern w:val="2"/>
          <w:lang w:eastAsia="zh-CN"/>
        </w:rPr>
        <w:t>.单价、合价和投标总价为包干价，即三者均应包含货物的价款、包装、运输、装卸、安装、调试、技术指导、培训、咨询、服务、保险、税费、检测、验收合格交付使用之前以及技术和售后服务等其他各项有关费用。</w:t>
      </w:r>
    </w:p>
    <w:p w14:paraId="03FE965A">
      <w:pPr>
        <w:widowControl w:val="0"/>
        <w:ind w:firstLine="482" w:firstLineChars="200"/>
        <w:jc w:val="both"/>
        <w:rPr>
          <w:rFonts w:ascii="宋体" w:hAnsi="宋体" w:eastAsia="宋体"/>
          <w:b/>
          <w:kern w:val="2"/>
          <w:lang w:eastAsia="zh-CN"/>
        </w:rPr>
      </w:pPr>
      <w:r>
        <w:rPr>
          <w:rFonts w:ascii="宋体" w:hAnsi="宋体" w:eastAsia="宋体"/>
          <w:b/>
          <w:kern w:val="2"/>
          <w:lang w:eastAsia="zh-CN"/>
        </w:rPr>
        <w:t>7</w:t>
      </w:r>
      <w:r>
        <w:rPr>
          <w:rFonts w:hint="eastAsia" w:ascii="宋体" w:hAnsi="宋体" w:eastAsia="宋体"/>
          <w:b/>
          <w:kern w:val="2"/>
          <w:lang w:eastAsia="zh-CN"/>
        </w:rPr>
        <w:t>.所有价格应按“招标文件”中规定的货币单位填写；投标总价应为以上各分项价格之和；投标总价和项目报价表中单个采购预算条目报价均不得超过对应的财政预算限额，否则将导致投标无效。</w:t>
      </w:r>
    </w:p>
    <w:p w14:paraId="4698A09B">
      <w:pPr>
        <w:widowControl w:val="0"/>
        <w:ind w:firstLine="482" w:firstLineChars="200"/>
        <w:jc w:val="both"/>
        <w:rPr>
          <w:rFonts w:ascii="宋体" w:hAnsi="宋体" w:eastAsia="宋体"/>
          <w:b/>
          <w:color w:val="FF0000"/>
          <w:kern w:val="2"/>
          <w:lang w:eastAsia="zh-CN"/>
        </w:rPr>
      </w:pPr>
    </w:p>
    <w:p w14:paraId="293A4C07">
      <w:pPr>
        <w:widowControl w:val="0"/>
        <w:jc w:val="both"/>
        <w:rPr>
          <w:rFonts w:ascii="宋体" w:hAnsi="宋体" w:eastAsia="宋体"/>
          <w:b/>
          <w:color w:val="FF0000"/>
          <w:kern w:val="2"/>
          <w:lang w:eastAsia="zh-CN"/>
        </w:rPr>
      </w:pPr>
    </w:p>
    <w:p w14:paraId="4481799A">
      <w:pPr>
        <w:widowControl w:val="0"/>
        <w:tabs>
          <w:tab w:val="left" w:pos="720"/>
        </w:tabs>
        <w:jc w:val="center"/>
        <w:rPr>
          <w:rFonts w:eastAsia="宋体"/>
          <w:b/>
          <w:kern w:val="2"/>
          <w:lang w:eastAsia="zh-CN"/>
        </w:rPr>
      </w:pPr>
      <w:r>
        <w:rPr>
          <w:rFonts w:hint="eastAsia" w:eastAsia="宋体"/>
          <w:b/>
          <w:kern w:val="2"/>
          <w:lang w:eastAsia="zh-CN"/>
        </w:rPr>
        <w:t>（二）核心产品品牌</w:t>
      </w:r>
    </w:p>
    <w:p w14:paraId="407CA66A">
      <w:pPr>
        <w:widowControl w:val="0"/>
        <w:ind w:firstLine="482" w:firstLineChars="200"/>
        <w:jc w:val="both"/>
        <w:rPr>
          <w:rFonts w:ascii="宋体" w:hAnsi="宋体" w:eastAsia="宋体"/>
          <w:b/>
          <w:kern w:val="2"/>
          <w:lang w:eastAsia="zh-CN"/>
        </w:rPr>
      </w:pPr>
      <w:r>
        <w:rPr>
          <w:rFonts w:hint="eastAsia" w:eastAsia="宋体"/>
          <w:b/>
          <w:kern w:val="2"/>
          <w:lang w:eastAsia="zh-CN"/>
        </w:rPr>
        <w:t>我单位所投核心产品的品牌为：</w:t>
      </w:r>
      <w:r>
        <w:rPr>
          <w:rFonts w:hint="eastAsia" w:eastAsia="宋体"/>
          <w:b/>
          <w:kern w:val="2"/>
          <w:u w:val="single"/>
          <w:lang w:eastAsia="zh-CN"/>
        </w:rPr>
        <w:t xml:space="preserve">               </w:t>
      </w:r>
      <w:r>
        <w:rPr>
          <w:rFonts w:hint="eastAsia" w:eastAsia="宋体"/>
          <w:b/>
          <w:kern w:val="2"/>
          <w:lang w:eastAsia="zh-CN"/>
        </w:rPr>
        <w:t>。</w:t>
      </w:r>
    </w:p>
    <w:p w14:paraId="61FE4F93">
      <w:pPr>
        <w:widowControl w:val="0"/>
        <w:ind w:firstLine="422" w:firstLineChars="200"/>
        <w:jc w:val="both"/>
        <w:rPr>
          <w:rFonts w:eastAsia="宋体"/>
          <w:kern w:val="2"/>
          <w:sz w:val="21"/>
          <w:lang w:eastAsia="zh-CN"/>
        </w:rPr>
      </w:pPr>
      <w:r>
        <w:rPr>
          <w:rFonts w:hint="eastAsia" w:ascii="宋体" w:hAnsi="宋体" w:eastAsia="宋体"/>
          <w:b/>
          <w:color w:val="FF0000"/>
          <w:kern w:val="2"/>
          <w:sz w:val="21"/>
          <w:szCs w:val="21"/>
          <w:lang w:eastAsia="zh-CN"/>
        </w:rPr>
        <w:t>本项目核心产品为：</w:t>
      </w:r>
      <w:r>
        <w:rPr>
          <w:rFonts w:hint="eastAsia" w:ascii="宋体" w:hAnsi="宋体" w:eastAsia="宋体"/>
          <w:b/>
          <w:color w:val="FF0000"/>
          <w:kern w:val="2"/>
          <w:sz w:val="21"/>
          <w:szCs w:val="21"/>
          <w:u w:val="single"/>
          <w:lang w:eastAsia="zh-CN"/>
        </w:rPr>
        <w:t>实木公寓床（含床板、床垫）</w:t>
      </w:r>
      <w:r>
        <w:rPr>
          <w:rFonts w:hint="eastAsia" w:eastAsia="宋体"/>
          <w:b/>
          <w:color w:val="FF0000"/>
          <w:kern w:val="2"/>
          <w:sz w:val="21"/>
          <w:szCs w:val="21"/>
          <w:u w:val="single"/>
          <w:lang w:eastAsia="zh-CN"/>
        </w:rPr>
        <w:t>（序号1）</w:t>
      </w:r>
      <w:r>
        <w:rPr>
          <w:rFonts w:hint="eastAsia" w:ascii="宋体" w:hAnsi="宋体" w:eastAsia="宋体"/>
          <w:b/>
          <w:color w:val="FF0000"/>
          <w:kern w:val="2"/>
          <w:sz w:val="21"/>
          <w:szCs w:val="21"/>
          <w:lang w:eastAsia="zh-CN"/>
        </w:rPr>
        <w:t>。</w:t>
      </w:r>
    </w:p>
    <w:p w14:paraId="75FC217E">
      <w:pPr>
        <w:widowControl w:val="0"/>
        <w:jc w:val="both"/>
        <w:rPr>
          <w:rFonts w:eastAsia="宋体"/>
          <w:b/>
          <w:kern w:val="2"/>
          <w:lang w:eastAsia="zh-CN"/>
        </w:rPr>
      </w:pPr>
    </w:p>
    <w:p w14:paraId="7A2A7310">
      <w:pPr>
        <w:widowControl w:val="0"/>
        <w:tabs>
          <w:tab w:val="left" w:pos="720"/>
        </w:tabs>
        <w:ind w:firstLine="1928" w:firstLineChars="800"/>
        <w:jc w:val="both"/>
        <w:rPr>
          <w:rFonts w:eastAsia="宋体"/>
          <w:b/>
          <w:kern w:val="2"/>
          <w:lang w:eastAsia="zh-CN"/>
        </w:rPr>
      </w:pPr>
    </w:p>
    <w:p w14:paraId="199C40C4">
      <w:pPr>
        <w:widowControl w:val="0"/>
        <w:tabs>
          <w:tab w:val="left" w:pos="720"/>
        </w:tabs>
        <w:ind w:firstLine="1928" w:firstLineChars="800"/>
        <w:jc w:val="both"/>
        <w:rPr>
          <w:rFonts w:eastAsia="宋体"/>
          <w:b/>
          <w:kern w:val="2"/>
          <w:lang w:eastAsia="zh-CN"/>
        </w:rPr>
      </w:pPr>
    </w:p>
    <w:p w14:paraId="1020851E">
      <w:pPr>
        <w:widowControl w:val="0"/>
        <w:tabs>
          <w:tab w:val="left" w:pos="720"/>
        </w:tabs>
        <w:jc w:val="center"/>
        <w:rPr>
          <w:rFonts w:eastAsia="宋体"/>
          <w:b/>
          <w:kern w:val="2"/>
          <w:highlight w:val="magenta"/>
          <w:lang w:eastAsia="zh-CN"/>
        </w:rPr>
      </w:pPr>
    </w:p>
    <w:p w14:paraId="41481107">
      <w:pPr>
        <w:widowControl w:val="0"/>
        <w:tabs>
          <w:tab w:val="left" w:pos="720"/>
        </w:tabs>
        <w:jc w:val="center"/>
        <w:rPr>
          <w:rFonts w:eastAsia="宋体"/>
          <w:b/>
          <w:kern w:val="2"/>
          <w:highlight w:val="magenta"/>
          <w:lang w:eastAsia="zh-CN"/>
        </w:rPr>
      </w:pPr>
    </w:p>
    <w:p w14:paraId="752C1DD4">
      <w:pPr>
        <w:widowControl w:val="0"/>
        <w:tabs>
          <w:tab w:val="left" w:pos="720"/>
        </w:tabs>
        <w:ind w:firstLine="1928" w:firstLineChars="800"/>
        <w:jc w:val="both"/>
        <w:rPr>
          <w:rFonts w:eastAsia="宋体"/>
          <w:b/>
          <w:kern w:val="2"/>
          <w:lang w:eastAsia="zh-CN"/>
        </w:rPr>
      </w:pPr>
      <w:r>
        <w:rPr>
          <w:rFonts w:hint="eastAsia" w:eastAsia="宋体"/>
          <w:b/>
          <w:kern w:val="2"/>
          <w:lang w:eastAsia="zh-CN"/>
        </w:rPr>
        <w:t>（三）可选配件报价清单（不包括在总报价内）</w:t>
      </w:r>
    </w:p>
    <w:p w14:paraId="49896195">
      <w:pPr>
        <w:widowControl w:val="0"/>
        <w:ind w:firstLine="422" w:firstLineChars="200"/>
        <w:jc w:val="both"/>
        <w:rPr>
          <w:rFonts w:hAnsi="宋体" w:eastAsia="宋体"/>
          <w:b/>
          <w:bCs/>
          <w:kern w:val="2"/>
          <w:sz w:val="21"/>
          <w:szCs w:val="21"/>
          <w:lang w:eastAsia="zh-CN"/>
        </w:rPr>
      </w:pPr>
      <w:r>
        <w:rPr>
          <w:rFonts w:hint="eastAsia" w:hAnsi="宋体" w:eastAsia="宋体"/>
          <w:b/>
          <w:bCs/>
          <w:kern w:val="2"/>
          <w:sz w:val="21"/>
          <w:szCs w:val="21"/>
          <w:lang w:eastAsia="zh-CN"/>
        </w:rPr>
        <w:t>注：格式可以参照《（一）分项报价表》表格，并提供相应的品牌/规格/型号、原产地、制造商信息（没有品牌、型号的，用“定制”描述即可）、单价等详细信息</w:t>
      </w:r>
    </w:p>
    <w:p w14:paraId="574F4D7E">
      <w:pPr>
        <w:widowControl w:val="0"/>
        <w:spacing w:line="360" w:lineRule="auto"/>
        <w:jc w:val="both"/>
        <w:rPr>
          <w:rFonts w:hAnsi="宋体" w:eastAsia="宋体"/>
          <w:b/>
          <w:bCs/>
          <w:kern w:val="2"/>
          <w:lang w:eastAsia="zh-CN"/>
        </w:rPr>
      </w:pPr>
    </w:p>
    <w:p w14:paraId="1BA75ACF">
      <w:pPr>
        <w:widowControl w:val="0"/>
        <w:spacing w:line="360" w:lineRule="auto"/>
        <w:jc w:val="both"/>
        <w:rPr>
          <w:rFonts w:hAnsi="宋体" w:eastAsia="宋体"/>
          <w:b/>
          <w:bCs/>
          <w:kern w:val="2"/>
          <w:lang w:eastAsia="zh-CN"/>
        </w:rPr>
      </w:pPr>
    </w:p>
    <w:p w14:paraId="319E0FA6">
      <w:pPr>
        <w:widowControl w:val="0"/>
        <w:spacing w:line="360" w:lineRule="auto"/>
        <w:jc w:val="both"/>
        <w:rPr>
          <w:rFonts w:hAnsi="宋体" w:eastAsia="宋体"/>
          <w:b/>
          <w:bCs/>
          <w:kern w:val="2"/>
          <w:lang w:eastAsia="zh-CN"/>
        </w:rPr>
      </w:pPr>
    </w:p>
    <w:p w14:paraId="304682A7">
      <w:pPr>
        <w:widowControl w:val="0"/>
        <w:spacing w:line="360" w:lineRule="auto"/>
        <w:jc w:val="both"/>
        <w:rPr>
          <w:rFonts w:hAnsi="宋体" w:eastAsia="宋体"/>
          <w:b/>
          <w:bCs/>
          <w:kern w:val="2"/>
          <w:lang w:eastAsia="zh-CN"/>
        </w:rPr>
      </w:pPr>
    </w:p>
    <w:p w14:paraId="4C1044CE">
      <w:pPr>
        <w:widowControl w:val="0"/>
        <w:spacing w:line="360" w:lineRule="auto"/>
        <w:jc w:val="both"/>
        <w:rPr>
          <w:rFonts w:hAnsi="宋体" w:eastAsia="宋体"/>
          <w:b/>
          <w:bCs/>
          <w:kern w:val="2"/>
          <w:lang w:eastAsia="zh-CN"/>
        </w:rPr>
      </w:pPr>
    </w:p>
    <w:p w14:paraId="393CC528">
      <w:pPr>
        <w:widowControl w:val="0"/>
        <w:spacing w:line="360" w:lineRule="auto"/>
        <w:jc w:val="both"/>
        <w:rPr>
          <w:rFonts w:hAnsi="宋体" w:eastAsia="宋体"/>
          <w:b/>
          <w:bCs/>
          <w:kern w:val="2"/>
          <w:lang w:eastAsia="zh-CN"/>
        </w:rPr>
      </w:pPr>
    </w:p>
    <w:p w14:paraId="2D740778">
      <w:pPr>
        <w:widowControl w:val="0"/>
        <w:spacing w:line="360" w:lineRule="auto"/>
        <w:jc w:val="both"/>
        <w:rPr>
          <w:rFonts w:hAnsi="宋体" w:eastAsia="宋体"/>
          <w:b/>
          <w:bCs/>
          <w:kern w:val="2"/>
          <w:lang w:eastAsia="zh-CN"/>
        </w:rPr>
      </w:pPr>
    </w:p>
    <w:p w14:paraId="0042B6B4">
      <w:pPr>
        <w:widowControl w:val="0"/>
        <w:tabs>
          <w:tab w:val="left" w:pos="720"/>
        </w:tabs>
        <w:jc w:val="center"/>
        <w:rPr>
          <w:rFonts w:eastAsia="宋体"/>
          <w:b/>
          <w:kern w:val="2"/>
          <w:lang w:eastAsia="zh-CN"/>
        </w:rPr>
      </w:pPr>
      <w:r>
        <w:rPr>
          <w:rFonts w:hint="eastAsia" w:eastAsia="宋体"/>
          <w:b/>
          <w:kern w:val="2"/>
          <w:lang w:eastAsia="zh-CN"/>
        </w:rPr>
        <w:t>（四）</w:t>
      </w:r>
      <w:bookmarkStart w:id="46" w:name="_Hlk72073235"/>
      <w:r>
        <w:rPr>
          <w:rFonts w:hint="eastAsia" w:eastAsia="宋体"/>
          <w:b/>
          <w:kern w:val="2"/>
          <w:lang w:eastAsia="zh-CN"/>
        </w:rPr>
        <w:t>投标人认为需要涉及的其他内容报价清单</w:t>
      </w:r>
      <w:bookmarkEnd w:id="46"/>
    </w:p>
    <w:p w14:paraId="1716E1B2">
      <w:pPr>
        <w:widowControl w:val="0"/>
        <w:jc w:val="both"/>
        <w:rPr>
          <w:rFonts w:eastAsia="宋体"/>
          <w:b/>
          <w:bCs/>
          <w:kern w:val="2"/>
          <w:sz w:val="21"/>
          <w:lang w:eastAsia="zh-CN"/>
        </w:rPr>
      </w:pPr>
    </w:p>
    <w:p w14:paraId="75074930">
      <w:pPr>
        <w:widowControl w:val="0"/>
        <w:jc w:val="both"/>
        <w:rPr>
          <w:rFonts w:ascii="黑体" w:hAnsi="黑体" w:eastAsia="黑体" w:cs="黑体"/>
          <w:kern w:val="2"/>
          <w:szCs w:val="28"/>
          <w:lang w:eastAsia="zh-CN"/>
        </w:rPr>
      </w:pPr>
      <w:r>
        <w:rPr>
          <w:rFonts w:hint="eastAsia" w:ascii="黑体" w:hAnsi="黑体" w:eastAsia="黑体" w:cs="黑体"/>
          <w:kern w:val="2"/>
          <w:szCs w:val="28"/>
          <w:lang w:eastAsia="zh-CN"/>
        </w:rPr>
        <w:br w:type="page"/>
      </w:r>
    </w:p>
    <w:p w14:paraId="104A5D8D">
      <w:pPr>
        <w:keepNext/>
        <w:keepLines/>
        <w:widowControl w:val="0"/>
        <w:spacing w:before="0" w:after="0" w:line="240" w:lineRule="auto"/>
        <w:jc w:val="center"/>
        <w:outlineLvl w:val="2"/>
        <w:rPr>
          <w:rFonts w:ascii="黑体" w:hAnsi="黑体" w:eastAsia="黑体" w:cs="黑体"/>
          <w:kern w:val="2"/>
          <w:szCs w:val="28"/>
          <w:lang w:eastAsia="zh-CN"/>
        </w:rPr>
      </w:pPr>
      <w:r>
        <w:rPr>
          <w:rFonts w:hint="eastAsia" w:ascii="黑体" w:hAnsi="黑体" w:eastAsia="黑体" w:cs="黑体"/>
          <w:kern w:val="2"/>
          <w:szCs w:val="28"/>
          <w:lang w:eastAsia="zh-CN"/>
        </w:rPr>
        <w:t>五、供应商基本情况表</w:t>
      </w:r>
    </w:p>
    <w:p w14:paraId="53EF51A4">
      <w:pPr>
        <w:widowControl w:val="0"/>
        <w:jc w:val="both"/>
        <w:rPr>
          <w:rFonts w:eastAsia="宋体"/>
          <w:kern w:val="2"/>
          <w:sz w:val="21"/>
          <w:lang w:eastAsia="zh-CN"/>
        </w:rPr>
      </w:pPr>
    </w:p>
    <w:p w14:paraId="031E5B95">
      <w:pPr>
        <w:widowControl w:val="0"/>
        <w:jc w:val="both"/>
        <w:rPr>
          <w:rFonts w:ascii="宋体" w:hAnsi="宋体" w:eastAsia="宋体" w:cs="宋体"/>
          <w:kern w:val="2"/>
          <w:lang w:eastAsia="zh-CN"/>
        </w:rPr>
      </w:pPr>
      <w:r>
        <w:rPr>
          <w:rFonts w:hint="eastAsia" w:ascii="宋体" w:hAnsi="宋体" w:eastAsia="宋体" w:cs="宋体"/>
          <w:kern w:val="2"/>
          <w:lang w:eastAsia="zh-CN"/>
        </w:rPr>
        <w:t>填表单位：</w:t>
      </w:r>
      <w:r>
        <w:rPr>
          <w:rFonts w:hint="eastAsia" w:ascii="宋体" w:hAnsi="宋体" w:eastAsia="宋体" w:cs="宋体"/>
          <w:b/>
          <w:color w:val="FF0000"/>
          <w:kern w:val="2"/>
          <w:highlight w:val="yellow"/>
          <w:lang w:eastAsia="zh-CN"/>
        </w:rPr>
        <w:t>（加盖单位公章）</w:t>
      </w:r>
      <w:r>
        <w:rPr>
          <w:rFonts w:hint="eastAsia" w:ascii="宋体" w:hAnsi="宋体" w:eastAsia="宋体" w:cs="宋体"/>
          <w:kern w:val="2"/>
          <w:lang w:eastAsia="zh-CN"/>
        </w:rPr>
        <w:tab/>
      </w:r>
      <w:r>
        <w:rPr>
          <w:rFonts w:hint="eastAsia" w:ascii="宋体" w:hAnsi="宋体" w:eastAsia="宋体" w:cs="宋体"/>
          <w:kern w:val="2"/>
          <w:lang w:eastAsia="zh-CN"/>
        </w:rPr>
        <w:t xml:space="preserve">               填表日期：    年   月   日</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634"/>
        <w:gridCol w:w="1697"/>
        <w:gridCol w:w="707"/>
        <w:gridCol w:w="744"/>
        <w:gridCol w:w="858"/>
        <w:gridCol w:w="1852"/>
        <w:gridCol w:w="1811"/>
      </w:tblGrid>
      <w:tr w14:paraId="52609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412" w:type="dxa"/>
            <w:gridSpan w:val="2"/>
            <w:tcBorders>
              <w:top w:val="single" w:color="auto" w:sz="4" w:space="0"/>
              <w:left w:val="single" w:color="auto" w:sz="4" w:space="0"/>
              <w:bottom w:val="single" w:color="auto" w:sz="4" w:space="0"/>
              <w:right w:val="single" w:color="auto" w:sz="4" w:space="0"/>
            </w:tcBorders>
            <w:vAlign w:val="center"/>
          </w:tcPr>
          <w:p w14:paraId="57F25EB0">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采购人</w:t>
            </w:r>
          </w:p>
        </w:tc>
        <w:tc>
          <w:tcPr>
            <w:tcW w:w="2553" w:type="dxa"/>
            <w:gridSpan w:val="2"/>
            <w:tcBorders>
              <w:top w:val="single" w:color="auto" w:sz="4" w:space="0"/>
              <w:left w:val="single" w:color="auto" w:sz="4" w:space="0"/>
              <w:bottom w:val="single" w:color="auto" w:sz="4" w:space="0"/>
              <w:right w:val="single" w:color="auto" w:sz="4" w:space="0"/>
            </w:tcBorders>
            <w:vAlign w:val="center"/>
          </w:tcPr>
          <w:p w14:paraId="45CFDAEF">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b/>
                <w:bCs/>
                <w:color w:val="0000FF"/>
                <w:kern w:val="2"/>
                <w:sz w:val="21"/>
                <w:szCs w:val="21"/>
                <w:lang w:eastAsia="zh-CN"/>
              </w:rPr>
              <w:t>香港中文大学（深圳）</w:t>
            </w: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6C4A213E">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项目名称</w:t>
            </w:r>
          </w:p>
        </w:tc>
        <w:tc>
          <w:tcPr>
            <w:tcW w:w="3900" w:type="dxa"/>
            <w:gridSpan w:val="2"/>
            <w:tcBorders>
              <w:top w:val="single" w:color="auto" w:sz="4" w:space="0"/>
              <w:left w:val="single" w:color="auto" w:sz="4" w:space="0"/>
              <w:bottom w:val="single" w:color="auto" w:sz="4" w:space="0"/>
              <w:right w:val="single" w:color="auto" w:sz="4" w:space="0"/>
            </w:tcBorders>
            <w:vAlign w:val="center"/>
          </w:tcPr>
          <w:p w14:paraId="41CB03A8">
            <w:pPr>
              <w:widowControl w:val="0"/>
              <w:spacing w:line="400" w:lineRule="exact"/>
              <w:jc w:val="both"/>
              <w:rPr>
                <w:rFonts w:ascii="宋体" w:hAnsi="宋体" w:eastAsia="宋体" w:cs="宋体"/>
                <w:kern w:val="2"/>
                <w:sz w:val="21"/>
                <w:szCs w:val="21"/>
                <w:lang w:eastAsia="zh-CN"/>
              </w:rPr>
            </w:pPr>
            <w:r>
              <w:rPr>
                <w:rFonts w:hint="eastAsia" w:ascii="宋体" w:hAnsi="宋体" w:eastAsia="宋体" w:cs="宋体"/>
                <w:b/>
                <w:bCs/>
                <w:color w:val="0000FF"/>
                <w:kern w:val="2"/>
                <w:sz w:val="21"/>
                <w:szCs w:val="21"/>
                <w:lang w:eastAsia="zh-CN"/>
              </w:rPr>
              <w:t>香港中文大学（深圳）书院家具项目</w:t>
            </w:r>
          </w:p>
        </w:tc>
      </w:tr>
      <w:tr w14:paraId="73C4E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412" w:type="dxa"/>
            <w:gridSpan w:val="2"/>
            <w:tcBorders>
              <w:top w:val="single" w:color="auto" w:sz="4" w:space="0"/>
              <w:left w:val="single" w:color="auto" w:sz="4" w:space="0"/>
              <w:bottom w:val="single" w:color="auto" w:sz="4" w:space="0"/>
              <w:right w:val="single" w:color="auto" w:sz="4" w:space="0"/>
            </w:tcBorders>
            <w:vAlign w:val="center"/>
          </w:tcPr>
          <w:p w14:paraId="2F6AB1AB">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投标（响应）供应商</w:t>
            </w:r>
          </w:p>
        </w:tc>
        <w:tc>
          <w:tcPr>
            <w:tcW w:w="2553" w:type="dxa"/>
            <w:gridSpan w:val="2"/>
            <w:tcBorders>
              <w:top w:val="single" w:color="auto" w:sz="4" w:space="0"/>
              <w:left w:val="single" w:color="auto" w:sz="4" w:space="0"/>
              <w:bottom w:val="single" w:color="auto" w:sz="4" w:space="0"/>
              <w:right w:val="single" w:color="auto" w:sz="4" w:space="0"/>
            </w:tcBorders>
            <w:vAlign w:val="center"/>
          </w:tcPr>
          <w:p w14:paraId="4A90716D">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0FC376C7">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供应商统一社会信用代码</w:t>
            </w:r>
          </w:p>
        </w:tc>
        <w:tc>
          <w:tcPr>
            <w:tcW w:w="3900" w:type="dxa"/>
            <w:gridSpan w:val="2"/>
            <w:tcBorders>
              <w:top w:val="single" w:color="auto" w:sz="4" w:space="0"/>
              <w:left w:val="single" w:color="auto" w:sz="4" w:space="0"/>
              <w:bottom w:val="single" w:color="auto" w:sz="4" w:space="0"/>
              <w:right w:val="single" w:color="auto" w:sz="4" w:space="0"/>
            </w:tcBorders>
            <w:vAlign w:val="center"/>
          </w:tcPr>
          <w:p w14:paraId="7CFA10DB">
            <w:pPr>
              <w:widowControl w:val="0"/>
              <w:spacing w:line="400" w:lineRule="exact"/>
              <w:jc w:val="center"/>
              <w:rPr>
                <w:rFonts w:ascii="宋体" w:hAnsi="宋体" w:eastAsia="宋体" w:cs="宋体"/>
                <w:kern w:val="2"/>
                <w:sz w:val="21"/>
                <w:szCs w:val="21"/>
                <w:lang w:eastAsia="zh-CN"/>
              </w:rPr>
            </w:pPr>
          </w:p>
        </w:tc>
      </w:tr>
      <w:tr w14:paraId="35F35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72FCE765">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b/>
                <w:bCs/>
                <w:kern w:val="2"/>
                <w:sz w:val="21"/>
                <w:szCs w:val="21"/>
                <w:lang w:eastAsia="zh-CN"/>
              </w:rPr>
              <w:t>投标（响应）供应商相关人员情况</w:t>
            </w:r>
          </w:p>
        </w:tc>
      </w:tr>
      <w:tr w14:paraId="66355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4E4BDF91">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序号</w:t>
            </w:r>
          </w:p>
        </w:tc>
        <w:tc>
          <w:tcPr>
            <w:tcW w:w="2487" w:type="dxa"/>
            <w:gridSpan w:val="2"/>
            <w:tcBorders>
              <w:top w:val="single" w:color="auto" w:sz="4" w:space="0"/>
              <w:left w:val="single" w:color="auto" w:sz="4" w:space="0"/>
              <w:bottom w:val="single" w:color="auto" w:sz="4" w:space="0"/>
              <w:right w:val="single" w:color="auto" w:sz="4" w:space="0"/>
            </w:tcBorders>
            <w:vAlign w:val="center"/>
          </w:tcPr>
          <w:p w14:paraId="6B8D87E3">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职务</w:t>
            </w:r>
          </w:p>
        </w:tc>
        <w:tc>
          <w:tcPr>
            <w:tcW w:w="742" w:type="dxa"/>
            <w:tcBorders>
              <w:top w:val="single" w:color="auto" w:sz="4" w:space="0"/>
              <w:left w:val="single" w:color="auto" w:sz="4" w:space="0"/>
              <w:bottom w:val="single" w:color="auto" w:sz="4" w:space="0"/>
              <w:right w:val="single" w:color="auto" w:sz="4" w:space="0"/>
            </w:tcBorders>
            <w:vAlign w:val="center"/>
          </w:tcPr>
          <w:p w14:paraId="6C580A7F">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姓名</w:t>
            </w: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714DCAF1">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身份证号码</w:t>
            </w:r>
          </w:p>
        </w:tc>
        <w:tc>
          <w:tcPr>
            <w:tcW w:w="1972" w:type="dxa"/>
            <w:tcBorders>
              <w:top w:val="single" w:color="auto" w:sz="4" w:space="0"/>
              <w:left w:val="single" w:color="auto" w:sz="4" w:space="0"/>
              <w:bottom w:val="single" w:color="auto" w:sz="4" w:space="0"/>
              <w:right w:val="single" w:color="auto" w:sz="4" w:space="0"/>
            </w:tcBorders>
            <w:vAlign w:val="center"/>
          </w:tcPr>
          <w:p w14:paraId="1A27C2C5">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劳动合同</w:t>
            </w:r>
          </w:p>
          <w:p w14:paraId="62C16DAD">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关系单位</w:t>
            </w:r>
          </w:p>
        </w:tc>
        <w:tc>
          <w:tcPr>
            <w:tcW w:w="1928" w:type="dxa"/>
            <w:tcBorders>
              <w:top w:val="single" w:color="auto" w:sz="4" w:space="0"/>
              <w:left w:val="single" w:color="auto" w:sz="4" w:space="0"/>
              <w:bottom w:val="single" w:color="auto" w:sz="4" w:space="0"/>
              <w:right w:val="single" w:color="auto" w:sz="4" w:space="0"/>
            </w:tcBorders>
            <w:vAlign w:val="center"/>
          </w:tcPr>
          <w:p w14:paraId="3DB42BF4">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缴纳社会</w:t>
            </w:r>
          </w:p>
          <w:p w14:paraId="2ADC9B4C">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保险单位</w:t>
            </w:r>
          </w:p>
        </w:tc>
      </w:tr>
      <w:tr w14:paraId="01658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4A36D2DD">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1</w:t>
            </w:r>
          </w:p>
        </w:tc>
        <w:tc>
          <w:tcPr>
            <w:tcW w:w="2487" w:type="dxa"/>
            <w:gridSpan w:val="2"/>
            <w:tcBorders>
              <w:top w:val="single" w:color="auto" w:sz="4" w:space="0"/>
              <w:left w:val="single" w:color="auto" w:sz="4" w:space="0"/>
              <w:bottom w:val="single" w:color="auto" w:sz="4" w:space="0"/>
              <w:right w:val="single" w:color="auto" w:sz="4" w:space="0"/>
            </w:tcBorders>
            <w:vAlign w:val="center"/>
          </w:tcPr>
          <w:p w14:paraId="1031719E">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法定代表人/单位负责人/主要经营负责人</w:t>
            </w:r>
          </w:p>
        </w:tc>
        <w:tc>
          <w:tcPr>
            <w:tcW w:w="742" w:type="dxa"/>
            <w:tcBorders>
              <w:top w:val="single" w:color="auto" w:sz="4" w:space="0"/>
              <w:left w:val="single" w:color="auto" w:sz="4" w:space="0"/>
              <w:bottom w:val="single" w:color="auto" w:sz="4" w:space="0"/>
              <w:right w:val="single" w:color="auto" w:sz="4" w:space="0"/>
            </w:tcBorders>
            <w:vAlign w:val="center"/>
          </w:tcPr>
          <w:p w14:paraId="7B073EA1">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1C592C91">
            <w:pPr>
              <w:widowControl w:val="0"/>
              <w:spacing w:line="400" w:lineRule="exact"/>
              <w:jc w:val="center"/>
              <w:rPr>
                <w:rFonts w:ascii="宋体" w:hAnsi="宋体" w:eastAsia="宋体" w:cs="宋体"/>
                <w:kern w:val="2"/>
                <w:sz w:val="21"/>
                <w:szCs w:val="21"/>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06CA4F24">
            <w:pPr>
              <w:widowControl w:val="0"/>
              <w:spacing w:line="400" w:lineRule="exact"/>
              <w:jc w:val="center"/>
              <w:rPr>
                <w:rFonts w:ascii="宋体" w:hAnsi="宋体" w:eastAsia="宋体" w:cs="宋体"/>
                <w:kern w:val="2"/>
                <w:sz w:val="21"/>
                <w:szCs w:val="21"/>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7BA762B1">
            <w:pPr>
              <w:widowControl w:val="0"/>
              <w:spacing w:line="400" w:lineRule="exact"/>
              <w:jc w:val="center"/>
              <w:rPr>
                <w:rFonts w:ascii="宋体" w:hAnsi="宋体" w:eastAsia="宋体" w:cs="宋体"/>
                <w:kern w:val="2"/>
                <w:sz w:val="21"/>
                <w:szCs w:val="21"/>
                <w:lang w:eastAsia="zh-CN"/>
              </w:rPr>
            </w:pPr>
          </w:p>
        </w:tc>
      </w:tr>
      <w:tr w14:paraId="7280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0BCC266D">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2</w:t>
            </w:r>
          </w:p>
        </w:tc>
        <w:tc>
          <w:tcPr>
            <w:tcW w:w="2487" w:type="dxa"/>
            <w:gridSpan w:val="2"/>
            <w:tcBorders>
              <w:top w:val="single" w:color="auto" w:sz="4" w:space="0"/>
              <w:left w:val="single" w:color="auto" w:sz="4" w:space="0"/>
              <w:bottom w:val="single" w:color="auto" w:sz="4" w:space="0"/>
              <w:right w:val="single" w:color="auto" w:sz="4" w:space="0"/>
            </w:tcBorders>
            <w:vAlign w:val="center"/>
          </w:tcPr>
          <w:p w14:paraId="6A5623B8">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项目投标授权代表人</w:t>
            </w:r>
          </w:p>
        </w:tc>
        <w:tc>
          <w:tcPr>
            <w:tcW w:w="742" w:type="dxa"/>
            <w:tcBorders>
              <w:top w:val="single" w:color="auto" w:sz="4" w:space="0"/>
              <w:left w:val="single" w:color="auto" w:sz="4" w:space="0"/>
              <w:bottom w:val="single" w:color="auto" w:sz="4" w:space="0"/>
              <w:right w:val="single" w:color="auto" w:sz="4" w:space="0"/>
            </w:tcBorders>
            <w:vAlign w:val="center"/>
          </w:tcPr>
          <w:p w14:paraId="551FC227">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2F550E99">
            <w:pPr>
              <w:widowControl w:val="0"/>
              <w:spacing w:line="400" w:lineRule="exact"/>
              <w:jc w:val="center"/>
              <w:rPr>
                <w:rFonts w:ascii="宋体" w:hAnsi="宋体" w:eastAsia="宋体" w:cs="宋体"/>
                <w:kern w:val="2"/>
                <w:sz w:val="21"/>
                <w:szCs w:val="21"/>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460BD341">
            <w:pPr>
              <w:widowControl w:val="0"/>
              <w:spacing w:line="400" w:lineRule="exact"/>
              <w:jc w:val="center"/>
              <w:rPr>
                <w:rFonts w:ascii="宋体" w:hAnsi="宋体" w:eastAsia="宋体" w:cs="宋体"/>
                <w:kern w:val="2"/>
                <w:sz w:val="21"/>
                <w:szCs w:val="21"/>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3131C14F">
            <w:pPr>
              <w:widowControl w:val="0"/>
              <w:spacing w:line="400" w:lineRule="exact"/>
              <w:jc w:val="center"/>
              <w:rPr>
                <w:rFonts w:ascii="宋体" w:hAnsi="宋体" w:eastAsia="宋体" w:cs="宋体"/>
                <w:kern w:val="2"/>
                <w:sz w:val="21"/>
                <w:szCs w:val="21"/>
                <w:lang w:eastAsia="zh-CN"/>
              </w:rPr>
            </w:pPr>
          </w:p>
        </w:tc>
      </w:tr>
      <w:tr w14:paraId="47B0E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294DA1CB">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3</w:t>
            </w:r>
          </w:p>
        </w:tc>
        <w:tc>
          <w:tcPr>
            <w:tcW w:w="2487" w:type="dxa"/>
            <w:gridSpan w:val="2"/>
            <w:tcBorders>
              <w:top w:val="single" w:color="auto" w:sz="4" w:space="0"/>
              <w:left w:val="single" w:color="auto" w:sz="4" w:space="0"/>
              <w:bottom w:val="single" w:color="auto" w:sz="4" w:space="0"/>
              <w:right w:val="single" w:color="auto" w:sz="4" w:space="0"/>
            </w:tcBorders>
            <w:vAlign w:val="center"/>
          </w:tcPr>
          <w:p w14:paraId="4D2C7B6F">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项目负责人</w:t>
            </w:r>
          </w:p>
        </w:tc>
        <w:tc>
          <w:tcPr>
            <w:tcW w:w="742" w:type="dxa"/>
            <w:tcBorders>
              <w:top w:val="single" w:color="auto" w:sz="4" w:space="0"/>
              <w:left w:val="single" w:color="auto" w:sz="4" w:space="0"/>
              <w:bottom w:val="single" w:color="auto" w:sz="4" w:space="0"/>
              <w:right w:val="single" w:color="auto" w:sz="4" w:space="0"/>
            </w:tcBorders>
            <w:vAlign w:val="center"/>
          </w:tcPr>
          <w:p w14:paraId="13885A41">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557FA91D">
            <w:pPr>
              <w:widowControl w:val="0"/>
              <w:spacing w:line="400" w:lineRule="exact"/>
              <w:jc w:val="center"/>
              <w:rPr>
                <w:rFonts w:ascii="宋体" w:hAnsi="宋体" w:eastAsia="宋体" w:cs="宋体"/>
                <w:kern w:val="2"/>
                <w:sz w:val="21"/>
                <w:szCs w:val="21"/>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4EC87BDF">
            <w:pPr>
              <w:widowControl w:val="0"/>
              <w:spacing w:line="400" w:lineRule="exact"/>
              <w:jc w:val="center"/>
              <w:rPr>
                <w:rFonts w:ascii="宋体" w:hAnsi="宋体" w:eastAsia="宋体" w:cs="宋体"/>
                <w:kern w:val="2"/>
                <w:sz w:val="21"/>
                <w:szCs w:val="21"/>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087569AF">
            <w:pPr>
              <w:widowControl w:val="0"/>
              <w:spacing w:line="400" w:lineRule="exact"/>
              <w:jc w:val="center"/>
              <w:rPr>
                <w:rFonts w:ascii="宋体" w:hAnsi="宋体" w:eastAsia="宋体" w:cs="宋体"/>
                <w:kern w:val="2"/>
                <w:sz w:val="21"/>
                <w:szCs w:val="21"/>
                <w:lang w:eastAsia="zh-CN"/>
              </w:rPr>
            </w:pPr>
          </w:p>
        </w:tc>
      </w:tr>
      <w:tr w14:paraId="0F14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08C7C419">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4</w:t>
            </w:r>
          </w:p>
        </w:tc>
        <w:tc>
          <w:tcPr>
            <w:tcW w:w="2487" w:type="dxa"/>
            <w:gridSpan w:val="2"/>
            <w:tcBorders>
              <w:top w:val="single" w:color="auto" w:sz="4" w:space="0"/>
              <w:left w:val="single" w:color="auto" w:sz="4" w:space="0"/>
              <w:bottom w:val="single" w:color="auto" w:sz="4" w:space="0"/>
              <w:right w:val="single" w:color="auto" w:sz="4" w:space="0"/>
            </w:tcBorders>
            <w:vAlign w:val="center"/>
          </w:tcPr>
          <w:p w14:paraId="23604D8D">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主要技术人员</w:t>
            </w:r>
          </w:p>
        </w:tc>
        <w:tc>
          <w:tcPr>
            <w:tcW w:w="742" w:type="dxa"/>
            <w:tcBorders>
              <w:top w:val="single" w:color="auto" w:sz="4" w:space="0"/>
              <w:left w:val="single" w:color="auto" w:sz="4" w:space="0"/>
              <w:bottom w:val="single" w:color="auto" w:sz="4" w:space="0"/>
              <w:right w:val="single" w:color="auto" w:sz="4" w:space="0"/>
            </w:tcBorders>
            <w:vAlign w:val="center"/>
          </w:tcPr>
          <w:p w14:paraId="385DCF9F">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47FE2570">
            <w:pPr>
              <w:widowControl w:val="0"/>
              <w:spacing w:line="400" w:lineRule="exact"/>
              <w:jc w:val="center"/>
              <w:rPr>
                <w:rFonts w:ascii="宋体" w:hAnsi="宋体" w:eastAsia="宋体" w:cs="宋体"/>
                <w:kern w:val="2"/>
                <w:sz w:val="21"/>
                <w:szCs w:val="21"/>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558CB05E">
            <w:pPr>
              <w:widowControl w:val="0"/>
              <w:spacing w:line="400" w:lineRule="exact"/>
              <w:jc w:val="center"/>
              <w:rPr>
                <w:rFonts w:ascii="宋体" w:hAnsi="宋体" w:eastAsia="宋体" w:cs="宋体"/>
                <w:kern w:val="2"/>
                <w:sz w:val="21"/>
                <w:szCs w:val="21"/>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5B5908A4">
            <w:pPr>
              <w:widowControl w:val="0"/>
              <w:spacing w:line="400" w:lineRule="exact"/>
              <w:jc w:val="center"/>
              <w:rPr>
                <w:rFonts w:ascii="宋体" w:hAnsi="宋体" w:eastAsia="宋体" w:cs="宋体"/>
                <w:kern w:val="2"/>
                <w:sz w:val="21"/>
                <w:szCs w:val="21"/>
                <w:lang w:eastAsia="zh-CN"/>
              </w:rPr>
            </w:pPr>
          </w:p>
        </w:tc>
      </w:tr>
      <w:tr w14:paraId="2152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50BF7EBA">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5</w:t>
            </w:r>
          </w:p>
        </w:tc>
        <w:tc>
          <w:tcPr>
            <w:tcW w:w="2487" w:type="dxa"/>
            <w:gridSpan w:val="2"/>
            <w:tcBorders>
              <w:top w:val="single" w:color="auto" w:sz="4" w:space="0"/>
              <w:left w:val="single" w:color="auto" w:sz="4" w:space="0"/>
              <w:bottom w:val="single" w:color="auto" w:sz="4" w:space="0"/>
              <w:right w:val="single" w:color="auto" w:sz="4" w:space="0"/>
            </w:tcBorders>
            <w:vAlign w:val="center"/>
          </w:tcPr>
          <w:p w14:paraId="0125E42A">
            <w:pPr>
              <w:widowControl w:val="0"/>
              <w:snapToGrid w:val="0"/>
              <w:spacing w:line="400" w:lineRule="exact"/>
              <w:ind w:firstLine="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投标文件编制人员</w:t>
            </w:r>
          </w:p>
        </w:tc>
        <w:tc>
          <w:tcPr>
            <w:tcW w:w="742" w:type="dxa"/>
            <w:tcBorders>
              <w:top w:val="single" w:color="auto" w:sz="4" w:space="0"/>
              <w:left w:val="single" w:color="auto" w:sz="4" w:space="0"/>
              <w:bottom w:val="single" w:color="auto" w:sz="4" w:space="0"/>
              <w:right w:val="single" w:color="auto" w:sz="4" w:space="0"/>
            </w:tcBorders>
            <w:vAlign w:val="center"/>
          </w:tcPr>
          <w:p w14:paraId="2C2E17DD">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52160E8D">
            <w:pPr>
              <w:widowControl w:val="0"/>
              <w:spacing w:line="400" w:lineRule="exact"/>
              <w:jc w:val="center"/>
              <w:rPr>
                <w:rFonts w:ascii="宋体" w:hAnsi="宋体" w:eastAsia="宋体" w:cs="宋体"/>
                <w:kern w:val="2"/>
                <w:sz w:val="21"/>
                <w:szCs w:val="21"/>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084D1BD8">
            <w:pPr>
              <w:widowControl w:val="0"/>
              <w:spacing w:line="400" w:lineRule="exact"/>
              <w:jc w:val="center"/>
              <w:rPr>
                <w:rFonts w:ascii="宋体" w:hAnsi="宋体" w:eastAsia="宋体" w:cs="宋体"/>
                <w:kern w:val="2"/>
                <w:sz w:val="21"/>
                <w:szCs w:val="21"/>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7F03C30C">
            <w:pPr>
              <w:widowControl w:val="0"/>
              <w:spacing w:line="400" w:lineRule="exact"/>
              <w:jc w:val="center"/>
              <w:rPr>
                <w:rFonts w:ascii="宋体" w:hAnsi="宋体" w:eastAsia="宋体" w:cs="宋体"/>
                <w:kern w:val="2"/>
                <w:sz w:val="21"/>
                <w:szCs w:val="21"/>
                <w:lang w:eastAsia="zh-CN"/>
              </w:rPr>
            </w:pPr>
          </w:p>
        </w:tc>
      </w:tr>
      <w:tr w14:paraId="3950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2E01AD10">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b/>
                <w:bCs/>
                <w:kern w:val="2"/>
                <w:sz w:val="21"/>
                <w:szCs w:val="21"/>
                <w:lang w:eastAsia="zh-CN"/>
              </w:rPr>
              <w:t>说明：同一职务有多人担任（如主要技术人员），应分行填写。</w:t>
            </w:r>
          </w:p>
        </w:tc>
      </w:tr>
      <w:tr w14:paraId="1D1C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02D95088">
            <w:pPr>
              <w:widowControl w:val="0"/>
              <w:spacing w:line="400" w:lineRule="exact"/>
              <w:jc w:val="center"/>
              <w:rPr>
                <w:rFonts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投标（响应）供应商关联关系情况</w:t>
            </w:r>
          </w:p>
        </w:tc>
      </w:tr>
      <w:tr w14:paraId="5C38B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46F21A1D">
            <w:pPr>
              <w:widowControl w:val="0"/>
              <w:spacing w:line="400" w:lineRule="exact"/>
              <w:jc w:val="center"/>
              <w:rPr>
                <w:rFonts w:ascii="宋体" w:hAnsi="宋体" w:eastAsia="宋体" w:cs="宋体"/>
                <w:kern w:val="2"/>
                <w:sz w:val="21"/>
                <w:szCs w:val="21"/>
                <w:lang w:eastAsia="zh-CN" w:bidi="ar"/>
              </w:rPr>
            </w:pPr>
            <w:r>
              <w:rPr>
                <w:rFonts w:hint="eastAsia" w:ascii="宋体" w:hAnsi="宋体" w:eastAsia="宋体" w:cs="宋体"/>
                <w:kern w:val="2"/>
                <w:sz w:val="21"/>
                <w:szCs w:val="21"/>
                <w:lang w:eastAsia="zh-CN" w:bidi="ar"/>
              </w:rPr>
              <w:t>序号</w:t>
            </w:r>
          </w:p>
        </w:tc>
        <w:tc>
          <w:tcPr>
            <w:tcW w:w="2487" w:type="dxa"/>
            <w:gridSpan w:val="2"/>
            <w:tcBorders>
              <w:top w:val="single" w:color="auto" w:sz="4" w:space="0"/>
              <w:left w:val="single" w:color="auto" w:sz="4" w:space="0"/>
              <w:bottom w:val="single" w:color="auto" w:sz="4" w:space="0"/>
              <w:right w:val="single" w:color="auto" w:sz="4" w:space="0"/>
            </w:tcBorders>
            <w:vAlign w:val="center"/>
          </w:tcPr>
          <w:p w14:paraId="724B4D5E">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关联关系类型</w:t>
            </w:r>
          </w:p>
        </w:tc>
        <w:tc>
          <w:tcPr>
            <w:tcW w:w="1533" w:type="dxa"/>
            <w:gridSpan w:val="2"/>
            <w:tcBorders>
              <w:top w:val="single" w:color="auto" w:sz="4" w:space="0"/>
              <w:left w:val="single" w:color="auto" w:sz="4" w:space="0"/>
              <w:bottom w:val="single" w:color="auto" w:sz="4" w:space="0"/>
              <w:right w:val="single" w:color="auto" w:sz="4" w:space="0"/>
            </w:tcBorders>
            <w:vAlign w:val="center"/>
          </w:tcPr>
          <w:p w14:paraId="32EF8117">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关联主体名称</w:t>
            </w: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461B730F">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备注</w:t>
            </w:r>
          </w:p>
        </w:tc>
      </w:tr>
      <w:tr w14:paraId="4C1E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5304A0A4">
            <w:pPr>
              <w:widowControl w:val="0"/>
              <w:spacing w:line="400" w:lineRule="exact"/>
              <w:jc w:val="center"/>
              <w:rPr>
                <w:rFonts w:ascii="宋体" w:hAnsi="宋体" w:eastAsia="宋体" w:cs="宋体"/>
                <w:kern w:val="2"/>
                <w:sz w:val="21"/>
                <w:szCs w:val="21"/>
                <w:lang w:eastAsia="zh-CN" w:bidi="ar"/>
              </w:rPr>
            </w:pPr>
            <w:r>
              <w:rPr>
                <w:rFonts w:hint="eastAsia" w:ascii="宋体" w:hAnsi="宋体" w:eastAsia="宋体" w:cs="宋体"/>
                <w:kern w:val="2"/>
                <w:sz w:val="21"/>
                <w:szCs w:val="21"/>
                <w:lang w:eastAsia="zh-CN" w:bidi="ar"/>
              </w:rPr>
              <w:t>1</w:t>
            </w:r>
          </w:p>
        </w:tc>
        <w:tc>
          <w:tcPr>
            <w:tcW w:w="2487" w:type="dxa"/>
            <w:gridSpan w:val="2"/>
            <w:tcBorders>
              <w:top w:val="single" w:color="auto" w:sz="4" w:space="0"/>
              <w:left w:val="single" w:color="auto" w:sz="4" w:space="0"/>
              <w:bottom w:val="single" w:color="auto" w:sz="4" w:space="0"/>
              <w:right w:val="single" w:color="auto" w:sz="4" w:space="0"/>
            </w:tcBorders>
            <w:vAlign w:val="center"/>
          </w:tcPr>
          <w:p w14:paraId="07D521CF">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控股股东</w:t>
            </w:r>
          </w:p>
        </w:tc>
        <w:tc>
          <w:tcPr>
            <w:tcW w:w="1533" w:type="dxa"/>
            <w:gridSpan w:val="2"/>
            <w:tcBorders>
              <w:top w:val="single" w:color="auto" w:sz="4" w:space="0"/>
              <w:left w:val="single" w:color="auto" w:sz="4" w:space="0"/>
              <w:bottom w:val="single" w:color="auto" w:sz="4" w:space="0"/>
              <w:right w:val="single" w:color="auto" w:sz="4" w:space="0"/>
            </w:tcBorders>
            <w:vAlign w:val="center"/>
          </w:tcPr>
          <w:p w14:paraId="573F43F4">
            <w:pPr>
              <w:widowControl w:val="0"/>
              <w:spacing w:line="400" w:lineRule="exact"/>
              <w:jc w:val="center"/>
              <w:rPr>
                <w:rFonts w:ascii="宋体" w:hAnsi="宋体" w:eastAsia="宋体" w:cs="宋体"/>
                <w:kern w:val="2"/>
                <w:sz w:val="21"/>
                <w:szCs w:val="21"/>
                <w:lang w:eastAsia="zh-CN"/>
              </w:rPr>
            </w:pP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1CF62346">
            <w:pPr>
              <w:widowControl w:val="0"/>
              <w:snapToGrid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50F0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5D4272CA">
            <w:pPr>
              <w:widowControl w:val="0"/>
              <w:spacing w:line="400" w:lineRule="exact"/>
              <w:jc w:val="center"/>
              <w:rPr>
                <w:rFonts w:ascii="宋体" w:hAnsi="宋体" w:eastAsia="宋体" w:cs="宋体"/>
                <w:kern w:val="2"/>
                <w:sz w:val="21"/>
                <w:szCs w:val="21"/>
                <w:lang w:eastAsia="zh-CN" w:bidi="ar"/>
              </w:rPr>
            </w:pPr>
            <w:r>
              <w:rPr>
                <w:rFonts w:hint="eastAsia" w:ascii="宋体" w:hAnsi="宋体" w:eastAsia="宋体" w:cs="宋体"/>
                <w:kern w:val="2"/>
                <w:sz w:val="21"/>
                <w:szCs w:val="21"/>
                <w:lang w:eastAsia="zh-CN" w:bidi="ar"/>
              </w:rPr>
              <w:t>2</w:t>
            </w:r>
          </w:p>
        </w:tc>
        <w:tc>
          <w:tcPr>
            <w:tcW w:w="2487" w:type="dxa"/>
            <w:gridSpan w:val="2"/>
            <w:tcBorders>
              <w:top w:val="single" w:color="auto" w:sz="4" w:space="0"/>
              <w:left w:val="single" w:color="auto" w:sz="4" w:space="0"/>
              <w:bottom w:val="single" w:color="auto" w:sz="4" w:space="0"/>
              <w:right w:val="single" w:color="auto" w:sz="4" w:space="0"/>
            </w:tcBorders>
            <w:vAlign w:val="center"/>
          </w:tcPr>
          <w:p w14:paraId="4AE0E73D">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管理关系</w:t>
            </w:r>
          </w:p>
        </w:tc>
        <w:tc>
          <w:tcPr>
            <w:tcW w:w="1533" w:type="dxa"/>
            <w:gridSpan w:val="2"/>
            <w:tcBorders>
              <w:top w:val="single" w:color="auto" w:sz="4" w:space="0"/>
              <w:left w:val="single" w:color="auto" w:sz="4" w:space="0"/>
              <w:bottom w:val="single" w:color="auto" w:sz="4" w:space="0"/>
              <w:right w:val="single" w:color="auto" w:sz="4" w:space="0"/>
            </w:tcBorders>
            <w:vAlign w:val="center"/>
          </w:tcPr>
          <w:p w14:paraId="4CC90E11">
            <w:pPr>
              <w:widowControl w:val="0"/>
              <w:spacing w:line="400" w:lineRule="exact"/>
              <w:jc w:val="center"/>
              <w:rPr>
                <w:rFonts w:ascii="宋体" w:hAnsi="宋体" w:eastAsia="宋体" w:cs="宋体"/>
                <w:kern w:val="2"/>
                <w:sz w:val="21"/>
                <w:szCs w:val="21"/>
                <w:lang w:eastAsia="zh-CN"/>
              </w:rPr>
            </w:pP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110A9E5F">
            <w:pPr>
              <w:widowControl w:val="0"/>
              <w:snapToGrid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rPr>
              <w:t>指对投标（响应）供应商不具有出资持股关系，但对其存在管理关系的主体。</w:t>
            </w:r>
          </w:p>
        </w:tc>
      </w:tr>
      <w:tr w14:paraId="59F9E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4CC77F01">
            <w:pPr>
              <w:widowControl w:val="0"/>
              <w:snapToGrid w:val="0"/>
              <w:spacing w:line="400" w:lineRule="exact"/>
              <w:jc w:val="left"/>
              <w:rPr>
                <w:rFonts w:ascii="宋体" w:hAnsi="宋体" w:eastAsia="宋体" w:cs="宋体"/>
                <w:kern w:val="2"/>
                <w:sz w:val="21"/>
                <w:szCs w:val="21"/>
                <w:lang w:eastAsia="zh-CN"/>
              </w:rPr>
            </w:pPr>
            <w:r>
              <w:rPr>
                <w:rFonts w:hint="eastAsia" w:ascii="宋体" w:hAnsi="宋体" w:eastAsia="宋体" w:cs="宋体"/>
                <w:b/>
                <w:bCs/>
                <w:kern w:val="2"/>
                <w:sz w:val="21"/>
                <w:szCs w:val="21"/>
                <w:lang w:eastAsia="zh-CN"/>
              </w:rPr>
              <w:t>说明：同一关联关系类型有多个主体的，应分行填写。</w:t>
            </w:r>
          </w:p>
        </w:tc>
      </w:tr>
    </w:tbl>
    <w:p w14:paraId="64454CC3">
      <w:pPr>
        <w:widowControl/>
        <w:jc w:val="left"/>
        <w:rPr>
          <w:rFonts w:ascii="宋体" w:hAnsi="宋体" w:eastAsia="宋体" w:cs="宋体"/>
          <w:kern w:val="2"/>
          <w:sz w:val="20"/>
          <w:szCs w:val="22"/>
          <w:lang w:eastAsia="zh-CN"/>
        </w:rPr>
        <w:sectPr>
          <w:pgSz w:w="11906" w:h="16838"/>
          <w:pgMar w:top="1417" w:right="1417" w:bottom="1417" w:left="1701" w:header="851" w:footer="1588" w:gutter="0"/>
          <w:pgNumType w:fmt="numberInDash"/>
          <w:cols w:space="720" w:num="1"/>
          <w:docGrid w:type="lines" w:linePitch="312" w:charSpace="0"/>
        </w:sectPr>
      </w:pPr>
    </w:p>
    <w:p w14:paraId="35071415">
      <w:pPr>
        <w:keepNext/>
        <w:keepLines/>
        <w:widowControl w:val="0"/>
        <w:spacing w:before="260" w:after="260" w:line="240" w:lineRule="auto"/>
        <w:jc w:val="center"/>
        <w:outlineLvl w:val="2"/>
        <w:rPr>
          <w:rFonts w:ascii="黑体" w:hAnsi="宋体" w:eastAsia="黑体"/>
          <w:bCs/>
          <w:kern w:val="2"/>
          <w:szCs w:val="32"/>
          <w:lang w:eastAsia="zh-CN"/>
        </w:rPr>
      </w:pPr>
      <w:r>
        <w:rPr>
          <w:rFonts w:hint="eastAsia" w:ascii="黑体" w:hAnsi="宋体" w:eastAsia="黑体"/>
          <w:bCs/>
          <w:kern w:val="2"/>
          <w:szCs w:val="32"/>
          <w:lang w:eastAsia="zh-CN"/>
        </w:rPr>
        <w:t>六、法定代表人（负责人）证明书</w:t>
      </w:r>
    </w:p>
    <w:p w14:paraId="29FDA193">
      <w:pPr>
        <w:widowControl w:val="0"/>
        <w:jc w:val="both"/>
        <w:rPr>
          <w:rFonts w:eastAsia="宋体"/>
          <w:kern w:val="2"/>
          <w:lang w:eastAsia="zh-CN"/>
        </w:rPr>
      </w:pPr>
    </w:p>
    <w:p w14:paraId="4EC7E5D3">
      <w:pPr>
        <w:widowControl w:val="0"/>
        <w:spacing w:line="360" w:lineRule="auto"/>
        <w:ind w:firstLine="420" w:firstLineChars="200"/>
        <w:jc w:val="both"/>
        <w:rPr>
          <w:rFonts w:eastAsia="宋体"/>
          <w:kern w:val="2"/>
          <w:sz w:val="21"/>
          <w:szCs w:val="21"/>
          <w:lang w:eastAsia="zh-CN"/>
        </w:rPr>
      </w:pPr>
      <w:r>
        <w:rPr>
          <w:rFonts w:eastAsia="宋体"/>
          <w:kern w:val="2"/>
          <w:sz w:val="21"/>
          <w:szCs w:val="21"/>
          <w:u w:val="single"/>
          <w:lang w:eastAsia="zh-CN" w:bidi="ar"/>
        </w:rPr>
        <w:t xml:space="preserve">                 </w:t>
      </w:r>
      <w:r>
        <w:rPr>
          <w:rFonts w:hint="eastAsia" w:eastAsia="宋体" w:cs="宋体"/>
          <w:kern w:val="2"/>
          <w:sz w:val="21"/>
          <w:szCs w:val="21"/>
          <w:lang w:eastAsia="zh-CN" w:bidi="ar"/>
        </w:rPr>
        <w:t>（姓名），现任我单位</w:t>
      </w:r>
      <w:r>
        <w:rPr>
          <w:rFonts w:eastAsia="宋体"/>
          <w:kern w:val="2"/>
          <w:sz w:val="21"/>
          <w:szCs w:val="21"/>
          <w:u w:val="single"/>
          <w:lang w:eastAsia="zh-CN" w:bidi="ar"/>
        </w:rPr>
        <w:t xml:space="preserve">             </w:t>
      </w:r>
      <w:r>
        <w:rPr>
          <w:rFonts w:hint="eastAsia" w:eastAsia="宋体" w:cs="宋体"/>
          <w:kern w:val="2"/>
          <w:sz w:val="21"/>
          <w:szCs w:val="21"/>
          <w:lang w:eastAsia="zh-CN" w:bidi="ar"/>
        </w:rPr>
        <w:t>职务，为法定代表人（负责人），身份证件号为：</w:t>
      </w:r>
      <w:r>
        <w:rPr>
          <w:rFonts w:eastAsia="宋体"/>
          <w:kern w:val="2"/>
          <w:sz w:val="21"/>
          <w:szCs w:val="21"/>
          <w:u w:val="single"/>
          <w:lang w:eastAsia="zh-CN" w:bidi="ar"/>
        </w:rPr>
        <w:t xml:space="preserve">                                     </w:t>
      </w:r>
      <w:r>
        <w:rPr>
          <w:rFonts w:hint="eastAsia" w:eastAsia="宋体" w:cs="宋体"/>
          <w:kern w:val="2"/>
          <w:sz w:val="21"/>
          <w:szCs w:val="21"/>
          <w:lang w:eastAsia="zh-CN" w:bidi="ar"/>
        </w:rPr>
        <w:t>，联系电话：</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59FB6FEA">
      <w:pPr>
        <w:widowControl w:val="0"/>
        <w:spacing w:line="360" w:lineRule="auto"/>
        <w:ind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特此证明。</w:t>
      </w:r>
    </w:p>
    <w:p w14:paraId="1B936CA7">
      <w:pPr>
        <w:widowControl w:val="0"/>
        <w:spacing w:line="360" w:lineRule="auto"/>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说明：</w:t>
      </w:r>
      <w:r>
        <w:rPr>
          <w:rFonts w:eastAsia="宋体"/>
          <w:b/>
          <w:bCs/>
          <w:color w:val="FF0000"/>
          <w:kern w:val="2"/>
          <w:sz w:val="21"/>
          <w:szCs w:val="21"/>
          <w:lang w:eastAsia="zh-CN" w:bidi="ar"/>
        </w:rPr>
        <w:t>1</w:t>
      </w:r>
      <w:r>
        <w:rPr>
          <w:rFonts w:hint="eastAsia" w:eastAsia="宋体" w:cs="宋体"/>
          <w:b/>
          <w:bCs/>
          <w:color w:val="FF0000"/>
          <w:kern w:val="2"/>
          <w:sz w:val="21"/>
          <w:szCs w:val="21"/>
          <w:lang w:eastAsia="zh-CN" w:bidi="ar"/>
        </w:rPr>
        <w:t>、法定代表人为投标人（企业事业单位、国家机关、社会团体）的主要行政负责人。</w:t>
      </w:r>
    </w:p>
    <w:p w14:paraId="0B5C1B82">
      <w:pPr>
        <w:widowControl w:val="0"/>
        <w:numPr>
          <w:ilvl w:val="0"/>
          <w:numId w:val="2"/>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本证明书要供法定代表人（负责人）相关身份证明文件：身份证扫描件（正反两面）；港澳台居民可提供来往通行证扫描件；非中国国籍管辖范围人员，可提供公安部门认可的身份证明材料扫描件。</w:t>
      </w:r>
    </w:p>
    <w:p w14:paraId="7942A707">
      <w:pPr>
        <w:widowControl w:val="0"/>
        <w:numPr>
          <w:ilvl w:val="0"/>
          <w:numId w:val="2"/>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本项目投标授权代表为法定代表人（负责人）的，无需提供《投标文件签署授权委托书》。</w:t>
      </w:r>
    </w:p>
    <w:p w14:paraId="643E4A20">
      <w:pPr>
        <w:widowControl w:val="0"/>
        <w:numPr>
          <w:ilvl w:val="0"/>
          <w:numId w:val="2"/>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内容必须填写真实、清楚，涂改无效，不得转让、买卖。</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645"/>
      </w:tblGrid>
      <w:tr w14:paraId="7C65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Borders>
              <w:top w:val="single" w:color="auto" w:sz="4" w:space="0"/>
              <w:left w:val="single" w:color="auto" w:sz="4" w:space="0"/>
              <w:bottom w:val="single" w:color="auto" w:sz="4" w:space="0"/>
              <w:right w:val="single" w:color="auto" w:sz="4" w:space="0"/>
            </w:tcBorders>
            <w:shd w:val="clear" w:color="auto" w:fill="auto"/>
          </w:tcPr>
          <w:p w14:paraId="2D7ACC66">
            <w:pPr>
              <w:widowControl w:val="0"/>
              <w:jc w:val="center"/>
              <w:rPr>
                <w:rFonts w:eastAsia="宋体"/>
                <w:kern w:val="2"/>
                <w:sz w:val="21"/>
                <w:lang w:eastAsia="zh-CN"/>
              </w:rPr>
            </w:pPr>
            <w:r>
              <w:rPr>
                <w:rFonts w:hint="eastAsia" w:eastAsia="宋体" w:cs="宋体"/>
                <w:kern w:val="2"/>
                <w:sz w:val="21"/>
                <w:lang w:eastAsia="zh-CN" w:bidi="ar"/>
              </w:rPr>
              <w:t>证件扫描件正面</w:t>
            </w:r>
          </w:p>
          <w:p w14:paraId="6D19D071">
            <w:pPr>
              <w:widowControl w:val="0"/>
              <w:spacing w:beforeAutospacing="0" w:after="120" w:afterAutospacing="0"/>
              <w:jc w:val="left"/>
              <w:rPr>
                <w:rFonts w:eastAsia="宋体"/>
                <w:lang w:eastAsia="zh-CN"/>
              </w:rPr>
            </w:pPr>
          </w:p>
          <w:p w14:paraId="5091CFE8">
            <w:pPr>
              <w:widowControl w:val="0"/>
              <w:spacing w:beforeAutospacing="0" w:afterAutospacing="0" w:line="360" w:lineRule="auto"/>
              <w:jc w:val="left"/>
              <w:rPr>
                <w:rFonts w:eastAsia="宋体"/>
                <w:lang w:eastAsia="zh-CN"/>
              </w:rPr>
            </w:pPr>
          </w:p>
          <w:p w14:paraId="05E23472">
            <w:pPr>
              <w:widowControl w:val="0"/>
              <w:spacing w:beforeAutospacing="0" w:afterAutospacing="0" w:line="360" w:lineRule="auto"/>
              <w:jc w:val="left"/>
              <w:rPr>
                <w:rFonts w:eastAsia="宋体"/>
                <w:lang w:eastAsia="zh-CN"/>
              </w:rPr>
            </w:pPr>
          </w:p>
          <w:p w14:paraId="76751A5D">
            <w:pPr>
              <w:widowControl w:val="0"/>
              <w:spacing w:beforeAutospacing="0" w:afterAutospacing="0" w:line="360" w:lineRule="auto"/>
              <w:jc w:val="left"/>
              <w:rPr>
                <w:rFonts w:eastAsia="宋体"/>
                <w:lang w:eastAsia="zh-CN"/>
              </w:rPr>
            </w:pPr>
          </w:p>
        </w:tc>
        <w:tc>
          <w:tcPr>
            <w:tcW w:w="4265" w:type="dxa"/>
            <w:tcBorders>
              <w:top w:val="single" w:color="auto" w:sz="4" w:space="0"/>
              <w:left w:val="single" w:color="auto" w:sz="4" w:space="0"/>
              <w:bottom w:val="single" w:color="auto" w:sz="4" w:space="0"/>
              <w:right w:val="single" w:color="auto" w:sz="4" w:space="0"/>
            </w:tcBorders>
            <w:shd w:val="clear" w:color="auto" w:fill="auto"/>
          </w:tcPr>
          <w:p w14:paraId="3EB69088">
            <w:pPr>
              <w:widowControl w:val="0"/>
              <w:jc w:val="center"/>
              <w:rPr>
                <w:rFonts w:eastAsia="宋体"/>
                <w:kern w:val="2"/>
                <w:sz w:val="21"/>
                <w:lang w:eastAsia="zh-CN"/>
              </w:rPr>
            </w:pPr>
            <w:r>
              <w:rPr>
                <w:rFonts w:hint="eastAsia" w:eastAsia="宋体" w:cs="宋体"/>
                <w:kern w:val="2"/>
                <w:sz w:val="21"/>
                <w:lang w:eastAsia="zh-CN" w:bidi="ar"/>
              </w:rPr>
              <w:t>证件扫描件反面</w:t>
            </w:r>
          </w:p>
          <w:p w14:paraId="6DF5993B">
            <w:pPr>
              <w:widowControl w:val="0"/>
              <w:spacing w:beforeAutospacing="0" w:after="120" w:afterAutospacing="0"/>
              <w:jc w:val="center"/>
              <w:rPr>
                <w:rFonts w:eastAsia="宋体"/>
                <w:lang w:eastAsia="zh-CN"/>
              </w:rPr>
            </w:pPr>
          </w:p>
          <w:p w14:paraId="412E3E61">
            <w:pPr>
              <w:widowControl w:val="0"/>
              <w:spacing w:beforeAutospacing="0" w:afterAutospacing="0" w:line="360" w:lineRule="auto"/>
              <w:jc w:val="center"/>
              <w:rPr>
                <w:rFonts w:eastAsia="宋体"/>
                <w:lang w:eastAsia="zh-CN"/>
              </w:rPr>
            </w:pPr>
          </w:p>
        </w:tc>
      </w:tr>
    </w:tbl>
    <w:p w14:paraId="48F0B261">
      <w:pPr>
        <w:widowControl w:val="0"/>
        <w:spacing w:beforeAutospacing="1" w:afterAutospacing="1"/>
        <w:jc w:val="left"/>
        <w:rPr>
          <w:rFonts w:eastAsia="宋体"/>
          <w:szCs w:val="22"/>
          <w:lang w:eastAsia="zh-CN"/>
        </w:rPr>
      </w:pPr>
      <w:r>
        <w:rPr>
          <w:rFonts w:hint="eastAsia" w:ascii="黑体" w:hAnsi="宋体" w:eastAsia="黑体" w:cs="黑体"/>
          <w:b/>
          <w:bCs/>
          <w:lang w:eastAsia="zh-CN" w:bidi="ar"/>
        </w:rPr>
        <w:t>温馨提示</w:t>
      </w:r>
      <w:r>
        <w:rPr>
          <w:rFonts w:hint="eastAsia" w:ascii="黑体" w:hAnsi="宋体" w:eastAsia="黑体" w:cs="黑体"/>
          <w:lang w:eastAsia="zh-CN" w:bidi="ar"/>
        </w:rPr>
        <w:t>：</w:t>
      </w:r>
      <w:r>
        <w:rPr>
          <w:rFonts w:hint="eastAsia" w:eastAsia="宋体" w:cs="宋体"/>
          <w:sz w:val="21"/>
          <w:szCs w:val="21"/>
          <w:lang w:eastAsia="zh-CN" w:bidi="ar"/>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661CCFFE">
      <w:pPr>
        <w:widowControl w:val="0"/>
        <w:jc w:val="both"/>
        <w:rPr>
          <w:rFonts w:eastAsia="宋体"/>
          <w:kern w:val="2"/>
          <w:lang w:eastAsia="zh-CN"/>
        </w:rPr>
      </w:pPr>
    </w:p>
    <w:p w14:paraId="3C4BBA5E">
      <w:pPr>
        <w:widowControl w:val="0"/>
        <w:jc w:val="both"/>
        <w:rPr>
          <w:rFonts w:ascii="黑体" w:hAnsi="宋体" w:eastAsia="黑体" w:cs="黑体"/>
          <w:bCs/>
          <w:kern w:val="2"/>
          <w:szCs w:val="32"/>
          <w:lang w:eastAsia="zh-CN"/>
        </w:rPr>
      </w:pPr>
      <w:r>
        <w:rPr>
          <w:rFonts w:hint="eastAsia" w:ascii="黑体" w:hAnsi="宋体" w:eastAsia="黑体" w:cs="黑体"/>
          <w:bCs/>
          <w:kern w:val="2"/>
          <w:szCs w:val="32"/>
          <w:lang w:eastAsia="zh-CN"/>
        </w:rPr>
        <w:br w:type="page"/>
      </w:r>
    </w:p>
    <w:p w14:paraId="6E6C9045">
      <w:pPr>
        <w:keepNext/>
        <w:keepLines/>
        <w:widowControl/>
        <w:spacing w:before="120" w:after="120" w:line="240" w:lineRule="auto"/>
        <w:jc w:val="center"/>
        <w:outlineLvl w:val="2"/>
        <w:rPr>
          <w:rFonts w:ascii="黑体" w:hAnsi="宋体" w:eastAsia="黑体" w:cs="黑体"/>
          <w:bCs/>
          <w:kern w:val="2"/>
          <w:szCs w:val="32"/>
          <w:lang w:eastAsia="zh-CN"/>
        </w:rPr>
      </w:pPr>
      <w:r>
        <w:rPr>
          <w:rFonts w:hint="eastAsia" w:ascii="黑体" w:hAnsi="宋体" w:eastAsia="黑体" w:cs="黑体"/>
          <w:bCs/>
          <w:kern w:val="2"/>
          <w:szCs w:val="32"/>
          <w:lang w:eastAsia="zh-CN"/>
        </w:rPr>
        <w:t>七、投标文件签署授权委托书</w:t>
      </w:r>
    </w:p>
    <w:p w14:paraId="3D62F2F8">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本授权委托书声明：我</w:t>
      </w:r>
      <w:r>
        <w:rPr>
          <w:rFonts w:eastAsia="宋体"/>
          <w:kern w:val="2"/>
          <w:sz w:val="21"/>
          <w:szCs w:val="21"/>
          <w:u w:val="single"/>
          <w:lang w:eastAsia="zh-CN" w:bidi="ar"/>
        </w:rPr>
        <w:t xml:space="preserve">           </w:t>
      </w:r>
      <w:r>
        <w:rPr>
          <w:rFonts w:hint="eastAsia" w:eastAsia="宋体" w:cs="宋体"/>
          <w:kern w:val="2"/>
          <w:sz w:val="21"/>
          <w:szCs w:val="21"/>
          <w:lang w:eastAsia="zh-CN" w:bidi="ar"/>
        </w:rPr>
        <w:t>（姓名）系</w:t>
      </w:r>
      <w:r>
        <w:rPr>
          <w:rFonts w:eastAsia="宋体"/>
          <w:kern w:val="2"/>
          <w:sz w:val="21"/>
          <w:szCs w:val="21"/>
          <w:u w:val="single"/>
          <w:lang w:eastAsia="zh-CN" w:bidi="ar"/>
        </w:rPr>
        <w:t xml:space="preserve">             </w:t>
      </w:r>
      <w:r>
        <w:rPr>
          <w:rFonts w:hint="eastAsia" w:eastAsia="宋体" w:cs="宋体"/>
          <w:kern w:val="2"/>
          <w:sz w:val="21"/>
          <w:szCs w:val="21"/>
          <w:lang w:eastAsia="zh-CN" w:bidi="ar"/>
        </w:rPr>
        <w:t>（投标人名称）的法定代表人（负责人），现授权委托</w:t>
      </w:r>
      <w:r>
        <w:rPr>
          <w:rFonts w:eastAsia="宋体"/>
          <w:kern w:val="2"/>
          <w:sz w:val="21"/>
          <w:szCs w:val="21"/>
          <w:u w:val="single"/>
          <w:lang w:eastAsia="zh-CN" w:bidi="ar"/>
        </w:rPr>
        <w:t xml:space="preserve">            </w:t>
      </w:r>
      <w:r>
        <w:rPr>
          <w:rFonts w:hint="eastAsia" w:eastAsia="宋体" w:cs="宋体"/>
          <w:kern w:val="2"/>
          <w:sz w:val="21"/>
          <w:szCs w:val="21"/>
          <w:lang w:eastAsia="zh-CN" w:bidi="ar"/>
        </w:rPr>
        <w:t>（姓名）为我单位签署本项目已递交的投标文件的法定代表人（负责人）的授权委托代理人，代理人全权代表我所签署的本项目已递交的投标文件内容我均承认。</w:t>
      </w:r>
    </w:p>
    <w:p w14:paraId="2C23B65A">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代理人无转委托权，特此委托。</w:t>
      </w:r>
    </w:p>
    <w:p w14:paraId="6AB4905C">
      <w:pPr>
        <w:widowControl w:val="0"/>
        <w:spacing w:line="360" w:lineRule="auto"/>
        <w:ind w:firstLine="420" w:firstLineChars="200"/>
        <w:jc w:val="both"/>
        <w:rPr>
          <w:rFonts w:eastAsia="宋体"/>
          <w:kern w:val="2"/>
          <w:sz w:val="21"/>
          <w:szCs w:val="21"/>
          <w:lang w:eastAsia="zh-CN"/>
        </w:rPr>
      </w:pPr>
    </w:p>
    <w:p w14:paraId="2922E43D">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代理人：</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2856652E">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身份证件号：</w:t>
      </w:r>
      <w:r>
        <w:rPr>
          <w:rFonts w:eastAsia="宋体"/>
          <w:kern w:val="2"/>
          <w:sz w:val="21"/>
          <w:szCs w:val="21"/>
          <w:u w:val="single"/>
          <w:lang w:eastAsia="zh-CN" w:bidi="ar"/>
        </w:rPr>
        <w:t xml:space="preserve">                        </w:t>
      </w:r>
      <w:r>
        <w:rPr>
          <w:rFonts w:hint="eastAsia" w:eastAsia="宋体" w:cs="宋体"/>
          <w:kern w:val="2"/>
          <w:sz w:val="21"/>
          <w:szCs w:val="21"/>
          <w:lang w:eastAsia="zh-CN" w:bidi="ar"/>
        </w:rPr>
        <w:t>，职务：</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184DA101">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联系电话：</w:t>
      </w:r>
      <w:r>
        <w:rPr>
          <w:rFonts w:eastAsia="宋体"/>
          <w:kern w:val="2"/>
          <w:sz w:val="21"/>
          <w:szCs w:val="21"/>
          <w:u w:val="single"/>
          <w:lang w:eastAsia="zh-CN" w:bidi="ar"/>
        </w:rPr>
        <w:t xml:space="preserve">         </w:t>
      </w:r>
      <w:r>
        <w:rPr>
          <w:rFonts w:hint="eastAsia" w:eastAsia="宋体" w:cs="宋体"/>
          <w:kern w:val="2"/>
          <w:sz w:val="21"/>
          <w:szCs w:val="21"/>
          <w:lang w:eastAsia="zh-CN" w:bidi="ar"/>
        </w:rPr>
        <w:t>，手机：</w:t>
      </w:r>
      <w:r>
        <w:rPr>
          <w:rFonts w:eastAsia="宋体"/>
          <w:kern w:val="2"/>
          <w:sz w:val="21"/>
          <w:szCs w:val="21"/>
          <w:u w:val="single"/>
          <w:lang w:eastAsia="zh-CN" w:bidi="ar"/>
        </w:rPr>
        <w:t xml:space="preserve">                </w:t>
      </w:r>
      <w:r>
        <w:rPr>
          <w:rFonts w:hint="eastAsia" w:eastAsia="宋体" w:cs="宋体"/>
          <w:kern w:val="2"/>
          <w:sz w:val="21"/>
          <w:szCs w:val="21"/>
          <w:lang w:eastAsia="zh-CN" w:bidi="ar"/>
        </w:rPr>
        <w:t>，电子邮箱：</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3192D3DC">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授权委托日期：</w:t>
      </w:r>
      <w:r>
        <w:rPr>
          <w:rFonts w:eastAsia="宋体"/>
          <w:kern w:val="2"/>
          <w:sz w:val="21"/>
          <w:szCs w:val="21"/>
          <w:u w:val="single"/>
          <w:lang w:eastAsia="zh-CN" w:bidi="ar"/>
        </w:rPr>
        <w:t xml:space="preserve">         </w:t>
      </w:r>
      <w:r>
        <w:rPr>
          <w:rFonts w:hint="eastAsia" w:eastAsia="宋体" w:cs="宋体"/>
          <w:kern w:val="2"/>
          <w:sz w:val="21"/>
          <w:szCs w:val="21"/>
          <w:lang w:eastAsia="zh-CN" w:bidi="ar"/>
        </w:rPr>
        <w:t>年</w:t>
      </w:r>
      <w:r>
        <w:rPr>
          <w:rFonts w:eastAsia="宋体"/>
          <w:kern w:val="2"/>
          <w:sz w:val="21"/>
          <w:szCs w:val="21"/>
          <w:u w:val="single"/>
          <w:lang w:eastAsia="zh-CN" w:bidi="ar"/>
        </w:rPr>
        <w:t xml:space="preserve">     </w:t>
      </w:r>
      <w:r>
        <w:rPr>
          <w:rFonts w:hint="eastAsia" w:eastAsia="宋体" w:cs="宋体"/>
          <w:kern w:val="2"/>
          <w:sz w:val="21"/>
          <w:szCs w:val="21"/>
          <w:lang w:eastAsia="zh-CN" w:bidi="ar"/>
        </w:rPr>
        <w:t>月</w:t>
      </w:r>
      <w:r>
        <w:rPr>
          <w:rFonts w:eastAsia="宋体"/>
          <w:kern w:val="2"/>
          <w:sz w:val="21"/>
          <w:szCs w:val="21"/>
          <w:lang w:eastAsia="zh-CN" w:bidi="ar"/>
        </w:rPr>
        <w:t xml:space="preserve"> </w:t>
      </w:r>
      <w:r>
        <w:rPr>
          <w:rFonts w:eastAsia="宋体"/>
          <w:kern w:val="2"/>
          <w:sz w:val="21"/>
          <w:szCs w:val="21"/>
          <w:u w:val="single"/>
          <w:lang w:eastAsia="zh-CN" w:bidi="ar"/>
        </w:rPr>
        <w:t xml:space="preserve">      </w:t>
      </w:r>
      <w:r>
        <w:rPr>
          <w:rFonts w:hint="eastAsia" w:eastAsia="宋体" w:cs="宋体"/>
          <w:kern w:val="2"/>
          <w:sz w:val="21"/>
          <w:szCs w:val="21"/>
          <w:lang w:eastAsia="zh-CN" w:bidi="ar"/>
        </w:rPr>
        <w:t>日。</w:t>
      </w:r>
    </w:p>
    <w:p w14:paraId="6786E041">
      <w:pPr>
        <w:widowControl w:val="0"/>
        <w:spacing w:line="360" w:lineRule="auto"/>
        <w:jc w:val="both"/>
        <w:rPr>
          <w:rFonts w:eastAsia="宋体"/>
          <w:b/>
          <w:color w:val="FF0000"/>
          <w:kern w:val="2"/>
          <w:sz w:val="21"/>
          <w:szCs w:val="21"/>
          <w:lang w:eastAsia="zh-CN"/>
        </w:rPr>
      </w:pPr>
      <w:r>
        <w:rPr>
          <w:rFonts w:hint="eastAsia" w:eastAsia="宋体" w:cs="宋体"/>
          <w:b/>
          <w:color w:val="FF0000"/>
          <w:kern w:val="2"/>
          <w:sz w:val="21"/>
          <w:szCs w:val="21"/>
          <w:lang w:eastAsia="zh-CN" w:bidi="ar"/>
        </w:rPr>
        <w:t>附：请提供代理人身份证扫描件（正反两面）；港澳台居民可提供来往通行证扫描件；非中国国籍管辖范围人员，可提供公安部门认可的身份证明材料扫描件。</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645"/>
      </w:tblGrid>
      <w:tr w14:paraId="40017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Borders>
              <w:top w:val="single" w:color="auto" w:sz="4" w:space="0"/>
              <w:left w:val="single" w:color="auto" w:sz="4" w:space="0"/>
              <w:bottom w:val="single" w:color="auto" w:sz="4" w:space="0"/>
              <w:right w:val="single" w:color="auto" w:sz="4" w:space="0"/>
            </w:tcBorders>
            <w:shd w:val="clear" w:color="auto" w:fill="auto"/>
          </w:tcPr>
          <w:p w14:paraId="0ADB215D">
            <w:pPr>
              <w:widowControl w:val="0"/>
              <w:jc w:val="center"/>
              <w:rPr>
                <w:rFonts w:eastAsia="宋体"/>
                <w:kern w:val="2"/>
                <w:sz w:val="21"/>
                <w:lang w:eastAsia="zh-CN"/>
              </w:rPr>
            </w:pPr>
            <w:r>
              <w:rPr>
                <w:rFonts w:hint="eastAsia" w:eastAsia="宋体" w:cs="宋体"/>
                <w:kern w:val="2"/>
                <w:sz w:val="21"/>
                <w:lang w:eastAsia="zh-CN" w:bidi="ar"/>
              </w:rPr>
              <w:t>证件扫描件正面</w:t>
            </w:r>
          </w:p>
          <w:p w14:paraId="05419574">
            <w:pPr>
              <w:widowControl w:val="0"/>
              <w:spacing w:beforeAutospacing="0" w:after="120" w:afterAutospacing="0"/>
              <w:jc w:val="left"/>
              <w:rPr>
                <w:rFonts w:eastAsia="宋体"/>
                <w:lang w:eastAsia="zh-CN"/>
              </w:rPr>
            </w:pPr>
          </w:p>
          <w:p w14:paraId="2D58D1BE">
            <w:pPr>
              <w:widowControl w:val="0"/>
              <w:spacing w:beforeAutospacing="0" w:afterAutospacing="0" w:line="360" w:lineRule="auto"/>
              <w:jc w:val="left"/>
              <w:rPr>
                <w:rFonts w:eastAsia="宋体"/>
                <w:lang w:eastAsia="zh-CN"/>
              </w:rPr>
            </w:pPr>
          </w:p>
          <w:p w14:paraId="7A681113">
            <w:pPr>
              <w:widowControl w:val="0"/>
              <w:spacing w:beforeAutospacing="0" w:afterAutospacing="0" w:line="360" w:lineRule="auto"/>
              <w:jc w:val="left"/>
              <w:rPr>
                <w:rFonts w:eastAsia="宋体"/>
                <w:lang w:eastAsia="zh-CN"/>
              </w:rPr>
            </w:pPr>
          </w:p>
          <w:p w14:paraId="0B5FDB89">
            <w:pPr>
              <w:widowControl w:val="0"/>
              <w:spacing w:beforeAutospacing="0" w:afterAutospacing="0" w:line="360" w:lineRule="auto"/>
              <w:jc w:val="left"/>
              <w:rPr>
                <w:rFonts w:eastAsia="宋体"/>
                <w:lang w:eastAsia="zh-CN"/>
              </w:rPr>
            </w:pPr>
          </w:p>
        </w:tc>
        <w:tc>
          <w:tcPr>
            <w:tcW w:w="4265" w:type="dxa"/>
            <w:tcBorders>
              <w:top w:val="single" w:color="auto" w:sz="4" w:space="0"/>
              <w:left w:val="single" w:color="auto" w:sz="4" w:space="0"/>
              <w:bottom w:val="single" w:color="auto" w:sz="4" w:space="0"/>
              <w:right w:val="single" w:color="auto" w:sz="4" w:space="0"/>
            </w:tcBorders>
            <w:shd w:val="clear" w:color="auto" w:fill="auto"/>
          </w:tcPr>
          <w:p w14:paraId="4FCBECF5">
            <w:pPr>
              <w:widowControl w:val="0"/>
              <w:jc w:val="center"/>
              <w:rPr>
                <w:rFonts w:eastAsia="宋体"/>
                <w:kern w:val="2"/>
                <w:sz w:val="21"/>
                <w:lang w:eastAsia="zh-CN"/>
              </w:rPr>
            </w:pPr>
            <w:r>
              <w:rPr>
                <w:rFonts w:hint="eastAsia" w:eastAsia="宋体" w:cs="宋体"/>
                <w:kern w:val="2"/>
                <w:sz w:val="21"/>
                <w:lang w:eastAsia="zh-CN" w:bidi="ar"/>
              </w:rPr>
              <w:t>证件扫描件反面</w:t>
            </w:r>
          </w:p>
          <w:p w14:paraId="013070BD">
            <w:pPr>
              <w:widowControl w:val="0"/>
              <w:spacing w:beforeAutospacing="0" w:after="120" w:afterAutospacing="0"/>
              <w:jc w:val="center"/>
              <w:rPr>
                <w:rFonts w:eastAsia="宋体"/>
                <w:lang w:eastAsia="zh-CN"/>
              </w:rPr>
            </w:pPr>
          </w:p>
          <w:p w14:paraId="6B42A6A5">
            <w:pPr>
              <w:widowControl w:val="0"/>
              <w:spacing w:beforeAutospacing="0" w:afterAutospacing="0" w:line="360" w:lineRule="auto"/>
              <w:jc w:val="center"/>
              <w:rPr>
                <w:rFonts w:eastAsia="宋体"/>
                <w:lang w:eastAsia="zh-CN"/>
              </w:rPr>
            </w:pPr>
          </w:p>
        </w:tc>
      </w:tr>
    </w:tbl>
    <w:p w14:paraId="4411ADA1">
      <w:pPr>
        <w:widowControl w:val="0"/>
        <w:spacing w:beforeAutospacing="1" w:afterAutospacing="1"/>
        <w:jc w:val="left"/>
        <w:rPr>
          <w:rFonts w:eastAsia="宋体"/>
          <w:szCs w:val="22"/>
          <w:lang w:eastAsia="zh-CN"/>
        </w:rPr>
      </w:pPr>
      <w:r>
        <w:rPr>
          <w:rFonts w:hint="eastAsia" w:ascii="黑体" w:hAnsi="宋体" w:eastAsia="黑体" w:cs="黑体"/>
          <w:b/>
          <w:bCs/>
          <w:lang w:eastAsia="zh-CN" w:bidi="ar"/>
        </w:rPr>
        <w:t>温馨提示</w:t>
      </w:r>
      <w:r>
        <w:rPr>
          <w:rFonts w:hint="eastAsia" w:ascii="黑体" w:hAnsi="宋体" w:eastAsia="黑体" w:cs="黑体"/>
          <w:lang w:eastAsia="zh-CN" w:bidi="ar"/>
        </w:rPr>
        <w:t>：</w:t>
      </w:r>
      <w:r>
        <w:rPr>
          <w:rFonts w:hint="eastAsia" w:eastAsia="宋体" w:cs="宋体"/>
          <w:sz w:val="21"/>
          <w:szCs w:val="21"/>
          <w:lang w:eastAsia="zh-CN" w:bidi="ar"/>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28E7C002">
      <w:pPr>
        <w:widowControl w:val="0"/>
        <w:jc w:val="both"/>
        <w:rPr>
          <w:rFonts w:eastAsia="宋体"/>
          <w:kern w:val="2"/>
          <w:sz w:val="21"/>
          <w:lang w:eastAsia="zh-CN"/>
        </w:rPr>
      </w:pPr>
    </w:p>
    <w:p w14:paraId="241E3A42">
      <w:pPr>
        <w:widowControl w:val="0"/>
        <w:spacing w:line="360" w:lineRule="auto"/>
        <w:jc w:val="both"/>
        <w:rPr>
          <w:rFonts w:hAnsi="宋体" w:eastAsia="宋体"/>
          <w:b/>
          <w:bCs/>
          <w:kern w:val="2"/>
          <w:lang w:eastAsia="zh-CN"/>
        </w:rPr>
      </w:pPr>
      <w:r>
        <w:rPr>
          <w:rFonts w:eastAsia="宋体"/>
          <w:b/>
          <w:bCs/>
          <w:kern w:val="2"/>
          <w:lang w:eastAsia="zh-CN"/>
        </w:rPr>
        <w:br w:type="page"/>
      </w:r>
    </w:p>
    <w:p w14:paraId="6FA2346F">
      <w:pPr>
        <w:keepNext/>
        <w:keepLines/>
        <w:widowControl w:val="0"/>
        <w:spacing w:before="260" w:after="260" w:line="240" w:lineRule="auto"/>
        <w:jc w:val="center"/>
        <w:outlineLvl w:val="2"/>
        <w:rPr>
          <w:rFonts w:ascii="黑体" w:hAnsi="宋体" w:eastAsia="黑体"/>
          <w:bCs/>
          <w:lang w:eastAsia="zh-CN"/>
        </w:rPr>
      </w:pPr>
      <w:r>
        <w:rPr>
          <w:rFonts w:hint="eastAsia" w:ascii="黑体" w:hAnsi="宋体" w:eastAsia="黑体"/>
          <w:bCs/>
          <w:lang w:eastAsia="zh-CN"/>
        </w:rPr>
        <w:t>八、实质性条款响应情况表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359"/>
        <w:gridCol w:w="2907"/>
        <w:gridCol w:w="1352"/>
        <w:gridCol w:w="912"/>
      </w:tblGrid>
      <w:tr w14:paraId="3DB2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6168F59D">
            <w:pPr>
              <w:widowControl w:val="0"/>
              <w:adjustRightInd w:val="0"/>
              <w:snapToGrid w:val="0"/>
              <w:spacing w:line="360" w:lineRule="auto"/>
              <w:jc w:val="center"/>
              <w:rPr>
                <w:rFonts w:ascii="宋体" w:hAnsi="宋体" w:eastAsia="宋体" w:cs="宋体"/>
                <w:sz w:val="21"/>
                <w:szCs w:val="21"/>
                <w:lang w:eastAsia="zh-CN"/>
              </w:rPr>
            </w:pPr>
            <w:r>
              <w:rPr>
                <w:rFonts w:hint="eastAsia" w:ascii="宋体" w:hAnsi="宋体" w:eastAsia="宋体" w:cs="宋体"/>
                <w:sz w:val="21"/>
                <w:szCs w:val="21"/>
                <w:lang w:eastAsia="zh-CN" w:bidi="ar"/>
              </w:rPr>
              <w:t>序号</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14:paraId="5B1FFEC9">
            <w:pPr>
              <w:widowControl w:val="0"/>
              <w:adjustRightInd w:val="0"/>
              <w:snapToGrid w:val="0"/>
              <w:spacing w:line="360" w:lineRule="auto"/>
              <w:jc w:val="center"/>
              <w:rPr>
                <w:rFonts w:ascii="宋体" w:hAnsi="宋体" w:eastAsia="宋体" w:cs="宋体"/>
                <w:sz w:val="21"/>
                <w:szCs w:val="21"/>
                <w:lang w:eastAsia="zh-CN"/>
              </w:rPr>
            </w:pPr>
            <w:r>
              <w:rPr>
                <w:rFonts w:hint="eastAsia" w:ascii="宋体" w:hAnsi="宋体" w:eastAsia="宋体" w:cs="宋体"/>
                <w:sz w:val="21"/>
                <w:szCs w:val="21"/>
                <w:lang w:eastAsia="zh-CN" w:bidi="ar"/>
              </w:rPr>
              <w:t>实质性条款具体内容</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1500C894">
            <w:pPr>
              <w:widowControl w:val="0"/>
              <w:adjustRightInd w:val="0"/>
              <w:snapToGrid w:val="0"/>
              <w:spacing w:line="360" w:lineRule="auto"/>
              <w:jc w:val="center"/>
              <w:rPr>
                <w:rFonts w:ascii="宋体" w:hAnsi="宋体" w:eastAsia="宋体" w:cs="宋体"/>
                <w:sz w:val="21"/>
                <w:szCs w:val="21"/>
                <w:lang w:eastAsia="zh-CN"/>
              </w:rPr>
            </w:pPr>
            <w:r>
              <w:rPr>
                <w:rFonts w:hint="eastAsia" w:eastAsia="宋体" w:cs="宋体"/>
                <w:kern w:val="2"/>
                <w:sz w:val="21"/>
                <w:lang w:eastAsia="zh-CN" w:bidi="ar"/>
              </w:rPr>
              <w:t>投标响应</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14:paraId="6D13E8B0">
            <w:pPr>
              <w:widowControl w:val="0"/>
              <w:adjustRightInd w:val="0"/>
              <w:snapToGrid w:val="0"/>
              <w:spacing w:line="360" w:lineRule="auto"/>
              <w:jc w:val="center"/>
              <w:rPr>
                <w:rFonts w:ascii="宋体" w:hAnsi="宋体" w:eastAsia="宋体" w:cs="宋体"/>
                <w:sz w:val="21"/>
                <w:szCs w:val="21"/>
                <w:lang w:eastAsia="zh-CN"/>
              </w:rPr>
            </w:pPr>
            <w:r>
              <w:rPr>
                <w:rFonts w:hint="eastAsia" w:eastAsia="宋体" w:cs="宋体"/>
                <w:kern w:val="2"/>
                <w:sz w:val="21"/>
                <w:lang w:eastAsia="zh-CN" w:bidi="ar"/>
              </w:rPr>
              <w:t>偏离情况</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624D6035">
            <w:pPr>
              <w:widowControl w:val="0"/>
              <w:adjustRightInd w:val="0"/>
              <w:snapToGrid w:val="0"/>
              <w:spacing w:line="360" w:lineRule="auto"/>
              <w:jc w:val="center"/>
              <w:rPr>
                <w:rFonts w:ascii="宋体" w:hAnsi="宋体" w:eastAsia="宋体" w:cs="宋体"/>
                <w:sz w:val="21"/>
                <w:szCs w:val="21"/>
                <w:lang w:eastAsia="zh-CN"/>
              </w:rPr>
            </w:pPr>
            <w:r>
              <w:rPr>
                <w:rFonts w:hint="eastAsia" w:eastAsia="宋体" w:cs="宋体"/>
                <w:kern w:val="2"/>
                <w:sz w:val="21"/>
                <w:lang w:eastAsia="zh-CN" w:bidi="ar"/>
              </w:rPr>
              <w:t>说明</w:t>
            </w:r>
          </w:p>
        </w:tc>
      </w:tr>
      <w:tr w14:paraId="19713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shd w:val="clear" w:color="auto" w:fill="auto"/>
          </w:tcPr>
          <w:p w14:paraId="5AE4BF8C">
            <w:pPr>
              <w:widowControl w:val="0"/>
              <w:adjustRightInd w:val="0"/>
              <w:snapToGrid w:val="0"/>
              <w:spacing w:line="360" w:lineRule="auto"/>
              <w:jc w:val="center"/>
              <w:rPr>
                <w:rFonts w:ascii="宋体" w:hAnsi="宋体" w:eastAsia="宋体" w:cs="宋体"/>
                <w:sz w:val="21"/>
                <w:szCs w:val="21"/>
                <w:lang w:eastAsia="zh-CN"/>
              </w:rPr>
            </w:pPr>
            <w:r>
              <w:rPr>
                <w:rFonts w:hint="eastAsia" w:ascii="宋体" w:hAnsi="宋体" w:eastAsia="宋体" w:cs="宋体"/>
                <w:sz w:val="21"/>
                <w:szCs w:val="21"/>
                <w:lang w:eastAsia="zh-CN" w:bidi="ar"/>
              </w:rPr>
              <w:t>1</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14:paraId="029A07AF">
            <w:pPr>
              <w:widowControl w:val="0"/>
              <w:adjustRightInd w:val="0"/>
              <w:snapToGrid w:val="0"/>
              <w:spacing w:line="360" w:lineRule="auto"/>
              <w:jc w:val="center"/>
              <w:rPr>
                <w:rFonts w:hAnsi="宋体" w:eastAsia="宋体"/>
                <w:sz w:val="21"/>
                <w:szCs w:val="21"/>
                <w:lang w:eastAsia="zh-CN"/>
              </w:rPr>
            </w:pPr>
            <w:r>
              <w:rPr>
                <w:rFonts w:hAnsi="宋体" w:eastAsia="宋体"/>
                <w:sz w:val="21"/>
                <w:szCs w:val="21"/>
                <w:lang w:eastAsia="zh-CN"/>
              </w:rPr>
              <w:t>满足本项目标★的条款要求。</w:t>
            </w:r>
          </w:p>
        </w:tc>
        <w:tc>
          <w:tcPr>
            <w:tcW w:w="2700" w:type="dxa"/>
            <w:tcBorders>
              <w:top w:val="single" w:color="auto" w:sz="4" w:space="0"/>
              <w:left w:val="single" w:color="auto" w:sz="4" w:space="0"/>
              <w:bottom w:val="single" w:color="auto" w:sz="4" w:space="0"/>
              <w:right w:val="single" w:color="auto" w:sz="4" w:space="0"/>
            </w:tcBorders>
            <w:shd w:val="clear" w:color="auto" w:fill="auto"/>
          </w:tcPr>
          <w:p w14:paraId="329E91A6">
            <w:pPr>
              <w:widowControl w:val="0"/>
              <w:adjustRightInd w:val="0"/>
              <w:snapToGrid w:val="0"/>
              <w:spacing w:line="360" w:lineRule="auto"/>
              <w:jc w:val="both"/>
              <w:rPr>
                <w:rFonts w:ascii="宋体" w:hAnsi="宋体" w:eastAsia="宋体" w:cs="宋体"/>
                <w:sz w:val="21"/>
                <w:szCs w:val="21"/>
                <w:lang w:eastAsia="zh-CN"/>
              </w:rPr>
            </w:pPr>
          </w:p>
        </w:tc>
        <w:tc>
          <w:tcPr>
            <w:tcW w:w="1256" w:type="dxa"/>
            <w:tcBorders>
              <w:top w:val="single" w:color="auto" w:sz="4" w:space="0"/>
              <w:left w:val="single" w:color="auto" w:sz="4" w:space="0"/>
              <w:bottom w:val="single" w:color="auto" w:sz="4" w:space="0"/>
              <w:right w:val="single" w:color="auto" w:sz="4" w:space="0"/>
            </w:tcBorders>
            <w:shd w:val="clear" w:color="auto" w:fill="auto"/>
          </w:tcPr>
          <w:p w14:paraId="44F7466D">
            <w:pPr>
              <w:widowControl w:val="0"/>
              <w:adjustRightInd w:val="0"/>
              <w:snapToGrid w:val="0"/>
              <w:spacing w:line="360" w:lineRule="auto"/>
              <w:jc w:val="both"/>
              <w:rPr>
                <w:rFonts w:ascii="宋体" w:hAnsi="宋体" w:eastAsia="宋体" w:cs="宋体"/>
                <w:sz w:val="21"/>
                <w:szCs w:val="21"/>
                <w:lang w:eastAsia="zh-CN"/>
              </w:rPr>
            </w:pPr>
          </w:p>
        </w:tc>
        <w:tc>
          <w:tcPr>
            <w:tcW w:w="847" w:type="dxa"/>
            <w:tcBorders>
              <w:top w:val="single" w:color="auto" w:sz="4" w:space="0"/>
              <w:left w:val="single" w:color="auto" w:sz="4" w:space="0"/>
              <w:bottom w:val="single" w:color="auto" w:sz="4" w:space="0"/>
              <w:right w:val="single" w:color="auto" w:sz="4" w:space="0"/>
            </w:tcBorders>
            <w:shd w:val="clear" w:color="auto" w:fill="auto"/>
          </w:tcPr>
          <w:p w14:paraId="6494A64D">
            <w:pPr>
              <w:widowControl w:val="0"/>
              <w:adjustRightInd w:val="0"/>
              <w:snapToGrid w:val="0"/>
              <w:spacing w:line="360" w:lineRule="auto"/>
              <w:jc w:val="both"/>
              <w:rPr>
                <w:rFonts w:ascii="宋体" w:hAnsi="宋体" w:eastAsia="宋体" w:cs="宋体"/>
                <w:sz w:val="21"/>
                <w:szCs w:val="21"/>
                <w:lang w:eastAsia="zh-CN"/>
              </w:rPr>
            </w:pPr>
          </w:p>
        </w:tc>
      </w:tr>
    </w:tbl>
    <w:p w14:paraId="660BF5F7">
      <w:pPr>
        <w:widowControl w:val="0"/>
        <w:jc w:val="both"/>
        <w:rPr>
          <w:rFonts w:eastAsia="宋体"/>
          <w:b/>
          <w:kern w:val="2"/>
          <w:szCs w:val="22"/>
          <w:lang w:eastAsia="zh-CN"/>
        </w:rPr>
      </w:pPr>
      <w:r>
        <w:rPr>
          <w:rFonts w:hint="eastAsia" w:eastAsia="宋体" w:cs="宋体"/>
          <w:b/>
          <w:kern w:val="2"/>
          <w:szCs w:val="22"/>
          <w:lang w:eastAsia="zh-CN" w:bidi="ar"/>
        </w:rPr>
        <w:t>注：</w:t>
      </w:r>
      <w:r>
        <w:rPr>
          <w:rFonts w:eastAsia="宋体"/>
          <w:b/>
          <w:kern w:val="2"/>
          <w:szCs w:val="22"/>
          <w:lang w:eastAsia="zh-CN" w:bidi="ar"/>
        </w:rPr>
        <w:t>1.</w:t>
      </w:r>
      <w:r>
        <w:rPr>
          <w:rFonts w:hint="eastAsia" w:eastAsia="宋体" w:cs="宋体"/>
          <w:b/>
          <w:kern w:val="2"/>
          <w:szCs w:val="22"/>
          <w:lang w:eastAsia="zh-CN" w:bidi="ar"/>
        </w:rPr>
        <w:t>上表所列各项均为不可负偏离条款。</w:t>
      </w:r>
    </w:p>
    <w:p w14:paraId="3F50AF47">
      <w:pPr>
        <w:widowControl w:val="0"/>
        <w:ind w:firstLine="482" w:firstLineChars="200"/>
        <w:jc w:val="both"/>
        <w:rPr>
          <w:rFonts w:eastAsia="宋体"/>
          <w:b/>
          <w:kern w:val="2"/>
          <w:szCs w:val="22"/>
          <w:lang w:eastAsia="zh-CN"/>
        </w:rPr>
      </w:pPr>
      <w:r>
        <w:rPr>
          <w:rFonts w:eastAsia="宋体"/>
          <w:b/>
          <w:kern w:val="2"/>
          <w:szCs w:val="22"/>
          <w:lang w:eastAsia="zh-CN" w:bidi="ar"/>
        </w:rPr>
        <w:t>2.</w:t>
      </w:r>
      <w:r>
        <w:rPr>
          <w:rFonts w:hint="eastAsia" w:eastAsia="宋体" w:cs="宋体"/>
          <w:b/>
          <w:kern w:val="2"/>
          <w:szCs w:val="22"/>
          <w:lang w:eastAsia="zh-CN" w:bidi="ar"/>
        </w:rPr>
        <w:t>“投标响应”一栏应当详细填写投标人自身响应情况，而不能不合理照搬照抄招实质性条款具体内容。</w:t>
      </w:r>
    </w:p>
    <w:p w14:paraId="2069B0F5">
      <w:pPr>
        <w:widowControl w:val="0"/>
        <w:ind w:firstLine="482" w:firstLineChars="200"/>
        <w:jc w:val="both"/>
        <w:rPr>
          <w:rFonts w:eastAsia="宋体"/>
          <w:b/>
          <w:kern w:val="2"/>
          <w:szCs w:val="22"/>
          <w:lang w:eastAsia="zh-CN"/>
        </w:rPr>
      </w:pPr>
      <w:r>
        <w:rPr>
          <w:rFonts w:eastAsia="宋体"/>
          <w:b/>
          <w:kern w:val="2"/>
          <w:szCs w:val="22"/>
          <w:lang w:eastAsia="zh-CN" w:bidi="ar"/>
        </w:rPr>
        <w:t>3.</w:t>
      </w:r>
      <w:r>
        <w:rPr>
          <w:rFonts w:hint="eastAsia" w:eastAsia="宋体" w:cs="宋体"/>
          <w:b/>
          <w:kern w:val="2"/>
          <w:szCs w:val="22"/>
          <w:lang w:eastAsia="zh-CN" w:bidi="ar"/>
        </w:rPr>
        <w:t>“偏离情况”一栏应填写“正偏离”、“负偏离”或“无偏离”，</w:t>
      </w:r>
      <w:r>
        <w:rPr>
          <w:rFonts w:hint="eastAsia" w:eastAsia="宋体" w:cs="宋体"/>
          <w:b/>
          <w:kern w:val="2"/>
          <w:lang w:eastAsia="zh-CN" w:bidi="ar"/>
        </w:rPr>
        <w:t>“正偏离”表示“投标响应优于实质性条款具体内容要求”，“负偏离”表示“投标响应不满足实质性条款具体内容要求”，“无偏离”表示“投标响应与实质性条款具体内容要求一致”。</w:t>
      </w:r>
    </w:p>
    <w:p w14:paraId="16AD2213">
      <w:pPr>
        <w:widowControl w:val="0"/>
        <w:ind w:firstLine="482" w:firstLineChars="200"/>
        <w:jc w:val="both"/>
        <w:rPr>
          <w:rFonts w:eastAsia="宋体"/>
          <w:b/>
          <w:kern w:val="2"/>
          <w:lang w:eastAsia="zh-CN"/>
        </w:rPr>
      </w:pPr>
      <w:r>
        <w:rPr>
          <w:rFonts w:eastAsia="宋体"/>
          <w:b/>
          <w:kern w:val="2"/>
          <w:lang w:eastAsia="zh-CN" w:bidi="ar"/>
        </w:rPr>
        <w:t>4.</w:t>
      </w:r>
      <w:r>
        <w:rPr>
          <w:rFonts w:hint="eastAsia" w:eastAsia="宋体" w:cs="宋体"/>
          <w:b/>
          <w:kern w:val="2"/>
          <w:lang w:eastAsia="zh-CN" w:bidi="ar"/>
        </w:rPr>
        <w:t>评审委员会有权对投标响应情况作出判断（作出评审结论）。</w:t>
      </w:r>
    </w:p>
    <w:p w14:paraId="79AA5C83">
      <w:pPr>
        <w:widowControl w:val="0"/>
        <w:ind w:firstLine="482" w:firstLineChars="200"/>
        <w:jc w:val="both"/>
        <w:rPr>
          <w:rFonts w:eastAsia="宋体"/>
          <w:b/>
          <w:kern w:val="2"/>
          <w:szCs w:val="22"/>
          <w:lang w:eastAsia="zh-CN"/>
        </w:rPr>
      </w:pPr>
      <w:r>
        <w:rPr>
          <w:rFonts w:eastAsia="宋体"/>
          <w:b/>
          <w:kern w:val="2"/>
          <w:szCs w:val="22"/>
          <w:lang w:eastAsia="zh-CN" w:bidi="ar"/>
        </w:rPr>
        <w:t>5.</w:t>
      </w:r>
      <w:r>
        <w:rPr>
          <w:rFonts w:hint="eastAsia" w:eastAsia="宋体" w:cs="宋体"/>
          <w:b/>
          <w:kern w:val="2"/>
          <w:szCs w:val="22"/>
          <w:lang w:eastAsia="zh-CN" w:bidi="ar"/>
        </w:rPr>
        <w:t>实质性响应条款“投标响应情况”与投标文件其它内容冲突的，以实质性响应条款“投标响应情况”为准。</w:t>
      </w:r>
    </w:p>
    <w:p w14:paraId="073B84B8">
      <w:pPr>
        <w:widowControl w:val="0"/>
        <w:ind w:firstLine="482" w:firstLineChars="200"/>
        <w:jc w:val="both"/>
        <w:rPr>
          <w:rFonts w:eastAsia="宋体"/>
          <w:b/>
          <w:kern w:val="2"/>
          <w:szCs w:val="22"/>
          <w:lang w:eastAsia="zh-CN"/>
        </w:rPr>
      </w:pPr>
      <w:r>
        <w:rPr>
          <w:rFonts w:eastAsia="宋体"/>
          <w:b/>
          <w:kern w:val="2"/>
          <w:szCs w:val="22"/>
          <w:lang w:eastAsia="zh-CN" w:bidi="ar"/>
        </w:rPr>
        <w:t>6.</w:t>
      </w:r>
      <w:r>
        <w:rPr>
          <w:rFonts w:hint="eastAsia" w:eastAsia="宋体" w:cs="宋体"/>
          <w:b/>
          <w:kern w:val="2"/>
          <w:szCs w:val="22"/>
          <w:lang w:eastAsia="zh-CN" w:bidi="ar"/>
        </w:rPr>
        <w:t>要求提供证明资料，在“说明”一栏中列明证明资料的位置</w:t>
      </w:r>
      <w:r>
        <w:rPr>
          <w:rFonts w:eastAsia="宋体"/>
          <w:b/>
          <w:kern w:val="2"/>
          <w:szCs w:val="22"/>
          <w:lang w:eastAsia="zh-CN" w:bidi="ar"/>
        </w:rPr>
        <w:t>,</w:t>
      </w:r>
      <w:r>
        <w:rPr>
          <w:rFonts w:hint="eastAsia" w:eastAsia="宋体" w:cs="宋体"/>
          <w:b/>
          <w:kern w:val="2"/>
          <w:szCs w:val="22"/>
          <w:lang w:eastAsia="zh-CN" w:bidi="ar"/>
        </w:rPr>
        <w:t>以便评审；未要求提供证明材料的，投标人可以不提供。</w:t>
      </w:r>
    </w:p>
    <w:p w14:paraId="34368F75">
      <w:pPr>
        <w:widowControl w:val="0"/>
        <w:jc w:val="both"/>
        <w:rPr>
          <w:rFonts w:eastAsia="宋体"/>
          <w:b/>
          <w:bCs/>
          <w:kern w:val="2"/>
          <w:lang w:eastAsia="zh-CN"/>
        </w:rPr>
      </w:pPr>
    </w:p>
    <w:p w14:paraId="7E828C0C">
      <w:pPr>
        <w:widowControl/>
        <w:jc w:val="left"/>
        <w:rPr>
          <w:rFonts w:ascii="黑体" w:hAnsi="宋体" w:eastAsia="黑体"/>
          <w:kern w:val="2"/>
          <w:szCs w:val="20"/>
          <w:lang w:eastAsia="zh-CN"/>
        </w:rPr>
      </w:pPr>
      <w:r>
        <w:rPr>
          <w:rFonts w:ascii="黑体" w:hAnsi="宋体" w:eastAsia="黑体"/>
          <w:kern w:val="2"/>
          <w:szCs w:val="20"/>
          <w:lang w:eastAsia="zh-CN"/>
        </w:rPr>
        <w:br w:type="page"/>
      </w:r>
    </w:p>
    <w:p w14:paraId="4028A7C0">
      <w:pPr>
        <w:keepNext/>
        <w:keepLines/>
        <w:widowControl w:val="0"/>
        <w:spacing w:before="260" w:after="260" w:line="240" w:lineRule="auto"/>
        <w:jc w:val="center"/>
        <w:outlineLvl w:val="2"/>
        <w:rPr>
          <w:rFonts w:ascii="黑体" w:hAnsi="黑体" w:eastAsia="黑体" w:cs="黑体"/>
          <w:kern w:val="2"/>
          <w:szCs w:val="28"/>
          <w:lang w:eastAsia="zh-CN"/>
        </w:rPr>
      </w:pPr>
      <w:r>
        <w:rPr>
          <w:rFonts w:hint="eastAsia" w:ascii="黑体" w:hAnsi="黑体" w:eastAsia="黑体" w:cs="黑体"/>
          <w:kern w:val="2"/>
          <w:szCs w:val="28"/>
          <w:lang w:eastAsia="zh-CN"/>
        </w:rPr>
        <w:t>九、技术要求偏离表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098"/>
        <w:gridCol w:w="2917"/>
        <w:gridCol w:w="2323"/>
        <w:gridCol w:w="1151"/>
        <w:gridCol w:w="1151"/>
      </w:tblGrid>
      <w:tr w14:paraId="1872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Align w:val="center"/>
          </w:tcPr>
          <w:p w14:paraId="6C53837D">
            <w:pPr>
              <w:widowControl w:val="0"/>
              <w:jc w:val="center"/>
              <w:rPr>
                <w:rFonts w:eastAsia="宋体"/>
                <w:kern w:val="2"/>
                <w:sz w:val="21"/>
                <w:lang w:eastAsia="zh-CN"/>
              </w:rPr>
            </w:pPr>
            <w:r>
              <w:rPr>
                <w:rFonts w:hint="eastAsia" w:eastAsia="宋体"/>
                <w:kern w:val="2"/>
                <w:sz w:val="21"/>
                <w:lang w:eastAsia="zh-CN"/>
              </w:rPr>
              <w:t>序号</w:t>
            </w:r>
          </w:p>
        </w:tc>
        <w:tc>
          <w:tcPr>
            <w:tcW w:w="1222" w:type="dxa"/>
            <w:vAlign w:val="center"/>
          </w:tcPr>
          <w:p w14:paraId="6BD4018A">
            <w:pPr>
              <w:widowControl w:val="0"/>
              <w:jc w:val="center"/>
              <w:rPr>
                <w:rFonts w:eastAsia="宋体"/>
                <w:kern w:val="2"/>
                <w:sz w:val="21"/>
                <w:lang w:eastAsia="zh-CN"/>
              </w:rPr>
            </w:pPr>
            <w:r>
              <w:rPr>
                <w:rFonts w:hint="eastAsia" w:eastAsia="宋体"/>
                <w:kern w:val="2"/>
                <w:sz w:val="21"/>
                <w:lang w:eastAsia="zh-CN"/>
              </w:rPr>
              <w:t>货物名称</w:t>
            </w:r>
          </w:p>
        </w:tc>
        <w:tc>
          <w:tcPr>
            <w:tcW w:w="3304" w:type="dxa"/>
            <w:vAlign w:val="center"/>
          </w:tcPr>
          <w:p w14:paraId="2DFE0E80">
            <w:pPr>
              <w:widowControl w:val="0"/>
              <w:jc w:val="center"/>
              <w:rPr>
                <w:rFonts w:eastAsia="宋体"/>
                <w:kern w:val="2"/>
                <w:sz w:val="21"/>
                <w:lang w:eastAsia="zh-CN"/>
              </w:rPr>
            </w:pPr>
            <w:r>
              <w:rPr>
                <w:rFonts w:hint="eastAsia" w:eastAsia="宋体"/>
                <w:kern w:val="2"/>
                <w:sz w:val="21"/>
                <w:lang w:eastAsia="zh-CN"/>
              </w:rPr>
              <w:t>招标技术要求</w:t>
            </w:r>
          </w:p>
        </w:tc>
        <w:tc>
          <w:tcPr>
            <w:tcW w:w="2624" w:type="dxa"/>
            <w:vAlign w:val="center"/>
          </w:tcPr>
          <w:p w14:paraId="70C74685">
            <w:pPr>
              <w:widowControl w:val="0"/>
              <w:jc w:val="center"/>
              <w:rPr>
                <w:rFonts w:hint="eastAsia" w:eastAsia="宋体"/>
                <w:kern w:val="2"/>
                <w:sz w:val="20"/>
                <w:szCs w:val="22"/>
                <w:lang w:eastAsia="zh-CN"/>
              </w:rPr>
            </w:pPr>
            <w:r>
              <w:rPr>
                <w:rFonts w:hint="eastAsia" w:eastAsia="宋体"/>
                <w:kern w:val="2"/>
                <w:sz w:val="22"/>
                <w:szCs w:val="22"/>
                <w:lang w:eastAsia="zh-CN"/>
              </w:rPr>
              <w:t>投标技术响应</w:t>
            </w:r>
          </w:p>
        </w:tc>
        <w:tc>
          <w:tcPr>
            <w:tcW w:w="1283" w:type="dxa"/>
            <w:vAlign w:val="center"/>
          </w:tcPr>
          <w:p w14:paraId="27346369">
            <w:pPr>
              <w:widowControl w:val="0"/>
              <w:jc w:val="center"/>
              <w:rPr>
                <w:rFonts w:hint="eastAsia" w:eastAsia="宋体"/>
                <w:kern w:val="2"/>
                <w:sz w:val="20"/>
                <w:szCs w:val="22"/>
                <w:lang w:eastAsia="zh-CN"/>
              </w:rPr>
            </w:pPr>
            <w:r>
              <w:rPr>
                <w:rFonts w:hint="eastAsia" w:eastAsia="宋体"/>
                <w:kern w:val="2"/>
                <w:sz w:val="22"/>
                <w:szCs w:val="22"/>
                <w:lang w:eastAsia="zh-CN"/>
              </w:rPr>
              <w:t>偏离情况</w:t>
            </w:r>
          </w:p>
        </w:tc>
        <w:tc>
          <w:tcPr>
            <w:tcW w:w="1283" w:type="dxa"/>
            <w:vAlign w:val="center"/>
          </w:tcPr>
          <w:p w14:paraId="12F83D8B">
            <w:pPr>
              <w:widowControl w:val="0"/>
              <w:jc w:val="center"/>
              <w:rPr>
                <w:rFonts w:hint="eastAsia" w:eastAsia="宋体"/>
                <w:kern w:val="2"/>
                <w:sz w:val="20"/>
                <w:szCs w:val="22"/>
                <w:lang w:eastAsia="zh-CN"/>
              </w:rPr>
            </w:pPr>
            <w:r>
              <w:rPr>
                <w:rFonts w:hint="eastAsia" w:eastAsia="宋体"/>
                <w:kern w:val="2"/>
                <w:sz w:val="22"/>
                <w:szCs w:val="22"/>
                <w:lang w:eastAsia="zh-CN"/>
              </w:rPr>
              <w:t>说明</w:t>
            </w:r>
          </w:p>
        </w:tc>
      </w:tr>
      <w:tr w14:paraId="3618F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restart"/>
            <w:vAlign w:val="center"/>
          </w:tcPr>
          <w:p w14:paraId="25BE4D35">
            <w:pPr>
              <w:widowControl w:val="0"/>
              <w:jc w:val="center"/>
              <w:rPr>
                <w:rFonts w:eastAsia="宋体"/>
                <w:kern w:val="2"/>
                <w:sz w:val="21"/>
                <w:lang w:eastAsia="zh-CN"/>
              </w:rPr>
            </w:pPr>
            <w:r>
              <w:rPr>
                <w:rFonts w:hint="eastAsia" w:eastAsia="宋体"/>
                <w:kern w:val="2"/>
                <w:sz w:val="21"/>
                <w:lang w:eastAsia="zh-CN"/>
              </w:rPr>
              <w:t>1</w:t>
            </w:r>
          </w:p>
        </w:tc>
        <w:tc>
          <w:tcPr>
            <w:tcW w:w="1222" w:type="dxa"/>
            <w:vMerge w:val="restart"/>
            <w:vAlign w:val="center"/>
          </w:tcPr>
          <w:p w14:paraId="4A155A3C">
            <w:pPr>
              <w:widowControl w:val="0"/>
              <w:jc w:val="center"/>
              <w:rPr>
                <w:rFonts w:ascii="仿宋" w:hAnsi="仿宋" w:eastAsia="仿宋"/>
                <w:b/>
                <w:kern w:val="2"/>
                <w:sz w:val="21"/>
                <w:lang w:eastAsia="zh-CN"/>
              </w:rPr>
            </w:pPr>
            <w:r>
              <w:rPr>
                <w:rFonts w:hint="eastAsia" w:eastAsia="宋体"/>
                <w:kern w:val="2"/>
                <w:sz w:val="21"/>
                <w:lang w:eastAsia="zh-CN"/>
              </w:rPr>
              <w:t>实木公寓床（含床板、床垫）</w:t>
            </w:r>
          </w:p>
        </w:tc>
        <w:tc>
          <w:tcPr>
            <w:tcW w:w="3304" w:type="dxa"/>
            <w:vAlign w:val="center"/>
          </w:tcPr>
          <w:p w14:paraId="2E6FC034">
            <w:pPr>
              <w:widowControl w:val="0"/>
              <w:jc w:val="both"/>
              <w:rPr>
                <w:rFonts w:eastAsia="宋体"/>
                <w:kern w:val="2"/>
                <w:sz w:val="21"/>
                <w:lang w:eastAsia="zh-CN"/>
              </w:rPr>
            </w:pPr>
            <w:r>
              <w:rPr>
                <w:rFonts w:hint="eastAsia" w:eastAsia="宋体"/>
                <w:kern w:val="2"/>
                <w:sz w:val="21"/>
                <w:lang w:eastAsia="zh-CN"/>
              </w:rPr>
              <w:t>1.1 参考规格（mm）：</w:t>
            </w:r>
            <w:r>
              <w:rPr>
                <w:rFonts w:hint="eastAsia" w:eastAsia="宋体"/>
                <w:kern w:val="2"/>
                <w:sz w:val="21"/>
                <w:lang w:eastAsia="zh-CN"/>
              </w:rPr>
              <w:br w:type="textWrapping"/>
            </w:r>
            <w:r>
              <w:rPr>
                <w:rFonts w:hint="eastAsia" w:eastAsia="宋体"/>
                <w:kern w:val="2"/>
                <w:sz w:val="21"/>
                <w:lang w:eastAsia="zh-CN"/>
              </w:rPr>
              <w:t>W2130*D970*H2200（根据现场安装需求尺寸调整）</w:t>
            </w:r>
            <w:r>
              <w:rPr>
                <w:rFonts w:hint="eastAsia" w:eastAsia="宋体"/>
                <w:kern w:val="2"/>
                <w:sz w:val="21"/>
                <w:lang w:eastAsia="zh-CN"/>
              </w:rPr>
              <w:br w:type="textWrapping"/>
            </w:r>
            <w:r>
              <w:rPr>
                <w:rFonts w:hint="eastAsia" w:eastAsia="宋体"/>
                <w:kern w:val="2"/>
                <w:sz w:val="21"/>
                <w:lang w:eastAsia="zh-CN"/>
              </w:rPr>
              <w:t>款式：上床下桌</w:t>
            </w:r>
          </w:p>
        </w:tc>
        <w:tc>
          <w:tcPr>
            <w:tcW w:w="2624" w:type="dxa"/>
            <w:vAlign w:val="center"/>
          </w:tcPr>
          <w:p w14:paraId="7821B610">
            <w:pPr>
              <w:widowControl w:val="0"/>
              <w:jc w:val="both"/>
              <w:rPr>
                <w:rFonts w:hint="eastAsia" w:eastAsia="宋体"/>
                <w:kern w:val="2"/>
                <w:sz w:val="21"/>
                <w:lang w:eastAsia="zh-CN"/>
              </w:rPr>
            </w:pPr>
          </w:p>
        </w:tc>
        <w:tc>
          <w:tcPr>
            <w:tcW w:w="1283" w:type="dxa"/>
            <w:vAlign w:val="center"/>
          </w:tcPr>
          <w:p w14:paraId="79CE8F8E">
            <w:pPr>
              <w:widowControl w:val="0"/>
              <w:jc w:val="both"/>
              <w:rPr>
                <w:rFonts w:hint="eastAsia" w:eastAsia="宋体"/>
                <w:kern w:val="2"/>
                <w:sz w:val="21"/>
                <w:lang w:eastAsia="zh-CN"/>
              </w:rPr>
            </w:pPr>
          </w:p>
        </w:tc>
        <w:tc>
          <w:tcPr>
            <w:tcW w:w="1283" w:type="dxa"/>
            <w:vAlign w:val="center"/>
          </w:tcPr>
          <w:p w14:paraId="44230B8E">
            <w:pPr>
              <w:widowControl w:val="0"/>
              <w:jc w:val="both"/>
              <w:rPr>
                <w:rFonts w:hint="eastAsia" w:eastAsia="宋体"/>
                <w:kern w:val="2"/>
                <w:sz w:val="21"/>
                <w:lang w:eastAsia="zh-CN"/>
              </w:rPr>
            </w:pPr>
          </w:p>
        </w:tc>
      </w:tr>
      <w:tr w14:paraId="67C0E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57D81CA3">
            <w:pPr>
              <w:widowControl w:val="0"/>
              <w:jc w:val="both"/>
              <w:rPr>
                <w:rFonts w:eastAsia="宋体"/>
                <w:kern w:val="2"/>
                <w:sz w:val="21"/>
                <w:lang w:eastAsia="zh-CN"/>
              </w:rPr>
            </w:pPr>
          </w:p>
        </w:tc>
        <w:tc>
          <w:tcPr>
            <w:tcW w:w="1222" w:type="dxa"/>
            <w:vMerge w:val="continue"/>
            <w:vAlign w:val="center"/>
          </w:tcPr>
          <w:p w14:paraId="06F9512E">
            <w:pPr>
              <w:widowControl w:val="0"/>
              <w:jc w:val="both"/>
              <w:rPr>
                <w:rFonts w:eastAsia="宋体"/>
                <w:kern w:val="2"/>
                <w:sz w:val="21"/>
                <w:lang w:eastAsia="zh-CN"/>
              </w:rPr>
            </w:pPr>
          </w:p>
        </w:tc>
        <w:tc>
          <w:tcPr>
            <w:tcW w:w="3304" w:type="dxa"/>
            <w:vAlign w:val="center"/>
          </w:tcPr>
          <w:p w14:paraId="4C0A4F22">
            <w:pPr>
              <w:widowControl w:val="0"/>
              <w:jc w:val="both"/>
              <w:rPr>
                <w:rFonts w:eastAsia="宋体"/>
                <w:b/>
                <w:bCs/>
                <w:color w:val="FF0000"/>
                <w:kern w:val="2"/>
                <w:sz w:val="21"/>
                <w:lang w:eastAsia="zh-CN"/>
              </w:rPr>
            </w:pPr>
            <w:r>
              <w:rPr>
                <w:rFonts w:hint="eastAsia" w:eastAsia="宋体"/>
                <w:kern w:val="2"/>
                <w:sz w:val="21"/>
                <w:lang w:eastAsia="zh-CN"/>
              </w:rPr>
              <w:t>1.2 材质要求：</w:t>
            </w:r>
            <w:r>
              <w:rPr>
                <w:rFonts w:hint="eastAsia" w:eastAsia="宋体"/>
                <w:kern w:val="2"/>
                <w:sz w:val="21"/>
                <w:lang w:eastAsia="zh-CN"/>
              </w:rPr>
              <w:br w:type="textWrapping"/>
            </w:r>
            <w:r>
              <w:rPr>
                <w:rFonts w:hint="eastAsia" w:eastAsia="宋体"/>
                <w:kern w:val="2"/>
                <w:sz w:val="21"/>
                <w:lang w:eastAsia="zh-CN"/>
              </w:rPr>
              <w:t>采用白蜡木实木制作，纹理颜色均匀，节子直径≤12mm，主视面总共不超过3个节子。木制件外观、含水率需符合：GB/T 3324-</w:t>
            </w:r>
            <w:r>
              <w:rPr>
                <w:rFonts w:eastAsia="宋体"/>
                <w:kern w:val="2"/>
                <w:sz w:val="21"/>
                <w:lang w:eastAsia="zh-CN"/>
              </w:rPr>
              <w:t>2024</w:t>
            </w:r>
            <w:r>
              <w:rPr>
                <w:rFonts w:hint="eastAsia" w:eastAsia="宋体"/>
                <w:kern w:val="2"/>
                <w:sz w:val="21"/>
                <w:lang w:eastAsia="zh-CN"/>
              </w:rPr>
              <w:t>《木家具通用技术条件》，白蜡木或白蜡树鉴定结果需符合 GB/T 18513-2022《中国主要进口木材名称》(或 GB/T 16734-1997《中国主要木材名称》)。</w:t>
            </w:r>
          </w:p>
        </w:tc>
        <w:tc>
          <w:tcPr>
            <w:tcW w:w="2624" w:type="dxa"/>
            <w:vAlign w:val="center"/>
          </w:tcPr>
          <w:p w14:paraId="247FC212">
            <w:pPr>
              <w:widowControl w:val="0"/>
              <w:jc w:val="both"/>
              <w:rPr>
                <w:rFonts w:hint="eastAsia" w:eastAsia="宋体"/>
                <w:kern w:val="2"/>
                <w:sz w:val="21"/>
                <w:lang w:eastAsia="zh-CN"/>
              </w:rPr>
            </w:pPr>
          </w:p>
        </w:tc>
        <w:tc>
          <w:tcPr>
            <w:tcW w:w="1283" w:type="dxa"/>
            <w:vAlign w:val="center"/>
          </w:tcPr>
          <w:p w14:paraId="259474CF">
            <w:pPr>
              <w:widowControl w:val="0"/>
              <w:jc w:val="both"/>
              <w:rPr>
                <w:rFonts w:hint="eastAsia" w:eastAsia="宋体"/>
                <w:kern w:val="2"/>
                <w:sz w:val="21"/>
                <w:lang w:eastAsia="zh-CN"/>
              </w:rPr>
            </w:pPr>
          </w:p>
        </w:tc>
        <w:tc>
          <w:tcPr>
            <w:tcW w:w="1283" w:type="dxa"/>
            <w:vAlign w:val="center"/>
          </w:tcPr>
          <w:p w14:paraId="31F2B1AC">
            <w:pPr>
              <w:widowControl w:val="0"/>
              <w:jc w:val="both"/>
              <w:rPr>
                <w:rFonts w:hint="eastAsia" w:eastAsia="宋体"/>
                <w:kern w:val="2"/>
                <w:sz w:val="21"/>
                <w:lang w:eastAsia="zh-CN"/>
              </w:rPr>
            </w:pPr>
          </w:p>
        </w:tc>
      </w:tr>
      <w:tr w14:paraId="3622F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6D2EB66C">
            <w:pPr>
              <w:widowControl w:val="0"/>
              <w:jc w:val="both"/>
              <w:rPr>
                <w:rFonts w:eastAsia="宋体"/>
                <w:kern w:val="2"/>
                <w:sz w:val="21"/>
                <w:lang w:eastAsia="zh-CN"/>
              </w:rPr>
            </w:pPr>
          </w:p>
        </w:tc>
        <w:tc>
          <w:tcPr>
            <w:tcW w:w="1222" w:type="dxa"/>
            <w:vMerge w:val="continue"/>
            <w:vAlign w:val="center"/>
          </w:tcPr>
          <w:p w14:paraId="080A6C6A">
            <w:pPr>
              <w:widowControl w:val="0"/>
              <w:jc w:val="both"/>
              <w:rPr>
                <w:rFonts w:eastAsia="宋体"/>
                <w:kern w:val="2"/>
                <w:sz w:val="21"/>
                <w:lang w:eastAsia="zh-CN"/>
              </w:rPr>
            </w:pPr>
          </w:p>
        </w:tc>
        <w:tc>
          <w:tcPr>
            <w:tcW w:w="3304" w:type="dxa"/>
            <w:vAlign w:val="center"/>
          </w:tcPr>
          <w:p w14:paraId="25195B5A">
            <w:pPr>
              <w:widowControl w:val="0"/>
              <w:jc w:val="both"/>
              <w:rPr>
                <w:rFonts w:eastAsia="宋体"/>
                <w:b/>
                <w:bCs/>
                <w:color w:val="FF0000"/>
                <w:kern w:val="2"/>
                <w:sz w:val="21"/>
                <w:lang w:eastAsia="zh-CN"/>
              </w:rPr>
            </w:pPr>
            <w:r>
              <w:rPr>
                <w:rFonts w:hint="eastAsia" w:eastAsia="宋体"/>
                <w:b/>
                <w:bCs/>
                <w:color w:val="FF0000"/>
                <w:kern w:val="2"/>
                <w:sz w:val="21"/>
                <w:lang w:eastAsia="zh-CN"/>
              </w:rPr>
              <w:t>▲1.3 提供符合以下要求的“实木”检测报告：</w:t>
            </w:r>
            <w:r>
              <w:rPr>
                <w:rFonts w:hint="eastAsia" w:eastAsia="宋体"/>
                <w:b/>
                <w:bCs/>
                <w:color w:val="FF0000"/>
                <w:kern w:val="2"/>
                <w:sz w:val="21"/>
                <w:lang w:eastAsia="zh-CN"/>
              </w:rPr>
              <w:br w:type="textWrapping"/>
            </w:r>
            <w:r>
              <w:rPr>
                <w:rFonts w:hint="eastAsia" w:eastAsia="宋体"/>
                <w:b/>
                <w:bCs/>
                <w:color w:val="FF0000"/>
                <w:kern w:val="2"/>
                <w:sz w:val="21"/>
                <w:lang w:eastAsia="zh-CN"/>
              </w:rPr>
              <w:t>(1)提供2023年1月1日至本项目投标截止之日前，第三方检测机构出具的具有 CMA标识的合格的检测报告（若相关检测项目不在实施该项检验（检测）的第三方检测机构的 CMA资质许可范围内的，该检测报告视为不满足招标文件要求，作负偏离处理）。</w:t>
            </w:r>
          </w:p>
          <w:p w14:paraId="1D370F74">
            <w:pPr>
              <w:widowControl w:val="0"/>
              <w:jc w:val="both"/>
              <w:rPr>
                <w:rFonts w:eastAsia="宋体"/>
                <w:b/>
                <w:bCs/>
                <w:color w:val="FF0000"/>
                <w:kern w:val="2"/>
                <w:sz w:val="21"/>
                <w:lang w:eastAsia="zh-CN"/>
              </w:rPr>
            </w:pPr>
            <w:r>
              <w:rPr>
                <w:rFonts w:hint="eastAsia" w:eastAsia="宋体"/>
                <w:b/>
                <w:bCs/>
                <w:color w:val="FF0000"/>
                <w:kern w:val="2"/>
                <w:sz w:val="21"/>
                <w:lang w:eastAsia="zh-CN"/>
              </w:rPr>
              <w:t>(2)检验（检测）报告送检单位（委托单位）须是投标人或所投产品制造商（须与分项报价表一致）或所投产品原材料供应商。若送检单位（委托单位）是所投产品原材料供应商，须同时提供投标人或所投产品制造商（须与分项报价表一致）购买对应原材料的发票扫描件（开票日期在投标截止日前）。</w:t>
            </w:r>
          </w:p>
          <w:p w14:paraId="2FE44461">
            <w:pPr>
              <w:widowControl w:val="0"/>
              <w:jc w:val="both"/>
              <w:rPr>
                <w:rFonts w:eastAsia="宋体"/>
                <w:b/>
                <w:bCs/>
                <w:color w:val="FF0000"/>
                <w:kern w:val="2"/>
                <w:sz w:val="21"/>
                <w:lang w:eastAsia="zh-CN"/>
              </w:rPr>
            </w:pPr>
            <w:r>
              <w:rPr>
                <w:rFonts w:hint="eastAsia" w:eastAsia="宋体"/>
                <w:b/>
                <w:bCs/>
                <w:color w:val="FF0000"/>
                <w:kern w:val="2"/>
                <w:sz w:val="21"/>
                <w:lang w:eastAsia="zh-CN"/>
              </w:rPr>
              <w:t>(3)检测报告中“检测产品名称”与招标文件要求的名称不完全一致的，需提供为同种产品的说明，由评审委员会判定是否符合招标文件要求。若名称不完全一致又未提供说明的，判定为不符合招标文件要求。</w:t>
            </w:r>
          </w:p>
          <w:p w14:paraId="6C42BC8D">
            <w:pPr>
              <w:widowControl w:val="0"/>
              <w:jc w:val="both"/>
              <w:rPr>
                <w:rFonts w:eastAsia="宋体"/>
                <w:b/>
                <w:bCs/>
                <w:color w:val="FF0000"/>
                <w:kern w:val="2"/>
                <w:sz w:val="21"/>
                <w:lang w:eastAsia="zh-CN"/>
              </w:rPr>
            </w:pPr>
            <w:r>
              <w:rPr>
                <w:rFonts w:hint="eastAsia" w:eastAsia="宋体"/>
                <w:b/>
                <w:bCs/>
                <w:color w:val="FF0000"/>
                <w:kern w:val="2"/>
                <w:sz w:val="21"/>
                <w:lang w:eastAsia="zh-CN"/>
              </w:rPr>
              <w:t>(4)检测报告需满足以下检测依据和检测内容及要求：</w:t>
            </w:r>
          </w:p>
          <w:p w14:paraId="3D554AA3">
            <w:pPr>
              <w:widowControl w:val="0"/>
              <w:jc w:val="both"/>
              <w:rPr>
                <w:rFonts w:eastAsia="宋体"/>
                <w:b/>
                <w:bCs/>
                <w:color w:val="FF0000"/>
                <w:kern w:val="2"/>
                <w:sz w:val="21"/>
                <w:lang w:eastAsia="zh-CN"/>
              </w:rPr>
            </w:pPr>
            <w:r>
              <w:rPr>
                <w:rFonts w:hint="eastAsia" w:eastAsia="宋体"/>
                <w:b/>
                <w:bCs/>
                <w:color w:val="FF0000"/>
                <w:kern w:val="2"/>
                <w:sz w:val="21"/>
                <w:lang w:eastAsia="zh-CN"/>
              </w:rPr>
              <w:t>检测依据：GB/T 3324-2024《木家具通用技术条件》或 GB/T 18513-2022《中国主要进口木材名称》(或 GB/T 16734-1997《中国主要木材名称》)。</w:t>
            </w:r>
          </w:p>
          <w:p w14:paraId="76C57723">
            <w:pPr>
              <w:widowControl w:val="0"/>
              <w:jc w:val="both"/>
              <w:rPr>
                <w:rFonts w:eastAsia="宋体"/>
                <w:kern w:val="2"/>
                <w:sz w:val="21"/>
                <w:lang w:eastAsia="zh-CN"/>
              </w:rPr>
            </w:pPr>
            <w:r>
              <w:rPr>
                <w:rFonts w:hint="eastAsia" w:eastAsia="宋体"/>
                <w:b/>
                <w:bCs/>
                <w:color w:val="FF0000"/>
                <w:kern w:val="2"/>
                <w:sz w:val="21"/>
                <w:lang w:eastAsia="zh-CN"/>
              </w:rPr>
              <w:t>检测内容及要求：木材含水率检测结果符合GB/T 3324-2024标准要求；木材名称为白蜡木。</w:t>
            </w:r>
          </w:p>
        </w:tc>
        <w:tc>
          <w:tcPr>
            <w:tcW w:w="2624" w:type="dxa"/>
            <w:vAlign w:val="center"/>
          </w:tcPr>
          <w:p w14:paraId="78B95031">
            <w:pPr>
              <w:widowControl w:val="0"/>
              <w:jc w:val="both"/>
              <w:rPr>
                <w:rFonts w:hint="eastAsia" w:eastAsia="宋体"/>
                <w:b/>
                <w:bCs/>
                <w:color w:val="FF0000"/>
                <w:kern w:val="2"/>
                <w:sz w:val="21"/>
                <w:lang w:eastAsia="zh-CN"/>
              </w:rPr>
            </w:pPr>
          </w:p>
        </w:tc>
        <w:tc>
          <w:tcPr>
            <w:tcW w:w="1283" w:type="dxa"/>
            <w:vAlign w:val="center"/>
          </w:tcPr>
          <w:p w14:paraId="708AD946">
            <w:pPr>
              <w:widowControl w:val="0"/>
              <w:jc w:val="both"/>
              <w:rPr>
                <w:rFonts w:hint="eastAsia" w:eastAsia="宋体"/>
                <w:b/>
                <w:bCs/>
                <w:color w:val="FF0000"/>
                <w:kern w:val="2"/>
                <w:sz w:val="21"/>
                <w:lang w:eastAsia="zh-CN"/>
              </w:rPr>
            </w:pPr>
          </w:p>
        </w:tc>
        <w:tc>
          <w:tcPr>
            <w:tcW w:w="1283" w:type="dxa"/>
            <w:vAlign w:val="center"/>
          </w:tcPr>
          <w:p w14:paraId="6C68B992">
            <w:pPr>
              <w:widowControl w:val="0"/>
              <w:jc w:val="both"/>
              <w:rPr>
                <w:rFonts w:hint="eastAsia" w:eastAsia="宋体"/>
                <w:b/>
                <w:bCs/>
                <w:color w:val="FF0000"/>
                <w:kern w:val="2"/>
                <w:sz w:val="21"/>
                <w:lang w:eastAsia="zh-CN"/>
              </w:rPr>
            </w:pPr>
          </w:p>
        </w:tc>
      </w:tr>
      <w:tr w14:paraId="78788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4B6A5484">
            <w:pPr>
              <w:widowControl w:val="0"/>
              <w:jc w:val="both"/>
              <w:rPr>
                <w:rFonts w:eastAsia="宋体"/>
                <w:kern w:val="2"/>
                <w:sz w:val="21"/>
                <w:lang w:eastAsia="zh-CN"/>
              </w:rPr>
            </w:pPr>
          </w:p>
        </w:tc>
        <w:tc>
          <w:tcPr>
            <w:tcW w:w="1222" w:type="dxa"/>
            <w:vMerge w:val="continue"/>
            <w:vAlign w:val="center"/>
          </w:tcPr>
          <w:p w14:paraId="04023E8B">
            <w:pPr>
              <w:widowControl w:val="0"/>
              <w:jc w:val="both"/>
              <w:rPr>
                <w:rFonts w:eastAsia="宋体"/>
                <w:kern w:val="2"/>
                <w:sz w:val="21"/>
                <w:lang w:eastAsia="zh-CN"/>
              </w:rPr>
            </w:pPr>
          </w:p>
        </w:tc>
        <w:tc>
          <w:tcPr>
            <w:tcW w:w="3304" w:type="dxa"/>
            <w:vAlign w:val="center"/>
          </w:tcPr>
          <w:p w14:paraId="1C5A8B5D">
            <w:pPr>
              <w:widowControl w:val="0"/>
              <w:jc w:val="both"/>
              <w:rPr>
                <w:rFonts w:eastAsia="宋体"/>
                <w:kern w:val="2"/>
                <w:sz w:val="21"/>
                <w:lang w:eastAsia="zh-CN"/>
              </w:rPr>
            </w:pPr>
            <w:r>
              <w:rPr>
                <w:rFonts w:hint="eastAsia" w:eastAsia="宋体"/>
                <w:kern w:val="2"/>
                <w:sz w:val="21"/>
                <w:lang w:eastAsia="zh-CN"/>
              </w:rPr>
              <w:t>1.4 床立柱：65mm*90mm（尺寸偏差±2mm）白蜡木实心木方，长度不可拼接，宽度（或厚度）采用不超过两根实木拼接而成。不可贴皮，不可指接。木材充分烘干，保证含水率符合 GB/T 3324-20</w:t>
            </w:r>
            <w:r>
              <w:rPr>
                <w:rFonts w:eastAsia="宋体"/>
                <w:kern w:val="2"/>
                <w:sz w:val="21"/>
                <w:lang w:eastAsia="zh-CN"/>
              </w:rPr>
              <w:t>24</w:t>
            </w:r>
            <w:r>
              <w:rPr>
                <w:rFonts w:hint="eastAsia" w:eastAsia="宋体"/>
                <w:kern w:val="2"/>
                <w:sz w:val="21"/>
                <w:lang w:eastAsia="zh-CN"/>
              </w:rPr>
              <w:t xml:space="preserve"> 标准要求。</w:t>
            </w:r>
          </w:p>
        </w:tc>
        <w:tc>
          <w:tcPr>
            <w:tcW w:w="2624" w:type="dxa"/>
            <w:vAlign w:val="center"/>
          </w:tcPr>
          <w:p w14:paraId="5535BE60">
            <w:pPr>
              <w:widowControl w:val="0"/>
              <w:jc w:val="both"/>
              <w:rPr>
                <w:rFonts w:hint="eastAsia" w:eastAsia="宋体"/>
                <w:kern w:val="2"/>
                <w:sz w:val="21"/>
                <w:lang w:eastAsia="zh-CN"/>
              </w:rPr>
            </w:pPr>
          </w:p>
        </w:tc>
        <w:tc>
          <w:tcPr>
            <w:tcW w:w="1283" w:type="dxa"/>
            <w:vAlign w:val="center"/>
          </w:tcPr>
          <w:p w14:paraId="233D9D7F">
            <w:pPr>
              <w:widowControl w:val="0"/>
              <w:jc w:val="both"/>
              <w:rPr>
                <w:rFonts w:hint="eastAsia" w:eastAsia="宋体"/>
                <w:kern w:val="2"/>
                <w:sz w:val="21"/>
                <w:lang w:eastAsia="zh-CN"/>
              </w:rPr>
            </w:pPr>
          </w:p>
        </w:tc>
        <w:tc>
          <w:tcPr>
            <w:tcW w:w="1283" w:type="dxa"/>
            <w:vAlign w:val="center"/>
          </w:tcPr>
          <w:p w14:paraId="3229051A">
            <w:pPr>
              <w:widowControl w:val="0"/>
              <w:jc w:val="both"/>
              <w:rPr>
                <w:rFonts w:hint="eastAsia" w:eastAsia="宋体"/>
                <w:kern w:val="2"/>
                <w:sz w:val="21"/>
                <w:lang w:eastAsia="zh-CN"/>
              </w:rPr>
            </w:pPr>
          </w:p>
        </w:tc>
      </w:tr>
      <w:tr w14:paraId="451AD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232819E7">
            <w:pPr>
              <w:widowControl w:val="0"/>
              <w:jc w:val="both"/>
              <w:rPr>
                <w:rFonts w:eastAsia="宋体"/>
                <w:kern w:val="2"/>
                <w:sz w:val="21"/>
                <w:lang w:eastAsia="zh-CN"/>
              </w:rPr>
            </w:pPr>
          </w:p>
        </w:tc>
        <w:tc>
          <w:tcPr>
            <w:tcW w:w="1222" w:type="dxa"/>
            <w:vMerge w:val="continue"/>
            <w:vAlign w:val="center"/>
          </w:tcPr>
          <w:p w14:paraId="62DF02C7">
            <w:pPr>
              <w:widowControl w:val="0"/>
              <w:jc w:val="both"/>
              <w:rPr>
                <w:rFonts w:eastAsia="宋体"/>
                <w:kern w:val="2"/>
                <w:sz w:val="21"/>
                <w:lang w:eastAsia="zh-CN"/>
              </w:rPr>
            </w:pPr>
          </w:p>
        </w:tc>
        <w:tc>
          <w:tcPr>
            <w:tcW w:w="3304" w:type="dxa"/>
            <w:vAlign w:val="center"/>
          </w:tcPr>
          <w:p w14:paraId="3B5A8DA3">
            <w:pPr>
              <w:widowControl w:val="0"/>
              <w:jc w:val="both"/>
              <w:rPr>
                <w:rFonts w:eastAsia="宋体"/>
                <w:kern w:val="2"/>
                <w:sz w:val="21"/>
                <w:lang w:eastAsia="zh-CN"/>
              </w:rPr>
            </w:pPr>
            <w:r>
              <w:rPr>
                <w:rFonts w:hint="eastAsia" w:eastAsia="宋体"/>
                <w:kern w:val="2"/>
                <w:sz w:val="21"/>
                <w:lang w:eastAsia="zh-CN"/>
              </w:rPr>
              <w:t>1.5 床横梁：前后长横梁48mm*120mm（尺寸偏差±2mm）白蜡木实心木方，短横梁32mm*120mm（尺寸偏差±2mm）白蜡木实心木方，靠近楼梯柜侧中间增加一根短横梁，≥ 30mm*90mm（尺寸偏差±2mm）实心木方，方便上楼梯时抓握。横梁木方长度不可拼接，宽度（或厚度）采用不超过两根实木拼接而成。不可贴皮，不可指接。木材充分烘干，保证含水率符合 GB/T 3324-20</w:t>
            </w:r>
            <w:r>
              <w:rPr>
                <w:rFonts w:eastAsia="宋体"/>
                <w:kern w:val="2"/>
                <w:sz w:val="21"/>
                <w:lang w:eastAsia="zh-CN"/>
              </w:rPr>
              <w:t>24</w:t>
            </w:r>
            <w:r>
              <w:rPr>
                <w:rFonts w:hint="eastAsia" w:eastAsia="宋体"/>
                <w:kern w:val="2"/>
                <w:sz w:val="21"/>
                <w:lang w:eastAsia="zh-CN"/>
              </w:rPr>
              <w:t xml:space="preserve"> 标准要求。</w:t>
            </w:r>
            <w:r>
              <w:rPr>
                <w:rFonts w:hint="eastAsia" w:eastAsia="宋体"/>
                <w:kern w:val="2"/>
                <w:sz w:val="21"/>
                <w:lang w:eastAsia="zh-CN"/>
              </w:rPr>
              <w:br w:type="textWrapping"/>
            </w:r>
            <w:r>
              <w:rPr>
                <w:rFonts w:hint="eastAsia" w:eastAsia="宋体"/>
                <w:kern w:val="2"/>
                <w:sz w:val="21"/>
                <w:lang w:eastAsia="zh-CN"/>
              </w:rPr>
              <w:t>下横梁：30mm*90mm（尺寸偏差±2mm）白蜡木实心木方，床前、后护栏：32mm*60mm（尺寸偏差±2mm）白蜡木实心木方，床头护栏：32mm*60mm（尺寸偏差±2mm）白蜡木实心木方，均采用一块实木制作。所有护栏采用栅栏结构。竖条宽 40mm*25mm（尺寸偏差±2mm）。安全护栏高度≥380mm。护栏警示线采用锣槽工艺，且有警示标识。护栏有床褥永久警示线（床褥的最大厚度应在床的相应位置标上永久性警示线，显示床褥上表面的最大高度，永久性警示线到安全栏板的顶边距离：≥200mm）。</w:t>
            </w:r>
          </w:p>
        </w:tc>
        <w:tc>
          <w:tcPr>
            <w:tcW w:w="2624" w:type="dxa"/>
            <w:vAlign w:val="center"/>
          </w:tcPr>
          <w:p w14:paraId="6F330CAC">
            <w:pPr>
              <w:widowControl w:val="0"/>
              <w:jc w:val="both"/>
              <w:rPr>
                <w:rFonts w:hint="eastAsia" w:eastAsia="宋体"/>
                <w:kern w:val="2"/>
                <w:sz w:val="21"/>
                <w:lang w:eastAsia="zh-CN"/>
              </w:rPr>
            </w:pPr>
          </w:p>
        </w:tc>
        <w:tc>
          <w:tcPr>
            <w:tcW w:w="1283" w:type="dxa"/>
            <w:vAlign w:val="center"/>
          </w:tcPr>
          <w:p w14:paraId="5DF7BA91">
            <w:pPr>
              <w:widowControl w:val="0"/>
              <w:jc w:val="both"/>
              <w:rPr>
                <w:rFonts w:hint="eastAsia" w:eastAsia="宋体"/>
                <w:kern w:val="2"/>
                <w:sz w:val="21"/>
                <w:lang w:eastAsia="zh-CN"/>
              </w:rPr>
            </w:pPr>
          </w:p>
        </w:tc>
        <w:tc>
          <w:tcPr>
            <w:tcW w:w="1283" w:type="dxa"/>
            <w:vAlign w:val="center"/>
          </w:tcPr>
          <w:p w14:paraId="386C126F">
            <w:pPr>
              <w:widowControl w:val="0"/>
              <w:jc w:val="both"/>
              <w:rPr>
                <w:rFonts w:hint="eastAsia" w:eastAsia="宋体"/>
                <w:kern w:val="2"/>
                <w:sz w:val="21"/>
                <w:lang w:eastAsia="zh-CN"/>
              </w:rPr>
            </w:pPr>
          </w:p>
        </w:tc>
      </w:tr>
      <w:tr w14:paraId="15387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Merge w:val="continue"/>
            <w:vAlign w:val="center"/>
          </w:tcPr>
          <w:p w14:paraId="01895765">
            <w:pPr>
              <w:widowControl w:val="0"/>
              <w:jc w:val="both"/>
              <w:rPr>
                <w:rFonts w:eastAsia="宋体"/>
                <w:kern w:val="2"/>
                <w:sz w:val="21"/>
                <w:lang w:eastAsia="zh-CN"/>
              </w:rPr>
            </w:pPr>
          </w:p>
        </w:tc>
        <w:tc>
          <w:tcPr>
            <w:tcW w:w="1222" w:type="dxa"/>
            <w:vMerge w:val="continue"/>
            <w:vAlign w:val="center"/>
          </w:tcPr>
          <w:p w14:paraId="2A9504FA">
            <w:pPr>
              <w:widowControl w:val="0"/>
              <w:jc w:val="both"/>
              <w:rPr>
                <w:rFonts w:eastAsia="宋体"/>
                <w:kern w:val="2"/>
                <w:sz w:val="21"/>
                <w:lang w:eastAsia="zh-CN"/>
              </w:rPr>
            </w:pPr>
          </w:p>
        </w:tc>
        <w:tc>
          <w:tcPr>
            <w:tcW w:w="3304" w:type="dxa"/>
            <w:vAlign w:val="center"/>
          </w:tcPr>
          <w:p w14:paraId="720F9A9D">
            <w:pPr>
              <w:widowControl w:val="0"/>
              <w:jc w:val="both"/>
              <w:rPr>
                <w:rFonts w:eastAsia="宋体"/>
                <w:kern w:val="2"/>
                <w:sz w:val="21"/>
                <w:lang w:eastAsia="zh-CN"/>
              </w:rPr>
            </w:pPr>
            <w:r>
              <w:rPr>
                <w:rFonts w:hint="eastAsia" w:eastAsia="宋体"/>
                <w:kern w:val="2"/>
                <w:sz w:val="21"/>
                <w:lang w:eastAsia="zh-CN"/>
              </w:rPr>
              <w:t>1.6 床板支撑架：采用≥5根40mm*55mm（尺寸偏差±2mm）白蜡木实心木方，首尾两根支撑杆中心线离横梁≤150mm，固定部位用白蜡木燕尾榫结构，不可拼接，燕尾榫规格≥130mm*75mm*30mm（尺寸偏差±2mm）。可拆卸，安装方便。</w:t>
            </w:r>
          </w:p>
        </w:tc>
        <w:tc>
          <w:tcPr>
            <w:tcW w:w="2624" w:type="dxa"/>
            <w:vAlign w:val="center"/>
          </w:tcPr>
          <w:p w14:paraId="75A4FD44">
            <w:pPr>
              <w:widowControl w:val="0"/>
              <w:jc w:val="both"/>
              <w:rPr>
                <w:rFonts w:hint="eastAsia" w:eastAsia="宋体"/>
                <w:kern w:val="2"/>
                <w:sz w:val="21"/>
                <w:lang w:eastAsia="zh-CN"/>
              </w:rPr>
            </w:pPr>
          </w:p>
        </w:tc>
        <w:tc>
          <w:tcPr>
            <w:tcW w:w="1283" w:type="dxa"/>
            <w:vAlign w:val="center"/>
          </w:tcPr>
          <w:p w14:paraId="38FFB2D6">
            <w:pPr>
              <w:widowControl w:val="0"/>
              <w:jc w:val="both"/>
              <w:rPr>
                <w:rFonts w:hint="eastAsia" w:eastAsia="宋体"/>
                <w:kern w:val="2"/>
                <w:sz w:val="21"/>
                <w:lang w:eastAsia="zh-CN"/>
              </w:rPr>
            </w:pPr>
          </w:p>
        </w:tc>
        <w:tc>
          <w:tcPr>
            <w:tcW w:w="1283" w:type="dxa"/>
            <w:vAlign w:val="center"/>
          </w:tcPr>
          <w:p w14:paraId="13C17A5E">
            <w:pPr>
              <w:widowControl w:val="0"/>
              <w:jc w:val="both"/>
              <w:rPr>
                <w:rFonts w:hint="eastAsia" w:eastAsia="宋体"/>
                <w:kern w:val="2"/>
                <w:sz w:val="21"/>
                <w:lang w:eastAsia="zh-CN"/>
              </w:rPr>
            </w:pPr>
          </w:p>
        </w:tc>
      </w:tr>
      <w:tr w14:paraId="174A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7FCCD9A0">
            <w:pPr>
              <w:widowControl w:val="0"/>
              <w:jc w:val="both"/>
              <w:rPr>
                <w:rFonts w:eastAsia="宋体"/>
                <w:kern w:val="2"/>
                <w:sz w:val="21"/>
                <w:lang w:eastAsia="zh-CN"/>
              </w:rPr>
            </w:pPr>
          </w:p>
        </w:tc>
        <w:tc>
          <w:tcPr>
            <w:tcW w:w="1222" w:type="dxa"/>
            <w:vMerge w:val="continue"/>
            <w:vAlign w:val="center"/>
          </w:tcPr>
          <w:p w14:paraId="108D8D94">
            <w:pPr>
              <w:widowControl w:val="0"/>
              <w:jc w:val="both"/>
              <w:rPr>
                <w:rFonts w:eastAsia="宋体"/>
                <w:kern w:val="2"/>
                <w:sz w:val="21"/>
                <w:lang w:eastAsia="zh-CN"/>
              </w:rPr>
            </w:pPr>
          </w:p>
        </w:tc>
        <w:tc>
          <w:tcPr>
            <w:tcW w:w="3304" w:type="dxa"/>
            <w:vAlign w:val="center"/>
          </w:tcPr>
          <w:p w14:paraId="0BED72E0">
            <w:pPr>
              <w:widowControl w:val="0"/>
              <w:jc w:val="both"/>
              <w:rPr>
                <w:rFonts w:eastAsia="宋体"/>
                <w:kern w:val="2"/>
                <w:sz w:val="21"/>
                <w:lang w:eastAsia="zh-CN"/>
              </w:rPr>
            </w:pPr>
            <w:r>
              <w:rPr>
                <w:rFonts w:hint="eastAsia" w:eastAsia="宋体"/>
                <w:kern w:val="2"/>
                <w:sz w:val="21"/>
                <w:lang w:eastAsia="zh-CN"/>
              </w:rPr>
              <w:t>1.7 工艺结构：整体床架采用白蜡木实木制作，采用环保水性漆，水性漆挥发性有机化合物(VOC)含量≤180g/L，甲醛含量（乙酰丙酮法）≤100mg/kg，苯、甲苯、乙苯和二甲苯的含量总和≤100mg/kg，乙二醇醚（乙二醇丁醚、乙二醇己醚、乙二醇苯醚、二乙二醇丁醚）含量总和≤4%，乙二醇醚酯（乙二醇丁醚醋酸酯、二乙二醇丁醚醋酸酯）含量总和≤ 1%，N 甲基吡咯烷酮（NMP）含量≤0.1%，N,N-二甲基甲酰胺（DMF）含量≤0.1%。重金属元素含量：铅（Pb）≤20mg/kg、镉（Cd）≤20mg/kg、六价铬（</w:t>
            </w:r>
            <w:r>
              <w:rPr>
                <w:rFonts w:hint="eastAsia" w:ascii="仿宋" w:hAnsi="仿宋" w:eastAsia="仿宋"/>
                <w:color w:val="000000"/>
                <w:kern w:val="2"/>
                <w:sz w:val="22"/>
                <w:lang w:eastAsia="zh-CN"/>
              </w:rPr>
              <w:t>Cr</w:t>
            </w:r>
            <w:r>
              <w:rPr>
                <w:rFonts w:ascii="仿宋" w:hAnsi="仿宋" w:eastAsia="仿宋"/>
                <w:color w:val="000000"/>
                <w:kern w:val="2"/>
                <w:sz w:val="22"/>
                <w:vertAlign w:val="superscript"/>
                <w:lang w:eastAsia="zh-CN"/>
              </w:rPr>
              <w:t>6+</w:t>
            </w:r>
            <w:r>
              <w:rPr>
                <w:rFonts w:hint="eastAsia" w:eastAsia="宋体"/>
                <w:kern w:val="2"/>
                <w:sz w:val="21"/>
                <w:lang w:eastAsia="zh-CN"/>
              </w:rPr>
              <w:t>）≤20mg/kg、汞（Hg）≤20mg/kg、砷（As）≤20mg/kg、钡（Ba）≤100mg/kg、硒（Se）≤20mg/kg、锑（Sb）≤20mg/kg、钴（Co）≤20mg/kg，需符合 GB/T 35602-2017《绿色产品评价涂料》， 半开放/封闭漆工艺，涂膜外观应符合相关标准要求。整体床架为木制方形结构，四周（立柱及横梁）做 R5 圆角安全处理，防止碰撞。整床连接方式采用榫卯结构加螺栓连接双重固定，长横梁与支撑架连接处实木工艺做燕尾榫结构，整体完整吻合，外观平整。螺钉孔贴防潮防水装饰盖。床立柱顶面预留蚊帐架安装孔位，如无需安装蚊帐架需用塑料盖板密封。可根据采购人需求采用雕刻机在床横梁处精雕刻单位名字及 logo。</w:t>
            </w:r>
          </w:p>
        </w:tc>
        <w:tc>
          <w:tcPr>
            <w:tcW w:w="2624" w:type="dxa"/>
            <w:vAlign w:val="center"/>
          </w:tcPr>
          <w:p w14:paraId="04B55D1D">
            <w:pPr>
              <w:widowControl w:val="0"/>
              <w:jc w:val="both"/>
              <w:rPr>
                <w:rFonts w:hint="eastAsia" w:eastAsia="宋体"/>
                <w:kern w:val="2"/>
                <w:sz w:val="21"/>
                <w:lang w:eastAsia="zh-CN"/>
              </w:rPr>
            </w:pPr>
          </w:p>
        </w:tc>
        <w:tc>
          <w:tcPr>
            <w:tcW w:w="1283" w:type="dxa"/>
            <w:vAlign w:val="center"/>
          </w:tcPr>
          <w:p w14:paraId="2B18FE22">
            <w:pPr>
              <w:widowControl w:val="0"/>
              <w:jc w:val="both"/>
              <w:rPr>
                <w:rFonts w:hint="eastAsia" w:eastAsia="宋体"/>
                <w:kern w:val="2"/>
                <w:sz w:val="21"/>
                <w:lang w:eastAsia="zh-CN"/>
              </w:rPr>
            </w:pPr>
          </w:p>
        </w:tc>
        <w:tc>
          <w:tcPr>
            <w:tcW w:w="1283" w:type="dxa"/>
            <w:vAlign w:val="center"/>
          </w:tcPr>
          <w:p w14:paraId="0CE81BEA">
            <w:pPr>
              <w:widowControl w:val="0"/>
              <w:jc w:val="both"/>
              <w:rPr>
                <w:rFonts w:hint="eastAsia" w:eastAsia="宋体"/>
                <w:kern w:val="2"/>
                <w:sz w:val="21"/>
                <w:lang w:eastAsia="zh-CN"/>
              </w:rPr>
            </w:pPr>
          </w:p>
        </w:tc>
      </w:tr>
      <w:tr w14:paraId="5486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320CDDDF">
            <w:pPr>
              <w:widowControl w:val="0"/>
              <w:jc w:val="both"/>
              <w:rPr>
                <w:rFonts w:eastAsia="宋体"/>
                <w:kern w:val="2"/>
                <w:sz w:val="21"/>
                <w:lang w:eastAsia="zh-CN"/>
              </w:rPr>
            </w:pPr>
          </w:p>
        </w:tc>
        <w:tc>
          <w:tcPr>
            <w:tcW w:w="1222" w:type="dxa"/>
            <w:vMerge w:val="continue"/>
            <w:vAlign w:val="center"/>
          </w:tcPr>
          <w:p w14:paraId="35E28A9B">
            <w:pPr>
              <w:widowControl w:val="0"/>
              <w:jc w:val="both"/>
              <w:rPr>
                <w:rFonts w:eastAsia="宋体"/>
                <w:kern w:val="2"/>
                <w:sz w:val="21"/>
                <w:lang w:eastAsia="zh-CN"/>
              </w:rPr>
            </w:pPr>
          </w:p>
        </w:tc>
        <w:tc>
          <w:tcPr>
            <w:tcW w:w="3304" w:type="dxa"/>
            <w:vAlign w:val="center"/>
          </w:tcPr>
          <w:p w14:paraId="2131CED2">
            <w:pPr>
              <w:widowControl w:val="0"/>
              <w:jc w:val="both"/>
              <w:rPr>
                <w:rFonts w:eastAsia="宋体"/>
                <w:kern w:val="2"/>
                <w:sz w:val="21"/>
                <w:lang w:eastAsia="zh-CN"/>
              </w:rPr>
            </w:pPr>
            <w:r>
              <w:rPr>
                <w:rFonts w:hint="eastAsia" w:eastAsia="宋体"/>
                <w:kern w:val="2"/>
                <w:sz w:val="21"/>
                <w:lang w:eastAsia="zh-CN"/>
              </w:rPr>
              <w:t>1.8 床板规格（mm）：具体尺寸根据床架制作。</w:t>
            </w:r>
          </w:p>
        </w:tc>
        <w:tc>
          <w:tcPr>
            <w:tcW w:w="2624" w:type="dxa"/>
            <w:vAlign w:val="center"/>
          </w:tcPr>
          <w:p w14:paraId="083AA41B">
            <w:pPr>
              <w:widowControl w:val="0"/>
              <w:jc w:val="both"/>
              <w:rPr>
                <w:rFonts w:hint="eastAsia" w:eastAsia="宋体"/>
                <w:kern w:val="2"/>
                <w:sz w:val="21"/>
                <w:lang w:eastAsia="zh-CN"/>
              </w:rPr>
            </w:pPr>
          </w:p>
        </w:tc>
        <w:tc>
          <w:tcPr>
            <w:tcW w:w="1283" w:type="dxa"/>
            <w:vAlign w:val="center"/>
          </w:tcPr>
          <w:p w14:paraId="6344FA3E">
            <w:pPr>
              <w:widowControl w:val="0"/>
              <w:jc w:val="both"/>
              <w:rPr>
                <w:rFonts w:hint="eastAsia" w:eastAsia="宋体"/>
                <w:kern w:val="2"/>
                <w:sz w:val="21"/>
                <w:lang w:eastAsia="zh-CN"/>
              </w:rPr>
            </w:pPr>
          </w:p>
        </w:tc>
        <w:tc>
          <w:tcPr>
            <w:tcW w:w="1283" w:type="dxa"/>
            <w:vAlign w:val="center"/>
          </w:tcPr>
          <w:p w14:paraId="4A25AA93">
            <w:pPr>
              <w:widowControl w:val="0"/>
              <w:jc w:val="both"/>
              <w:rPr>
                <w:rFonts w:hint="eastAsia" w:eastAsia="宋体"/>
                <w:kern w:val="2"/>
                <w:sz w:val="21"/>
                <w:lang w:eastAsia="zh-CN"/>
              </w:rPr>
            </w:pPr>
          </w:p>
        </w:tc>
      </w:tr>
      <w:tr w14:paraId="3CDB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671A392F">
            <w:pPr>
              <w:widowControl w:val="0"/>
              <w:jc w:val="both"/>
              <w:rPr>
                <w:rFonts w:eastAsia="宋体"/>
                <w:kern w:val="2"/>
                <w:sz w:val="21"/>
                <w:lang w:eastAsia="zh-CN"/>
              </w:rPr>
            </w:pPr>
          </w:p>
        </w:tc>
        <w:tc>
          <w:tcPr>
            <w:tcW w:w="1222" w:type="dxa"/>
            <w:vMerge w:val="continue"/>
            <w:vAlign w:val="center"/>
          </w:tcPr>
          <w:p w14:paraId="6882B3D7">
            <w:pPr>
              <w:widowControl w:val="0"/>
              <w:jc w:val="both"/>
              <w:rPr>
                <w:rFonts w:eastAsia="宋体"/>
                <w:kern w:val="2"/>
                <w:sz w:val="21"/>
                <w:lang w:eastAsia="zh-CN"/>
              </w:rPr>
            </w:pPr>
          </w:p>
        </w:tc>
        <w:tc>
          <w:tcPr>
            <w:tcW w:w="3304" w:type="dxa"/>
            <w:vAlign w:val="center"/>
          </w:tcPr>
          <w:p w14:paraId="0B7C239A">
            <w:pPr>
              <w:widowControl w:val="0"/>
              <w:jc w:val="both"/>
              <w:rPr>
                <w:rFonts w:eastAsia="宋体"/>
                <w:kern w:val="2"/>
                <w:sz w:val="21"/>
                <w:lang w:eastAsia="zh-CN"/>
              </w:rPr>
            </w:pPr>
            <w:r>
              <w:rPr>
                <w:rFonts w:hint="eastAsia" w:eastAsia="宋体"/>
                <w:kern w:val="2"/>
                <w:sz w:val="21"/>
                <w:lang w:eastAsia="zh-CN"/>
              </w:rPr>
              <w:t>1.9 床板材质：采用松木，多条松木实木板需固定成整块不分散，每条松木实木厚度为15mm，宽度≥75mm，每条松木块间留空隙，空隙间隔≤20mm。木板面平整，双面刨光，无虫眼，无豁边木皮，无朽木。床板底部设加强筋，尺寸≥75*15mm，数量≥3根，均匀分布。</w:t>
            </w:r>
          </w:p>
        </w:tc>
        <w:tc>
          <w:tcPr>
            <w:tcW w:w="2624" w:type="dxa"/>
            <w:vAlign w:val="center"/>
          </w:tcPr>
          <w:p w14:paraId="6B934C64">
            <w:pPr>
              <w:widowControl w:val="0"/>
              <w:jc w:val="both"/>
              <w:rPr>
                <w:rFonts w:hint="eastAsia" w:eastAsia="宋体"/>
                <w:kern w:val="2"/>
                <w:sz w:val="21"/>
                <w:lang w:eastAsia="zh-CN"/>
              </w:rPr>
            </w:pPr>
          </w:p>
        </w:tc>
        <w:tc>
          <w:tcPr>
            <w:tcW w:w="1283" w:type="dxa"/>
            <w:vAlign w:val="center"/>
          </w:tcPr>
          <w:p w14:paraId="41732051">
            <w:pPr>
              <w:widowControl w:val="0"/>
              <w:jc w:val="both"/>
              <w:rPr>
                <w:rFonts w:hint="eastAsia" w:eastAsia="宋体"/>
                <w:kern w:val="2"/>
                <w:sz w:val="21"/>
                <w:lang w:eastAsia="zh-CN"/>
              </w:rPr>
            </w:pPr>
          </w:p>
        </w:tc>
        <w:tc>
          <w:tcPr>
            <w:tcW w:w="1283" w:type="dxa"/>
            <w:vAlign w:val="center"/>
          </w:tcPr>
          <w:p w14:paraId="743BAF35">
            <w:pPr>
              <w:widowControl w:val="0"/>
              <w:jc w:val="both"/>
              <w:rPr>
                <w:rFonts w:hint="eastAsia" w:eastAsia="宋体"/>
                <w:kern w:val="2"/>
                <w:sz w:val="21"/>
                <w:lang w:eastAsia="zh-CN"/>
              </w:rPr>
            </w:pPr>
          </w:p>
        </w:tc>
      </w:tr>
      <w:tr w14:paraId="6520D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6DC4B3E4">
            <w:pPr>
              <w:widowControl w:val="0"/>
              <w:jc w:val="both"/>
              <w:rPr>
                <w:rFonts w:eastAsia="宋体"/>
                <w:kern w:val="2"/>
                <w:sz w:val="21"/>
                <w:lang w:eastAsia="zh-CN"/>
              </w:rPr>
            </w:pPr>
          </w:p>
        </w:tc>
        <w:tc>
          <w:tcPr>
            <w:tcW w:w="1222" w:type="dxa"/>
            <w:vMerge w:val="continue"/>
            <w:vAlign w:val="center"/>
          </w:tcPr>
          <w:p w14:paraId="1415229E">
            <w:pPr>
              <w:widowControl w:val="0"/>
              <w:jc w:val="both"/>
              <w:rPr>
                <w:rFonts w:eastAsia="宋体"/>
                <w:kern w:val="2"/>
                <w:sz w:val="21"/>
                <w:lang w:eastAsia="zh-CN"/>
              </w:rPr>
            </w:pPr>
          </w:p>
        </w:tc>
        <w:tc>
          <w:tcPr>
            <w:tcW w:w="3304" w:type="dxa"/>
            <w:vAlign w:val="center"/>
          </w:tcPr>
          <w:p w14:paraId="13976F9C">
            <w:pPr>
              <w:widowControl w:val="0"/>
              <w:jc w:val="both"/>
              <w:rPr>
                <w:rFonts w:eastAsia="宋体"/>
                <w:kern w:val="2"/>
                <w:sz w:val="21"/>
                <w:lang w:eastAsia="zh-CN"/>
              </w:rPr>
            </w:pPr>
            <w:r>
              <w:rPr>
                <w:rFonts w:hint="eastAsia" w:eastAsia="宋体"/>
                <w:kern w:val="2"/>
                <w:sz w:val="21"/>
                <w:lang w:eastAsia="zh-CN"/>
              </w:rPr>
              <w:t>1.10 床垫+床笠：床垫规格（mm）：具体尺寸根据床板制作。床垫材质：整体厚度 50mm。乳胶：采用天然乳胶，乳胶含量≥88%（厚度 30mm）；采用阻燃透气针织面料，垫套的甲醛含量≤75mg/kg，PH 值4.0~8.5，耐水≥3级、耐酸汗渍≥3级、耐碱汗渍≥3级、耐干摩擦≥3级，异味、可分解致癌芳香胺染料，N-亚硝基胺含量，重金属含量砷、镉、铬、铅、汞，水抽提蛋白质含量，苯乙烯释放量，总有机挥发物（TVOC）释放量，以上均需符合 HG∕T 5836-2021《乳胶垫》。床笠：材质为棉质，内部夹棉工艺，蓬松不板结。床笠面料耐水色牢度、耐酸汗渍色牢度、耐碱汗渍色牢度、耐干摩擦色牢度，PH 值需符合GB18401-2010《国家纺织产品基本安全技术规范》中B类要求。可水洗机洗（带标签）。立体绗缝设计。环保无异味。</w:t>
            </w:r>
          </w:p>
        </w:tc>
        <w:tc>
          <w:tcPr>
            <w:tcW w:w="2624" w:type="dxa"/>
            <w:vAlign w:val="center"/>
          </w:tcPr>
          <w:p w14:paraId="62C5C214">
            <w:pPr>
              <w:widowControl w:val="0"/>
              <w:jc w:val="both"/>
              <w:rPr>
                <w:rFonts w:hint="eastAsia" w:eastAsia="宋体"/>
                <w:kern w:val="2"/>
                <w:sz w:val="21"/>
                <w:lang w:eastAsia="zh-CN"/>
              </w:rPr>
            </w:pPr>
          </w:p>
        </w:tc>
        <w:tc>
          <w:tcPr>
            <w:tcW w:w="1283" w:type="dxa"/>
            <w:vAlign w:val="center"/>
          </w:tcPr>
          <w:p w14:paraId="69BB96C1">
            <w:pPr>
              <w:widowControl w:val="0"/>
              <w:jc w:val="both"/>
              <w:rPr>
                <w:rFonts w:hint="eastAsia" w:eastAsia="宋体"/>
                <w:kern w:val="2"/>
                <w:sz w:val="21"/>
                <w:lang w:eastAsia="zh-CN"/>
              </w:rPr>
            </w:pPr>
          </w:p>
        </w:tc>
        <w:tc>
          <w:tcPr>
            <w:tcW w:w="1283" w:type="dxa"/>
            <w:vAlign w:val="center"/>
          </w:tcPr>
          <w:p w14:paraId="6AA148F8">
            <w:pPr>
              <w:widowControl w:val="0"/>
              <w:jc w:val="both"/>
              <w:rPr>
                <w:rFonts w:hint="eastAsia" w:eastAsia="宋体"/>
                <w:kern w:val="2"/>
                <w:sz w:val="21"/>
                <w:lang w:eastAsia="zh-CN"/>
              </w:rPr>
            </w:pPr>
          </w:p>
        </w:tc>
      </w:tr>
      <w:tr w14:paraId="4A6AB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12D2904B">
            <w:pPr>
              <w:widowControl w:val="0"/>
              <w:jc w:val="both"/>
              <w:rPr>
                <w:rFonts w:eastAsia="宋体"/>
                <w:kern w:val="2"/>
                <w:sz w:val="21"/>
                <w:lang w:eastAsia="zh-CN"/>
              </w:rPr>
            </w:pPr>
          </w:p>
        </w:tc>
        <w:tc>
          <w:tcPr>
            <w:tcW w:w="1222" w:type="dxa"/>
            <w:vMerge w:val="continue"/>
            <w:vAlign w:val="center"/>
          </w:tcPr>
          <w:p w14:paraId="5B0364E0">
            <w:pPr>
              <w:widowControl w:val="0"/>
              <w:jc w:val="both"/>
              <w:rPr>
                <w:rFonts w:eastAsia="宋体"/>
                <w:kern w:val="2"/>
                <w:sz w:val="21"/>
                <w:lang w:eastAsia="zh-CN"/>
              </w:rPr>
            </w:pPr>
          </w:p>
        </w:tc>
        <w:tc>
          <w:tcPr>
            <w:tcW w:w="3304" w:type="dxa"/>
            <w:vAlign w:val="center"/>
          </w:tcPr>
          <w:p w14:paraId="277BB10B">
            <w:pPr>
              <w:widowControl w:val="0"/>
              <w:jc w:val="both"/>
              <w:rPr>
                <w:rFonts w:eastAsia="宋体"/>
                <w:kern w:val="2"/>
                <w:sz w:val="21"/>
                <w:lang w:eastAsia="zh-CN"/>
              </w:rPr>
            </w:pPr>
            <w:r>
              <w:rPr>
                <w:rFonts w:hint="eastAsia" w:eastAsia="宋体"/>
                <w:kern w:val="2"/>
                <w:sz w:val="21"/>
                <w:lang w:eastAsia="zh-CN"/>
              </w:rPr>
              <w:t>1.1</w:t>
            </w:r>
            <w:r>
              <w:rPr>
                <w:rFonts w:eastAsia="宋体"/>
                <w:kern w:val="2"/>
                <w:sz w:val="21"/>
                <w:lang w:eastAsia="zh-CN"/>
              </w:rPr>
              <w:t>1</w:t>
            </w:r>
            <w:r>
              <w:rPr>
                <w:rFonts w:hint="eastAsia" w:eastAsia="宋体"/>
                <w:kern w:val="2"/>
                <w:sz w:val="21"/>
                <w:lang w:eastAsia="zh-CN"/>
              </w:rPr>
              <w:t>颜色、款式：根据采购人需求制定。制作前深化结构图报采购人书面确认。</w:t>
            </w:r>
          </w:p>
        </w:tc>
        <w:tc>
          <w:tcPr>
            <w:tcW w:w="2624" w:type="dxa"/>
            <w:vAlign w:val="center"/>
          </w:tcPr>
          <w:p w14:paraId="110CCF03">
            <w:pPr>
              <w:widowControl w:val="0"/>
              <w:jc w:val="both"/>
              <w:rPr>
                <w:rFonts w:hint="eastAsia" w:eastAsia="宋体"/>
                <w:kern w:val="2"/>
                <w:sz w:val="21"/>
                <w:lang w:eastAsia="zh-CN"/>
              </w:rPr>
            </w:pPr>
          </w:p>
        </w:tc>
        <w:tc>
          <w:tcPr>
            <w:tcW w:w="1283" w:type="dxa"/>
            <w:vAlign w:val="center"/>
          </w:tcPr>
          <w:p w14:paraId="68E3C1E1">
            <w:pPr>
              <w:widowControl w:val="0"/>
              <w:jc w:val="both"/>
              <w:rPr>
                <w:rFonts w:hint="eastAsia" w:eastAsia="宋体"/>
                <w:kern w:val="2"/>
                <w:sz w:val="21"/>
                <w:lang w:eastAsia="zh-CN"/>
              </w:rPr>
            </w:pPr>
          </w:p>
        </w:tc>
        <w:tc>
          <w:tcPr>
            <w:tcW w:w="1283" w:type="dxa"/>
            <w:vAlign w:val="center"/>
          </w:tcPr>
          <w:p w14:paraId="7176C325">
            <w:pPr>
              <w:widowControl w:val="0"/>
              <w:jc w:val="both"/>
              <w:rPr>
                <w:rFonts w:hint="eastAsia" w:eastAsia="宋体"/>
                <w:kern w:val="2"/>
                <w:sz w:val="21"/>
                <w:lang w:eastAsia="zh-CN"/>
              </w:rPr>
            </w:pPr>
          </w:p>
        </w:tc>
      </w:tr>
      <w:tr w14:paraId="5B03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Merge w:val="continue"/>
            <w:vAlign w:val="center"/>
          </w:tcPr>
          <w:p w14:paraId="05907735">
            <w:pPr>
              <w:widowControl w:val="0"/>
              <w:jc w:val="both"/>
              <w:rPr>
                <w:rFonts w:eastAsia="宋体"/>
                <w:kern w:val="2"/>
                <w:sz w:val="21"/>
                <w:lang w:eastAsia="zh-CN"/>
              </w:rPr>
            </w:pPr>
          </w:p>
        </w:tc>
        <w:tc>
          <w:tcPr>
            <w:tcW w:w="1222" w:type="dxa"/>
            <w:vMerge w:val="continue"/>
            <w:vAlign w:val="center"/>
          </w:tcPr>
          <w:p w14:paraId="2A406CD0">
            <w:pPr>
              <w:widowControl w:val="0"/>
              <w:jc w:val="both"/>
              <w:rPr>
                <w:rFonts w:eastAsia="宋体"/>
                <w:kern w:val="2"/>
                <w:sz w:val="21"/>
                <w:lang w:eastAsia="zh-CN"/>
              </w:rPr>
            </w:pPr>
          </w:p>
        </w:tc>
        <w:tc>
          <w:tcPr>
            <w:tcW w:w="3304" w:type="dxa"/>
            <w:vAlign w:val="center"/>
          </w:tcPr>
          <w:p w14:paraId="4953C05A">
            <w:pPr>
              <w:widowControl w:val="0"/>
              <w:jc w:val="both"/>
              <w:rPr>
                <w:rFonts w:eastAsia="宋体"/>
                <w:kern w:val="2"/>
                <w:sz w:val="21"/>
                <w:lang w:eastAsia="zh-CN"/>
              </w:rPr>
            </w:pPr>
            <w:r>
              <w:rPr>
                <w:rFonts w:hint="eastAsia" w:eastAsia="宋体"/>
                <w:kern w:val="2"/>
                <w:sz w:val="21"/>
                <w:lang w:eastAsia="zh-CN"/>
              </w:rPr>
              <w:t>1.1</w:t>
            </w:r>
            <w:r>
              <w:rPr>
                <w:rFonts w:eastAsia="宋体"/>
                <w:kern w:val="2"/>
                <w:sz w:val="21"/>
                <w:lang w:eastAsia="zh-CN"/>
              </w:rPr>
              <w:t>2</w:t>
            </w:r>
            <w:r>
              <w:rPr>
                <w:rFonts w:hint="eastAsia" w:eastAsia="宋体"/>
                <w:kern w:val="2"/>
                <w:sz w:val="21"/>
                <w:lang w:eastAsia="zh-CN"/>
              </w:rPr>
              <w:t xml:space="preserve"> 成品：符合GB/T 3324-</w:t>
            </w:r>
            <w:r>
              <w:rPr>
                <w:rFonts w:eastAsia="宋体"/>
                <w:kern w:val="2"/>
                <w:sz w:val="21"/>
                <w:lang w:eastAsia="zh-CN"/>
              </w:rPr>
              <w:t>2024</w:t>
            </w:r>
            <w:r>
              <w:rPr>
                <w:rFonts w:hint="eastAsia" w:eastAsia="宋体"/>
                <w:kern w:val="2"/>
                <w:sz w:val="21"/>
                <w:lang w:eastAsia="zh-CN"/>
              </w:rPr>
              <w:t>《木家具通用技术条件》、QB/T 2741-2013《学生公寓多功能家具》，同时甲醛释放量、苯、甲苯、二甲苯、总挥发性有机化合物（TVOC）符合 GB/T35607-2024《绿色产品评价家具》标准的绿色产品要求。</w:t>
            </w:r>
          </w:p>
        </w:tc>
        <w:tc>
          <w:tcPr>
            <w:tcW w:w="2624" w:type="dxa"/>
            <w:vAlign w:val="center"/>
          </w:tcPr>
          <w:p w14:paraId="3C682886">
            <w:pPr>
              <w:widowControl w:val="0"/>
              <w:jc w:val="both"/>
              <w:rPr>
                <w:rFonts w:hint="eastAsia" w:eastAsia="宋体"/>
                <w:kern w:val="2"/>
                <w:sz w:val="21"/>
                <w:lang w:eastAsia="zh-CN"/>
              </w:rPr>
            </w:pPr>
          </w:p>
        </w:tc>
        <w:tc>
          <w:tcPr>
            <w:tcW w:w="1283" w:type="dxa"/>
            <w:vAlign w:val="center"/>
          </w:tcPr>
          <w:p w14:paraId="65C09BF9">
            <w:pPr>
              <w:widowControl w:val="0"/>
              <w:jc w:val="both"/>
              <w:rPr>
                <w:rFonts w:hint="eastAsia" w:eastAsia="宋体"/>
                <w:kern w:val="2"/>
                <w:sz w:val="21"/>
                <w:lang w:eastAsia="zh-CN"/>
              </w:rPr>
            </w:pPr>
          </w:p>
        </w:tc>
        <w:tc>
          <w:tcPr>
            <w:tcW w:w="1283" w:type="dxa"/>
            <w:vAlign w:val="center"/>
          </w:tcPr>
          <w:p w14:paraId="389F4208">
            <w:pPr>
              <w:widowControl w:val="0"/>
              <w:jc w:val="both"/>
              <w:rPr>
                <w:rFonts w:hint="eastAsia" w:eastAsia="宋体"/>
                <w:kern w:val="2"/>
                <w:sz w:val="21"/>
                <w:lang w:eastAsia="zh-CN"/>
              </w:rPr>
            </w:pPr>
          </w:p>
        </w:tc>
      </w:tr>
      <w:tr w14:paraId="33E3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restart"/>
            <w:vAlign w:val="center"/>
          </w:tcPr>
          <w:p w14:paraId="2A062C7E">
            <w:pPr>
              <w:widowControl w:val="0"/>
              <w:jc w:val="center"/>
              <w:rPr>
                <w:rFonts w:eastAsia="宋体"/>
                <w:kern w:val="2"/>
                <w:sz w:val="21"/>
                <w:lang w:eastAsia="zh-CN"/>
              </w:rPr>
            </w:pPr>
            <w:r>
              <w:rPr>
                <w:rFonts w:hint="eastAsia" w:eastAsia="宋体"/>
                <w:kern w:val="2"/>
                <w:sz w:val="21"/>
                <w:lang w:eastAsia="zh-CN"/>
              </w:rPr>
              <w:t>2</w:t>
            </w:r>
          </w:p>
        </w:tc>
        <w:tc>
          <w:tcPr>
            <w:tcW w:w="1222" w:type="dxa"/>
            <w:vMerge w:val="restart"/>
            <w:vAlign w:val="center"/>
          </w:tcPr>
          <w:p w14:paraId="5C1F8F1D">
            <w:pPr>
              <w:widowControl w:val="0"/>
              <w:jc w:val="center"/>
              <w:rPr>
                <w:rFonts w:ascii="仿宋" w:hAnsi="仿宋" w:eastAsia="仿宋"/>
                <w:b/>
                <w:kern w:val="2"/>
                <w:sz w:val="21"/>
                <w:lang w:eastAsia="zh-CN"/>
              </w:rPr>
            </w:pPr>
            <w:r>
              <w:rPr>
                <w:rFonts w:hint="eastAsia" w:eastAsia="宋体"/>
                <w:kern w:val="2"/>
                <w:sz w:val="21"/>
                <w:lang w:eastAsia="zh-CN"/>
              </w:rPr>
              <w:t>楼梯柜</w:t>
            </w:r>
          </w:p>
        </w:tc>
        <w:tc>
          <w:tcPr>
            <w:tcW w:w="3304" w:type="dxa"/>
            <w:vAlign w:val="center"/>
          </w:tcPr>
          <w:p w14:paraId="19B07CDD">
            <w:pPr>
              <w:widowControl w:val="0"/>
              <w:jc w:val="both"/>
              <w:rPr>
                <w:rFonts w:ascii="仿宋" w:hAnsi="仿宋" w:eastAsia="仿宋"/>
                <w:kern w:val="2"/>
                <w:sz w:val="21"/>
                <w:lang w:eastAsia="zh-CN"/>
              </w:rPr>
            </w:pPr>
            <w:r>
              <w:rPr>
                <w:rFonts w:hint="eastAsia" w:eastAsia="宋体"/>
                <w:kern w:val="2"/>
                <w:sz w:val="21"/>
                <w:lang w:eastAsia="zh-CN"/>
              </w:rPr>
              <w:t>2.1 参考规格（mm）：</w:t>
            </w:r>
            <w:r>
              <w:rPr>
                <w:rFonts w:hint="eastAsia" w:eastAsia="宋体"/>
                <w:kern w:val="2"/>
                <w:sz w:val="21"/>
                <w:lang w:eastAsia="zh-CN"/>
              </w:rPr>
              <w:br w:type="textWrapping"/>
            </w:r>
            <w:r>
              <w:rPr>
                <w:rFonts w:hint="eastAsia" w:eastAsia="宋体"/>
                <w:kern w:val="2"/>
                <w:sz w:val="21"/>
                <w:lang w:eastAsia="zh-CN"/>
              </w:rPr>
              <w:t>W600*D940*H1460（根据现场安装需求尺寸调整）</w:t>
            </w:r>
          </w:p>
        </w:tc>
        <w:tc>
          <w:tcPr>
            <w:tcW w:w="2624" w:type="dxa"/>
            <w:vAlign w:val="center"/>
          </w:tcPr>
          <w:p w14:paraId="27CCCF5F">
            <w:pPr>
              <w:widowControl w:val="0"/>
              <w:jc w:val="both"/>
              <w:rPr>
                <w:rFonts w:hint="eastAsia" w:eastAsia="宋体"/>
                <w:kern w:val="2"/>
                <w:sz w:val="21"/>
                <w:lang w:eastAsia="zh-CN"/>
              </w:rPr>
            </w:pPr>
          </w:p>
        </w:tc>
        <w:tc>
          <w:tcPr>
            <w:tcW w:w="1283" w:type="dxa"/>
            <w:vAlign w:val="center"/>
          </w:tcPr>
          <w:p w14:paraId="33F4EE64">
            <w:pPr>
              <w:widowControl w:val="0"/>
              <w:jc w:val="both"/>
              <w:rPr>
                <w:rFonts w:hint="eastAsia" w:eastAsia="宋体"/>
                <w:kern w:val="2"/>
                <w:sz w:val="21"/>
                <w:lang w:eastAsia="zh-CN"/>
              </w:rPr>
            </w:pPr>
          </w:p>
        </w:tc>
        <w:tc>
          <w:tcPr>
            <w:tcW w:w="1283" w:type="dxa"/>
            <w:vAlign w:val="center"/>
          </w:tcPr>
          <w:p w14:paraId="121D1BC3">
            <w:pPr>
              <w:widowControl w:val="0"/>
              <w:jc w:val="both"/>
              <w:rPr>
                <w:rFonts w:hint="eastAsia" w:eastAsia="宋体"/>
                <w:kern w:val="2"/>
                <w:sz w:val="21"/>
                <w:lang w:eastAsia="zh-CN"/>
              </w:rPr>
            </w:pPr>
          </w:p>
        </w:tc>
      </w:tr>
      <w:tr w14:paraId="718CE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74B8CFFC">
            <w:pPr>
              <w:widowControl w:val="0"/>
              <w:jc w:val="both"/>
              <w:rPr>
                <w:rFonts w:eastAsia="宋体"/>
                <w:kern w:val="2"/>
                <w:sz w:val="21"/>
                <w:lang w:eastAsia="zh-CN"/>
              </w:rPr>
            </w:pPr>
          </w:p>
        </w:tc>
        <w:tc>
          <w:tcPr>
            <w:tcW w:w="1222" w:type="dxa"/>
            <w:vMerge w:val="continue"/>
            <w:vAlign w:val="center"/>
          </w:tcPr>
          <w:p w14:paraId="03064455">
            <w:pPr>
              <w:widowControl w:val="0"/>
              <w:jc w:val="both"/>
              <w:rPr>
                <w:rFonts w:eastAsia="宋体"/>
                <w:kern w:val="2"/>
                <w:sz w:val="21"/>
                <w:lang w:eastAsia="zh-CN"/>
              </w:rPr>
            </w:pPr>
          </w:p>
        </w:tc>
        <w:tc>
          <w:tcPr>
            <w:tcW w:w="3304" w:type="dxa"/>
            <w:vAlign w:val="center"/>
          </w:tcPr>
          <w:p w14:paraId="35147136">
            <w:pPr>
              <w:widowControl w:val="0"/>
              <w:jc w:val="both"/>
              <w:rPr>
                <w:rFonts w:eastAsia="宋体"/>
                <w:kern w:val="2"/>
                <w:sz w:val="21"/>
                <w:lang w:eastAsia="zh-CN"/>
              </w:rPr>
            </w:pPr>
            <w:r>
              <w:rPr>
                <w:rFonts w:hint="eastAsia" w:eastAsia="宋体"/>
                <w:kern w:val="2"/>
                <w:sz w:val="21"/>
                <w:lang w:eastAsia="zh-CN"/>
              </w:rPr>
              <w:t>2</w:t>
            </w:r>
            <w:r>
              <w:rPr>
                <w:rFonts w:eastAsia="宋体"/>
                <w:kern w:val="2"/>
                <w:sz w:val="21"/>
                <w:lang w:eastAsia="zh-CN"/>
              </w:rPr>
              <w:t xml:space="preserve">.2 </w:t>
            </w:r>
            <w:r>
              <w:rPr>
                <w:rFonts w:hint="eastAsia" w:eastAsia="宋体"/>
                <w:kern w:val="2"/>
                <w:sz w:val="21"/>
                <w:lang w:eastAsia="zh-CN"/>
              </w:rPr>
              <w:t>基材：采用E</w:t>
            </w:r>
            <w:r>
              <w:rPr>
                <w:rFonts w:eastAsia="宋体"/>
                <w:kern w:val="2"/>
                <w:sz w:val="21"/>
                <w:vertAlign w:val="subscript"/>
                <w:lang w:eastAsia="zh-CN"/>
              </w:rPr>
              <w:t>NF</w:t>
            </w:r>
            <w:r>
              <w:rPr>
                <w:rFonts w:hint="eastAsia" w:eastAsia="宋体"/>
                <w:kern w:val="2"/>
                <w:sz w:val="21"/>
                <w:lang w:eastAsia="zh-CN"/>
              </w:rPr>
              <w:t>级三聚氰胺浸渍纸双饰面胶合板制作，三聚氰胺饰面胶合板含水率、表面耐冷热循环，表面耐划痕，表面耐磨，表面耐干热，表面耐污染腐蚀，表面耐龟裂，表面耐水蒸气，耐光色牢度、胶合强度、表面胶合强度需符合 GB/T 34722-2017《浸渍胶膜纸饰面胶合板和细木工板》，挥发性有机化合物（7d）：苯、甲苯、二甲苯、总挥发性有机化合物(TVOC）需符合 GB/T 35601-2024《绿色产品评价人造板和木质地板》绿色标杆产品要求。顶板、侧板与背板厚≥25mm，其余全部板材厚≥18mm。经防潮、防腐、防虫等处理。甲醛释放量达到 E</w:t>
            </w:r>
            <w:r>
              <w:rPr>
                <w:rFonts w:eastAsia="宋体"/>
                <w:kern w:val="2"/>
                <w:sz w:val="21"/>
                <w:vertAlign w:val="subscript"/>
                <w:lang w:eastAsia="zh-CN"/>
              </w:rPr>
              <w:t>NF</w:t>
            </w:r>
            <w:r>
              <w:rPr>
                <w:rFonts w:hint="eastAsia" w:eastAsia="宋体"/>
                <w:kern w:val="2"/>
                <w:sz w:val="21"/>
                <w:lang w:eastAsia="zh-CN"/>
              </w:rPr>
              <w:t>排放标准。ABS 激光封边处理，ABS 激光封边条耐干热性，耐磨性，耐开裂性（耐龟裂性），耐老化性，耐冷热循环性，耐光色牢度；甲醛释放量、氯乙烯单体、可迁移元素（可溶性重金属）的铅、镉、铬、汞、砷、锑、钡、硒；邻苯二甲酸酯的总量（DBP、 BBP、DEHP、DNOP、DINP 和DIDP），多溴联苯、多溴联苯醚，以上均需符合 QB/T 4463- 2013《家具用封边条技术要求》，封边厚度≥1mm，所有板材四边均需封边。楼梯柜底部采用 6根钢制架 25mm*25mm*1.2mm厚方管结构制作，钢管符合国标GB/T 3325-2024要求。表面焊接口平衡光滑，表面经除油，酸洗去锈、磷化，环氧树脂静电粉末高温固化而成。钢制架底部需配有防滑脚垫。</w:t>
            </w:r>
          </w:p>
        </w:tc>
        <w:tc>
          <w:tcPr>
            <w:tcW w:w="2624" w:type="dxa"/>
            <w:vAlign w:val="center"/>
          </w:tcPr>
          <w:p w14:paraId="418DB2D8">
            <w:pPr>
              <w:widowControl w:val="0"/>
              <w:jc w:val="both"/>
              <w:rPr>
                <w:rFonts w:hint="eastAsia" w:eastAsia="宋体"/>
                <w:kern w:val="2"/>
                <w:sz w:val="21"/>
                <w:lang w:eastAsia="zh-CN"/>
              </w:rPr>
            </w:pPr>
          </w:p>
        </w:tc>
        <w:tc>
          <w:tcPr>
            <w:tcW w:w="1283" w:type="dxa"/>
            <w:vAlign w:val="center"/>
          </w:tcPr>
          <w:p w14:paraId="24C8DACA">
            <w:pPr>
              <w:widowControl w:val="0"/>
              <w:jc w:val="both"/>
              <w:rPr>
                <w:rFonts w:hint="eastAsia" w:eastAsia="宋体"/>
                <w:kern w:val="2"/>
                <w:sz w:val="21"/>
                <w:lang w:eastAsia="zh-CN"/>
              </w:rPr>
            </w:pPr>
          </w:p>
        </w:tc>
        <w:tc>
          <w:tcPr>
            <w:tcW w:w="1283" w:type="dxa"/>
            <w:vAlign w:val="center"/>
          </w:tcPr>
          <w:p w14:paraId="4120BA6C">
            <w:pPr>
              <w:widowControl w:val="0"/>
              <w:jc w:val="both"/>
              <w:rPr>
                <w:rFonts w:hint="eastAsia" w:eastAsia="宋体"/>
                <w:kern w:val="2"/>
                <w:sz w:val="21"/>
                <w:lang w:eastAsia="zh-CN"/>
              </w:rPr>
            </w:pPr>
          </w:p>
        </w:tc>
      </w:tr>
      <w:tr w14:paraId="135B6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60BC20A4">
            <w:pPr>
              <w:widowControl w:val="0"/>
              <w:jc w:val="both"/>
              <w:rPr>
                <w:rFonts w:eastAsia="宋体"/>
                <w:kern w:val="2"/>
                <w:sz w:val="21"/>
                <w:lang w:eastAsia="zh-CN"/>
              </w:rPr>
            </w:pPr>
          </w:p>
        </w:tc>
        <w:tc>
          <w:tcPr>
            <w:tcW w:w="1222" w:type="dxa"/>
            <w:vMerge w:val="continue"/>
            <w:vAlign w:val="center"/>
          </w:tcPr>
          <w:p w14:paraId="2F1D31FE">
            <w:pPr>
              <w:widowControl w:val="0"/>
              <w:jc w:val="both"/>
              <w:rPr>
                <w:rFonts w:eastAsia="宋体"/>
                <w:kern w:val="2"/>
                <w:sz w:val="21"/>
                <w:lang w:eastAsia="zh-CN"/>
              </w:rPr>
            </w:pPr>
          </w:p>
        </w:tc>
        <w:tc>
          <w:tcPr>
            <w:tcW w:w="3304" w:type="dxa"/>
            <w:vAlign w:val="center"/>
          </w:tcPr>
          <w:p w14:paraId="2A103662">
            <w:pPr>
              <w:widowControl w:val="0"/>
              <w:jc w:val="both"/>
              <w:rPr>
                <w:rFonts w:eastAsia="宋体"/>
                <w:kern w:val="2"/>
                <w:sz w:val="21"/>
                <w:lang w:eastAsia="zh-CN"/>
              </w:rPr>
            </w:pPr>
            <w:r>
              <w:rPr>
                <w:rFonts w:hint="eastAsia" w:eastAsia="宋体"/>
                <w:kern w:val="2"/>
                <w:sz w:val="21"/>
                <w:lang w:eastAsia="zh-CN"/>
              </w:rPr>
              <w:t>2.3 五金配件：三节静音阻尼导轨，阻尼导轨过载：垂直向下静载荷，水平侧向静载荷，猛关或猛开；功能：抽屉导轨组件结构强度，抽屉导轨组件底部变形，操作力，垂直向下静载荷，水平侧向静载荷，拉出安全性，下沉量，猛关或猛开；耐久性（试验次数≥80000次）需符合 QB/T 2454-2013《家具五金抽屉导轨》标准商用要求；中性盐雾试验（≥120h）需符合 QB/T 3826-1999《轻工产品金属镀层和化学处理层的耐腐蚀试验方法中性盐雾试验(NSS)法》，QB/T 3832 -1999《轻工产品金属镀层腐蚀试验结果的评价》，检测结果达到 9 级或以上，三合一连接件的孔位贴防潮防水装饰盖。</w:t>
            </w:r>
          </w:p>
        </w:tc>
        <w:tc>
          <w:tcPr>
            <w:tcW w:w="2624" w:type="dxa"/>
            <w:vAlign w:val="center"/>
          </w:tcPr>
          <w:p w14:paraId="6C3D442F">
            <w:pPr>
              <w:widowControl w:val="0"/>
              <w:jc w:val="both"/>
              <w:rPr>
                <w:rFonts w:hint="eastAsia" w:eastAsia="宋体"/>
                <w:kern w:val="2"/>
                <w:sz w:val="21"/>
                <w:lang w:eastAsia="zh-CN"/>
              </w:rPr>
            </w:pPr>
          </w:p>
        </w:tc>
        <w:tc>
          <w:tcPr>
            <w:tcW w:w="1283" w:type="dxa"/>
            <w:vAlign w:val="center"/>
          </w:tcPr>
          <w:p w14:paraId="56350AF2">
            <w:pPr>
              <w:widowControl w:val="0"/>
              <w:jc w:val="both"/>
              <w:rPr>
                <w:rFonts w:hint="eastAsia" w:eastAsia="宋体"/>
                <w:kern w:val="2"/>
                <w:sz w:val="21"/>
                <w:lang w:eastAsia="zh-CN"/>
              </w:rPr>
            </w:pPr>
          </w:p>
        </w:tc>
        <w:tc>
          <w:tcPr>
            <w:tcW w:w="1283" w:type="dxa"/>
            <w:vAlign w:val="center"/>
          </w:tcPr>
          <w:p w14:paraId="70018879">
            <w:pPr>
              <w:widowControl w:val="0"/>
              <w:jc w:val="both"/>
              <w:rPr>
                <w:rFonts w:hint="eastAsia" w:eastAsia="宋体"/>
                <w:kern w:val="2"/>
                <w:sz w:val="21"/>
                <w:lang w:eastAsia="zh-CN"/>
              </w:rPr>
            </w:pPr>
          </w:p>
        </w:tc>
      </w:tr>
      <w:tr w14:paraId="38F3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60604581">
            <w:pPr>
              <w:widowControl w:val="0"/>
              <w:jc w:val="both"/>
              <w:rPr>
                <w:rFonts w:eastAsia="宋体"/>
                <w:kern w:val="2"/>
                <w:sz w:val="21"/>
                <w:lang w:eastAsia="zh-CN"/>
              </w:rPr>
            </w:pPr>
          </w:p>
        </w:tc>
        <w:tc>
          <w:tcPr>
            <w:tcW w:w="1222" w:type="dxa"/>
            <w:vMerge w:val="continue"/>
            <w:vAlign w:val="center"/>
          </w:tcPr>
          <w:p w14:paraId="48CC1B7E">
            <w:pPr>
              <w:widowControl w:val="0"/>
              <w:jc w:val="both"/>
              <w:rPr>
                <w:rFonts w:eastAsia="宋体"/>
                <w:kern w:val="2"/>
                <w:sz w:val="21"/>
                <w:lang w:eastAsia="zh-CN"/>
              </w:rPr>
            </w:pPr>
          </w:p>
        </w:tc>
        <w:tc>
          <w:tcPr>
            <w:tcW w:w="3304" w:type="dxa"/>
            <w:vAlign w:val="center"/>
          </w:tcPr>
          <w:p w14:paraId="5EC05000">
            <w:pPr>
              <w:widowControl w:val="0"/>
              <w:jc w:val="both"/>
              <w:rPr>
                <w:rFonts w:eastAsia="宋体"/>
                <w:kern w:val="2"/>
                <w:sz w:val="21"/>
                <w:lang w:eastAsia="zh-CN"/>
              </w:rPr>
            </w:pPr>
            <w:r>
              <w:rPr>
                <w:rFonts w:hint="eastAsia" w:eastAsia="宋体"/>
                <w:kern w:val="2"/>
                <w:sz w:val="21"/>
                <w:lang w:eastAsia="zh-CN"/>
              </w:rPr>
              <w:t>2.4 工艺结构：楼梯台阶面板做防滑处理，楼梯台阶配置抽屉，抽屉面板带斜边工艺。内置可储存物品。</w:t>
            </w:r>
          </w:p>
        </w:tc>
        <w:tc>
          <w:tcPr>
            <w:tcW w:w="2624" w:type="dxa"/>
            <w:vAlign w:val="center"/>
          </w:tcPr>
          <w:p w14:paraId="1D129DF3">
            <w:pPr>
              <w:widowControl w:val="0"/>
              <w:jc w:val="both"/>
              <w:rPr>
                <w:rFonts w:hint="eastAsia" w:eastAsia="宋体"/>
                <w:kern w:val="2"/>
                <w:sz w:val="21"/>
                <w:lang w:eastAsia="zh-CN"/>
              </w:rPr>
            </w:pPr>
          </w:p>
        </w:tc>
        <w:tc>
          <w:tcPr>
            <w:tcW w:w="1283" w:type="dxa"/>
            <w:vAlign w:val="center"/>
          </w:tcPr>
          <w:p w14:paraId="5E889509">
            <w:pPr>
              <w:widowControl w:val="0"/>
              <w:jc w:val="both"/>
              <w:rPr>
                <w:rFonts w:hint="eastAsia" w:eastAsia="宋体"/>
                <w:kern w:val="2"/>
                <w:sz w:val="21"/>
                <w:lang w:eastAsia="zh-CN"/>
              </w:rPr>
            </w:pPr>
          </w:p>
        </w:tc>
        <w:tc>
          <w:tcPr>
            <w:tcW w:w="1283" w:type="dxa"/>
            <w:vAlign w:val="center"/>
          </w:tcPr>
          <w:p w14:paraId="25A2CBF4">
            <w:pPr>
              <w:widowControl w:val="0"/>
              <w:jc w:val="both"/>
              <w:rPr>
                <w:rFonts w:hint="eastAsia" w:eastAsia="宋体"/>
                <w:kern w:val="2"/>
                <w:sz w:val="21"/>
                <w:lang w:eastAsia="zh-CN"/>
              </w:rPr>
            </w:pPr>
          </w:p>
        </w:tc>
      </w:tr>
      <w:tr w14:paraId="108E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7EB48D93">
            <w:pPr>
              <w:widowControl w:val="0"/>
              <w:jc w:val="both"/>
              <w:rPr>
                <w:rFonts w:eastAsia="宋体"/>
                <w:kern w:val="2"/>
                <w:sz w:val="21"/>
                <w:lang w:eastAsia="zh-CN"/>
              </w:rPr>
            </w:pPr>
          </w:p>
        </w:tc>
        <w:tc>
          <w:tcPr>
            <w:tcW w:w="1222" w:type="dxa"/>
            <w:vMerge w:val="continue"/>
            <w:vAlign w:val="center"/>
          </w:tcPr>
          <w:p w14:paraId="27D71519">
            <w:pPr>
              <w:widowControl w:val="0"/>
              <w:jc w:val="both"/>
              <w:rPr>
                <w:rFonts w:eastAsia="宋体"/>
                <w:kern w:val="2"/>
                <w:sz w:val="21"/>
                <w:lang w:eastAsia="zh-CN"/>
              </w:rPr>
            </w:pPr>
          </w:p>
        </w:tc>
        <w:tc>
          <w:tcPr>
            <w:tcW w:w="3304" w:type="dxa"/>
            <w:vAlign w:val="center"/>
          </w:tcPr>
          <w:p w14:paraId="1ECBFF62">
            <w:pPr>
              <w:widowControl w:val="0"/>
              <w:jc w:val="both"/>
              <w:rPr>
                <w:rFonts w:eastAsia="宋体"/>
                <w:kern w:val="2"/>
                <w:sz w:val="21"/>
                <w:lang w:eastAsia="zh-CN"/>
              </w:rPr>
            </w:pPr>
            <w:r>
              <w:rPr>
                <w:rFonts w:hint="eastAsia" w:eastAsia="宋体"/>
                <w:kern w:val="2"/>
                <w:sz w:val="21"/>
                <w:lang w:eastAsia="zh-CN"/>
              </w:rPr>
              <w:t>2.5 颜色、款式：根据采购人需求制定。制作前深化结构图报采购人书面确认。</w:t>
            </w:r>
          </w:p>
        </w:tc>
        <w:tc>
          <w:tcPr>
            <w:tcW w:w="2624" w:type="dxa"/>
            <w:vAlign w:val="center"/>
          </w:tcPr>
          <w:p w14:paraId="4FDB8EC0">
            <w:pPr>
              <w:widowControl w:val="0"/>
              <w:jc w:val="both"/>
              <w:rPr>
                <w:rFonts w:hint="eastAsia" w:eastAsia="宋体"/>
                <w:kern w:val="2"/>
                <w:sz w:val="21"/>
                <w:lang w:eastAsia="zh-CN"/>
              </w:rPr>
            </w:pPr>
          </w:p>
        </w:tc>
        <w:tc>
          <w:tcPr>
            <w:tcW w:w="1283" w:type="dxa"/>
            <w:vAlign w:val="center"/>
          </w:tcPr>
          <w:p w14:paraId="2A62AE62">
            <w:pPr>
              <w:widowControl w:val="0"/>
              <w:jc w:val="both"/>
              <w:rPr>
                <w:rFonts w:hint="eastAsia" w:eastAsia="宋体"/>
                <w:kern w:val="2"/>
                <w:sz w:val="21"/>
                <w:lang w:eastAsia="zh-CN"/>
              </w:rPr>
            </w:pPr>
          </w:p>
        </w:tc>
        <w:tc>
          <w:tcPr>
            <w:tcW w:w="1283" w:type="dxa"/>
            <w:vAlign w:val="center"/>
          </w:tcPr>
          <w:p w14:paraId="4F466D53">
            <w:pPr>
              <w:widowControl w:val="0"/>
              <w:jc w:val="both"/>
              <w:rPr>
                <w:rFonts w:hint="eastAsia" w:eastAsia="宋体"/>
                <w:kern w:val="2"/>
                <w:sz w:val="21"/>
                <w:lang w:eastAsia="zh-CN"/>
              </w:rPr>
            </w:pPr>
          </w:p>
        </w:tc>
      </w:tr>
      <w:tr w14:paraId="4B54F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63EF6FB7">
            <w:pPr>
              <w:widowControl w:val="0"/>
              <w:jc w:val="both"/>
              <w:rPr>
                <w:rFonts w:eastAsia="宋体"/>
                <w:kern w:val="2"/>
                <w:sz w:val="21"/>
                <w:lang w:eastAsia="zh-CN"/>
              </w:rPr>
            </w:pPr>
          </w:p>
        </w:tc>
        <w:tc>
          <w:tcPr>
            <w:tcW w:w="1222" w:type="dxa"/>
            <w:vMerge w:val="continue"/>
            <w:vAlign w:val="center"/>
          </w:tcPr>
          <w:p w14:paraId="21C1676B">
            <w:pPr>
              <w:widowControl w:val="0"/>
              <w:jc w:val="both"/>
              <w:rPr>
                <w:rFonts w:eastAsia="宋体"/>
                <w:kern w:val="2"/>
                <w:sz w:val="21"/>
                <w:lang w:eastAsia="zh-CN"/>
              </w:rPr>
            </w:pPr>
          </w:p>
        </w:tc>
        <w:tc>
          <w:tcPr>
            <w:tcW w:w="3304" w:type="dxa"/>
            <w:vAlign w:val="center"/>
          </w:tcPr>
          <w:p w14:paraId="2969ADC6">
            <w:pPr>
              <w:widowControl w:val="0"/>
              <w:jc w:val="both"/>
              <w:rPr>
                <w:rFonts w:eastAsia="宋体"/>
                <w:kern w:val="2"/>
                <w:sz w:val="21"/>
                <w:lang w:eastAsia="zh-CN"/>
              </w:rPr>
            </w:pPr>
            <w:r>
              <w:rPr>
                <w:rFonts w:hint="eastAsia" w:eastAsia="宋体"/>
                <w:kern w:val="2"/>
                <w:sz w:val="21"/>
                <w:lang w:eastAsia="zh-CN"/>
              </w:rPr>
              <w:t>2.6 成品：符合 QB/T 2741-2013《学生公寓多功能家具》GB/T 3324-</w:t>
            </w:r>
            <w:r>
              <w:rPr>
                <w:rFonts w:eastAsia="宋体"/>
                <w:kern w:val="2"/>
                <w:sz w:val="21"/>
                <w:lang w:eastAsia="zh-CN"/>
              </w:rPr>
              <w:t>2024</w:t>
            </w:r>
            <w:r>
              <w:rPr>
                <w:rFonts w:hint="eastAsia" w:eastAsia="宋体"/>
                <w:kern w:val="2"/>
                <w:sz w:val="21"/>
                <w:lang w:eastAsia="zh-CN"/>
              </w:rPr>
              <w:t>《木家具通用技术条件》，同时甲醛释放量、苯、甲苯、二甲苯、总挥发性有机化合物（TVOC）符合 GB/T35607-2024《绿色产品评价家具》标准的绿色产品要求。</w:t>
            </w:r>
          </w:p>
        </w:tc>
        <w:tc>
          <w:tcPr>
            <w:tcW w:w="2624" w:type="dxa"/>
            <w:vAlign w:val="center"/>
          </w:tcPr>
          <w:p w14:paraId="7242133C">
            <w:pPr>
              <w:widowControl w:val="0"/>
              <w:jc w:val="both"/>
              <w:rPr>
                <w:rFonts w:hint="eastAsia" w:eastAsia="宋体"/>
                <w:kern w:val="2"/>
                <w:sz w:val="21"/>
                <w:lang w:eastAsia="zh-CN"/>
              </w:rPr>
            </w:pPr>
          </w:p>
        </w:tc>
        <w:tc>
          <w:tcPr>
            <w:tcW w:w="1283" w:type="dxa"/>
            <w:vAlign w:val="center"/>
          </w:tcPr>
          <w:p w14:paraId="50420CFB">
            <w:pPr>
              <w:widowControl w:val="0"/>
              <w:jc w:val="both"/>
              <w:rPr>
                <w:rFonts w:hint="eastAsia" w:eastAsia="宋体"/>
                <w:kern w:val="2"/>
                <w:sz w:val="21"/>
                <w:lang w:eastAsia="zh-CN"/>
              </w:rPr>
            </w:pPr>
          </w:p>
        </w:tc>
        <w:tc>
          <w:tcPr>
            <w:tcW w:w="1283" w:type="dxa"/>
            <w:vAlign w:val="center"/>
          </w:tcPr>
          <w:p w14:paraId="10050E8E">
            <w:pPr>
              <w:widowControl w:val="0"/>
              <w:jc w:val="both"/>
              <w:rPr>
                <w:rFonts w:hint="eastAsia" w:eastAsia="宋体"/>
                <w:kern w:val="2"/>
                <w:sz w:val="21"/>
                <w:lang w:eastAsia="zh-CN"/>
              </w:rPr>
            </w:pPr>
          </w:p>
        </w:tc>
      </w:tr>
      <w:tr w14:paraId="27C9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Merge w:val="restart"/>
            <w:vAlign w:val="center"/>
          </w:tcPr>
          <w:p w14:paraId="2E99C1B4">
            <w:pPr>
              <w:widowControl w:val="0"/>
              <w:jc w:val="center"/>
              <w:rPr>
                <w:rFonts w:eastAsia="宋体"/>
                <w:kern w:val="2"/>
                <w:sz w:val="21"/>
                <w:lang w:eastAsia="zh-CN"/>
              </w:rPr>
            </w:pPr>
            <w:r>
              <w:rPr>
                <w:rFonts w:hint="eastAsia" w:eastAsia="宋体"/>
                <w:kern w:val="2"/>
                <w:sz w:val="21"/>
                <w:lang w:eastAsia="zh-CN"/>
              </w:rPr>
              <w:t>3</w:t>
            </w:r>
          </w:p>
        </w:tc>
        <w:tc>
          <w:tcPr>
            <w:tcW w:w="1222" w:type="dxa"/>
            <w:vMerge w:val="restart"/>
            <w:vAlign w:val="center"/>
          </w:tcPr>
          <w:p w14:paraId="4FFB2B6F">
            <w:pPr>
              <w:widowControl w:val="0"/>
              <w:jc w:val="center"/>
              <w:rPr>
                <w:rFonts w:ascii="仿宋" w:hAnsi="仿宋" w:eastAsia="仿宋"/>
                <w:b/>
                <w:kern w:val="2"/>
                <w:sz w:val="21"/>
                <w:lang w:eastAsia="zh-CN"/>
              </w:rPr>
            </w:pPr>
            <w:r>
              <w:rPr>
                <w:rFonts w:hint="eastAsia" w:eastAsia="宋体"/>
                <w:kern w:val="2"/>
                <w:sz w:val="21"/>
                <w:lang w:eastAsia="zh-CN"/>
              </w:rPr>
              <w:t>组合书桌+衣柜</w:t>
            </w:r>
          </w:p>
        </w:tc>
        <w:tc>
          <w:tcPr>
            <w:tcW w:w="3304" w:type="dxa"/>
            <w:vAlign w:val="center"/>
          </w:tcPr>
          <w:p w14:paraId="206484BB">
            <w:pPr>
              <w:widowControl w:val="0"/>
              <w:jc w:val="both"/>
              <w:rPr>
                <w:rFonts w:ascii="仿宋" w:hAnsi="仿宋" w:eastAsia="仿宋"/>
                <w:kern w:val="2"/>
                <w:sz w:val="21"/>
                <w:lang w:eastAsia="zh-CN"/>
              </w:rPr>
            </w:pPr>
            <w:r>
              <w:rPr>
                <w:rFonts w:hint="eastAsia" w:eastAsia="宋体"/>
                <w:kern w:val="2"/>
                <w:sz w:val="21"/>
                <w:lang w:eastAsia="zh-CN"/>
              </w:rPr>
              <w:t>3.1 参考规格（mm）：</w:t>
            </w:r>
            <w:r>
              <w:rPr>
                <w:rFonts w:hint="eastAsia" w:eastAsia="宋体"/>
                <w:kern w:val="2"/>
                <w:sz w:val="21"/>
                <w:lang w:eastAsia="zh-CN"/>
              </w:rPr>
              <w:br w:type="textWrapping"/>
            </w:r>
            <w:r>
              <w:rPr>
                <w:rFonts w:hint="eastAsia" w:eastAsia="宋体"/>
                <w:kern w:val="2"/>
                <w:sz w:val="21"/>
                <w:lang w:eastAsia="zh-CN"/>
              </w:rPr>
              <w:t>书桌：W1400*D600*H750</w:t>
            </w:r>
            <w:r>
              <w:rPr>
                <w:rFonts w:hint="eastAsia" w:eastAsia="宋体"/>
                <w:kern w:val="2"/>
                <w:sz w:val="21"/>
                <w:lang w:eastAsia="zh-CN"/>
              </w:rPr>
              <w:br w:type="textWrapping"/>
            </w:r>
            <w:r>
              <w:rPr>
                <w:rFonts w:hint="eastAsia" w:eastAsia="宋体"/>
                <w:kern w:val="2"/>
                <w:sz w:val="21"/>
                <w:lang w:eastAsia="zh-CN"/>
              </w:rPr>
              <w:t>书桌柜：W1400*D300*H930衣柜：W550*D620*H1680</w:t>
            </w:r>
            <w:r>
              <w:rPr>
                <w:rFonts w:hint="eastAsia" w:eastAsia="宋体"/>
                <w:kern w:val="2"/>
                <w:sz w:val="21"/>
                <w:lang w:eastAsia="zh-CN"/>
              </w:rPr>
              <w:br w:type="textWrapping"/>
            </w:r>
            <w:r>
              <w:rPr>
                <w:rFonts w:hint="eastAsia" w:eastAsia="宋体"/>
                <w:kern w:val="2"/>
                <w:sz w:val="21"/>
                <w:lang w:eastAsia="zh-CN"/>
              </w:rPr>
              <w:t>（根据现场安装需求尺寸调整）</w:t>
            </w:r>
          </w:p>
        </w:tc>
        <w:tc>
          <w:tcPr>
            <w:tcW w:w="2624" w:type="dxa"/>
            <w:vAlign w:val="center"/>
          </w:tcPr>
          <w:p w14:paraId="5A267380">
            <w:pPr>
              <w:widowControl w:val="0"/>
              <w:jc w:val="both"/>
              <w:rPr>
                <w:rFonts w:hint="eastAsia" w:eastAsia="宋体"/>
                <w:kern w:val="2"/>
                <w:sz w:val="21"/>
                <w:lang w:eastAsia="zh-CN"/>
              </w:rPr>
            </w:pPr>
          </w:p>
        </w:tc>
        <w:tc>
          <w:tcPr>
            <w:tcW w:w="1283" w:type="dxa"/>
            <w:vAlign w:val="center"/>
          </w:tcPr>
          <w:p w14:paraId="2FD5FDB2">
            <w:pPr>
              <w:widowControl w:val="0"/>
              <w:jc w:val="both"/>
              <w:rPr>
                <w:rFonts w:hint="eastAsia" w:eastAsia="宋体"/>
                <w:kern w:val="2"/>
                <w:sz w:val="21"/>
                <w:lang w:eastAsia="zh-CN"/>
              </w:rPr>
            </w:pPr>
          </w:p>
        </w:tc>
        <w:tc>
          <w:tcPr>
            <w:tcW w:w="1283" w:type="dxa"/>
            <w:vAlign w:val="center"/>
          </w:tcPr>
          <w:p w14:paraId="41E4D33E">
            <w:pPr>
              <w:widowControl w:val="0"/>
              <w:jc w:val="both"/>
              <w:rPr>
                <w:rFonts w:hint="eastAsia" w:eastAsia="宋体"/>
                <w:kern w:val="2"/>
                <w:sz w:val="21"/>
                <w:lang w:eastAsia="zh-CN"/>
              </w:rPr>
            </w:pPr>
          </w:p>
        </w:tc>
      </w:tr>
      <w:tr w14:paraId="31EB0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54CEBA65">
            <w:pPr>
              <w:widowControl w:val="0"/>
              <w:jc w:val="both"/>
              <w:rPr>
                <w:rFonts w:eastAsia="宋体"/>
                <w:kern w:val="2"/>
                <w:sz w:val="21"/>
                <w:lang w:eastAsia="zh-CN"/>
              </w:rPr>
            </w:pPr>
          </w:p>
        </w:tc>
        <w:tc>
          <w:tcPr>
            <w:tcW w:w="1222" w:type="dxa"/>
            <w:vMerge w:val="continue"/>
            <w:vAlign w:val="center"/>
          </w:tcPr>
          <w:p w14:paraId="1A59F0EE">
            <w:pPr>
              <w:widowControl w:val="0"/>
              <w:jc w:val="both"/>
              <w:rPr>
                <w:rFonts w:eastAsia="宋体"/>
                <w:kern w:val="2"/>
                <w:sz w:val="21"/>
                <w:lang w:eastAsia="zh-CN"/>
              </w:rPr>
            </w:pPr>
          </w:p>
        </w:tc>
        <w:tc>
          <w:tcPr>
            <w:tcW w:w="3304" w:type="dxa"/>
            <w:vAlign w:val="center"/>
          </w:tcPr>
          <w:p w14:paraId="74109146">
            <w:pPr>
              <w:widowControl w:val="0"/>
              <w:jc w:val="both"/>
              <w:rPr>
                <w:rFonts w:eastAsia="宋体"/>
                <w:kern w:val="2"/>
                <w:sz w:val="21"/>
                <w:lang w:eastAsia="zh-CN"/>
              </w:rPr>
            </w:pPr>
            <w:r>
              <w:rPr>
                <w:rFonts w:hint="eastAsia" w:eastAsia="宋体"/>
                <w:kern w:val="2"/>
                <w:sz w:val="21"/>
                <w:lang w:eastAsia="zh-CN"/>
              </w:rPr>
              <w:t>3.2基材：采用E</w:t>
            </w:r>
            <w:r>
              <w:rPr>
                <w:rFonts w:eastAsia="宋体"/>
                <w:kern w:val="2"/>
                <w:sz w:val="21"/>
                <w:vertAlign w:val="subscript"/>
                <w:lang w:eastAsia="zh-CN"/>
              </w:rPr>
              <w:t>NF</w:t>
            </w:r>
            <w:r>
              <w:rPr>
                <w:rFonts w:hint="eastAsia" w:eastAsia="宋体"/>
                <w:kern w:val="2"/>
                <w:sz w:val="21"/>
                <w:lang w:eastAsia="zh-CN"/>
              </w:rPr>
              <w:t>级三聚氰胺浸渍纸双饰面胶合板制作，三聚氰胺饰面胶合板含水率、表面耐冷热循环，表面耐划痕，表面耐磨，表面耐干热，表面耐污染腐蚀，表面耐龟裂，表面耐水蒸气，耐光色牢度、胶合强度、表面胶合强度需符合GB/T 34722-2017《浸渍胶膜纸饰面胶合板和细木工板》，挥发性有机化合物（7d）：苯、甲苯、二甲苯、总挥发性有机化合物(TVOC）需符合 GB/T 35601-2024《绿色产品评价人造板和木质地板》绿色标杆产品要求。台面厚≥ 25mm，背板、抽屉底板厚≥9mm。书桌桌上挡条及桌下挡板厚≥15mm，桌下挡板高度 300mm。其他全部用板厚度≥18mm，经防潮、防腐、防虫等处理。甲醛释放量达到E</w:t>
            </w:r>
            <w:r>
              <w:rPr>
                <w:rFonts w:eastAsia="宋体"/>
                <w:kern w:val="2"/>
                <w:sz w:val="21"/>
                <w:vertAlign w:val="subscript"/>
                <w:lang w:eastAsia="zh-CN"/>
              </w:rPr>
              <w:t>NF</w:t>
            </w:r>
            <w:r>
              <w:rPr>
                <w:rFonts w:hint="eastAsia" w:eastAsia="宋体"/>
                <w:kern w:val="2"/>
                <w:sz w:val="21"/>
                <w:lang w:eastAsia="zh-CN"/>
              </w:rPr>
              <w:t>级排放标准。ABS 激光封边工艺，ABS 激光封边条耐干热性，耐磨性，耐开裂性（耐龟裂性），耐老化性，耐冷热循环性，耐光色牢 度；甲醛释放量、氯乙烯单体、可迁移元素（可溶性重金属）的铅、镉、铬、汞、砷、锑、钡、硒；邻苯二甲酸酯的总量（DBP、 BBP、DEHP、DNOP、DINP 和DIDP），多溴联苯、多溴联苯醚，以上均需符合 QB/T 4463- 2013《家具用封边条技术要求》,封边厚度≥1mm，所有板材四边均需封边。</w:t>
            </w:r>
          </w:p>
        </w:tc>
        <w:tc>
          <w:tcPr>
            <w:tcW w:w="2624" w:type="dxa"/>
            <w:vAlign w:val="center"/>
          </w:tcPr>
          <w:p w14:paraId="7B19AA5C">
            <w:pPr>
              <w:widowControl w:val="0"/>
              <w:jc w:val="both"/>
              <w:rPr>
                <w:rFonts w:hint="eastAsia" w:eastAsia="宋体"/>
                <w:kern w:val="2"/>
                <w:sz w:val="21"/>
                <w:lang w:eastAsia="zh-CN"/>
              </w:rPr>
            </w:pPr>
          </w:p>
        </w:tc>
        <w:tc>
          <w:tcPr>
            <w:tcW w:w="1283" w:type="dxa"/>
            <w:vAlign w:val="center"/>
          </w:tcPr>
          <w:p w14:paraId="00D41500">
            <w:pPr>
              <w:widowControl w:val="0"/>
              <w:jc w:val="both"/>
              <w:rPr>
                <w:rFonts w:hint="eastAsia" w:eastAsia="宋体"/>
                <w:kern w:val="2"/>
                <w:sz w:val="21"/>
                <w:lang w:eastAsia="zh-CN"/>
              </w:rPr>
            </w:pPr>
          </w:p>
        </w:tc>
        <w:tc>
          <w:tcPr>
            <w:tcW w:w="1283" w:type="dxa"/>
            <w:vAlign w:val="center"/>
          </w:tcPr>
          <w:p w14:paraId="4CC9DC96">
            <w:pPr>
              <w:widowControl w:val="0"/>
              <w:jc w:val="both"/>
              <w:rPr>
                <w:rFonts w:hint="eastAsia" w:eastAsia="宋体"/>
                <w:kern w:val="2"/>
                <w:sz w:val="21"/>
                <w:lang w:eastAsia="zh-CN"/>
              </w:rPr>
            </w:pPr>
          </w:p>
        </w:tc>
      </w:tr>
      <w:tr w14:paraId="467C6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7036D085">
            <w:pPr>
              <w:widowControl w:val="0"/>
              <w:jc w:val="both"/>
              <w:rPr>
                <w:rFonts w:eastAsia="宋体"/>
                <w:kern w:val="2"/>
                <w:sz w:val="21"/>
                <w:lang w:eastAsia="zh-CN"/>
              </w:rPr>
            </w:pPr>
          </w:p>
        </w:tc>
        <w:tc>
          <w:tcPr>
            <w:tcW w:w="1222" w:type="dxa"/>
            <w:vMerge w:val="continue"/>
            <w:vAlign w:val="center"/>
          </w:tcPr>
          <w:p w14:paraId="6CFD7512">
            <w:pPr>
              <w:widowControl w:val="0"/>
              <w:jc w:val="both"/>
              <w:rPr>
                <w:rFonts w:eastAsia="宋体"/>
                <w:kern w:val="2"/>
                <w:sz w:val="21"/>
                <w:lang w:eastAsia="zh-CN"/>
              </w:rPr>
            </w:pPr>
          </w:p>
        </w:tc>
        <w:tc>
          <w:tcPr>
            <w:tcW w:w="3304" w:type="dxa"/>
            <w:vAlign w:val="center"/>
          </w:tcPr>
          <w:p w14:paraId="17BA7B27">
            <w:pPr>
              <w:widowControl w:val="0"/>
              <w:jc w:val="both"/>
              <w:rPr>
                <w:rFonts w:eastAsia="宋体"/>
                <w:b/>
                <w:bCs/>
                <w:color w:val="FF0000"/>
                <w:kern w:val="2"/>
                <w:sz w:val="21"/>
                <w:lang w:eastAsia="zh-CN"/>
              </w:rPr>
            </w:pPr>
            <w:r>
              <w:rPr>
                <w:rFonts w:hint="eastAsia" w:eastAsia="宋体"/>
                <w:b/>
                <w:bCs/>
                <w:color w:val="FF0000"/>
                <w:kern w:val="2"/>
                <w:sz w:val="21"/>
                <w:lang w:eastAsia="zh-CN"/>
              </w:rPr>
              <w:t>▲3.3提供符合以下要求的“三聚氰胺饰面胶合板”检测报告：</w:t>
            </w:r>
          </w:p>
          <w:p w14:paraId="44598354">
            <w:pPr>
              <w:widowControl w:val="0"/>
              <w:jc w:val="both"/>
              <w:rPr>
                <w:rFonts w:eastAsia="宋体"/>
                <w:b/>
                <w:bCs/>
                <w:color w:val="FF0000"/>
                <w:kern w:val="2"/>
                <w:sz w:val="21"/>
                <w:lang w:eastAsia="zh-CN"/>
              </w:rPr>
            </w:pPr>
            <w:r>
              <w:rPr>
                <w:rFonts w:hint="eastAsia" w:eastAsia="宋体"/>
                <w:b/>
                <w:bCs/>
                <w:color w:val="FF0000"/>
                <w:kern w:val="2"/>
                <w:sz w:val="21"/>
                <w:lang w:eastAsia="zh-CN"/>
              </w:rPr>
              <w:t>(1)提供2023年1月1日至本项目投标截止之日前，第三方检测机构出具的具有 CMA标识的合格的检测报告（若相关检测项目不在实施该项检验（检测）的第三方检测机构的 CMA资质许可范围内的，该检测报告视为不满足招标文件要求，作负偏离处理）。</w:t>
            </w:r>
          </w:p>
          <w:p w14:paraId="29D8EEE9">
            <w:pPr>
              <w:widowControl w:val="0"/>
              <w:jc w:val="both"/>
              <w:rPr>
                <w:rFonts w:eastAsia="宋体"/>
                <w:b/>
                <w:bCs/>
                <w:color w:val="FF0000"/>
                <w:kern w:val="2"/>
                <w:sz w:val="21"/>
                <w:lang w:eastAsia="zh-CN"/>
              </w:rPr>
            </w:pPr>
            <w:r>
              <w:rPr>
                <w:rFonts w:hint="eastAsia" w:eastAsia="宋体"/>
                <w:b/>
                <w:bCs/>
                <w:color w:val="FF0000"/>
                <w:kern w:val="2"/>
                <w:sz w:val="21"/>
                <w:lang w:eastAsia="zh-CN"/>
              </w:rPr>
              <w:t>(2)检验（检测）报告送检单位（委托单位）须是投标人或所投产品制造商（须与分项报价表一致）或所投产品原材料供应商。若送检单位（委托单位）是所投产品原材料供应商，须同时提供投标人或所投产品制造商（须与分项报价表一致）购买对应原材料的发票扫描件（开票日期在投标截止日前）。</w:t>
            </w:r>
          </w:p>
          <w:p w14:paraId="052E5586">
            <w:pPr>
              <w:widowControl w:val="0"/>
              <w:jc w:val="both"/>
              <w:rPr>
                <w:rFonts w:eastAsia="宋体"/>
                <w:b/>
                <w:bCs/>
                <w:color w:val="FF0000"/>
                <w:kern w:val="2"/>
                <w:sz w:val="21"/>
                <w:lang w:eastAsia="zh-CN"/>
              </w:rPr>
            </w:pPr>
            <w:r>
              <w:rPr>
                <w:rFonts w:hint="eastAsia" w:eastAsia="宋体"/>
                <w:b/>
                <w:bCs/>
                <w:color w:val="FF0000"/>
                <w:kern w:val="2"/>
                <w:sz w:val="21"/>
                <w:lang w:eastAsia="zh-CN"/>
              </w:rPr>
              <w:t>(3)检测报告中“检测产品名称”与招标文件要求的名称不完全一致的，需提供为同种产品的说明，由评审委员会判定是否符合招标文件要求。若名称不完全一致又未提供说明的，判定为不符合招标文件要求。</w:t>
            </w:r>
          </w:p>
          <w:p w14:paraId="2F742F5B">
            <w:pPr>
              <w:widowControl w:val="0"/>
              <w:jc w:val="both"/>
              <w:rPr>
                <w:rFonts w:eastAsia="宋体"/>
                <w:b/>
                <w:bCs/>
                <w:color w:val="FF0000"/>
                <w:kern w:val="2"/>
                <w:sz w:val="21"/>
                <w:lang w:eastAsia="zh-CN"/>
              </w:rPr>
            </w:pPr>
            <w:r>
              <w:rPr>
                <w:rFonts w:hint="eastAsia" w:eastAsia="宋体"/>
                <w:b/>
                <w:bCs/>
                <w:color w:val="FF0000"/>
                <w:kern w:val="2"/>
                <w:sz w:val="21"/>
                <w:lang w:eastAsia="zh-CN"/>
              </w:rPr>
              <w:t>(4)检测报告需满足以下检测依据和检测内容及要求：</w:t>
            </w:r>
          </w:p>
          <w:p w14:paraId="7052B037">
            <w:pPr>
              <w:widowControl w:val="0"/>
              <w:jc w:val="both"/>
              <w:rPr>
                <w:rFonts w:eastAsia="宋体"/>
                <w:b/>
                <w:bCs/>
                <w:color w:val="FF0000"/>
                <w:kern w:val="2"/>
                <w:sz w:val="21"/>
                <w:lang w:eastAsia="zh-CN"/>
              </w:rPr>
            </w:pPr>
            <w:r>
              <w:rPr>
                <w:rFonts w:hint="eastAsia" w:eastAsia="宋体"/>
                <w:b/>
                <w:bCs/>
                <w:color w:val="FF0000"/>
                <w:kern w:val="2"/>
                <w:sz w:val="21"/>
                <w:lang w:eastAsia="zh-CN"/>
              </w:rPr>
              <w:t>检测依据：GB/T 34722-2017《浸渍胶膜纸饰面胶合板和细木工板》、GB/T 35601-2024《绿色产品评价人造板和木质地板》、GB/T 39600-2021《人造板及其制品甲醛释放量分级》标准。</w:t>
            </w:r>
          </w:p>
          <w:p w14:paraId="005A5265">
            <w:pPr>
              <w:widowControl w:val="0"/>
              <w:jc w:val="both"/>
              <w:rPr>
                <w:rFonts w:eastAsia="宋体"/>
                <w:kern w:val="2"/>
                <w:sz w:val="21"/>
                <w:lang w:eastAsia="zh-CN"/>
              </w:rPr>
            </w:pPr>
            <w:r>
              <w:rPr>
                <w:rFonts w:hint="eastAsia" w:eastAsia="宋体"/>
                <w:b/>
                <w:bCs/>
                <w:color w:val="FF0000"/>
                <w:kern w:val="2"/>
                <w:sz w:val="21"/>
                <w:lang w:eastAsia="zh-CN"/>
              </w:rPr>
              <w:t>检测内容及要求：含水率、表面耐冷热循环，表面耐划痕，表面耐磨，表面耐干热，表面耐污染腐蚀，表面耐龟裂，表面耐水蒸气，耐光色牢度、胶合强度、表面胶合强度，以上检测结果均为符合或合格；品质属性-挥发性有机化合物（7d）：苯、甲苯、二甲苯、总挥发性有机化合物(TVOC）符合绿色标杆产品要求，检测结果均为符合或合格，甲醛释放量达到 E</w:t>
            </w:r>
            <w:r>
              <w:rPr>
                <w:rFonts w:eastAsia="宋体"/>
                <w:b/>
                <w:bCs/>
                <w:color w:val="FF0000"/>
                <w:kern w:val="2"/>
                <w:sz w:val="21"/>
                <w:vertAlign w:val="subscript"/>
                <w:lang w:eastAsia="zh-CN"/>
              </w:rPr>
              <w:t>NF</w:t>
            </w:r>
            <w:r>
              <w:rPr>
                <w:rFonts w:hint="eastAsia" w:eastAsia="宋体"/>
                <w:b/>
                <w:bCs/>
                <w:color w:val="FF0000"/>
                <w:kern w:val="2"/>
                <w:sz w:val="21"/>
                <w:lang w:eastAsia="zh-CN"/>
              </w:rPr>
              <w:t>级。</w:t>
            </w:r>
          </w:p>
        </w:tc>
        <w:tc>
          <w:tcPr>
            <w:tcW w:w="2624" w:type="dxa"/>
            <w:vAlign w:val="center"/>
          </w:tcPr>
          <w:p w14:paraId="14A3DD98">
            <w:pPr>
              <w:widowControl w:val="0"/>
              <w:jc w:val="both"/>
              <w:rPr>
                <w:rFonts w:hint="eastAsia" w:eastAsia="宋体"/>
                <w:b/>
                <w:bCs/>
                <w:color w:val="FF0000"/>
                <w:kern w:val="2"/>
                <w:sz w:val="21"/>
                <w:lang w:eastAsia="zh-CN"/>
              </w:rPr>
            </w:pPr>
          </w:p>
        </w:tc>
        <w:tc>
          <w:tcPr>
            <w:tcW w:w="1283" w:type="dxa"/>
            <w:vAlign w:val="center"/>
          </w:tcPr>
          <w:p w14:paraId="4DE447E4">
            <w:pPr>
              <w:widowControl w:val="0"/>
              <w:jc w:val="both"/>
              <w:rPr>
                <w:rFonts w:hint="eastAsia" w:eastAsia="宋体"/>
                <w:b/>
                <w:bCs/>
                <w:color w:val="FF0000"/>
                <w:kern w:val="2"/>
                <w:sz w:val="21"/>
                <w:lang w:eastAsia="zh-CN"/>
              </w:rPr>
            </w:pPr>
          </w:p>
        </w:tc>
        <w:tc>
          <w:tcPr>
            <w:tcW w:w="1283" w:type="dxa"/>
            <w:vAlign w:val="center"/>
          </w:tcPr>
          <w:p w14:paraId="7AFF8E1A">
            <w:pPr>
              <w:widowControl w:val="0"/>
              <w:jc w:val="both"/>
              <w:rPr>
                <w:rFonts w:hint="eastAsia" w:eastAsia="宋体"/>
                <w:b/>
                <w:bCs/>
                <w:color w:val="FF0000"/>
                <w:kern w:val="2"/>
                <w:sz w:val="21"/>
                <w:lang w:eastAsia="zh-CN"/>
              </w:rPr>
            </w:pPr>
          </w:p>
        </w:tc>
      </w:tr>
      <w:tr w14:paraId="032C0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0317FD63">
            <w:pPr>
              <w:widowControl w:val="0"/>
              <w:jc w:val="both"/>
              <w:rPr>
                <w:rFonts w:eastAsia="宋体"/>
                <w:kern w:val="2"/>
                <w:sz w:val="21"/>
                <w:lang w:eastAsia="zh-CN"/>
              </w:rPr>
            </w:pPr>
          </w:p>
        </w:tc>
        <w:tc>
          <w:tcPr>
            <w:tcW w:w="1222" w:type="dxa"/>
            <w:vMerge w:val="continue"/>
            <w:vAlign w:val="center"/>
          </w:tcPr>
          <w:p w14:paraId="26198635">
            <w:pPr>
              <w:widowControl w:val="0"/>
              <w:jc w:val="both"/>
              <w:rPr>
                <w:rFonts w:eastAsia="宋体"/>
                <w:kern w:val="2"/>
                <w:sz w:val="21"/>
                <w:lang w:eastAsia="zh-CN"/>
              </w:rPr>
            </w:pPr>
          </w:p>
        </w:tc>
        <w:tc>
          <w:tcPr>
            <w:tcW w:w="3304" w:type="dxa"/>
            <w:vAlign w:val="center"/>
          </w:tcPr>
          <w:p w14:paraId="1350B1EB">
            <w:pPr>
              <w:widowControl w:val="0"/>
              <w:jc w:val="both"/>
              <w:rPr>
                <w:rFonts w:eastAsia="宋体"/>
                <w:kern w:val="2"/>
                <w:sz w:val="21"/>
                <w:lang w:eastAsia="zh-CN"/>
              </w:rPr>
            </w:pPr>
            <w:r>
              <w:rPr>
                <w:rFonts w:hint="eastAsia" w:eastAsia="宋体"/>
                <w:kern w:val="2"/>
                <w:sz w:val="21"/>
                <w:lang w:eastAsia="zh-CN"/>
              </w:rPr>
              <w:t>3.4配置：书桌面采用斜边工艺处理，舒适性高及耐用。面板配有走线孔位及金属线孔盖φ60mm，需做封边处理。书柜竖板做圆角处理，台面下带金属加固支撑件与衣柜连接固定。台面下配抽屉掩门柜，规格400mm*450~600mm*725mm（尺寸偏差±10mm）。抽屉面及抽屉柜门做斜边工艺，方便开合。柜内带固定层板，配304不锈钢锁钩≥1.5mm 厚。衣柜柜内含层板（内侧固定层板，外侧活动层板，（也可根据采购方需求定制为整块活动层板）及φ25 圆管1.2mm厚304不锈钢挂衣棍，两头配有法兰方便拆卸。门板做斜边工艺，方便开合。门板中间带有磁吸。</w:t>
            </w:r>
          </w:p>
        </w:tc>
        <w:tc>
          <w:tcPr>
            <w:tcW w:w="2624" w:type="dxa"/>
            <w:vAlign w:val="center"/>
          </w:tcPr>
          <w:p w14:paraId="062A7BA7">
            <w:pPr>
              <w:widowControl w:val="0"/>
              <w:jc w:val="both"/>
              <w:rPr>
                <w:rFonts w:hint="eastAsia" w:eastAsia="宋体"/>
                <w:kern w:val="2"/>
                <w:sz w:val="21"/>
                <w:lang w:eastAsia="zh-CN"/>
              </w:rPr>
            </w:pPr>
          </w:p>
        </w:tc>
        <w:tc>
          <w:tcPr>
            <w:tcW w:w="1283" w:type="dxa"/>
            <w:vAlign w:val="center"/>
          </w:tcPr>
          <w:p w14:paraId="00309CF5">
            <w:pPr>
              <w:widowControl w:val="0"/>
              <w:jc w:val="both"/>
              <w:rPr>
                <w:rFonts w:hint="eastAsia" w:eastAsia="宋体"/>
                <w:kern w:val="2"/>
                <w:sz w:val="21"/>
                <w:lang w:eastAsia="zh-CN"/>
              </w:rPr>
            </w:pPr>
          </w:p>
        </w:tc>
        <w:tc>
          <w:tcPr>
            <w:tcW w:w="1283" w:type="dxa"/>
            <w:vAlign w:val="center"/>
          </w:tcPr>
          <w:p w14:paraId="623B0A06">
            <w:pPr>
              <w:widowControl w:val="0"/>
              <w:jc w:val="both"/>
              <w:rPr>
                <w:rFonts w:hint="eastAsia" w:eastAsia="宋体"/>
                <w:kern w:val="2"/>
                <w:sz w:val="21"/>
                <w:lang w:eastAsia="zh-CN"/>
              </w:rPr>
            </w:pPr>
          </w:p>
        </w:tc>
      </w:tr>
      <w:tr w14:paraId="560A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7D7B4A4C">
            <w:pPr>
              <w:widowControl w:val="0"/>
              <w:jc w:val="both"/>
              <w:rPr>
                <w:rFonts w:eastAsia="宋体"/>
                <w:kern w:val="2"/>
                <w:sz w:val="21"/>
                <w:lang w:eastAsia="zh-CN"/>
              </w:rPr>
            </w:pPr>
          </w:p>
        </w:tc>
        <w:tc>
          <w:tcPr>
            <w:tcW w:w="1222" w:type="dxa"/>
            <w:vMerge w:val="continue"/>
            <w:vAlign w:val="center"/>
          </w:tcPr>
          <w:p w14:paraId="1B345A58">
            <w:pPr>
              <w:widowControl w:val="0"/>
              <w:jc w:val="both"/>
              <w:rPr>
                <w:rFonts w:eastAsia="宋体"/>
                <w:kern w:val="2"/>
                <w:sz w:val="21"/>
                <w:lang w:eastAsia="zh-CN"/>
              </w:rPr>
            </w:pPr>
          </w:p>
        </w:tc>
        <w:tc>
          <w:tcPr>
            <w:tcW w:w="3304" w:type="dxa"/>
            <w:vAlign w:val="center"/>
          </w:tcPr>
          <w:p w14:paraId="1E9FD730">
            <w:pPr>
              <w:widowControl w:val="0"/>
              <w:jc w:val="both"/>
              <w:rPr>
                <w:rFonts w:eastAsia="宋体"/>
                <w:kern w:val="2"/>
                <w:sz w:val="21"/>
                <w:lang w:eastAsia="zh-CN"/>
              </w:rPr>
            </w:pPr>
            <w:r>
              <w:rPr>
                <w:rFonts w:hint="eastAsia" w:eastAsia="宋体"/>
                <w:kern w:val="2"/>
                <w:sz w:val="21"/>
                <w:lang w:eastAsia="zh-CN"/>
              </w:rPr>
              <w:t>3.5 脚架：衣柜与书桌脚采用冷轧钢板滚压制而成 25mm*25mm*1.2mm 厚方管。表面焊接口平衡光滑，表面经除油、去锈，环氧树脂静电粉末高温固化而成。脚架底部配有防滑脚垫。</w:t>
            </w:r>
          </w:p>
        </w:tc>
        <w:tc>
          <w:tcPr>
            <w:tcW w:w="2624" w:type="dxa"/>
            <w:vAlign w:val="center"/>
          </w:tcPr>
          <w:p w14:paraId="3BD5843D">
            <w:pPr>
              <w:widowControl w:val="0"/>
              <w:jc w:val="both"/>
              <w:rPr>
                <w:rFonts w:hint="eastAsia" w:eastAsia="宋体"/>
                <w:kern w:val="2"/>
                <w:sz w:val="21"/>
                <w:lang w:eastAsia="zh-CN"/>
              </w:rPr>
            </w:pPr>
          </w:p>
        </w:tc>
        <w:tc>
          <w:tcPr>
            <w:tcW w:w="1283" w:type="dxa"/>
            <w:vAlign w:val="center"/>
          </w:tcPr>
          <w:p w14:paraId="6D122409">
            <w:pPr>
              <w:widowControl w:val="0"/>
              <w:jc w:val="both"/>
              <w:rPr>
                <w:rFonts w:hint="eastAsia" w:eastAsia="宋体"/>
                <w:kern w:val="2"/>
                <w:sz w:val="21"/>
                <w:lang w:eastAsia="zh-CN"/>
              </w:rPr>
            </w:pPr>
          </w:p>
        </w:tc>
        <w:tc>
          <w:tcPr>
            <w:tcW w:w="1283" w:type="dxa"/>
            <w:vAlign w:val="center"/>
          </w:tcPr>
          <w:p w14:paraId="5D699FEC">
            <w:pPr>
              <w:widowControl w:val="0"/>
              <w:jc w:val="both"/>
              <w:rPr>
                <w:rFonts w:hint="eastAsia" w:eastAsia="宋体"/>
                <w:kern w:val="2"/>
                <w:sz w:val="21"/>
                <w:lang w:eastAsia="zh-CN"/>
              </w:rPr>
            </w:pPr>
          </w:p>
        </w:tc>
      </w:tr>
      <w:tr w14:paraId="7F7AA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1C7ECEF9">
            <w:pPr>
              <w:widowControl w:val="0"/>
              <w:jc w:val="both"/>
              <w:rPr>
                <w:rFonts w:eastAsia="宋体"/>
                <w:kern w:val="2"/>
                <w:sz w:val="21"/>
                <w:lang w:eastAsia="zh-CN"/>
              </w:rPr>
            </w:pPr>
          </w:p>
        </w:tc>
        <w:tc>
          <w:tcPr>
            <w:tcW w:w="1222" w:type="dxa"/>
            <w:vMerge w:val="continue"/>
            <w:vAlign w:val="center"/>
          </w:tcPr>
          <w:p w14:paraId="534E24A5">
            <w:pPr>
              <w:widowControl w:val="0"/>
              <w:jc w:val="both"/>
              <w:rPr>
                <w:rFonts w:eastAsia="宋体"/>
                <w:kern w:val="2"/>
                <w:sz w:val="21"/>
                <w:lang w:eastAsia="zh-CN"/>
              </w:rPr>
            </w:pPr>
          </w:p>
        </w:tc>
        <w:tc>
          <w:tcPr>
            <w:tcW w:w="3304" w:type="dxa"/>
            <w:vAlign w:val="center"/>
          </w:tcPr>
          <w:p w14:paraId="1A741FC5">
            <w:pPr>
              <w:widowControl w:val="0"/>
              <w:jc w:val="both"/>
              <w:rPr>
                <w:rFonts w:eastAsia="宋体"/>
                <w:kern w:val="2"/>
                <w:sz w:val="21"/>
                <w:lang w:eastAsia="zh-CN"/>
              </w:rPr>
            </w:pPr>
            <w:r>
              <w:rPr>
                <w:rFonts w:hint="eastAsia" w:eastAsia="宋体"/>
                <w:kern w:val="2"/>
                <w:sz w:val="21"/>
                <w:lang w:eastAsia="zh-CN"/>
              </w:rPr>
              <w:t xml:space="preserve">3.6 五金配件：三节静音阻尼导轨，阻尼导轨过载：垂直向下静载荷，水平侧向静载荷，猛关或猛开；功能：抽屉导轨组件结构强度，抽屉导轨组件底部变形，操作力，垂直向下静载荷，水平侧向静载荷，拉出安全性，下沉量，猛关或猛开；耐久性（试验次数≥80000次）需符合 QB/T </w:t>
            </w:r>
            <w:r>
              <w:rPr>
                <w:rFonts w:eastAsia="宋体"/>
                <w:kern w:val="2"/>
                <w:sz w:val="21"/>
                <w:lang w:eastAsia="zh-CN"/>
              </w:rPr>
              <w:t xml:space="preserve"> </w:t>
            </w:r>
            <w:r>
              <w:rPr>
                <w:rFonts w:hint="eastAsia" w:eastAsia="宋体"/>
                <w:kern w:val="2"/>
                <w:sz w:val="21"/>
                <w:lang w:eastAsia="zh-CN"/>
              </w:rPr>
              <w:t>2454-2013《家具五金抽屉导轨》标准商用要求；中性盐雾试验（≥ 120h）需符合 QB/T 3826-1999《轻工产品金属镀层和化学处理层的耐腐蚀试验方法中性盐雾试验(NSS)法》，QB/T 3832 -1999《轻工产品金属镀层腐蚀试验结果的评价》，检测结果达到9级或以上，三合一连接件的孔位贴防潮防水装饰盖，缓冲铰链，缓冲铰链过载：垂直静载荷、水平静载荷；功能：耐久性（≥80000次）；操作力，垂直静载荷，水平静载荷，下沉量需符合 QB/T 2189-2013《家具五金 杯状暗铰链》标准商用要求，中性盐雾试验（≥120h）需符合QB/T 3826-1999《轻工产品金属镀层和化学处理层的耐腐蚀试验方法中性盐雾试验(NSS)法》，QB/T 3832-1999《轻工产品金属镀层腐蚀试验结果的评价》，检测结果达到9级或以上，304不锈钢锁钩。</w:t>
            </w:r>
          </w:p>
        </w:tc>
        <w:tc>
          <w:tcPr>
            <w:tcW w:w="2624" w:type="dxa"/>
            <w:vAlign w:val="center"/>
          </w:tcPr>
          <w:p w14:paraId="5606E53E">
            <w:pPr>
              <w:widowControl w:val="0"/>
              <w:jc w:val="both"/>
              <w:rPr>
                <w:rFonts w:hint="eastAsia" w:eastAsia="宋体"/>
                <w:kern w:val="2"/>
                <w:sz w:val="21"/>
                <w:lang w:eastAsia="zh-CN"/>
              </w:rPr>
            </w:pPr>
          </w:p>
        </w:tc>
        <w:tc>
          <w:tcPr>
            <w:tcW w:w="1283" w:type="dxa"/>
            <w:vAlign w:val="center"/>
          </w:tcPr>
          <w:p w14:paraId="70FF4E53">
            <w:pPr>
              <w:widowControl w:val="0"/>
              <w:jc w:val="both"/>
              <w:rPr>
                <w:rFonts w:hint="eastAsia" w:eastAsia="宋体"/>
                <w:kern w:val="2"/>
                <w:sz w:val="21"/>
                <w:lang w:eastAsia="zh-CN"/>
              </w:rPr>
            </w:pPr>
          </w:p>
        </w:tc>
        <w:tc>
          <w:tcPr>
            <w:tcW w:w="1283" w:type="dxa"/>
            <w:vAlign w:val="center"/>
          </w:tcPr>
          <w:p w14:paraId="7B27979E">
            <w:pPr>
              <w:widowControl w:val="0"/>
              <w:jc w:val="both"/>
              <w:rPr>
                <w:rFonts w:hint="eastAsia" w:eastAsia="宋体"/>
                <w:kern w:val="2"/>
                <w:sz w:val="21"/>
                <w:lang w:eastAsia="zh-CN"/>
              </w:rPr>
            </w:pPr>
          </w:p>
        </w:tc>
      </w:tr>
      <w:tr w14:paraId="787A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63C5ABEF">
            <w:pPr>
              <w:widowControl w:val="0"/>
              <w:jc w:val="both"/>
              <w:rPr>
                <w:rFonts w:eastAsia="宋体"/>
                <w:kern w:val="2"/>
                <w:sz w:val="21"/>
                <w:lang w:eastAsia="zh-CN"/>
              </w:rPr>
            </w:pPr>
          </w:p>
        </w:tc>
        <w:tc>
          <w:tcPr>
            <w:tcW w:w="1222" w:type="dxa"/>
            <w:vMerge w:val="continue"/>
            <w:vAlign w:val="center"/>
          </w:tcPr>
          <w:p w14:paraId="186E4D0E">
            <w:pPr>
              <w:widowControl w:val="0"/>
              <w:jc w:val="both"/>
              <w:rPr>
                <w:rFonts w:eastAsia="宋体"/>
                <w:kern w:val="2"/>
                <w:sz w:val="21"/>
                <w:lang w:eastAsia="zh-CN"/>
              </w:rPr>
            </w:pPr>
          </w:p>
        </w:tc>
        <w:tc>
          <w:tcPr>
            <w:tcW w:w="3304" w:type="dxa"/>
            <w:vAlign w:val="center"/>
          </w:tcPr>
          <w:p w14:paraId="1A68B645">
            <w:pPr>
              <w:widowControl w:val="0"/>
              <w:jc w:val="both"/>
              <w:rPr>
                <w:rFonts w:eastAsia="宋体"/>
                <w:kern w:val="2"/>
                <w:sz w:val="21"/>
                <w:lang w:eastAsia="zh-CN"/>
              </w:rPr>
            </w:pPr>
            <w:r>
              <w:rPr>
                <w:rFonts w:hint="eastAsia" w:eastAsia="宋体"/>
                <w:kern w:val="2"/>
                <w:sz w:val="21"/>
                <w:lang w:eastAsia="zh-CN"/>
              </w:rPr>
              <w:t>3.7 颜色、款式：根据采购人需求制定。制作前深化结构图报采购人书面确认。</w:t>
            </w:r>
          </w:p>
        </w:tc>
        <w:tc>
          <w:tcPr>
            <w:tcW w:w="2624" w:type="dxa"/>
            <w:vAlign w:val="center"/>
          </w:tcPr>
          <w:p w14:paraId="20F8C204">
            <w:pPr>
              <w:widowControl w:val="0"/>
              <w:jc w:val="both"/>
              <w:rPr>
                <w:rFonts w:hint="eastAsia" w:eastAsia="宋体"/>
                <w:kern w:val="2"/>
                <w:sz w:val="21"/>
                <w:lang w:eastAsia="zh-CN"/>
              </w:rPr>
            </w:pPr>
          </w:p>
        </w:tc>
        <w:tc>
          <w:tcPr>
            <w:tcW w:w="1283" w:type="dxa"/>
            <w:vAlign w:val="center"/>
          </w:tcPr>
          <w:p w14:paraId="5FA0CD5F">
            <w:pPr>
              <w:widowControl w:val="0"/>
              <w:jc w:val="both"/>
              <w:rPr>
                <w:rFonts w:hint="eastAsia" w:eastAsia="宋体"/>
                <w:kern w:val="2"/>
                <w:sz w:val="21"/>
                <w:lang w:eastAsia="zh-CN"/>
              </w:rPr>
            </w:pPr>
          </w:p>
        </w:tc>
        <w:tc>
          <w:tcPr>
            <w:tcW w:w="1283" w:type="dxa"/>
            <w:vAlign w:val="center"/>
          </w:tcPr>
          <w:p w14:paraId="3F37A95B">
            <w:pPr>
              <w:widowControl w:val="0"/>
              <w:jc w:val="both"/>
              <w:rPr>
                <w:rFonts w:hint="eastAsia" w:eastAsia="宋体"/>
                <w:kern w:val="2"/>
                <w:sz w:val="21"/>
                <w:lang w:eastAsia="zh-CN"/>
              </w:rPr>
            </w:pPr>
          </w:p>
        </w:tc>
      </w:tr>
      <w:tr w14:paraId="2E515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169A160B">
            <w:pPr>
              <w:widowControl w:val="0"/>
              <w:jc w:val="both"/>
              <w:rPr>
                <w:rFonts w:eastAsia="宋体"/>
                <w:kern w:val="2"/>
                <w:sz w:val="21"/>
                <w:lang w:eastAsia="zh-CN"/>
              </w:rPr>
            </w:pPr>
          </w:p>
        </w:tc>
        <w:tc>
          <w:tcPr>
            <w:tcW w:w="1222" w:type="dxa"/>
            <w:vMerge w:val="continue"/>
            <w:vAlign w:val="center"/>
          </w:tcPr>
          <w:p w14:paraId="4CA3F2A5">
            <w:pPr>
              <w:widowControl w:val="0"/>
              <w:jc w:val="both"/>
              <w:rPr>
                <w:rFonts w:eastAsia="宋体"/>
                <w:kern w:val="2"/>
                <w:sz w:val="21"/>
                <w:lang w:eastAsia="zh-CN"/>
              </w:rPr>
            </w:pPr>
          </w:p>
        </w:tc>
        <w:tc>
          <w:tcPr>
            <w:tcW w:w="3304" w:type="dxa"/>
            <w:vAlign w:val="center"/>
          </w:tcPr>
          <w:p w14:paraId="52955D39">
            <w:pPr>
              <w:widowControl w:val="0"/>
              <w:jc w:val="both"/>
              <w:rPr>
                <w:rFonts w:eastAsia="宋体"/>
                <w:kern w:val="2"/>
                <w:sz w:val="21"/>
                <w:lang w:eastAsia="zh-CN"/>
              </w:rPr>
            </w:pPr>
            <w:r>
              <w:rPr>
                <w:rFonts w:hint="eastAsia" w:eastAsia="宋体"/>
                <w:kern w:val="2"/>
                <w:sz w:val="21"/>
                <w:lang w:eastAsia="zh-CN"/>
              </w:rPr>
              <w:t>3.8 成品：符合 GB/T 3324-</w:t>
            </w:r>
            <w:r>
              <w:rPr>
                <w:rFonts w:eastAsia="宋体"/>
                <w:kern w:val="2"/>
                <w:sz w:val="21"/>
                <w:lang w:eastAsia="zh-CN"/>
              </w:rPr>
              <w:t>2024</w:t>
            </w:r>
            <w:r>
              <w:rPr>
                <w:rFonts w:hint="eastAsia" w:eastAsia="宋体"/>
                <w:kern w:val="2"/>
                <w:sz w:val="21"/>
                <w:lang w:eastAsia="zh-CN"/>
              </w:rPr>
              <w:t>《木家具通用技术条件》，同时甲醛释放量、苯、甲苯、二甲苯、总挥发性有机化合物（TVOC）符合 GB/T 35607-2024《绿色产品评价家具》标准的绿色产品要求。</w:t>
            </w:r>
          </w:p>
        </w:tc>
        <w:tc>
          <w:tcPr>
            <w:tcW w:w="2624" w:type="dxa"/>
            <w:vAlign w:val="center"/>
          </w:tcPr>
          <w:p w14:paraId="1FA9D67C">
            <w:pPr>
              <w:widowControl w:val="0"/>
              <w:jc w:val="both"/>
              <w:rPr>
                <w:rFonts w:hint="eastAsia" w:eastAsia="宋体"/>
                <w:kern w:val="2"/>
                <w:sz w:val="21"/>
                <w:lang w:eastAsia="zh-CN"/>
              </w:rPr>
            </w:pPr>
          </w:p>
        </w:tc>
        <w:tc>
          <w:tcPr>
            <w:tcW w:w="1283" w:type="dxa"/>
            <w:vAlign w:val="center"/>
          </w:tcPr>
          <w:p w14:paraId="189ED54A">
            <w:pPr>
              <w:widowControl w:val="0"/>
              <w:jc w:val="both"/>
              <w:rPr>
                <w:rFonts w:hint="eastAsia" w:eastAsia="宋体"/>
                <w:kern w:val="2"/>
                <w:sz w:val="21"/>
                <w:lang w:eastAsia="zh-CN"/>
              </w:rPr>
            </w:pPr>
          </w:p>
        </w:tc>
        <w:tc>
          <w:tcPr>
            <w:tcW w:w="1283" w:type="dxa"/>
            <w:vAlign w:val="center"/>
          </w:tcPr>
          <w:p w14:paraId="242ED2B5">
            <w:pPr>
              <w:widowControl w:val="0"/>
              <w:jc w:val="both"/>
              <w:rPr>
                <w:rFonts w:hint="eastAsia" w:eastAsia="宋体"/>
                <w:kern w:val="2"/>
                <w:sz w:val="21"/>
                <w:lang w:eastAsia="zh-CN"/>
              </w:rPr>
            </w:pPr>
          </w:p>
        </w:tc>
      </w:tr>
      <w:tr w14:paraId="65330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restart"/>
            <w:vAlign w:val="center"/>
          </w:tcPr>
          <w:p w14:paraId="1D56FE6E">
            <w:pPr>
              <w:widowControl w:val="0"/>
              <w:jc w:val="center"/>
              <w:rPr>
                <w:rFonts w:eastAsia="宋体"/>
                <w:kern w:val="2"/>
                <w:sz w:val="21"/>
                <w:lang w:eastAsia="zh-CN"/>
              </w:rPr>
            </w:pPr>
            <w:r>
              <w:rPr>
                <w:rFonts w:hint="eastAsia" w:eastAsia="宋体"/>
                <w:kern w:val="2"/>
                <w:sz w:val="21"/>
                <w:lang w:eastAsia="zh-CN"/>
              </w:rPr>
              <w:t>4</w:t>
            </w:r>
          </w:p>
        </w:tc>
        <w:tc>
          <w:tcPr>
            <w:tcW w:w="1222" w:type="dxa"/>
            <w:vMerge w:val="restart"/>
            <w:vAlign w:val="center"/>
          </w:tcPr>
          <w:p w14:paraId="1EDA4F8E">
            <w:pPr>
              <w:widowControl w:val="0"/>
              <w:jc w:val="center"/>
              <w:rPr>
                <w:rFonts w:ascii="仿宋" w:hAnsi="仿宋" w:eastAsia="仿宋"/>
                <w:b/>
                <w:kern w:val="2"/>
                <w:sz w:val="21"/>
                <w:lang w:eastAsia="zh-CN"/>
              </w:rPr>
            </w:pPr>
            <w:r>
              <w:rPr>
                <w:rFonts w:hint="eastAsia" w:eastAsia="宋体"/>
                <w:kern w:val="2"/>
                <w:sz w:val="21"/>
                <w:lang w:eastAsia="zh-CN"/>
              </w:rPr>
              <w:t>实木书椅</w:t>
            </w:r>
          </w:p>
        </w:tc>
        <w:tc>
          <w:tcPr>
            <w:tcW w:w="3304" w:type="dxa"/>
            <w:vAlign w:val="center"/>
          </w:tcPr>
          <w:p w14:paraId="740F28FB">
            <w:pPr>
              <w:widowControl w:val="0"/>
              <w:jc w:val="both"/>
              <w:rPr>
                <w:rFonts w:ascii="仿宋" w:hAnsi="仿宋" w:eastAsia="仿宋"/>
                <w:kern w:val="2"/>
                <w:sz w:val="21"/>
                <w:lang w:eastAsia="zh-CN"/>
              </w:rPr>
            </w:pPr>
            <w:r>
              <w:rPr>
                <w:rFonts w:hint="eastAsia" w:eastAsia="宋体"/>
                <w:kern w:val="2"/>
                <w:sz w:val="21"/>
                <w:lang w:eastAsia="zh-CN"/>
              </w:rPr>
              <w:t>4.1 参考规格（mm）：常规</w:t>
            </w:r>
          </w:p>
        </w:tc>
        <w:tc>
          <w:tcPr>
            <w:tcW w:w="2624" w:type="dxa"/>
            <w:vAlign w:val="center"/>
          </w:tcPr>
          <w:p w14:paraId="05E4C567">
            <w:pPr>
              <w:widowControl w:val="0"/>
              <w:jc w:val="both"/>
              <w:rPr>
                <w:rFonts w:hint="eastAsia" w:eastAsia="宋体"/>
                <w:kern w:val="2"/>
                <w:sz w:val="21"/>
                <w:lang w:eastAsia="zh-CN"/>
              </w:rPr>
            </w:pPr>
          </w:p>
        </w:tc>
        <w:tc>
          <w:tcPr>
            <w:tcW w:w="1283" w:type="dxa"/>
            <w:vAlign w:val="center"/>
          </w:tcPr>
          <w:p w14:paraId="597E5FC1">
            <w:pPr>
              <w:widowControl w:val="0"/>
              <w:jc w:val="both"/>
              <w:rPr>
                <w:rFonts w:hint="eastAsia" w:eastAsia="宋体"/>
                <w:kern w:val="2"/>
                <w:sz w:val="21"/>
                <w:lang w:eastAsia="zh-CN"/>
              </w:rPr>
            </w:pPr>
          </w:p>
        </w:tc>
        <w:tc>
          <w:tcPr>
            <w:tcW w:w="1283" w:type="dxa"/>
            <w:vAlign w:val="center"/>
          </w:tcPr>
          <w:p w14:paraId="2F284F34">
            <w:pPr>
              <w:widowControl w:val="0"/>
              <w:jc w:val="both"/>
              <w:rPr>
                <w:rFonts w:hint="eastAsia" w:eastAsia="宋体"/>
                <w:kern w:val="2"/>
                <w:sz w:val="21"/>
                <w:lang w:eastAsia="zh-CN"/>
              </w:rPr>
            </w:pPr>
          </w:p>
        </w:tc>
      </w:tr>
      <w:tr w14:paraId="16979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270C2C0F">
            <w:pPr>
              <w:widowControl w:val="0"/>
              <w:jc w:val="both"/>
              <w:rPr>
                <w:rFonts w:eastAsia="宋体"/>
                <w:kern w:val="2"/>
                <w:sz w:val="21"/>
                <w:lang w:eastAsia="zh-CN"/>
              </w:rPr>
            </w:pPr>
          </w:p>
        </w:tc>
        <w:tc>
          <w:tcPr>
            <w:tcW w:w="1222" w:type="dxa"/>
            <w:vMerge w:val="continue"/>
            <w:vAlign w:val="center"/>
          </w:tcPr>
          <w:p w14:paraId="2B7280FC">
            <w:pPr>
              <w:widowControl w:val="0"/>
              <w:jc w:val="both"/>
              <w:rPr>
                <w:rFonts w:eastAsia="宋体"/>
                <w:kern w:val="2"/>
                <w:sz w:val="21"/>
                <w:lang w:eastAsia="zh-CN"/>
              </w:rPr>
            </w:pPr>
          </w:p>
        </w:tc>
        <w:tc>
          <w:tcPr>
            <w:tcW w:w="3304" w:type="dxa"/>
            <w:vAlign w:val="center"/>
          </w:tcPr>
          <w:p w14:paraId="76B39640">
            <w:pPr>
              <w:widowControl w:val="0"/>
              <w:jc w:val="both"/>
              <w:rPr>
                <w:rFonts w:eastAsia="宋体"/>
                <w:kern w:val="2"/>
                <w:sz w:val="21"/>
                <w:lang w:eastAsia="zh-CN"/>
              </w:rPr>
            </w:pPr>
            <w:r>
              <w:rPr>
                <w:rFonts w:hint="eastAsia" w:eastAsia="宋体"/>
                <w:kern w:val="2"/>
                <w:sz w:val="21"/>
                <w:lang w:eastAsia="zh-CN"/>
              </w:rPr>
              <w:t>4.2基材：椅子整体采用白蜡木实木制作，榫卯结构。座板采用≥25mm 厚原木直拼木板制作而成（每块直拼板宽度≥60mm），椅背、脚架部件用单块白蜡木制作，无拼接。脚架上部分直径≥42mm，下部分直径≥35mm。椅背一体弧形结构，并结构稳固性。木制件外 观、含水率需符合：GB/T 3324-2024《木家具通用技术条件》，白蜡木鉴定结果需符合 GB/T 18513-2022《中国主要进口木材名称》(或 GB/T 16734-1997《中国主要木材名称》)。</w:t>
            </w:r>
          </w:p>
        </w:tc>
        <w:tc>
          <w:tcPr>
            <w:tcW w:w="2624" w:type="dxa"/>
            <w:vAlign w:val="center"/>
          </w:tcPr>
          <w:p w14:paraId="365ED76F">
            <w:pPr>
              <w:widowControl w:val="0"/>
              <w:jc w:val="both"/>
              <w:rPr>
                <w:rFonts w:hint="eastAsia" w:eastAsia="宋体"/>
                <w:kern w:val="2"/>
                <w:sz w:val="21"/>
                <w:lang w:eastAsia="zh-CN"/>
              </w:rPr>
            </w:pPr>
          </w:p>
        </w:tc>
        <w:tc>
          <w:tcPr>
            <w:tcW w:w="1283" w:type="dxa"/>
            <w:vAlign w:val="center"/>
          </w:tcPr>
          <w:p w14:paraId="0CCC3DE4">
            <w:pPr>
              <w:widowControl w:val="0"/>
              <w:jc w:val="both"/>
              <w:rPr>
                <w:rFonts w:hint="eastAsia" w:eastAsia="宋体"/>
                <w:kern w:val="2"/>
                <w:sz w:val="21"/>
                <w:lang w:eastAsia="zh-CN"/>
              </w:rPr>
            </w:pPr>
          </w:p>
        </w:tc>
        <w:tc>
          <w:tcPr>
            <w:tcW w:w="1283" w:type="dxa"/>
            <w:vAlign w:val="center"/>
          </w:tcPr>
          <w:p w14:paraId="6EF7113D">
            <w:pPr>
              <w:widowControl w:val="0"/>
              <w:jc w:val="both"/>
              <w:rPr>
                <w:rFonts w:hint="eastAsia" w:eastAsia="宋体"/>
                <w:kern w:val="2"/>
                <w:sz w:val="21"/>
                <w:lang w:eastAsia="zh-CN"/>
              </w:rPr>
            </w:pPr>
          </w:p>
        </w:tc>
      </w:tr>
      <w:tr w14:paraId="665FF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2AED3393">
            <w:pPr>
              <w:widowControl w:val="0"/>
              <w:jc w:val="both"/>
              <w:rPr>
                <w:rFonts w:eastAsia="宋体"/>
                <w:kern w:val="2"/>
                <w:sz w:val="21"/>
                <w:lang w:eastAsia="zh-CN"/>
              </w:rPr>
            </w:pPr>
          </w:p>
        </w:tc>
        <w:tc>
          <w:tcPr>
            <w:tcW w:w="1222" w:type="dxa"/>
            <w:vMerge w:val="continue"/>
            <w:vAlign w:val="center"/>
          </w:tcPr>
          <w:p w14:paraId="246A0BDB">
            <w:pPr>
              <w:widowControl w:val="0"/>
              <w:jc w:val="both"/>
              <w:rPr>
                <w:rFonts w:eastAsia="宋体"/>
                <w:kern w:val="2"/>
                <w:sz w:val="21"/>
                <w:lang w:eastAsia="zh-CN"/>
              </w:rPr>
            </w:pPr>
          </w:p>
        </w:tc>
        <w:tc>
          <w:tcPr>
            <w:tcW w:w="3304" w:type="dxa"/>
            <w:vAlign w:val="center"/>
          </w:tcPr>
          <w:p w14:paraId="11A4AFD0">
            <w:pPr>
              <w:widowControl w:val="0"/>
              <w:jc w:val="both"/>
              <w:rPr>
                <w:rFonts w:eastAsia="宋体"/>
                <w:kern w:val="2"/>
                <w:sz w:val="21"/>
                <w:lang w:eastAsia="zh-CN"/>
              </w:rPr>
            </w:pPr>
            <w:r>
              <w:rPr>
                <w:rFonts w:hint="eastAsia" w:eastAsia="宋体"/>
                <w:kern w:val="2"/>
                <w:sz w:val="21"/>
                <w:lang w:eastAsia="zh-CN"/>
              </w:rPr>
              <w:t>4.3 环保水性漆喷涂，水性漆挥发性有机化合物(VOC)含量≤180g/L，甲醛含量（乙酰丙酮法）≤100mg/kg，苯、甲苯、乙苯和二甲苯的含量总和≤100mg/kg，乙二醇醚（乙二醇丁醚、乙二醇己醚、乙二醇苯醚、二乙二醇丁醚）含量总和≤4%，乙二醇醚酯（乙二醇丁醚醋酸酯、二乙二醇丁醚醋酸酯）含量总和≤1%，N 甲基吡咯烷酮（NMP）含量≤0.1%，N,N-二甲基甲酰胺（DMF）含量≤0.1%。重金属元素含量：铅（Pb）≤20mg/kg、镉（Cd）≤20mg/kg、六价铬（Cr</w:t>
            </w:r>
            <w:r>
              <w:rPr>
                <w:rFonts w:eastAsia="宋体"/>
                <w:kern w:val="2"/>
                <w:sz w:val="21"/>
                <w:vertAlign w:val="superscript"/>
                <w:lang w:eastAsia="zh-CN"/>
              </w:rPr>
              <w:t>6+</w:t>
            </w:r>
            <w:r>
              <w:rPr>
                <w:rFonts w:hint="eastAsia" w:eastAsia="宋体"/>
                <w:kern w:val="2"/>
                <w:sz w:val="21"/>
                <w:lang w:eastAsia="zh-CN"/>
              </w:rPr>
              <w:t>）≤20mg/kg、汞（Hg）≤20mg/kg、砷（As）≤20mg/kg、钡（Ba）≤100mg/kg、硒（Se）≤20mg/kg、锑（Sb）≤20mg/kg、钴（Co）≤20mg/kg，需符合 GB/T 35602-2017《绿色产品评价涂料》，半开放/封闭漆工艺，涂膜外观应符合相关标准要求。</w:t>
            </w:r>
          </w:p>
        </w:tc>
        <w:tc>
          <w:tcPr>
            <w:tcW w:w="2624" w:type="dxa"/>
            <w:vAlign w:val="center"/>
          </w:tcPr>
          <w:p w14:paraId="4788AF0E">
            <w:pPr>
              <w:widowControl w:val="0"/>
              <w:jc w:val="both"/>
              <w:rPr>
                <w:rFonts w:hint="eastAsia" w:eastAsia="宋体"/>
                <w:kern w:val="2"/>
                <w:sz w:val="21"/>
                <w:lang w:eastAsia="zh-CN"/>
              </w:rPr>
            </w:pPr>
          </w:p>
        </w:tc>
        <w:tc>
          <w:tcPr>
            <w:tcW w:w="1283" w:type="dxa"/>
            <w:vAlign w:val="center"/>
          </w:tcPr>
          <w:p w14:paraId="44320EDA">
            <w:pPr>
              <w:widowControl w:val="0"/>
              <w:jc w:val="both"/>
              <w:rPr>
                <w:rFonts w:hint="eastAsia" w:eastAsia="宋体"/>
                <w:kern w:val="2"/>
                <w:sz w:val="21"/>
                <w:lang w:eastAsia="zh-CN"/>
              </w:rPr>
            </w:pPr>
          </w:p>
        </w:tc>
        <w:tc>
          <w:tcPr>
            <w:tcW w:w="1283" w:type="dxa"/>
            <w:vAlign w:val="center"/>
          </w:tcPr>
          <w:p w14:paraId="2A6657AB">
            <w:pPr>
              <w:widowControl w:val="0"/>
              <w:jc w:val="both"/>
              <w:rPr>
                <w:rFonts w:hint="eastAsia" w:eastAsia="宋体"/>
                <w:kern w:val="2"/>
                <w:sz w:val="21"/>
                <w:lang w:eastAsia="zh-CN"/>
              </w:rPr>
            </w:pPr>
          </w:p>
        </w:tc>
      </w:tr>
      <w:tr w14:paraId="5A37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1138813D">
            <w:pPr>
              <w:widowControl w:val="0"/>
              <w:jc w:val="both"/>
              <w:rPr>
                <w:rFonts w:eastAsia="宋体"/>
                <w:kern w:val="2"/>
                <w:sz w:val="21"/>
                <w:lang w:eastAsia="zh-CN"/>
              </w:rPr>
            </w:pPr>
          </w:p>
        </w:tc>
        <w:tc>
          <w:tcPr>
            <w:tcW w:w="1222" w:type="dxa"/>
            <w:vMerge w:val="continue"/>
            <w:vAlign w:val="center"/>
          </w:tcPr>
          <w:p w14:paraId="68677C4B">
            <w:pPr>
              <w:widowControl w:val="0"/>
              <w:jc w:val="both"/>
              <w:rPr>
                <w:rFonts w:eastAsia="宋体"/>
                <w:kern w:val="2"/>
                <w:sz w:val="21"/>
                <w:lang w:eastAsia="zh-CN"/>
              </w:rPr>
            </w:pPr>
          </w:p>
        </w:tc>
        <w:tc>
          <w:tcPr>
            <w:tcW w:w="3304" w:type="dxa"/>
            <w:vAlign w:val="center"/>
          </w:tcPr>
          <w:p w14:paraId="6907B3C4">
            <w:pPr>
              <w:widowControl w:val="0"/>
              <w:jc w:val="both"/>
              <w:rPr>
                <w:rFonts w:eastAsia="宋体"/>
                <w:kern w:val="2"/>
                <w:sz w:val="21"/>
                <w:lang w:eastAsia="zh-CN"/>
              </w:rPr>
            </w:pPr>
            <w:r>
              <w:rPr>
                <w:rFonts w:hint="eastAsia" w:eastAsia="宋体"/>
                <w:kern w:val="2"/>
                <w:sz w:val="21"/>
                <w:lang w:eastAsia="zh-CN"/>
              </w:rPr>
              <w:t>4.4工艺结构：座椅面带弧度造型。座椅边缘带弧形结构，整体经过圆角打磨。靠背立柱中间大于上下两端。椅背整体造型为弧形设计。椅腿通过榫卯结构与底部加固实木条连接，实木条通过钉接方式固定于座板底部，整体实现椅腿与座板的稳固连接，用纵横锥形实木拉档加强加固连接。椅腿为锥形设计。椅脚底部配耐磨防滑PU脚垫。</w:t>
            </w:r>
          </w:p>
        </w:tc>
        <w:tc>
          <w:tcPr>
            <w:tcW w:w="2624" w:type="dxa"/>
            <w:vAlign w:val="center"/>
          </w:tcPr>
          <w:p w14:paraId="6DB8C9AF">
            <w:pPr>
              <w:widowControl w:val="0"/>
              <w:jc w:val="both"/>
              <w:rPr>
                <w:rFonts w:hint="eastAsia" w:eastAsia="宋体"/>
                <w:kern w:val="2"/>
                <w:sz w:val="21"/>
                <w:lang w:eastAsia="zh-CN"/>
              </w:rPr>
            </w:pPr>
          </w:p>
        </w:tc>
        <w:tc>
          <w:tcPr>
            <w:tcW w:w="1283" w:type="dxa"/>
            <w:vAlign w:val="center"/>
          </w:tcPr>
          <w:p w14:paraId="57AEF861">
            <w:pPr>
              <w:widowControl w:val="0"/>
              <w:jc w:val="both"/>
              <w:rPr>
                <w:rFonts w:hint="eastAsia" w:eastAsia="宋体"/>
                <w:kern w:val="2"/>
                <w:sz w:val="21"/>
                <w:lang w:eastAsia="zh-CN"/>
              </w:rPr>
            </w:pPr>
          </w:p>
        </w:tc>
        <w:tc>
          <w:tcPr>
            <w:tcW w:w="1283" w:type="dxa"/>
            <w:vAlign w:val="center"/>
          </w:tcPr>
          <w:p w14:paraId="65922B9F">
            <w:pPr>
              <w:widowControl w:val="0"/>
              <w:jc w:val="both"/>
              <w:rPr>
                <w:rFonts w:hint="eastAsia" w:eastAsia="宋体"/>
                <w:kern w:val="2"/>
                <w:sz w:val="21"/>
                <w:lang w:eastAsia="zh-CN"/>
              </w:rPr>
            </w:pPr>
          </w:p>
        </w:tc>
      </w:tr>
      <w:tr w14:paraId="776DD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3A20BAF5">
            <w:pPr>
              <w:widowControl w:val="0"/>
              <w:jc w:val="both"/>
              <w:rPr>
                <w:rFonts w:eastAsia="宋体"/>
                <w:kern w:val="2"/>
                <w:sz w:val="21"/>
                <w:lang w:eastAsia="zh-CN"/>
              </w:rPr>
            </w:pPr>
          </w:p>
        </w:tc>
        <w:tc>
          <w:tcPr>
            <w:tcW w:w="1222" w:type="dxa"/>
            <w:vMerge w:val="continue"/>
            <w:vAlign w:val="center"/>
          </w:tcPr>
          <w:p w14:paraId="6127A696">
            <w:pPr>
              <w:widowControl w:val="0"/>
              <w:jc w:val="both"/>
              <w:rPr>
                <w:rFonts w:eastAsia="宋体"/>
                <w:kern w:val="2"/>
                <w:sz w:val="21"/>
                <w:lang w:eastAsia="zh-CN"/>
              </w:rPr>
            </w:pPr>
          </w:p>
        </w:tc>
        <w:tc>
          <w:tcPr>
            <w:tcW w:w="3304" w:type="dxa"/>
            <w:vAlign w:val="center"/>
          </w:tcPr>
          <w:p w14:paraId="36E6E1C3">
            <w:pPr>
              <w:widowControl w:val="0"/>
              <w:jc w:val="both"/>
              <w:rPr>
                <w:rFonts w:eastAsia="宋体"/>
                <w:kern w:val="2"/>
                <w:sz w:val="21"/>
                <w:lang w:eastAsia="zh-CN"/>
              </w:rPr>
            </w:pPr>
            <w:r>
              <w:rPr>
                <w:rFonts w:hint="eastAsia" w:eastAsia="宋体"/>
                <w:kern w:val="2"/>
                <w:sz w:val="21"/>
                <w:lang w:eastAsia="zh-CN"/>
              </w:rPr>
              <w:t>4.5 颜色、款式：根据采购人需求制定。制作前深化结构图报采购人书面确认。</w:t>
            </w:r>
          </w:p>
        </w:tc>
        <w:tc>
          <w:tcPr>
            <w:tcW w:w="2624" w:type="dxa"/>
            <w:vAlign w:val="center"/>
          </w:tcPr>
          <w:p w14:paraId="33A2F15B">
            <w:pPr>
              <w:widowControl w:val="0"/>
              <w:jc w:val="both"/>
              <w:rPr>
                <w:rFonts w:hint="eastAsia" w:eastAsia="宋体"/>
                <w:kern w:val="2"/>
                <w:sz w:val="21"/>
                <w:lang w:eastAsia="zh-CN"/>
              </w:rPr>
            </w:pPr>
          </w:p>
        </w:tc>
        <w:tc>
          <w:tcPr>
            <w:tcW w:w="1283" w:type="dxa"/>
            <w:vAlign w:val="center"/>
          </w:tcPr>
          <w:p w14:paraId="2457CD01">
            <w:pPr>
              <w:widowControl w:val="0"/>
              <w:jc w:val="both"/>
              <w:rPr>
                <w:rFonts w:hint="eastAsia" w:eastAsia="宋体"/>
                <w:kern w:val="2"/>
                <w:sz w:val="21"/>
                <w:lang w:eastAsia="zh-CN"/>
              </w:rPr>
            </w:pPr>
          </w:p>
        </w:tc>
        <w:tc>
          <w:tcPr>
            <w:tcW w:w="1283" w:type="dxa"/>
            <w:vAlign w:val="center"/>
          </w:tcPr>
          <w:p w14:paraId="38372DCF">
            <w:pPr>
              <w:widowControl w:val="0"/>
              <w:jc w:val="both"/>
              <w:rPr>
                <w:rFonts w:hint="eastAsia" w:eastAsia="宋体"/>
                <w:kern w:val="2"/>
                <w:sz w:val="21"/>
                <w:lang w:eastAsia="zh-CN"/>
              </w:rPr>
            </w:pPr>
          </w:p>
        </w:tc>
      </w:tr>
      <w:tr w14:paraId="75D8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continue"/>
            <w:vAlign w:val="center"/>
          </w:tcPr>
          <w:p w14:paraId="7B1009BD">
            <w:pPr>
              <w:widowControl w:val="0"/>
              <w:jc w:val="both"/>
              <w:rPr>
                <w:rFonts w:eastAsia="宋体"/>
                <w:kern w:val="2"/>
                <w:sz w:val="21"/>
                <w:lang w:eastAsia="zh-CN"/>
              </w:rPr>
            </w:pPr>
          </w:p>
        </w:tc>
        <w:tc>
          <w:tcPr>
            <w:tcW w:w="1222" w:type="dxa"/>
            <w:vMerge w:val="continue"/>
            <w:vAlign w:val="center"/>
          </w:tcPr>
          <w:p w14:paraId="48E02E8C">
            <w:pPr>
              <w:widowControl w:val="0"/>
              <w:jc w:val="both"/>
              <w:rPr>
                <w:rFonts w:eastAsia="宋体"/>
                <w:kern w:val="2"/>
                <w:sz w:val="21"/>
                <w:lang w:eastAsia="zh-CN"/>
              </w:rPr>
            </w:pPr>
          </w:p>
        </w:tc>
        <w:tc>
          <w:tcPr>
            <w:tcW w:w="3304" w:type="dxa"/>
            <w:vAlign w:val="center"/>
          </w:tcPr>
          <w:p w14:paraId="437A9C05">
            <w:pPr>
              <w:widowControl w:val="0"/>
              <w:jc w:val="both"/>
              <w:rPr>
                <w:rFonts w:eastAsia="宋体"/>
                <w:kern w:val="2"/>
                <w:sz w:val="21"/>
                <w:lang w:eastAsia="zh-CN"/>
              </w:rPr>
            </w:pPr>
            <w:r>
              <w:rPr>
                <w:rFonts w:hint="eastAsia" w:eastAsia="宋体"/>
                <w:kern w:val="2"/>
                <w:sz w:val="21"/>
                <w:lang w:eastAsia="zh-CN"/>
              </w:rPr>
              <w:t>4.6 成品：符合 GB/T 3324-</w:t>
            </w:r>
            <w:r>
              <w:rPr>
                <w:rFonts w:eastAsia="宋体"/>
                <w:kern w:val="2"/>
                <w:sz w:val="21"/>
                <w:lang w:eastAsia="zh-CN"/>
              </w:rPr>
              <w:t>2024</w:t>
            </w:r>
            <w:r>
              <w:rPr>
                <w:rFonts w:hint="eastAsia" w:eastAsia="宋体"/>
                <w:kern w:val="2"/>
                <w:sz w:val="21"/>
                <w:lang w:eastAsia="zh-CN"/>
              </w:rPr>
              <w:t>《木家具通用技术条件》，同时甲醛释放量、苯、甲苯、二甲苯、总挥发性有机化合物（TVOC）符合 GB/T 35607-2024《绿色产品评价家具》标准的绿色产品要求。</w:t>
            </w:r>
          </w:p>
        </w:tc>
        <w:tc>
          <w:tcPr>
            <w:tcW w:w="2624" w:type="dxa"/>
            <w:vAlign w:val="center"/>
          </w:tcPr>
          <w:p w14:paraId="0868CAC2">
            <w:pPr>
              <w:widowControl w:val="0"/>
              <w:jc w:val="both"/>
              <w:rPr>
                <w:rFonts w:hint="eastAsia" w:eastAsia="宋体"/>
                <w:kern w:val="2"/>
                <w:sz w:val="21"/>
                <w:lang w:eastAsia="zh-CN"/>
              </w:rPr>
            </w:pPr>
          </w:p>
        </w:tc>
        <w:tc>
          <w:tcPr>
            <w:tcW w:w="1283" w:type="dxa"/>
            <w:vAlign w:val="center"/>
          </w:tcPr>
          <w:p w14:paraId="14F1855E">
            <w:pPr>
              <w:widowControl w:val="0"/>
              <w:jc w:val="both"/>
              <w:rPr>
                <w:rFonts w:hint="eastAsia" w:eastAsia="宋体"/>
                <w:kern w:val="2"/>
                <w:sz w:val="21"/>
                <w:lang w:eastAsia="zh-CN"/>
              </w:rPr>
            </w:pPr>
          </w:p>
        </w:tc>
        <w:tc>
          <w:tcPr>
            <w:tcW w:w="1283" w:type="dxa"/>
            <w:vAlign w:val="center"/>
          </w:tcPr>
          <w:p w14:paraId="7BED547B">
            <w:pPr>
              <w:widowControl w:val="0"/>
              <w:jc w:val="both"/>
              <w:rPr>
                <w:rFonts w:hint="eastAsia" w:eastAsia="宋体"/>
                <w:kern w:val="2"/>
                <w:sz w:val="21"/>
                <w:lang w:eastAsia="zh-CN"/>
              </w:rPr>
            </w:pPr>
          </w:p>
        </w:tc>
      </w:tr>
    </w:tbl>
    <w:p w14:paraId="58F0B7F0">
      <w:pPr>
        <w:widowControl w:val="0"/>
        <w:ind w:firstLine="420" w:firstLineChars="200"/>
        <w:jc w:val="both"/>
        <w:rPr>
          <w:rFonts w:eastAsia="宋体"/>
          <w:kern w:val="2"/>
          <w:sz w:val="21"/>
          <w:lang w:eastAsia="zh-CN"/>
        </w:rPr>
      </w:pPr>
      <w:r>
        <w:rPr>
          <w:rFonts w:hint="eastAsia" w:eastAsia="宋体"/>
          <w:kern w:val="2"/>
          <w:sz w:val="21"/>
          <w:lang w:eastAsia="zh-CN"/>
        </w:rPr>
        <w:t>证明资料【如有的话，提供的证明资料应统一编号（排序），格式自定】：</w:t>
      </w:r>
    </w:p>
    <w:p w14:paraId="261BD264">
      <w:pPr>
        <w:widowControl w:val="0"/>
        <w:ind w:firstLine="420" w:firstLineChars="200"/>
        <w:jc w:val="both"/>
        <w:rPr>
          <w:rFonts w:eastAsia="宋体"/>
          <w:kern w:val="2"/>
          <w:sz w:val="21"/>
          <w:lang w:eastAsia="zh-CN"/>
        </w:rPr>
      </w:pPr>
    </w:p>
    <w:p w14:paraId="4CB23CD1">
      <w:pPr>
        <w:widowControl w:val="0"/>
        <w:ind w:firstLine="420" w:firstLineChars="200"/>
        <w:jc w:val="both"/>
        <w:rPr>
          <w:rFonts w:eastAsia="宋体"/>
          <w:kern w:val="2"/>
          <w:sz w:val="21"/>
          <w:lang w:eastAsia="zh-CN"/>
        </w:rPr>
      </w:pPr>
      <w:r>
        <w:rPr>
          <w:rFonts w:hint="eastAsia" w:eastAsia="宋体"/>
          <w:kern w:val="2"/>
          <w:sz w:val="21"/>
          <w:lang w:eastAsia="zh-CN"/>
        </w:rPr>
        <w:t>《技术要求偏离表》编制指引：</w:t>
      </w:r>
    </w:p>
    <w:p w14:paraId="15BB0174">
      <w:pPr>
        <w:widowControl w:val="0"/>
        <w:ind w:firstLine="420" w:firstLineChars="200"/>
        <w:jc w:val="both"/>
        <w:rPr>
          <w:rFonts w:eastAsia="宋体"/>
          <w:kern w:val="2"/>
          <w:sz w:val="21"/>
          <w:lang w:eastAsia="zh-CN"/>
        </w:rPr>
      </w:pPr>
      <w:r>
        <w:rPr>
          <w:rFonts w:hint="eastAsia" w:eastAsia="宋体"/>
          <w:kern w:val="2"/>
          <w:sz w:val="21"/>
          <w:lang w:eastAsia="zh-CN"/>
        </w:rPr>
        <w:t>1、技术要求偏离表的序号、货物名称、招标技术要求等栏目对应“用户需求书”中的“技术要求”章节相关内容。</w:t>
      </w:r>
    </w:p>
    <w:p w14:paraId="27AD2484">
      <w:pPr>
        <w:widowControl w:val="0"/>
        <w:ind w:firstLine="420" w:firstLineChars="200"/>
        <w:jc w:val="both"/>
        <w:rPr>
          <w:rFonts w:eastAsia="宋体"/>
          <w:color w:val="FF0000"/>
          <w:kern w:val="2"/>
          <w:sz w:val="21"/>
          <w:lang w:eastAsia="zh-CN"/>
        </w:rPr>
      </w:pPr>
      <w:r>
        <w:rPr>
          <w:rFonts w:eastAsia="宋体"/>
          <w:kern w:val="2"/>
          <w:sz w:val="21"/>
          <w:lang w:eastAsia="zh-CN"/>
        </w:rPr>
        <w:t>2</w:t>
      </w:r>
      <w:r>
        <w:rPr>
          <w:rFonts w:hint="eastAsia" w:eastAsia="宋体"/>
          <w:kern w:val="2"/>
          <w:sz w:val="21"/>
          <w:lang w:eastAsia="zh-CN"/>
        </w:rPr>
        <w:t>、“投标技术响应”一栏必须一一对照“招标技术要求”，详细填写投标人自身投标货物的具体参数，而不能不合理照搬照抄招标文件的技术要求，以体现具体响应情况。</w:t>
      </w:r>
      <w:r>
        <w:rPr>
          <w:rFonts w:hint="eastAsia" w:eastAsia="宋体"/>
          <w:color w:val="FF0000"/>
          <w:kern w:val="2"/>
          <w:sz w:val="21"/>
          <w:lang w:eastAsia="zh-CN"/>
        </w:rPr>
        <w:t>“投标技术响应”必须与所投产品客观实际保持一致，响应不实且情节严重的，经查实，将依法记入供应商诚信档案或受到行政处罚。</w:t>
      </w:r>
    </w:p>
    <w:p w14:paraId="228A224D">
      <w:pPr>
        <w:widowControl w:val="0"/>
        <w:ind w:firstLine="420" w:firstLineChars="200"/>
        <w:jc w:val="both"/>
        <w:rPr>
          <w:rFonts w:eastAsia="宋体"/>
          <w:color w:val="FF0000"/>
          <w:kern w:val="2"/>
          <w:sz w:val="21"/>
          <w:lang w:eastAsia="zh-CN"/>
        </w:rPr>
      </w:pPr>
      <w:r>
        <w:rPr>
          <w:rFonts w:eastAsia="宋体"/>
          <w:kern w:val="2"/>
          <w:sz w:val="21"/>
          <w:lang w:eastAsia="zh-CN"/>
        </w:rPr>
        <w:t>3</w:t>
      </w:r>
      <w:r>
        <w:rPr>
          <w:rFonts w:hint="eastAsia" w:eastAsia="宋体"/>
          <w:kern w:val="2"/>
          <w:sz w:val="21"/>
          <w:lang w:eastAsia="zh-CN"/>
        </w:rPr>
        <w:t>、“偏离情况”一栏填写如实填写“正偏离”、“负偏离”或“无偏离”，其中：“正偏离”表示“投标响应优于招标技术要求”，“负偏离”表示“投标响应不满足招标技术要求”，“无偏离”表示“投标响应与招标技术要求一致”。“投标技术响应”对比“招标技术要求”存在响应不全（包括未响应整项招标技术要求或者未响应一项招标技术要求的部分内容），均视为“负偏离”。带★号条款为不可负偏离条款，不作为评分准则中的评分内容，如未响应或出现负偏离的，将做投标无效处理。</w:t>
      </w:r>
      <w:r>
        <w:rPr>
          <w:rFonts w:hint="eastAsia" w:eastAsia="宋体"/>
          <w:color w:val="FF0000"/>
          <w:kern w:val="2"/>
          <w:sz w:val="21"/>
          <w:lang w:eastAsia="zh-CN"/>
        </w:rPr>
        <w:t>“偏离情况”必须与所投产品客观实际保持一致，响应不实且情节严重的，经查实，将依法记入供应商诚信档案或受到行政处罚。</w:t>
      </w:r>
    </w:p>
    <w:p w14:paraId="1EA700B2">
      <w:pPr>
        <w:widowControl w:val="0"/>
        <w:ind w:firstLine="420" w:firstLineChars="200"/>
        <w:jc w:val="both"/>
        <w:rPr>
          <w:rFonts w:eastAsia="宋体"/>
          <w:kern w:val="2"/>
          <w:sz w:val="21"/>
          <w:lang w:eastAsia="zh-CN"/>
        </w:rPr>
      </w:pPr>
      <w:r>
        <w:rPr>
          <w:rFonts w:eastAsia="宋体"/>
          <w:kern w:val="2"/>
          <w:sz w:val="21"/>
          <w:lang w:eastAsia="zh-CN"/>
        </w:rPr>
        <w:t>4</w:t>
      </w:r>
      <w:r>
        <w:rPr>
          <w:rFonts w:hint="eastAsia" w:eastAsia="宋体"/>
          <w:kern w:val="2"/>
          <w:sz w:val="21"/>
          <w:lang w:eastAsia="zh-CN"/>
        </w:rPr>
        <w:t>、未要求提供证明资料的招标技术要求，可以不提供证明资料（如实响应即可）。</w:t>
      </w:r>
    </w:p>
    <w:p w14:paraId="5DD3646D">
      <w:pPr>
        <w:widowControl w:val="0"/>
        <w:ind w:firstLine="420" w:firstLineChars="200"/>
        <w:jc w:val="both"/>
        <w:rPr>
          <w:rFonts w:eastAsia="宋体"/>
          <w:kern w:val="2"/>
          <w:sz w:val="21"/>
          <w:lang w:eastAsia="zh-CN"/>
        </w:rPr>
      </w:pPr>
      <w:r>
        <w:rPr>
          <w:rFonts w:hint="eastAsia" w:eastAsia="宋体"/>
          <w:kern w:val="2"/>
          <w:sz w:val="21"/>
          <w:lang w:eastAsia="zh-CN"/>
        </w:rPr>
        <w:t>5、证明资料条款响应要求：要求提供证明资料（且已对证明资料的形式、内容作出明确要求）进行响应的条款，应当在“说明”一栏中列明是否提供了符合要求的证明资料，以及所提供证明资料在表后“证明资料”中的编号（位置）,以便评审；此类条款应严格依照要求的形式、内容提供证明资料，如未提供证明资料（或：证明资料的形式、内容等不符合要求；证明资料显示不符合招标技术要求；证明资料模糊不清无法判断或未显示是否满足招标技术要求），且投标人在“偏离情况”一栏响应为“正偏离”或“无偏离”的，经评审委员会认定，将判定为负偏离。</w:t>
      </w:r>
    </w:p>
    <w:p w14:paraId="0A8042FE">
      <w:pPr>
        <w:widowControl w:val="0"/>
        <w:ind w:firstLine="420" w:firstLineChars="200"/>
        <w:jc w:val="both"/>
        <w:rPr>
          <w:rFonts w:eastAsia="宋体"/>
          <w:kern w:val="2"/>
          <w:sz w:val="21"/>
          <w:lang w:eastAsia="zh-CN"/>
        </w:rPr>
      </w:pPr>
      <w:r>
        <w:rPr>
          <w:rFonts w:hint="eastAsia" w:eastAsia="宋体"/>
          <w:kern w:val="2"/>
          <w:sz w:val="21"/>
          <w:lang w:eastAsia="zh-CN"/>
        </w:rPr>
        <w:t>6、表后“证明资料”部分内容的编制：提供的所有证明资料应当统一编号（排序），且证明资料的编号（顺序）、数量和名称（形式）均应与“说明”一栏所填内容保持一致（一一对应），以便评审委员会查看。未按照招标文件要求在表后放置证明材料的供应商将承担不利后果，经评审委员会认定，相关技术要求将判定为负偏离。</w:t>
      </w:r>
    </w:p>
    <w:p w14:paraId="487A9647">
      <w:pPr>
        <w:widowControl w:val="0"/>
        <w:ind w:firstLine="420" w:firstLineChars="200"/>
        <w:jc w:val="both"/>
        <w:rPr>
          <w:rFonts w:eastAsia="宋体"/>
          <w:kern w:val="2"/>
          <w:sz w:val="21"/>
          <w:lang w:eastAsia="zh-CN"/>
        </w:rPr>
      </w:pPr>
      <w:r>
        <w:rPr>
          <w:rFonts w:hint="eastAsia" w:eastAsia="宋体"/>
          <w:kern w:val="2"/>
          <w:sz w:val="21"/>
          <w:lang w:eastAsia="zh-CN"/>
        </w:rPr>
        <w:t>7、证明资料的形式及其它具体要求：</w:t>
      </w:r>
    </w:p>
    <w:p w14:paraId="28D57939">
      <w:pPr>
        <w:widowControl w:val="0"/>
        <w:ind w:firstLine="420" w:firstLineChars="200"/>
        <w:jc w:val="both"/>
        <w:rPr>
          <w:rFonts w:eastAsia="宋体"/>
          <w:kern w:val="2"/>
          <w:sz w:val="21"/>
          <w:lang w:eastAsia="zh-CN"/>
        </w:rPr>
      </w:pPr>
      <w:r>
        <w:rPr>
          <w:rFonts w:hint="eastAsia" w:eastAsia="宋体"/>
          <w:kern w:val="2"/>
          <w:sz w:val="21"/>
          <w:lang w:eastAsia="zh-CN"/>
        </w:rPr>
        <w:t>（1）除照片、图片（截图）及不需加盖公章的文字说明（技术说明）外，其它证明资料均要求为原件扫描件；</w:t>
      </w:r>
    </w:p>
    <w:p w14:paraId="0421768D">
      <w:pPr>
        <w:widowControl w:val="0"/>
        <w:ind w:firstLine="420" w:firstLineChars="200"/>
        <w:jc w:val="both"/>
        <w:rPr>
          <w:rFonts w:eastAsia="宋体"/>
          <w:kern w:val="2"/>
          <w:sz w:val="21"/>
          <w:lang w:eastAsia="zh-CN"/>
        </w:rPr>
      </w:pPr>
      <w:r>
        <w:rPr>
          <w:rFonts w:hint="eastAsia" w:eastAsia="宋体"/>
          <w:kern w:val="2"/>
          <w:sz w:val="21"/>
          <w:lang w:eastAsia="zh-CN"/>
        </w:rPr>
        <w:t>（2）提供证明资料的形式包括但不限于：a.制造商公布（出具）的产品说明书、产品彩页；b.我国政府机构出具的产品检验和核准证件等；c.第三方机构出具的检测（检验、测试）报告、认证证书等；已对证明资料的形式、内容作出具体要求的，必须严格按要求的形式、内容提供证明资料；</w:t>
      </w:r>
    </w:p>
    <w:p w14:paraId="08D0CBAF">
      <w:pPr>
        <w:widowControl w:val="0"/>
        <w:ind w:firstLine="420" w:firstLineChars="200"/>
        <w:jc w:val="both"/>
        <w:rPr>
          <w:rFonts w:eastAsia="宋体"/>
          <w:kern w:val="2"/>
          <w:sz w:val="21"/>
          <w:lang w:eastAsia="zh-CN"/>
        </w:rPr>
      </w:pPr>
      <w:r>
        <w:rPr>
          <w:rFonts w:hint="eastAsia" w:eastAsia="宋体"/>
          <w:kern w:val="2"/>
          <w:sz w:val="21"/>
          <w:lang w:eastAsia="zh-CN"/>
        </w:rPr>
        <w:t>（3）产品说明书或彩页应为制造商公布（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14:paraId="41DE7678">
      <w:pPr>
        <w:widowControl w:val="0"/>
        <w:ind w:firstLine="420" w:firstLineChars="200"/>
        <w:jc w:val="both"/>
        <w:rPr>
          <w:rFonts w:eastAsia="宋体"/>
          <w:kern w:val="2"/>
          <w:sz w:val="21"/>
          <w:lang w:eastAsia="zh-CN"/>
        </w:rPr>
      </w:pPr>
      <w:r>
        <w:rPr>
          <w:rFonts w:hint="eastAsia" w:eastAsia="宋体"/>
          <w:kern w:val="2"/>
          <w:sz w:val="21"/>
          <w:lang w:eastAsia="zh-CN"/>
        </w:rPr>
        <w:t>我国政府机构出具的产品检验和核准证件应为证件正面、背面和附件标注的全部具体内容；产品检验和核准证件的尺寸和清晰度应该能够在电脑上被阅读、识别和判断；</w:t>
      </w:r>
    </w:p>
    <w:p w14:paraId="7077DF18">
      <w:pPr>
        <w:widowControl w:val="0"/>
        <w:ind w:firstLine="420" w:firstLineChars="200"/>
        <w:jc w:val="both"/>
        <w:rPr>
          <w:rFonts w:eastAsia="宋体"/>
          <w:kern w:val="2"/>
          <w:sz w:val="21"/>
          <w:lang w:eastAsia="zh-CN"/>
        </w:rPr>
      </w:pPr>
      <w:r>
        <w:rPr>
          <w:rFonts w:hint="eastAsia" w:eastAsia="宋体"/>
          <w:kern w:val="2"/>
          <w:sz w:val="21"/>
          <w:lang w:eastAsia="zh-CN"/>
        </w:rPr>
        <w:t>第三方机构出具的检测（检验、测试）报告、认证（证明）证书应为中文报告或证书；提供外文报告或证书的，必须同时提供对应的中文翻译文字说明，评标依据以中文翻译文字说明内容为准，外文报告或证书仅供参考；报告或证书的尺寸和清晰度应该能够在电脑上被阅读、识别和判断；</w:t>
      </w:r>
    </w:p>
    <w:p w14:paraId="50267C9A">
      <w:pPr>
        <w:widowControl w:val="0"/>
        <w:ind w:firstLine="420" w:firstLineChars="200"/>
        <w:jc w:val="both"/>
        <w:rPr>
          <w:rFonts w:eastAsia="宋体"/>
          <w:kern w:val="2"/>
          <w:sz w:val="21"/>
          <w:lang w:eastAsia="zh-CN"/>
        </w:rPr>
      </w:pPr>
      <w:r>
        <w:rPr>
          <w:rFonts w:hint="eastAsia" w:eastAsia="宋体"/>
          <w:kern w:val="2"/>
          <w:sz w:val="21"/>
          <w:lang w:eastAsia="zh-CN"/>
        </w:rPr>
        <w:t>其它证明资料的形式要求参照以上要求执行；</w:t>
      </w:r>
    </w:p>
    <w:p w14:paraId="36B08BF3">
      <w:pPr>
        <w:widowControl w:val="0"/>
        <w:ind w:firstLine="420" w:firstLineChars="200"/>
        <w:jc w:val="both"/>
        <w:rPr>
          <w:rFonts w:eastAsia="宋体"/>
          <w:kern w:val="2"/>
          <w:sz w:val="21"/>
          <w:lang w:eastAsia="zh-CN"/>
        </w:rPr>
      </w:pPr>
      <w:r>
        <w:rPr>
          <w:rFonts w:hint="eastAsia" w:eastAsia="宋体"/>
          <w:kern w:val="2"/>
          <w:sz w:val="21"/>
          <w:lang w:eastAsia="zh-CN"/>
        </w:rPr>
        <w:t>8、其它注意事项：</w:t>
      </w:r>
    </w:p>
    <w:p w14:paraId="5E2256C7">
      <w:pPr>
        <w:widowControl w:val="0"/>
        <w:ind w:firstLine="420" w:firstLineChars="200"/>
        <w:jc w:val="both"/>
        <w:rPr>
          <w:rFonts w:eastAsia="宋体"/>
          <w:kern w:val="2"/>
          <w:sz w:val="21"/>
          <w:lang w:eastAsia="zh-CN"/>
        </w:rPr>
      </w:pPr>
      <w:r>
        <w:rPr>
          <w:rFonts w:hint="eastAsia" w:eastAsia="宋体"/>
          <w:kern w:val="2"/>
          <w:sz w:val="21"/>
          <w:lang w:eastAsia="zh-CN"/>
        </w:rPr>
        <w:t>（1）评审委员会有权对投标人的响应情况作出判断（评审结论）；</w:t>
      </w:r>
    </w:p>
    <w:p w14:paraId="33D735BC">
      <w:pPr>
        <w:widowControl w:val="0"/>
        <w:ind w:firstLine="420" w:firstLineChars="200"/>
        <w:jc w:val="both"/>
        <w:rPr>
          <w:rFonts w:eastAsia="宋体"/>
          <w:kern w:val="2"/>
          <w:sz w:val="21"/>
          <w:lang w:eastAsia="zh-CN"/>
        </w:rPr>
      </w:pPr>
      <w:r>
        <w:rPr>
          <w:rFonts w:hint="eastAsia" w:eastAsia="宋体"/>
          <w:kern w:val="2"/>
          <w:sz w:val="21"/>
          <w:lang w:eastAsia="zh-CN"/>
        </w:rPr>
        <w:t>（2）评审委员会有权对以谋取中标为目的的技术规格模糊响应（如有意不合理照搬照抄招标文件的技术要求）或虚假响应予以认定。</w:t>
      </w:r>
    </w:p>
    <w:p w14:paraId="53AE29F8">
      <w:pPr>
        <w:widowControl w:val="0"/>
        <w:ind w:firstLine="420" w:firstLineChars="200"/>
        <w:jc w:val="both"/>
        <w:rPr>
          <w:rFonts w:eastAsia="宋体"/>
          <w:kern w:val="2"/>
          <w:sz w:val="21"/>
          <w:lang w:eastAsia="zh-CN"/>
        </w:rPr>
      </w:pPr>
    </w:p>
    <w:p w14:paraId="47AF4863">
      <w:pPr>
        <w:widowControl w:val="0"/>
        <w:ind w:firstLine="420" w:firstLineChars="200"/>
        <w:jc w:val="both"/>
        <w:rPr>
          <w:rFonts w:eastAsia="宋体"/>
          <w:kern w:val="2"/>
          <w:sz w:val="21"/>
          <w:lang w:eastAsia="zh-CN"/>
        </w:rPr>
      </w:pPr>
    </w:p>
    <w:p w14:paraId="420BC288">
      <w:pPr>
        <w:widowControl w:val="0"/>
        <w:jc w:val="both"/>
        <w:rPr>
          <w:rFonts w:ascii="黑体" w:hAnsi="黑体" w:eastAsia="黑体" w:cs="黑体"/>
          <w:kern w:val="2"/>
          <w:szCs w:val="28"/>
          <w:lang w:eastAsia="zh-CN"/>
        </w:rPr>
      </w:pPr>
      <w:r>
        <w:rPr>
          <w:rFonts w:hint="eastAsia" w:ascii="黑体" w:hAnsi="黑体" w:eastAsia="黑体" w:cs="黑体"/>
          <w:kern w:val="2"/>
          <w:szCs w:val="28"/>
          <w:lang w:eastAsia="zh-CN"/>
        </w:rPr>
        <w:br w:type="page"/>
      </w:r>
    </w:p>
    <w:p w14:paraId="0A6D164C">
      <w:pPr>
        <w:keepNext/>
        <w:keepLines/>
        <w:widowControl w:val="0"/>
        <w:spacing w:before="260" w:after="260" w:line="240" w:lineRule="auto"/>
        <w:jc w:val="center"/>
        <w:outlineLvl w:val="2"/>
        <w:rPr>
          <w:rFonts w:ascii="黑体" w:hAnsi="黑体" w:eastAsia="黑体" w:cs="黑体"/>
          <w:kern w:val="2"/>
          <w:szCs w:val="28"/>
          <w:lang w:eastAsia="zh-CN"/>
        </w:rPr>
      </w:pPr>
      <w:r>
        <w:rPr>
          <w:rFonts w:hint="eastAsia" w:ascii="黑体" w:hAnsi="黑体" w:eastAsia="黑体" w:cs="黑体"/>
          <w:kern w:val="2"/>
          <w:szCs w:val="28"/>
          <w:lang w:eastAsia="zh-CN"/>
        </w:rPr>
        <w:t>十、商务要求偏离表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288"/>
        <w:gridCol w:w="2700"/>
        <w:gridCol w:w="2522"/>
        <w:gridCol w:w="1084"/>
        <w:gridCol w:w="906"/>
      </w:tblGrid>
      <w:tr w14:paraId="0909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77" w:type="dxa"/>
            <w:vAlign w:val="center"/>
          </w:tcPr>
          <w:p w14:paraId="7D1F9E05">
            <w:pPr>
              <w:widowControl w:val="0"/>
              <w:jc w:val="center"/>
              <w:rPr>
                <w:rFonts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序号</w:t>
            </w:r>
          </w:p>
        </w:tc>
        <w:tc>
          <w:tcPr>
            <w:tcW w:w="1458" w:type="dxa"/>
            <w:vAlign w:val="center"/>
          </w:tcPr>
          <w:p w14:paraId="0639916B">
            <w:pPr>
              <w:widowControl w:val="0"/>
              <w:jc w:val="center"/>
              <w:rPr>
                <w:rFonts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商务需求项</w:t>
            </w:r>
          </w:p>
        </w:tc>
        <w:tc>
          <w:tcPr>
            <w:tcW w:w="3098" w:type="dxa"/>
            <w:vAlign w:val="center"/>
          </w:tcPr>
          <w:p w14:paraId="1E5BD538">
            <w:pPr>
              <w:widowControl w:val="0"/>
              <w:jc w:val="center"/>
              <w:rPr>
                <w:rFonts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招标商务要求</w:t>
            </w:r>
          </w:p>
        </w:tc>
        <w:tc>
          <w:tcPr>
            <w:tcW w:w="2891" w:type="dxa"/>
            <w:vAlign w:val="center"/>
          </w:tcPr>
          <w:p w14:paraId="3CEB9D0A">
            <w:pPr>
              <w:widowControl w:val="0"/>
              <w:jc w:val="center"/>
              <w:rPr>
                <w:rFonts w:hint="eastAsia" w:ascii="宋体" w:hAnsi="宋体" w:eastAsia="宋体" w:cs="宋体"/>
                <w:b/>
                <w:bCs/>
                <w:kern w:val="2"/>
                <w:sz w:val="21"/>
                <w:szCs w:val="21"/>
                <w:lang w:eastAsia="zh-CN"/>
              </w:rPr>
            </w:pPr>
            <w:r>
              <w:rPr>
                <w:rFonts w:hint="eastAsia" w:eastAsia="宋体"/>
                <w:b/>
                <w:bCs/>
                <w:kern w:val="2"/>
                <w:lang w:eastAsia="zh-CN"/>
              </w:rPr>
              <w:t>投标商务响应</w:t>
            </w:r>
          </w:p>
        </w:tc>
        <w:tc>
          <w:tcPr>
            <w:tcW w:w="1221" w:type="dxa"/>
            <w:vAlign w:val="center"/>
          </w:tcPr>
          <w:p w14:paraId="1CDA6355">
            <w:pPr>
              <w:widowControl w:val="0"/>
              <w:jc w:val="center"/>
              <w:rPr>
                <w:rFonts w:hint="eastAsia" w:ascii="宋体" w:hAnsi="宋体" w:eastAsia="宋体" w:cs="宋体"/>
                <w:b/>
                <w:bCs/>
                <w:kern w:val="2"/>
                <w:sz w:val="21"/>
                <w:szCs w:val="21"/>
                <w:lang w:eastAsia="zh-CN"/>
              </w:rPr>
            </w:pPr>
            <w:r>
              <w:rPr>
                <w:rFonts w:hint="eastAsia" w:eastAsia="宋体"/>
                <w:b/>
                <w:bCs/>
                <w:kern w:val="2"/>
                <w:sz w:val="21"/>
                <w:lang w:eastAsia="zh-CN"/>
              </w:rPr>
              <w:t>偏离情况</w:t>
            </w:r>
          </w:p>
        </w:tc>
        <w:tc>
          <w:tcPr>
            <w:tcW w:w="1014" w:type="dxa"/>
            <w:vAlign w:val="center"/>
          </w:tcPr>
          <w:p w14:paraId="488307C8">
            <w:pPr>
              <w:widowControl w:val="0"/>
              <w:jc w:val="center"/>
              <w:rPr>
                <w:rFonts w:hint="eastAsia" w:ascii="宋体" w:hAnsi="宋体" w:eastAsia="宋体" w:cs="宋体"/>
                <w:b/>
                <w:bCs/>
                <w:kern w:val="2"/>
                <w:sz w:val="21"/>
                <w:szCs w:val="21"/>
                <w:lang w:eastAsia="zh-CN"/>
              </w:rPr>
            </w:pPr>
            <w:r>
              <w:rPr>
                <w:rFonts w:hint="eastAsia" w:eastAsia="宋体"/>
                <w:b/>
                <w:bCs/>
                <w:kern w:val="2"/>
                <w:lang w:eastAsia="zh-CN"/>
              </w:rPr>
              <w:t>说明</w:t>
            </w:r>
          </w:p>
        </w:tc>
      </w:tr>
      <w:tr w14:paraId="630C4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0559" w:type="dxa"/>
            <w:gridSpan w:val="6"/>
            <w:vAlign w:val="center"/>
          </w:tcPr>
          <w:p w14:paraId="5B0EE4D3">
            <w:pPr>
              <w:widowControl w:val="0"/>
              <w:jc w:val="both"/>
              <w:rPr>
                <w:rFonts w:hint="eastAsia"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（一）免费保修期内售后服务要求</w:t>
            </w:r>
          </w:p>
        </w:tc>
      </w:tr>
      <w:tr w14:paraId="1030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877" w:type="dxa"/>
            <w:vAlign w:val="center"/>
          </w:tcPr>
          <w:p w14:paraId="0886B386">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1</w:t>
            </w:r>
          </w:p>
        </w:tc>
        <w:tc>
          <w:tcPr>
            <w:tcW w:w="1458" w:type="dxa"/>
            <w:vAlign w:val="center"/>
          </w:tcPr>
          <w:p w14:paraId="45D7933B">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维修响应及故障解决时间</w:t>
            </w:r>
          </w:p>
        </w:tc>
        <w:tc>
          <w:tcPr>
            <w:tcW w:w="3098" w:type="dxa"/>
          </w:tcPr>
          <w:p w14:paraId="4C1EA30A">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在免费保修期内，一旦发生质量问题，中标人保证在接到通知2小时响应，48小时内派人到用户产品使用现场进行免费修理或更换。中标人如在派人到现场后48小时内仍不能修复有关产品，应在5个日历日内提供与该产品同一型号的备用产品，由此给采购人造成的损失，应负责赔偿。</w:t>
            </w:r>
          </w:p>
          <w:p w14:paraId="7047D6DE">
            <w:pPr>
              <w:widowControl w:val="0"/>
              <w:jc w:val="both"/>
              <w:rPr>
                <w:rFonts w:ascii="宋体" w:hAnsi="宋体" w:eastAsia="宋体" w:cs="宋体"/>
                <w:b/>
                <w:kern w:val="2"/>
                <w:sz w:val="21"/>
                <w:szCs w:val="21"/>
                <w:lang w:eastAsia="zh-CN"/>
              </w:rPr>
            </w:pPr>
            <w:r>
              <w:rPr>
                <w:rFonts w:hint="eastAsia" w:ascii="宋体" w:hAnsi="宋体" w:eastAsia="宋体" w:cs="宋体"/>
                <w:kern w:val="2"/>
                <w:sz w:val="21"/>
                <w:szCs w:val="21"/>
                <w:lang w:eastAsia="zh-CN"/>
              </w:rPr>
              <w:t>免费保修期内产生的一切费用均由中标人承担，并赔偿因质量问题造成的损失。</w:t>
            </w:r>
          </w:p>
        </w:tc>
        <w:tc>
          <w:tcPr>
            <w:tcW w:w="2891" w:type="dxa"/>
          </w:tcPr>
          <w:p w14:paraId="5D3424F3">
            <w:pPr>
              <w:widowControl w:val="0"/>
              <w:jc w:val="both"/>
              <w:rPr>
                <w:rFonts w:hint="eastAsia" w:ascii="宋体" w:hAnsi="宋体" w:eastAsia="宋体" w:cs="宋体"/>
                <w:kern w:val="2"/>
                <w:sz w:val="21"/>
                <w:szCs w:val="21"/>
                <w:lang w:eastAsia="zh-CN"/>
              </w:rPr>
            </w:pPr>
          </w:p>
        </w:tc>
        <w:tc>
          <w:tcPr>
            <w:tcW w:w="1221" w:type="dxa"/>
          </w:tcPr>
          <w:p w14:paraId="7E706CB2">
            <w:pPr>
              <w:widowControl w:val="0"/>
              <w:jc w:val="both"/>
              <w:rPr>
                <w:rFonts w:hint="eastAsia" w:ascii="宋体" w:hAnsi="宋体" w:eastAsia="宋体" w:cs="宋体"/>
                <w:kern w:val="2"/>
                <w:sz w:val="21"/>
                <w:szCs w:val="21"/>
                <w:lang w:eastAsia="zh-CN"/>
              </w:rPr>
            </w:pPr>
          </w:p>
        </w:tc>
        <w:tc>
          <w:tcPr>
            <w:tcW w:w="1014" w:type="dxa"/>
          </w:tcPr>
          <w:p w14:paraId="5D674FEE">
            <w:pPr>
              <w:widowControl w:val="0"/>
              <w:jc w:val="both"/>
              <w:rPr>
                <w:rFonts w:hint="eastAsia" w:ascii="宋体" w:hAnsi="宋体" w:eastAsia="宋体" w:cs="宋体"/>
                <w:kern w:val="2"/>
                <w:sz w:val="21"/>
                <w:szCs w:val="21"/>
                <w:lang w:eastAsia="zh-CN"/>
              </w:rPr>
            </w:pPr>
          </w:p>
        </w:tc>
      </w:tr>
      <w:tr w14:paraId="2353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77" w:type="dxa"/>
            <w:vAlign w:val="center"/>
          </w:tcPr>
          <w:p w14:paraId="583376D7">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2</w:t>
            </w:r>
          </w:p>
        </w:tc>
        <w:tc>
          <w:tcPr>
            <w:tcW w:w="1458" w:type="dxa"/>
            <w:vAlign w:val="center"/>
          </w:tcPr>
          <w:p w14:paraId="61D86249">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免费保修期</w:t>
            </w:r>
          </w:p>
        </w:tc>
        <w:tc>
          <w:tcPr>
            <w:tcW w:w="3098" w:type="dxa"/>
          </w:tcPr>
          <w:p w14:paraId="15781003">
            <w:pPr>
              <w:widowControl w:val="0"/>
              <w:jc w:val="both"/>
              <w:rPr>
                <w:rFonts w:ascii="宋体" w:hAnsi="宋体" w:eastAsia="宋体" w:cs="宋体"/>
                <w:b/>
                <w:kern w:val="2"/>
                <w:sz w:val="21"/>
                <w:szCs w:val="21"/>
                <w:lang w:eastAsia="zh-CN"/>
              </w:rPr>
            </w:pPr>
            <w:r>
              <w:rPr>
                <w:rFonts w:hint="eastAsia" w:ascii="宋体" w:hAnsi="宋体" w:eastAsia="宋体" w:cs="宋体"/>
                <w:kern w:val="2"/>
                <w:sz w:val="21"/>
                <w:szCs w:val="21"/>
                <w:lang w:eastAsia="zh-CN"/>
              </w:rPr>
              <w:t>★免费保修期: 8年，自最终验收合格之日（以验收报告合格签字为标准）起计算。免费保修期内，中标人向采购人提供免费上门保修服务，且提供免费原厂配件更换。</w:t>
            </w:r>
          </w:p>
        </w:tc>
        <w:tc>
          <w:tcPr>
            <w:tcW w:w="2891" w:type="dxa"/>
          </w:tcPr>
          <w:p w14:paraId="371EDBAB">
            <w:pPr>
              <w:widowControl w:val="0"/>
              <w:jc w:val="both"/>
              <w:rPr>
                <w:rFonts w:hint="eastAsia" w:ascii="宋体" w:hAnsi="宋体" w:eastAsia="宋体" w:cs="宋体"/>
                <w:kern w:val="2"/>
                <w:sz w:val="21"/>
                <w:szCs w:val="21"/>
                <w:lang w:eastAsia="zh-CN"/>
              </w:rPr>
            </w:pPr>
          </w:p>
        </w:tc>
        <w:tc>
          <w:tcPr>
            <w:tcW w:w="1221" w:type="dxa"/>
          </w:tcPr>
          <w:p w14:paraId="6B462A89">
            <w:pPr>
              <w:widowControl w:val="0"/>
              <w:jc w:val="both"/>
              <w:rPr>
                <w:rFonts w:hint="eastAsia" w:ascii="宋体" w:hAnsi="宋体" w:eastAsia="宋体" w:cs="宋体"/>
                <w:kern w:val="2"/>
                <w:sz w:val="21"/>
                <w:szCs w:val="21"/>
                <w:lang w:eastAsia="zh-CN"/>
              </w:rPr>
            </w:pPr>
          </w:p>
        </w:tc>
        <w:tc>
          <w:tcPr>
            <w:tcW w:w="1014" w:type="dxa"/>
          </w:tcPr>
          <w:p w14:paraId="748E2A40">
            <w:pPr>
              <w:widowControl w:val="0"/>
              <w:jc w:val="both"/>
              <w:rPr>
                <w:rFonts w:hint="eastAsia" w:ascii="宋体" w:hAnsi="宋体" w:eastAsia="宋体" w:cs="宋体"/>
                <w:kern w:val="2"/>
                <w:sz w:val="21"/>
                <w:szCs w:val="21"/>
                <w:lang w:eastAsia="zh-CN"/>
              </w:rPr>
            </w:pPr>
          </w:p>
        </w:tc>
      </w:tr>
      <w:tr w14:paraId="2FFF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877" w:type="dxa"/>
            <w:vAlign w:val="center"/>
          </w:tcPr>
          <w:p w14:paraId="3001CA6E">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3</w:t>
            </w:r>
          </w:p>
        </w:tc>
        <w:tc>
          <w:tcPr>
            <w:tcW w:w="1458" w:type="dxa"/>
            <w:vAlign w:val="center"/>
          </w:tcPr>
          <w:p w14:paraId="4AA81AA7">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其他</w:t>
            </w:r>
          </w:p>
        </w:tc>
        <w:tc>
          <w:tcPr>
            <w:tcW w:w="3098" w:type="dxa"/>
          </w:tcPr>
          <w:p w14:paraId="27224905">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中标人应按其投标文件中的承诺，进行其他售后服务工作。</w:t>
            </w:r>
          </w:p>
        </w:tc>
        <w:tc>
          <w:tcPr>
            <w:tcW w:w="2891" w:type="dxa"/>
          </w:tcPr>
          <w:p w14:paraId="60B52EFD">
            <w:pPr>
              <w:widowControl w:val="0"/>
              <w:jc w:val="both"/>
              <w:rPr>
                <w:rFonts w:hint="eastAsia" w:ascii="宋体" w:hAnsi="宋体" w:eastAsia="宋体" w:cs="宋体"/>
                <w:kern w:val="2"/>
                <w:sz w:val="21"/>
                <w:szCs w:val="21"/>
                <w:lang w:eastAsia="zh-CN"/>
              </w:rPr>
            </w:pPr>
          </w:p>
        </w:tc>
        <w:tc>
          <w:tcPr>
            <w:tcW w:w="1221" w:type="dxa"/>
          </w:tcPr>
          <w:p w14:paraId="3B4A2E83">
            <w:pPr>
              <w:widowControl w:val="0"/>
              <w:jc w:val="both"/>
              <w:rPr>
                <w:rFonts w:hint="eastAsia" w:ascii="宋体" w:hAnsi="宋体" w:eastAsia="宋体" w:cs="宋体"/>
                <w:kern w:val="2"/>
                <w:sz w:val="21"/>
                <w:szCs w:val="21"/>
                <w:lang w:eastAsia="zh-CN"/>
              </w:rPr>
            </w:pPr>
          </w:p>
        </w:tc>
        <w:tc>
          <w:tcPr>
            <w:tcW w:w="1014" w:type="dxa"/>
          </w:tcPr>
          <w:p w14:paraId="5F5106B7">
            <w:pPr>
              <w:widowControl w:val="0"/>
              <w:jc w:val="both"/>
              <w:rPr>
                <w:rFonts w:hint="eastAsia" w:ascii="宋体" w:hAnsi="宋体" w:eastAsia="宋体" w:cs="宋体"/>
                <w:kern w:val="2"/>
                <w:sz w:val="21"/>
                <w:szCs w:val="21"/>
                <w:lang w:eastAsia="zh-CN"/>
              </w:rPr>
            </w:pPr>
          </w:p>
        </w:tc>
      </w:tr>
      <w:tr w14:paraId="5D78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0559" w:type="dxa"/>
            <w:gridSpan w:val="6"/>
            <w:vAlign w:val="center"/>
          </w:tcPr>
          <w:p w14:paraId="20A94BEA">
            <w:pPr>
              <w:widowControl w:val="0"/>
              <w:jc w:val="both"/>
              <w:rPr>
                <w:rFonts w:hint="eastAsia"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（二）免费保修期外售后服务要求</w:t>
            </w:r>
          </w:p>
        </w:tc>
      </w:tr>
      <w:tr w14:paraId="6CCB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Align w:val="center"/>
          </w:tcPr>
          <w:p w14:paraId="456B8642">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1</w:t>
            </w:r>
          </w:p>
        </w:tc>
        <w:tc>
          <w:tcPr>
            <w:tcW w:w="1458" w:type="dxa"/>
            <w:vAlign w:val="center"/>
          </w:tcPr>
          <w:p w14:paraId="64CBDE31">
            <w:pPr>
              <w:widowControl w:val="0"/>
              <w:jc w:val="center"/>
              <w:rPr>
                <w:rFonts w:ascii="宋体" w:hAnsi="宋体" w:eastAsia="宋体" w:cs="宋体"/>
                <w:color w:val="000000"/>
                <w:kern w:val="2"/>
                <w:sz w:val="21"/>
                <w:szCs w:val="21"/>
                <w:lang w:eastAsia="zh-CN"/>
              </w:rPr>
            </w:pPr>
            <w:r>
              <w:rPr>
                <w:rFonts w:hint="eastAsia" w:ascii="宋体" w:hAnsi="宋体" w:eastAsia="宋体" w:cs="宋体"/>
                <w:bCs/>
                <w:kern w:val="2"/>
                <w:sz w:val="21"/>
                <w:szCs w:val="21"/>
                <w:lang w:eastAsia="zh-CN"/>
              </w:rPr>
              <w:t>维保期外</w:t>
            </w:r>
          </w:p>
        </w:tc>
        <w:tc>
          <w:tcPr>
            <w:tcW w:w="3098" w:type="dxa"/>
            <w:vAlign w:val="center"/>
          </w:tcPr>
          <w:p w14:paraId="5EC32E46">
            <w:pPr>
              <w:widowControl w:val="0"/>
              <w:jc w:val="both"/>
              <w:rPr>
                <w:rFonts w:ascii="宋体" w:hAnsi="宋体" w:eastAsia="宋体" w:cs="宋体"/>
                <w:b/>
                <w:kern w:val="2"/>
                <w:sz w:val="21"/>
                <w:szCs w:val="21"/>
                <w:lang w:eastAsia="zh-CN"/>
              </w:rPr>
            </w:pPr>
            <w:r>
              <w:rPr>
                <w:rFonts w:hint="eastAsia" w:ascii="宋体" w:hAnsi="宋体" w:eastAsia="宋体" w:cs="宋体"/>
                <w:kern w:val="2"/>
                <w:sz w:val="21"/>
                <w:szCs w:val="21"/>
                <w:lang w:eastAsia="zh-CN"/>
              </w:rPr>
              <w:t>免费保修期后，定期对产品进行维护保养及正常的零部件维修，需要更换零部件的，只收取零部件成本费用。保修期外的产品维修费用的支付应先维修后付款。零配件的购买应先交货后付款。</w:t>
            </w:r>
          </w:p>
        </w:tc>
        <w:tc>
          <w:tcPr>
            <w:tcW w:w="2891" w:type="dxa"/>
            <w:vAlign w:val="center"/>
          </w:tcPr>
          <w:p w14:paraId="6D34073D">
            <w:pPr>
              <w:widowControl w:val="0"/>
              <w:jc w:val="both"/>
              <w:rPr>
                <w:rFonts w:hint="eastAsia" w:ascii="宋体" w:hAnsi="宋体" w:eastAsia="宋体" w:cs="宋体"/>
                <w:kern w:val="2"/>
                <w:sz w:val="21"/>
                <w:szCs w:val="21"/>
                <w:lang w:eastAsia="zh-CN"/>
              </w:rPr>
            </w:pPr>
          </w:p>
        </w:tc>
        <w:tc>
          <w:tcPr>
            <w:tcW w:w="1221" w:type="dxa"/>
            <w:vAlign w:val="center"/>
          </w:tcPr>
          <w:p w14:paraId="417E1E5E">
            <w:pPr>
              <w:widowControl w:val="0"/>
              <w:jc w:val="both"/>
              <w:rPr>
                <w:rFonts w:hint="eastAsia" w:ascii="宋体" w:hAnsi="宋体" w:eastAsia="宋体" w:cs="宋体"/>
                <w:kern w:val="2"/>
                <w:sz w:val="21"/>
                <w:szCs w:val="21"/>
                <w:lang w:eastAsia="zh-CN"/>
              </w:rPr>
            </w:pPr>
          </w:p>
        </w:tc>
        <w:tc>
          <w:tcPr>
            <w:tcW w:w="1014" w:type="dxa"/>
            <w:vAlign w:val="center"/>
          </w:tcPr>
          <w:p w14:paraId="3BA8AFE5">
            <w:pPr>
              <w:widowControl w:val="0"/>
              <w:jc w:val="both"/>
              <w:rPr>
                <w:rFonts w:hint="eastAsia" w:ascii="宋体" w:hAnsi="宋体" w:eastAsia="宋体" w:cs="宋体"/>
                <w:kern w:val="2"/>
                <w:sz w:val="21"/>
                <w:szCs w:val="21"/>
                <w:lang w:eastAsia="zh-CN"/>
              </w:rPr>
            </w:pPr>
          </w:p>
        </w:tc>
      </w:tr>
      <w:tr w14:paraId="264D9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0559" w:type="dxa"/>
            <w:gridSpan w:val="6"/>
            <w:vAlign w:val="center"/>
          </w:tcPr>
          <w:p w14:paraId="583A3438">
            <w:pPr>
              <w:widowControl w:val="0"/>
              <w:jc w:val="both"/>
              <w:rPr>
                <w:rFonts w:hint="eastAsia"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（三）其他商务要求</w:t>
            </w:r>
          </w:p>
        </w:tc>
      </w:tr>
      <w:tr w14:paraId="16081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Merge w:val="restart"/>
            <w:vAlign w:val="center"/>
          </w:tcPr>
          <w:p w14:paraId="1216E9FE">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1</w:t>
            </w:r>
          </w:p>
        </w:tc>
        <w:tc>
          <w:tcPr>
            <w:tcW w:w="1458" w:type="dxa"/>
            <w:vMerge w:val="restart"/>
            <w:vAlign w:val="center"/>
          </w:tcPr>
          <w:p w14:paraId="06D4AA19">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违约责任</w:t>
            </w:r>
          </w:p>
        </w:tc>
        <w:tc>
          <w:tcPr>
            <w:tcW w:w="3098" w:type="dxa"/>
          </w:tcPr>
          <w:p w14:paraId="71430D72">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★1.1 合同生效后，中标人应当按照采购人的时间要求完成交货，如不能在规定时间完成交货，在原定交货时间基础上最长给予中标人 5 个日历日的顺延，如中标人在 5 个日历日或再次确定的交货时间届满后（以先到期的时间为准）仍无法按照合同约定逾期交付产品的，视为中标人逾期，中标人应自原约定交货时间之日起算，每日支付逾期交货部分金额 0.3%的违约金，并视为中标人已构成严重逾期交货违约。</w:t>
            </w:r>
          </w:p>
          <w:p w14:paraId="496FEE8D">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 xml:space="preserve">在中标人构成严重逾期交货违约的情况下，除继续计算逾期交付违约金外，采购人有权选择采取以下措施向中标人主张违约责任，或选择直接解除合同： </w:t>
            </w:r>
          </w:p>
          <w:p w14:paraId="651ABE52">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采购人选择主张违约责任的，终止合同履行，但保留已交付且通过采购人验收对应部分产品的，将在合同总价中扣除中标人未交付产品金额，未交付的产品无需再交付，中标人不得再向采购人主张任何与未交付产品相关的任何费用，且中标人须向采购人支付未交付产品 15%的违约金，同时须支付采购人重新采购该项未交付产品的采购差价（即重新采购后价格高于中标人未交付产品价格的差额），并按采购人主管部门相关规定处理。</w:t>
            </w:r>
          </w:p>
          <w:p w14:paraId="3BEBA7B8">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如采购人选择解除合同，全部退还产品的，采购人有权要求中标人退还已支付所有款项，不再支付任何剩余款项，没收履约保证金，并退还所有中标人已提供的产品（由中标人自行在采购人指定的时间内拆除搬离），未交付的产品无需再交付，中标人不得再向采购人主张任何与本次采购产品相关的任何费用，解除合同后 5 个日历日内，中标人须向采购人支付合同总价 15%的违约金，并按采购人主管部门相关规定处理。</w:t>
            </w:r>
          </w:p>
        </w:tc>
        <w:tc>
          <w:tcPr>
            <w:tcW w:w="2891" w:type="dxa"/>
          </w:tcPr>
          <w:p w14:paraId="11C7AB99">
            <w:pPr>
              <w:widowControl w:val="0"/>
              <w:jc w:val="both"/>
              <w:rPr>
                <w:rFonts w:hint="eastAsia" w:ascii="宋体" w:hAnsi="宋体" w:eastAsia="宋体" w:cs="宋体"/>
                <w:kern w:val="2"/>
                <w:sz w:val="21"/>
                <w:szCs w:val="21"/>
                <w:lang w:eastAsia="zh-CN"/>
              </w:rPr>
            </w:pPr>
          </w:p>
        </w:tc>
        <w:tc>
          <w:tcPr>
            <w:tcW w:w="1221" w:type="dxa"/>
          </w:tcPr>
          <w:p w14:paraId="6CF1BB23">
            <w:pPr>
              <w:widowControl w:val="0"/>
              <w:jc w:val="both"/>
              <w:rPr>
                <w:rFonts w:hint="eastAsia" w:ascii="宋体" w:hAnsi="宋体" w:eastAsia="宋体" w:cs="宋体"/>
                <w:kern w:val="2"/>
                <w:sz w:val="21"/>
                <w:szCs w:val="21"/>
                <w:lang w:eastAsia="zh-CN"/>
              </w:rPr>
            </w:pPr>
          </w:p>
        </w:tc>
        <w:tc>
          <w:tcPr>
            <w:tcW w:w="1014" w:type="dxa"/>
          </w:tcPr>
          <w:p w14:paraId="20AC1620">
            <w:pPr>
              <w:widowControl w:val="0"/>
              <w:jc w:val="both"/>
              <w:rPr>
                <w:rFonts w:hint="eastAsia" w:ascii="宋体" w:hAnsi="宋体" w:eastAsia="宋体" w:cs="宋体"/>
                <w:kern w:val="2"/>
                <w:sz w:val="21"/>
                <w:szCs w:val="21"/>
                <w:lang w:eastAsia="zh-CN"/>
              </w:rPr>
            </w:pPr>
          </w:p>
        </w:tc>
      </w:tr>
      <w:tr w14:paraId="57034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877" w:type="dxa"/>
            <w:vMerge w:val="continue"/>
            <w:vAlign w:val="center"/>
          </w:tcPr>
          <w:p w14:paraId="1F5F42CA">
            <w:pPr>
              <w:widowControl w:val="0"/>
              <w:jc w:val="center"/>
              <w:rPr>
                <w:rFonts w:ascii="宋体" w:hAnsi="宋体" w:eastAsia="宋体" w:cs="宋体"/>
                <w:kern w:val="2"/>
                <w:sz w:val="21"/>
                <w:szCs w:val="21"/>
                <w:lang w:eastAsia="zh-CN"/>
              </w:rPr>
            </w:pPr>
          </w:p>
        </w:tc>
        <w:tc>
          <w:tcPr>
            <w:tcW w:w="1458" w:type="dxa"/>
            <w:vMerge w:val="continue"/>
            <w:vAlign w:val="center"/>
          </w:tcPr>
          <w:p w14:paraId="021AA6CA">
            <w:pPr>
              <w:widowControl w:val="0"/>
              <w:jc w:val="center"/>
              <w:rPr>
                <w:rFonts w:ascii="宋体" w:hAnsi="宋体" w:eastAsia="宋体" w:cs="宋体"/>
                <w:kern w:val="2"/>
                <w:sz w:val="21"/>
                <w:szCs w:val="21"/>
                <w:lang w:eastAsia="zh-CN"/>
              </w:rPr>
            </w:pPr>
          </w:p>
        </w:tc>
        <w:tc>
          <w:tcPr>
            <w:tcW w:w="3098" w:type="dxa"/>
          </w:tcPr>
          <w:p w14:paraId="4F661837">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1.2 有以下情况之一的，采购人将按主管部门相关规定处理：</w:t>
            </w:r>
          </w:p>
          <w:p w14:paraId="50315DDF">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（1）中标人所交付的产品品种、型号、规格、质量不符合同规定标准的，供货的材料不是招标文件中约定的原材料的，采购人有权拒绝收货；</w:t>
            </w:r>
          </w:p>
          <w:p w14:paraId="7114C2BA">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（2）中标人不能依约提供技术服务或单方终止合同；</w:t>
            </w:r>
          </w:p>
          <w:p w14:paraId="0F13A2D3">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有以上情况之一，按照1.1的第（2）条约定行使解除合同，退还全部货物，并追究中标人违约责任之权利。</w:t>
            </w:r>
          </w:p>
        </w:tc>
        <w:tc>
          <w:tcPr>
            <w:tcW w:w="2891" w:type="dxa"/>
          </w:tcPr>
          <w:p w14:paraId="4BCE0BE5">
            <w:pPr>
              <w:widowControl w:val="0"/>
              <w:jc w:val="both"/>
              <w:rPr>
                <w:rFonts w:hint="eastAsia" w:ascii="宋体" w:hAnsi="宋体" w:eastAsia="宋体" w:cs="宋体"/>
                <w:kern w:val="2"/>
                <w:sz w:val="21"/>
                <w:szCs w:val="21"/>
                <w:lang w:eastAsia="zh-CN"/>
              </w:rPr>
            </w:pPr>
          </w:p>
        </w:tc>
        <w:tc>
          <w:tcPr>
            <w:tcW w:w="1221" w:type="dxa"/>
          </w:tcPr>
          <w:p w14:paraId="441EAF06">
            <w:pPr>
              <w:widowControl w:val="0"/>
              <w:jc w:val="both"/>
              <w:rPr>
                <w:rFonts w:hint="eastAsia" w:ascii="宋体" w:hAnsi="宋体" w:eastAsia="宋体" w:cs="宋体"/>
                <w:kern w:val="2"/>
                <w:sz w:val="21"/>
                <w:szCs w:val="21"/>
                <w:lang w:eastAsia="zh-CN"/>
              </w:rPr>
            </w:pPr>
          </w:p>
        </w:tc>
        <w:tc>
          <w:tcPr>
            <w:tcW w:w="1014" w:type="dxa"/>
          </w:tcPr>
          <w:p w14:paraId="76F609FA">
            <w:pPr>
              <w:widowControl w:val="0"/>
              <w:jc w:val="both"/>
              <w:rPr>
                <w:rFonts w:hint="eastAsia" w:ascii="宋体" w:hAnsi="宋体" w:eastAsia="宋体" w:cs="宋体"/>
                <w:kern w:val="2"/>
                <w:sz w:val="21"/>
                <w:szCs w:val="21"/>
                <w:lang w:eastAsia="zh-CN"/>
              </w:rPr>
            </w:pPr>
          </w:p>
        </w:tc>
      </w:tr>
      <w:tr w14:paraId="5D242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Merge w:val="continue"/>
            <w:vAlign w:val="center"/>
          </w:tcPr>
          <w:p w14:paraId="4FB8A2F8">
            <w:pPr>
              <w:widowControl w:val="0"/>
              <w:jc w:val="center"/>
              <w:rPr>
                <w:rFonts w:ascii="宋体" w:hAnsi="宋体" w:eastAsia="宋体" w:cs="宋体"/>
                <w:kern w:val="2"/>
                <w:sz w:val="21"/>
                <w:szCs w:val="21"/>
                <w:lang w:eastAsia="zh-CN"/>
              </w:rPr>
            </w:pPr>
          </w:p>
        </w:tc>
        <w:tc>
          <w:tcPr>
            <w:tcW w:w="1458" w:type="dxa"/>
            <w:vMerge w:val="continue"/>
            <w:vAlign w:val="center"/>
          </w:tcPr>
          <w:p w14:paraId="736BE717">
            <w:pPr>
              <w:widowControl w:val="0"/>
              <w:jc w:val="center"/>
              <w:rPr>
                <w:rFonts w:ascii="宋体" w:hAnsi="宋体" w:eastAsia="宋体" w:cs="宋体"/>
                <w:kern w:val="2"/>
                <w:sz w:val="21"/>
                <w:szCs w:val="21"/>
                <w:lang w:eastAsia="zh-CN"/>
              </w:rPr>
            </w:pPr>
          </w:p>
        </w:tc>
        <w:tc>
          <w:tcPr>
            <w:tcW w:w="3098" w:type="dxa"/>
          </w:tcPr>
          <w:p w14:paraId="304FB0F5">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1.3 中标人交付的产品存在采购人验收人员在验收时无法肉眼现场发现的质量问题，包括但不限于产品技术质量问题、使用后才能发现的问题、专业仪器检测才能发现的问题、假冒产品经原厂或专业部门检测后发现的问题等，采购人有权要求中标人在免费保修期内免费换货或退货，中标人需向采购人支付由于中标人行为给采购人造成的损失，并按主管部门相关规定处理。</w:t>
            </w:r>
          </w:p>
        </w:tc>
        <w:tc>
          <w:tcPr>
            <w:tcW w:w="2891" w:type="dxa"/>
          </w:tcPr>
          <w:p w14:paraId="2C232BA4">
            <w:pPr>
              <w:widowControl w:val="0"/>
              <w:jc w:val="both"/>
              <w:rPr>
                <w:rFonts w:hint="eastAsia" w:ascii="宋体" w:hAnsi="宋体" w:eastAsia="宋体" w:cs="宋体"/>
                <w:kern w:val="2"/>
                <w:sz w:val="21"/>
                <w:szCs w:val="21"/>
                <w:lang w:eastAsia="zh-CN"/>
              </w:rPr>
            </w:pPr>
          </w:p>
        </w:tc>
        <w:tc>
          <w:tcPr>
            <w:tcW w:w="1221" w:type="dxa"/>
          </w:tcPr>
          <w:p w14:paraId="20545C4C">
            <w:pPr>
              <w:widowControl w:val="0"/>
              <w:jc w:val="both"/>
              <w:rPr>
                <w:rFonts w:hint="eastAsia" w:ascii="宋体" w:hAnsi="宋体" w:eastAsia="宋体" w:cs="宋体"/>
                <w:kern w:val="2"/>
                <w:sz w:val="21"/>
                <w:szCs w:val="21"/>
                <w:lang w:eastAsia="zh-CN"/>
              </w:rPr>
            </w:pPr>
          </w:p>
        </w:tc>
        <w:tc>
          <w:tcPr>
            <w:tcW w:w="1014" w:type="dxa"/>
          </w:tcPr>
          <w:p w14:paraId="4698177F">
            <w:pPr>
              <w:widowControl w:val="0"/>
              <w:jc w:val="both"/>
              <w:rPr>
                <w:rFonts w:hint="eastAsia" w:ascii="宋体" w:hAnsi="宋体" w:eastAsia="宋体" w:cs="宋体"/>
                <w:kern w:val="2"/>
                <w:sz w:val="21"/>
                <w:szCs w:val="21"/>
                <w:lang w:eastAsia="zh-CN"/>
              </w:rPr>
            </w:pPr>
          </w:p>
        </w:tc>
      </w:tr>
      <w:tr w14:paraId="6F0D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77" w:type="dxa"/>
            <w:vMerge w:val="continue"/>
            <w:vAlign w:val="center"/>
          </w:tcPr>
          <w:p w14:paraId="43AD86DF">
            <w:pPr>
              <w:widowControl w:val="0"/>
              <w:jc w:val="center"/>
              <w:rPr>
                <w:rFonts w:ascii="宋体" w:hAnsi="宋体" w:eastAsia="宋体" w:cs="宋体"/>
                <w:kern w:val="2"/>
                <w:sz w:val="21"/>
                <w:szCs w:val="21"/>
                <w:lang w:eastAsia="zh-CN"/>
              </w:rPr>
            </w:pPr>
          </w:p>
        </w:tc>
        <w:tc>
          <w:tcPr>
            <w:tcW w:w="1458" w:type="dxa"/>
            <w:vMerge w:val="continue"/>
            <w:vAlign w:val="center"/>
          </w:tcPr>
          <w:p w14:paraId="78F3DD95">
            <w:pPr>
              <w:widowControl w:val="0"/>
              <w:jc w:val="center"/>
              <w:rPr>
                <w:rFonts w:ascii="宋体" w:hAnsi="宋体" w:eastAsia="宋体" w:cs="宋体"/>
                <w:kern w:val="2"/>
                <w:sz w:val="21"/>
                <w:szCs w:val="21"/>
                <w:lang w:eastAsia="zh-CN"/>
              </w:rPr>
            </w:pPr>
          </w:p>
        </w:tc>
        <w:tc>
          <w:tcPr>
            <w:tcW w:w="3098" w:type="dxa"/>
          </w:tcPr>
          <w:p w14:paraId="30ADA563">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1.4 中标人严格按照招标文件中约定的技术要求完成供货，若货品自交付使用之日起的 2 年期间里，出现大规模质量问题（瑕疵品占总数的 3%及以上）则将按照合同约定被追究相应违约责任。</w:t>
            </w:r>
          </w:p>
        </w:tc>
        <w:tc>
          <w:tcPr>
            <w:tcW w:w="2891" w:type="dxa"/>
          </w:tcPr>
          <w:p w14:paraId="37BFFA4B">
            <w:pPr>
              <w:widowControl w:val="0"/>
              <w:jc w:val="both"/>
              <w:rPr>
                <w:rFonts w:hint="eastAsia" w:ascii="宋体" w:hAnsi="宋体" w:eastAsia="宋体" w:cs="宋体"/>
                <w:kern w:val="2"/>
                <w:sz w:val="21"/>
                <w:szCs w:val="21"/>
                <w:lang w:eastAsia="zh-CN"/>
              </w:rPr>
            </w:pPr>
          </w:p>
        </w:tc>
        <w:tc>
          <w:tcPr>
            <w:tcW w:w="1221" w:type="dxa"/>
          </w:tcPr>
          <w:p w14:paraId="392FB1FC">
            <w:pPr>
              <w:widowControl w:val="0"/>
              <w:jc w:val="both"/>
              <w:rPr>
                <w:rFonts w:hint="eastAsia" w:ascii="宋体" w:hAnsi="宋体" w:eastAsia="宋体" w:cs="宋体"/>
                <w:kern w:val="2"/>
                <w:sz w:val="21"/>
                <w:szCs w:val="21"/>
                <w:lang w:eastAsia="zh-CN"/>
              </w:rPr>
            </w:pPr>
          </w:p>
        </w:tc>
        <w:tc>
          <w:tcPr>
            <w:tcW w:w="1014" w:type="dxa"/>
          </w:tcPr>
          <w:p w14:paraId="09337F8D">
            <w:pPr>
              <w:widowControl w:val="0"/>
              <w:jc w:val="both"/>
              <w:rPr>
                <w:rFonts w:hint="eastAsia" w:ascii="宋体" w:hAnsi="宋体" w:eastAsia="宋体" w:cs="宋体"/>
                <w:kern w:val="2"/>
                <w:sz w:val="21"/>
                <w:szCs w:val="21"/>
                <w:lang w:eastAsia="zh-CN"/>
              </w:rPr>
            </w:pPr>
          </w:p>
        </w:tc>
      </w:tr>
      <w:tr w14:paraId="395DE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77" w:type="dxa"/>
            <w:vMerge w:val="continue"/>
            <w:vAlign w:val="center"/>
          </w:tcPr>
          <w:p w14:paraId="69E30092">
            <w:pPr>
              <w:widowControl w:val="0"/>
              <w:jc w:val="center"/>
              <w:rPr>
                <w:rFonts w:ascii="宋体" w:hAnsi="宋体" w:eastAsia="宋体" w:cs="宋体"/>
                <w:kern w:val="2"/>
                <w:sz w:val="21"/>
                <w:szCs w:val="21"/>
                <w:lang w:eastAsia="zh-CN"/>
              </w:rPr>
            </w:pPr>
          </w:p>
        </w:tc>
        <w:tc>
          <w:tcPr>
            <w:tcW w:w="1458" w:type="dxa"/>
            <w:vMerge w:val="continue"/>
            <w:vAlign w:val="center"/>
          </w:tcPr>
          <w:p w14:paraId="7DE73130">
            <w:pPr>
              <w:widowControl w:val="0"/>
              <w:jc w:val="center"/>
              <w:rPr>
                <w:rFonts w:ascii="宋体" w:hAnsi="宋体" w:eastAsia="宋体" w:cs="宋体"/>
                <w:kern w:val="2"/>
                <w:sz w:val="21"/>
                <w:szCs w:val="21"/>
                <w:lang w:eastAsia="zh-CN"/>
              </w:rPr>
            </w:pPr>
          </w:p>
        </w:tc>
        <w:tc>
          <w:tcPr>
            <w:tcW w:w="3098" w:type="dxa"/>
          </w:tcPr>
          <w:p w14:paraId="6F6D61E0">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1.5 中标人如果未能按照招投标文件的规定履行相关服务，按照招投标文件相关规定进行赔偿。若项目有履约保证金，如中标人不及时接受处理或支付违约金，采购人可直接从履约保证金中扣除相应金额，如果履约保证金不足以扣除违约金，中标人须弥补违约金的不足。</w:t>
            </w:r>
          </w:p>
        </w:tc>
        <w:tc>
          <w:tcPr>
            <w:tcW w:w="2891" w:type="dxa"/>
          </w:tcPr>
          <w:p w14:paraId="64BC98F5">
            <w:pPr>
              <w:widowControl w:val="0"/>
              <w:jc w:val="both"/>
              <w:rPr>
                <w:rFonts w:hint="eastAsia" w:ascii="宋体" w:hAnsi="宋体" w:eastAsia="宋体" w:cs="宋体"/>
                <w:kern w:val="2"/>
                <w:sz w:val="21"/>
                <w:szCs w:val="21"/>
                <w:lang w:eastAsia="zh-CN"/>
              </w:rPr>
            </w:pPr>
          </w:p>
        </w:tc>
        <w:tc>
          <w:tcPr>
            <w:tcW w:w="1221" w:type="dxa"/>
          </w:tcPr>
          <w:p w14:paraId="7EAB8B73">
            <w:pPr>
              <w:widowControl w:val="0"/>
              <w:jc w:val="both"/>
              <w:rPr>
                <w:rFonts w:hint="eastAsia" w:ascii="宋体" w:hAnsi="宋体" w:eastAsia="宋体" w:cs="宋体"/>
                <w:kern w:val="2"/>
                <w:sz w:val="21"/>
                <w:szCs w:val="21"/>
                <w:lang w:eastAsia="zh-CN"/>
              </w:rPr>
            </w:pPr>
          </w:p>
        </w:tc>
        <w:tc>
          <w:tcPr>
            <w:tcW w:w="1014" w:type="dxa"/>
          </w:tcPr>
          <w:p w14:paraId="7FA1D1C4">
            <w:pPr>
              <w:widowControl w:val="0"/>
              <w:jc w:val="both"/>
              <w:rPr>
                <w:rFonts w:hint="eastAsia" w:ascii="宋体" w:hAnsi="宋体" w:eastAsia="宋体" w:cs="宋体"/>
                <w:kern w:val="2"/>
                <w:sz w:val="21"/>
                <w:szCs w:val="21"/>
                <w:lang w:eastAsia="zh-CN"/>
              </w:rPr>
            </w:pPr>
          </w:p>
        </w:tc>
      </w:tr>
      <w:tr w14:paraId="6EA7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77" w:type="dxa"/>
            <w:vMerge w:val="continue"/>
            <w:vAlign w:val="center"/>
          </w:tcPr>
          <w:p w14:paraId="26D959CC">
            <w:pPr>
              <w:widowControl w:val="0"/>
              <w:jc w:val="center"/>
              <w:rPr>
                <w:rFonts w:ascii="宋体" w:hAnsi="宋体" w:eastAsia="宋体" w:cs="宋体"/>
                <w:kern w:val="2"/>
                <w:sz w:val="21"/>
                <w:szCs w:val="21"/>
                <w:lang w:eastAsia="zh-CN"/>
              </w:rPr>
            </w:pPr>
          </w:p>
        </w:tc>
        <w:tc>
          <w:tcPr>
            <w:tcW w:w="1458" w:type="dxa"/>
            <w:vMerge w:val="continue"/>
            <w:vAlign w:val="center"/>
          </w:tcPr>
          <w:p w14:paraId="034FDCD4">
            <w:pPr>
              <w:widowControl w:val="0"/>
              <w:jc w:val="center"/>
              <w:rPr>
                <w:rFonts w:ascii="宋体" w:hAnsi="宋体" w:eastAsia="宋体" w:cs="宋体"/>
                <w:kern w:val="2"/>
                <w:sz w:val="21"/>
                <w:szCs w:val="21"/>
                <w:lang w:eastAsia="zh-CN"/>
              </w:rPr>
            </w:pPr>
          </w:p>
        </w:tc>
        <w:tc>
          <w:tcPr>
            <w:tcW w:w="3098" w:type="dxa"/>
          </w:tcPr>
          <w:p w14:paraId="10C66325">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1.6 如中标人之违约行为发生在已退还履约担保金后，中标人同意所有对应之违约责任之违约金均按照合同金额的 5%进行上调，以敦促中标人在免费保修期内妥善履约。</w:t>
            </w:r>
          </w:p>
        </w:tc>
        <w:tc>
          <w:tcPr>
            <w:tcW w:w="2891" w:type="dxa"/>
          </w:tcPr>
          <w:p w14:paraId="7E084BDD">
            <w:pPr>
              <w:widowControl w:val="0"/>
              <w:jc w:val="both"/>
              <w:rPr>
                <w:rFonts w:hint="eastAsia" w:ascii="宋体" w:hAnsi="宋体" w:eastAsia="宋体" w:cs="宋体"/>
                <w:kern w:val="2"/>
                <w:sz w:val="21"/>
                <w:szCs w:val="21"/>
                <w:lang w:eastAsia="zh-CN"/>
              </w:rPr>
            </w:pPr>
          </w:p>
        </w:tc>
        <w:tc>
          <w:tcPr>
            <w:tcW w:w="1221" w:type="dxa"/>
          </w:tcPr>
          <w:p w14:paraId="06FD050B">
            <w:pPr>
              <w:widowControl w:val="0"/>
              <w:jc w:val="both"/>
              <w:rPr>
                <w:rFonts w:hint="eastAsia" w:ascii="宋体" w:hAnsi="宋体" w:eastAsia="宋体" w:cs="宋体"/>
                <w:kern w:val="2"/>
                <w:sz w:val="21"/>
                <w:szCs w:val="21"/>
                <w:lang w:eastAsia="zh-CN"/>
              </w:rPr>
            </w:pPr>
          </w:p>
        </w:tc>
        <w:tc>
          <w:tcPr>
            <w:tcW w:w="1014" w:type="dxa"/>
          </w:tcPr>
          <w:p w14:paraId="05BF0D91">
            <w:pPr>
              <w:widowControl w:val="0"/>
              <w:jc w:val="both"/>
              <w:rPr>
                <w:rFonts w:hint="eastAsia" w:ascii="宋体" w:hAnsi="宋体" w:eastAsia="宋体" w:cs="宋体"/>
                <w:kern w:val="2"/>
                <w:sz w:val="21"/>
                <w:szCs w:val="21"/>
                <w:lang w:eastAsia="zh-CN"/>
              </w:rPr>
            </w:pPr>
          </w:p>
        </w:tc>
      </w:tr>
      <w:tr w14:paraId="01FC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Merge w:val="restart"/>
            <w:vAlign w:val="center"/>
          </w:tcPr>
          <w:p w14:paraId="3C8D3295">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2</w:t>
            </w:r>
          </w:p>
        </w:tc>
        <w:tc>
          <w:tcPr>
            <w:tcW w:w="1458" w:type="dxa"/>
            <w:vMerge w:val="restart"/>
            <w:vAlign w:val="center"/>
          </w:tcPr>
          <w:p w14:paraId="2DE346C8">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关于交货</w:t>
            </w:r>
          </w:p>
        </w:tc>
        <w:tc>
          <w:tcPr>
            <w:tcW w:w="3098" w:type="dxa"/>
            <w:vAlign w:val="center"/>
          </w:tcPr>
          <w:p w14:paraId="57F8AEEA">
            <w:pPr>
              <w:widowControl w:val="0"/>
              <w:spacing w:line="240" w:lineRule="auto"/>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2.1交货地点：香港中文大学(深圳)学勤书院，在每次发货前中标人应书面通知采购人，并在获得采购人书面确认后方可发货，否则采购人有权拒收货物。</w:t>
            </w:r>
          </w:p>
        </w:tc>
        <w:tc>
          <w:tcPr>
            <w:tcW w:w="2891" w:type="dxa"/>
            <w:vAlign w:val="center"/>
          </w:tcPr>
          <w:p w14:paraId="3A5064E6">
            <w:pPr>
              <w:widowControl w:val="0"/>
              <w:spacing w:line="240" w:lineRule="auto"/>
              <w:jc w:val="both"/>
              <w:rPr>
                <w:rFonts w:hint="eastAsia" w:ascii="宋体" w:hAnsi="宋体" w:eastAsia="宋体" w:cs="宋体"/>
                <w:kern w:val="2"/>
                <w:sz w:val="21"/>
                <w:szCs w:val="21"/>
                <w:lang w:eastAsia="zh-CN"/>
              </w:rPr>
            </w:pPr>
          </w:p>
        </w:tc>
        <w:tc>
          <w:tcPr>
            <w:tcW w:w="1221" w:type="dxa"/>
            <w:vAlign w:val="center"/>
          </w:tcPr>
          <w:p w14:paraId="6BE8F4F3">
            <w:pPr>
              <w:widowControl w:val="0"/>
              <w:spacing w:line="240" w:lineRule="auto"/>
              <w:jc w:val="both"/>
              <w:rPr>
                <w:rFonts w:hint="eastAsia" w:ascii="宋体" w:hAnsi="宋体" w:eastAsia="宋体" w:cs="宋体"/>
                <w:kern w:val="2"/>
                <w:sz w:val="21"/>
                <w:szCs w:val="21"/>
                <w:lang w:eastAsia="zh-CN"/>
              </w:rPr>
            </w:pPr>
          </w:p>
        </w:tc>
        <w:tc>
          <w:tcPr>
            <w:tcW w:w="1014" w:type="dxa"/>
            <w:vAlign w:val="center"/>
          </w:tcPr>
          <w:p w14:paraId="1093C760">
            <w:pPr>
              <w:widowControl w:val="0"/>
              <w:spacing w:line="240" w:lineRule="auto"/>
              <w:jc w:val="both"/>
              <w:rPr>
                <w:rFonts w:hint="eastAsia" w:ascii="宋体" w:hAnsi="宋体" w:eastAsia="宋体" w:cs="宋体"/>
                <w:kern w:val="2"/>
                <w:sz w:val="21"/>
                <w:szCs w:val="21"/>
                <w:lang w:eastAsia="zh-CN"/>
              </w:rPr>
            </w:pPr>
          </w:p>
        </w:tc>
      </w:tr>
      <w:tr w14:paraId="6C51E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77" w:type="dxa"/>
            <w:vMerge w:val="continue"/>
            <w:vAlign w:val="center"/>
          </w:tcPr>
          <w:p w14:paraId="3371DA58">
            <w:pPr>
              <w:widowControl w:val="0"/>
              <w:jc w:val="both"/>
              <w:rPr>
                <w:rFonts w:ascii="宋体" w:hAnsi="宋体" w:eastAsia="宋体" w:cs="宋体"/>
                <w:kern w:val="2"/>
                <w:sz w:val="21"/>
                <w:szCs w:val="21"/>
                <w:lang w:eastAsia="zh-CN"/>
              </w:rPr>
            </w:pPr>
          </w:p>
        </w:tc>
        <w:tc>
          <w:tcPr>
            <w:tcW w:w="1458" w:type="dxa"/>
            <w:vMerge w:val="continue"/>
            <w:vAlign w:val="center"/>
          </w:tcPr>
          <w:p w14:paraId="64EBB4C2">
            <w:pPr>
              <w:widowControl w:val="0"/>
              <w:jc w:val="both"/>
              <w:rPr>
                <w:rFonts w:ascii="宋体" w:hAnsi="宋体" w:eastAsia="宋体" w:cs="宋体"/>
                <w:kern w:val="2"/>
                <w:sz w:val="21"/>
                <w:szCs w:val="21"/>
                <w:lang w:eastAsia="zh-CN"/>
              </w:rPr>
            </w:pPr>
          </w:p>
        </w:tc>
        <w:tc>
          <w:tcPr>
            <w:tcW w:w="3098" w:type="dxa"/>
            <w:vAlign w:val="center"/>
          </w:tcPr>
          <w:p w14:paraId="2447EFD4">
            <w:pPr>
              <w:widowControl w:val="0"/>
              <w:spacing w:line="240" w:lineRule="auto"/>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2.2交货要求：产品的附件、备品备件及图纸、环保证明、检验（检测）报告、溯源原产地的证明文件（包括但不限于原材料进货单和收货单、生产排期表、生产过程图片和视频资料、物流单据、物流轨迹图）等资料随产品一同交付。中标人承担设备运输、安装调试、验收检测等其他类似的义务。</w:t>
            </w:r>
          </w:p>
        </w:tc>
        <w:tc>
          <w:tcPr>
            <w:tcW w:w="2891" w:type="dxa"/>
            <w:vAlign w:val="center"/>
          </w:tcPr>
          <w:p w14:paraId="1A0EE90A">
            <w:pPr>
              <w:widowControl w:val="0"/>
              <w:spacing w:line="240" w:lineRule="auto"/>
              <w:jc w:val="both"/>
              <w:rPr>
                <w:rFonts w:hint="eastAsia" w:ascii="宋体" w:hAnsi="宋体" w:eastAsia="宋体" w:cs="宋体"/>
                <w:kern w:val="2"/>
                <w:sz w:val="21"/>
                <w:szCs w:val="21"/>
                <w:lang w:eastAsia="zh-CN"/>
              </w:rPr>
            </w:pPr>
          </w:p>
        </w:tc>
        <w:tc>
          <w:tcPr>
            <w:tcW w:w="1221" w:type="dxa"/>
            <w:vAlign w:val="center"/>
          </w:tcPr>
          <w:p w14:paraId="1D7FCFC0">
            <w:pPr>
              <w:widowControl w:val="0"/>
              <w:spacing w:line="240" w:lineRule="auto"/>
              <w:jc w:val="both"/>
              <w:rPr>
                <w:rFonts w:hint="eastAsia" w:ascii="宋体" w:hAnsi="宋体" w:eastAsia="宋体" w:cs="宋体"/>
                <w:kern w:val="2"/>
                <w:sz w:val="21"/>
                <w:szCs w:val="21"/>
                <w:lang w:eastAsia="zh-CN"/>
              </w:rPr>
            </w:pPr>
          </w:p>
        </w:tc>
        <w:tc>
          <w:tcPr>
            <w:tcW w:w="1014" w:type="dxa"/>
            <w:vAlign w:val="center"/>
          </w:tcPr>
          <w:p w14:paraId="552AEE9E">
            <w:pPr>
              <w:widowControl w:val="0"/>
              <w:spacing w:line="240" w:lineRule="auto"/>
              <w:jc w:val="both"/>
              <w:rPr>
                <w:rFonts w:hint="eastAsia" w:ascii="宋体" w:hAnsi="宋体" w:eastAsia="宋体" w:cs="宋体"/>
                <w:kern w:val="2"/>
                <w:sz w:val="21"/>
                <w:szCs w:val="21"/>
                <w:lang w:eastAsia="zh-CN"/>
              </w:rPr>
            </w:pPr>
          </w:p>
        </w:tc>
      </w:tr>
      <w:tr w14:paraId="036FE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77" w:type="dxa"/>
            <w:vMerge w:val="continue"/>
            <w:vAlign w:val="center"/>
          </w:tcPr>
          <w:p w14:paraId="4947BED2">
            <w:pPr>
              <w:widowControl w:val="0"/>
              <w:jc w:val="both"/>
              <w:rPr>
                <w:rFonts w:ascii="宋体" w:hAnsi="宋体" w:eastAsia="宋体" w:cs="宋体"/>
                <w:kern w:val="2"/>
                <w:sz w:val="21"/>
                <w:szCs w:val="21"/>
                <w:lang w:eastAsia="zh-CN"/>
              </w:rPr>
            </w:pPr>
          </w:p>
        </w:tc>
        <w:tc>
          <w:tcPr>
            <w:tcW w:w="1458" w:type="dxa"/>
            <w:vMerge w:val="continue"/>
            <w:vAlign w:val="center"/>
          </w:tcPr>
          <w:p w14:paraId="2839C80E">
            <w:pPr>
              <w:widowControl w:val="0"/>
              <w:jc w:val="both"/>
              <w:rPr>
                <w:rFonts w:ascii="宋体" w:hAnsi="宋体" w:eastAsia="宋体" w:cs="宋体"/>
                <w:kern w:val="2"/>
                <w:sz w:val="21"/>
                <w:szCs w:val="21"/>
                <w:lang w:eastAsia="zh-CN"/>
              </w:rPr>
            </w:pPr>
          </w:p>
        </w:tc>
        <w:tc>
          <w:tcPr>
            <w:tcW w:w="3098" w:type="dxa"/>
            <w:vAlign w:val="center"/>
          </w:tcPr>
          <w:p w14:paraId="3520B49E">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2.3交货期限：签订合同之日起50个日历日内发货并完成全部安装，交货期限50个日历日包含中标人打样生产及确认时间；根据采购人要求可分间段分批次送货。产品的附件、备品备件及专用工具、技术文件和资料等应随产品一同交付。(具体交货日期、送货日期以采购人通知为准）。</w:t>
            </w:r>
          </w:p>
        </w:tc>
        <w:tc>
          <w:tcPr>
            <w:tcW w:w="2891" w:type="dxa"/>
            <w:vAlign w:val="center"/>
          </w:tcPr>
          <w:p w14:paraId="445D912F">
            <w:pPr>
              <w:widowControl w:val="0"/>
              <w:jc w:val="both"/>
              <w:rPr>
                <w:rFonts w:hint="eastAsia" w:ascii="宋体" w:hAnsi="宋体" w:eastAsia="宋体" w:cs="宋体"/>
                <w:kern w:val="2"/>
                <w:sz w:val="21"/>
                <w:szCs w:val="21"/>
                <w:lang w:eastAsia="zh-CN"/>
              </w:rPr>
            </w:pPr>
          </w:p>
        </w:tc>
        <w:tc>
          <w:tcPr>
            <w:tcW w:w="1221" w:type="dxa"/>
            <w:vAlign w:val="center"/>
          </w:tcPr>
          <w:p w14:paraId="37D48500">
            <w:pPr>
              <w:widowControl w:val="0"/>
              <w:jc w:val="both"/>
              <w:rPr>
                <w:rFonts w:hint="eastAsia" w:ascii="宋体" w:hAnsi="宋体" w:eastAsia="宋体" w:cs="宋体"/>
                <w:kern w:val="2"/>
                <w:sz w:val="21"/>
                <w:szCs w:val="21"/>
                <w:lang w:eastAsia="zh-CN"/>
              </w:rPr>
            </w:pPr>
          </w:p>
        </w:tc>
        <w:tc>
          <w:tcPr>
            <w:tcW w:w="1014" w:type="dxa"/>
            <w:vAlign w:val="center"/>
          </w:tcPr>
          <w:p w14:paraId="7DD8D793">
            <w:pPr>
              <w:widowControl w:val="0"/>
              <w:jc w:val="both"/>
              <w:rPr>
                <w:rFonts w:hint="eastAsia" w:ascii="宋体" w:hAnsi="宋体" w:eastAsia="宋体" w:cs="宋体"/>
                <w:kern w:val="2"/>
                <w:sz w:val="21"/>
                <w:szCs w:val="21"/>
                <w:lang w:eastAsia="zh-CN"/>
              </w:rPr>
            </w:pPr>
          </w:p>
        </w:tc>
      </w:tr>
      <w:tr w14:paraId="65025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77" w:type="dxa"/>
            <w:vMerge w:val="continue"/>
            <w:vAlign w:val="center"/>
          </w:tcPr>
          <w:p w14:paraId="3A83898C">
            <w:pPr>
              <w:widowControl w:val="0"/>
              <w:jc w:val="both"/>
              <w:rPr>
                <w:rFonts w:ascii="宋体" w:hAnsi="宋体" w:eastAsia="宋体" w:cs="宋体"/>
                <w:kern w:val="2"/>
                <w:sz w:val="21"/>
                <w:szCs w:val="21"/>
                <w:lang w:eastAsia="zh-CN"/>
              </w:rPr>
            </w:pPr>
          </w:p>
        </w:tc>
        <w:tc>
          <w:tcPr>
            <w:tcW w:w="1458" w:type="dxa"/>
            <w:vMerge w:val="continue"/>
            <w:vAlign w:val="center"/>
          </w:tcPr>
          <w:p w14:paraId="783AAD6A">
            <w:pPr>
              <w:widowControl w:val="0"/>
              <w:jc w:val="both"/>
              <w:rPr>
                <w:rFonts w:ascii="宋体" w:hAnsi="宋体" w:eastAsia="宋体" w:cs="宋体"/>
                <w:kern w:val="2"/>
                <w:sz w:val="21"/>
                <w:szCs w:val="21"/>
                <w:lang w:eastAsia="zh-CN"/>
              </w:rPr>
            </w:pPr>
          </w:p>
        </w:tc>
        <w:tc>
          <w:tcPr>
            <w:tcW w:w="3098" w:type="dxa"/>
            <w:vAlign w:val="center"/>
          </w:tcPr>
          <w:p w14:paraId="747E1166">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2.4中标人负责免费安装、调试。安装、调试完成后，由验收小组进行验收。产品质量和安装调试检验标准遵照国家相关规定和最新标准执行。</w:t>
            </w:r>
          </w:p>
        </w:tc>
        <w:tc>
          <w:tcPr>
            <w:tcW w:w="2891" w:type="dxa"/>
            <w:vAlign w:val="center"/>
          </w:tcPr>
          <w:p w14:paraId="77BCA422">
            <w:pPr>
              <w:widowControl w:val="0"/>
              <w:jc w:val="both"/>
              <w:rPr>
                <w:rFonts w:hint="eastAsia" w:ascii="宋体" w:hAnsi="宋体" w:eastAsia="宋体" w:cs="宋体"/>
                <w:kern w:val="2"/>
                <w:sz w:val="21"/>
                <w:szCs w:val="21"/>
                <w:lang w:eastAsia="zh-CN"/>
              </w:rPr>
            </w:pPr>
          </w:p>
        </w:tc>
        <w:tc>
          <w:tcPr>
            <w:tcW w:w="1221" w:type="dxa"/>
            <w:vAlign w:val="center"/>
          </w:tcPr>
          <w:p w14:paraId="1A0EE4AE">
            <w:pPr>
              <w:widowControl w:val="0"/>
              <w:jc w:val="both"/>
              <w:rPr>
                <w:rFonts w:hint="eastAsia" w:ascii="宋体" w:hAnsi="宋体" w:eastAsia="宋体" w:cs="宋体"/>
                <w:kern w:val="2"/>
                <w:sz w:val="21"/>
                <w:szCs w:val="21"/>
                <w:lang w:eastAsia="zh-CN"/>
              </w:rPr>
            </w:pPr>
          </w:p>
        </w:tc>
        <w:tc>
          <w:tcPr>
            <w:tcW w:w="1014" w:type="dxa"/>
            <w:vAlign w:val="center"/>
          </w:tcPr>
          <w:p w14:paraId="51696605">
            <w:pPr>
              <w:widowControl w:val="0"/>
              <w:jc w:val="both"/>
              <w:rPr>
                <w:rFonts w:hint="eastAsia" w:ascii="宋体" w:hAnsi="宋体" w:eastAsia="宋体" w:cs="宋体"/>
                <w:kern w:val="2"/>
                <w:sz w:val="21"/>
                <w:szCs w:val="21"/>
                <w:lang w:eastAsia="zh-CN"/>
              </w:rPr>
            </w:pPr>
          </w:p>
        </w:tc>
      </w:tr>
      <w:tr w14:paraId="5ED5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877" w:type="dxa"/>
            <w:vMerge w:val="continue"/>
            <w:vAlign w:val="center"/>
          </w:tcPr>
          <w:p w14:paraId="0651A77D">
            <w:pPr>
              <w:widowControl w:val="0"/>
              <w:jc w:val="both"/>
              <w:rPr>
                <w:rFonts w:ascii="宋体" w:hAnsi="宋体" w:eastAsia="宋体" w:cs="宋体"/>
                <w:kern w:val="2"/>
                <w:sz w:val="21"/>
                <w:szCs w:val="21"/>
                <w:lang w:eastAsia="zh-CN"/>
              </w:rPr>
            </w:pPr>
          </w:p>
        </w:tc>
        <w:tc>
          <w:tcPr>
            <w:tcW w:w="1458" w:type="dxa"/>
            <w:vMerge w:val="continue"/>
            <w:vAlign w:val="center"/>
          </w:tcPr>
          <w:p w14:paraId="594CFD53">
            <w:pPr>
              <w:widowControl w:val="0"/>
              <w:jc w:val="both"/>
              <w:rPr>
                <w:rFonts w:ascii="宋体" w:hAnsi="宋体" w:eastAsia="宋体" w:cs="宋体"/>
                <w:kern w:val="2"/>
                <w:sz w:val="21"/>
                <w:szCs w:val="21"/>
                <w:lang w:eastAsia="zh-CN"/>
              </w:rPr>
            </w:pPr>
          </w:p>
        </w:tc>
        <w:tc>
          <w:tcPr>
            <w:tcW w:w="3098" w:type="dxa"/>
            <w:vAlign w:val="center"/>
          </w:tcPr>
          <w:p w14:paraId="2ED8A051">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2.5所有产品应当按照招标文件技术参数响应情况交付，除非受现场安装环境等因素影响，由采购人发起变更，否则中标人不允许擅自做任何变更。如中标人未经采购人同意，擅自变更，采购人有权退货处理，由此带来的一切风险损失由中标人自行承担。</w:t>
            </w:r>
          </w:p>
        </w:tc>
        <w:tc>
          <w:tcPr>
            <w:tcW w:w="2891" w:type="dxa"/>
            <w:vAlign w:val="center"/>
          </w:tcPr>
          <w:p w14:paraId="7081D69E">
            <w:pPr>
              <w:widowControl w:val="0"/>
              <w:jc w:val="both"/>
              <w:rPr>
                <w:rFonts w:hint="eastAsia" w:ascii="宋体" w:hAnsi="宋体" w:eastAsia="宋体" w:cs="宋体"/>
                <w:kern w:val="2"/>
                <w:sz w:val="21"/>
                <w:szCs w:val="21"/>
                <w:lang w:eastAsia="zh-CN"/>
              </w:rPr>
            </w:pPr>
          </w:p>
        </w:tc>
        <w:tc>
          <w:tcPr>
            <w:tcW w:w="1221" w:type="dxa"/>
            <w:vAlign w:val="center"/>
          </w:tcPr>
          <w:p w14:paraId="10F37B83">
            <w:pPr>
              <w:widowControl w:val="0"/>
              <w:jc w:val="both"/>
              <w:rPr>
                <w:rFonts w:hint="eastAsia" w:ascii="宋体" w:hAnsi="宋体" w:eastAsia="宋体" w:cs="宋体"/>
                <w:kern w:val="2"/>
                <w:sz w:val="21"/>
                <w:szCs w:val="21"/>
                <w:lang w:eastAsia="zh-CN"/>
              </w:rPr>
            </w:pPr>
          </w:p>
        </w:tc>
        <w:tc>
          <w:tcPr>
            <w:tcW w:w="1014" w:type="dxa"/>
            <w:vAlign w:val="center"/>
          </w:tcPr>
          <w:p w14:paraId="0FCCAD38">
            <w:pPr>
              <w:widowControl w:val="0"/>
              <w:jc w:val="both"/>
              <w:rPr>
                <w:rFonts w:hint="eastAsia" w:ascii="宋体" w:hAnsi="宋体" w:eastAsia="宋体" w:cs="宋体"/>
                <w:kern w:val="2"/>
                <w:sz w:val="21"/>
                <w:szCs w:val="21"/>
                <w:lang w:eastAsia="zh-CN"/>
              </w:rPr>
            </w:pPr>
          </w:p>
        </w:tc>
      </w:tr>
      <w:tr w14:paraId="0BE9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Merge w:val="restart"/>
            <w:vAlign w:val="center"/>
          </w:tcPr>
          <w:p w14:paraId="3B7744F1">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3</w:t>
            </w:r>
          </w:p>
        </w:tc>
        <w:tc>
          <w:tcPr>
            <w:tcW w:w="1458" w:type="dxa"/>
            <w:vMerge w:val="restart"/>
            <w:vAlign w:val="center"/>
          </w:tcPr>
          <w:p w14:paraId="0AD2CD8C">
            <w:pPr>
              <w:widowControl w:val="0"/>
              <w:jc w:val="center"/>
              <w:rPr>
                <w:rFonts w:ascii="宋体" w:hAnsi="宋体" w:eastAsia="宋体" w:cs="宋体"/>
                <w:b/>
                <w:color w:val="000000"/>
                <w:kern w:val="2"/>
                <w:sz w:val="21"/>
                <w:szCs w:val="21"/>
                <w:lang w:eastAsia="zh-CN"/>
              </w:rPr>
            </w:pPr>
            <w:r>
              <w:rPr>
                <w:rFonts w:hint="eastAsia" w:ascii="宋体" w:hAnsi="宋体" w:eastAsia="宋体" w:cs="宋体"/>
                <w:kern w:val="2"/>
                <w:sz w:val="21"/>
                <w:szCs w:val="21"/>
                <w:lang w:eastAsia="zh-CN"/>
              </w:rPr>
              <w:t>关于验收</w:t>
            </w:r>
          </w:p>
        </w:tc>
        <w:tc>
          <w:tcPr>
            <w:tcW w:w="3098" w:type="dxa"/>
          </w:tcPr>
          <w:p w14:paraId="58632B8F">
            <w:pPr>
              <w:widowControl w:val="0"/>
              <w:jc w:val="both"/>
              <w:rPr>
                <w:rFonts w:ascii="宋体" w:hAnsi="宋体" w:eastAsia="宋体" w:cs="宋体"/>
                <w:color w:val="000000"/>
                <w:kern w:val="2"/>
                <w:sz w:val="21"/>
                <w:szCs w:val="21"/>
                <w:lang w:eastAsia="zh-CN"/>
              </w:rPr>
            </w:pPr>
            <w:r>
              <w:rPr>
                <w:rFonts w:hint="eastAsia" w:ascii="宋体" w:hAnsi="宋体" w:eastAsia="宋体" w:cs="宋体"/>
                <w:bCs/>
                <w:kern w:val="2"/>
                <w:sz w:val="21"/>
                <w:szCs w:val="21"/>
                <w:lang w:eastAsia="zh-CN"/>
              </w:rPr>
              <w:t>★</w:t>
            </w:r>
            <w:r>
              <w:rPr>
                <w:rFonts w:hint="eastAsia" w:ascii="宋体" w:hAnsi="宋体" w:eastAsia="宋体" w:cs="宋体"/>
                <w:kern w:val="2"/>
                <w:sz w:val="21"/>
                <w:szCs w:val="21"/>
                <w:lang w:eastAsia="zh-CN"/>
              </w:rPr>
              <w:t>3.1采购人和中标人应在交付时对货物进行开箱验货，以确认货物的数量、型号、规格等是否符合合同要求。</w:t>
            </w:r>
          </w:p>
        </w:tc>
        <w:tc>
          <w:tcPr>
            <w:tcW w:w="2891" w:type="dxa"/>
          </w:tcPr>
          <w:p w14:paraId="1D62B1E0">
            <w:pPr>
              <w:widowControl w:val="0"/>
              <w:jc w:val="both"/>
              <w:rPr>
                <w:rFonts w:hint="eastAsia" w:ascii="宋体" w:hAnsi="宋体" w:eastAsia="宋体" w:cs="宋体"/>
                <w:bCs/>
                <w:kern w:val="2"/>
                <w:sz w:val="21"/>
                <w:szCs w:val="21"/>
                <w:lang w:eastAsia="zh-CN"/>
              </w:rPr>
            </w:pPr>
          </w:p>
        </w:tc>
        <w:tc>
          <w:tcPr>
            <w:tcW w:w="1221" w:type="dxa"/>
          </w:tcPr>
          <w:p w14:paraId="47590967">
            <w:pPr>
              <w:widowControl w:val="0"/>
              <w:jc w:val="both"/>
              <w:rPr>
                <w:rFonts w:hint="eastAsia" w:ascii="宋体" w:hAnsi="宋体" w:eastAsia="宋体" w:cs="宋体"/>
                <w:bCs/>
                <w:kern w:val="2"/>
                <w:sz w:val="21"/>
                <w:szCs w:val="21"/>
                <w:lang w:eastAsia="zh-CN"/>
              </w:rPr>
            </w:pPr>
          </w:p>
        </w:tc>
        <w:tc>
          <w:tcPr>
            <w:tcW w:w="1014" w:type="dxa"/>
          </w:tcPr>
          <w:p w14:paraId="01A87FEB">
            <w:pPr>
              <w:widowControl w:val="0"/>
              <w:jc w:val="both"/>
              <w:rPr>
                <w:rFonts w:hint="eastAsia" w:ascii="宋体" w:hAnsi="宋体" w:eastAsia="宋体" w:cs="宋体"/>
                <w:bCs/>
                <w:kern w:val="2"/>
                <w:sz w:val="21"/>
                <w:szCs w:val="21"/>
                <w:lang w:eastAsia="zh-CN"/>
              </w:rPr>
            </w:pPr>
          </w:p>
        </w:tc>
      </w:tr>
      <w:tr w14:paraId="5636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77" w:type="dxa"/>
            <w:vMerge w:val="continue"/>
            <w:vAlign w:val="center"/>
          </w:tcPr>
          <w:p w14:paraId="5123E117">
            <w:pPr>
              <w:widowControl w:val="0"/>
              <w:jc w:val="center"/>
              <w:rPr>
                <w:rFonts w:ascii="宋体" w:hAnsi="宋体" w:eastAsia="宋体" w:cs="宋体"/>
                <w:kern w:val="2"/>
                <w:sz w:val="21"/>
                <w:szCs w:val="21"/>
                <w:lang w:eastAsia="zh-CN"/>
              </w:rPr>
            </w:pPr>
          </w:p>
        </w:tc>
        <w:tc>
          <w:tcPr>
            <w:tcW w:w="1458" w:type="dxa"/>
            <w:vMerge w:val="continue"/>
            <w:vAlign w:val="center"/>
          </w:tcPr>
          <w:p w14:paraId="1378807A">
            <w:pPr>
              <w:widowControl w:val="0"/>
              <w:jc w:val="center"/>
              <w:rPr>
                <w:rFonts w:ascii="宋体" w:hAnsi="宋体" w:eastAsia="宋体" w:cs="宋体"/>
                <w:kern w:val="2"/>
                <w:sz w:val="21"/>
                <w:szCs w:val="21"/>
                <w:lang w:eastAsia="zh-CN"/>
              </w:rPr>
            </w:pPr>
          </w:p>
        </w:tc>
        <w:tc>
          <w:tcPr>
            <w:tcW w:w="3098" w:type="dxa"/>
          </w:tcPr>
          <w:p w14:paraId="17DD0CFE">
            <w:pPr>
              <w:widowControl w:val="0"/>
              <w:jc w:val="both"/>
              <w:rPr>
                <w:rFonts w:ascii="宋体" w:hAnsi="宋体" w:eastAsia="宋体" w:cs="宋体"/>
                <w:kern w:val="2"/>
                <w:sz w:val="21"/>
                <w:szCs w:val="21"/>
                <w:lang w:eastAsia="zh-CN"/>
              </w:rPr>
            </w:pPr>
            <w:r>
              <w:rPr>
                <w:rFonts w:hint="eastAsia" w:ascii="宋体" w:hAnsi="宋体" w:eastAsia="宋体" w:cs="宋体"/>
                <w:bCs/>
                <w:kern w:val="2"/>
                <w:sz w:val="21"/>
                <w:szCs w:val="21"/>
                <w:lang w:eastAsia="zh-CN"/>
              </w:rPr>
              <w:t>★</w:t>
            </w:r>
            <w:r>
              <w:rPr>
                <w:rFonts w:hint="eastAsia" w:ascii="宋体" w:hAnsi="宋体" w:eastAsia="宋体" w:cs="宋体"/>
                <w:kern w:val="2"/>
                <w:sz w:val="21"/>
                <w:szCs w:val="21"/>
                <w:lang w:eastAsia="zh-CN"/>
              </w:rPr>
              <w:t>3.2采购人最终验收合格前，除货物已由采购人实际使用的情况外，货物的一切风险(包括但不限于货物的损毁、灭失及可能的侵权等)，均由中标人承担。</w:t>
            </w:r>
          </w:p>
        </w:tc>
        <w:tc>
          <w:tcPr>
            <w:tcW w:w="2891" w:type="dxa"/>
          </w:tcPr>
          <w:p w14:paraId="75B3280A">
            <w:pPr>
              <w:widowControl w:val="0"/>
              <w:jc w:val="both"/>
              <w:rPr>
                <w:rFonts w:hint="eastAsia" w:ascii="宋体" w:hAnsi="宋体" w:eastAsia="宋体" w:cs="宋体"/>
                <w:bCs/>
                <w:kern w:val="2"/>
                <w:sz w:val="21"/>
                <w:szCs w:val="21"/>
                <w:lang w:eastAsia="zh-CN"/>
              </w:rPr>
            </w:pPr>
          </w:p>
        </w:tc>
        <w:tc>
          <w:tcPr>
            <w:tcW w:w="1221" w:type="dxa"/>
          </w:tcPr>
          <w:p w14:paraId="5B268407">
            <w:pPr>
              <w:widowControl w:val="0"/>
              <w:jc w:val="both"/>
              <w:rPr>
                <w:rFonts w:hint="eastAsia" w:ascii="宋体" w:hAnsi="宋体" w:eastAsia="宋体" w:cs="宋体"/>
                <w:bCs/>
                <w:kern w:val="2"/>
                <w:sz w:val="21"/>
                <w:szCs w:val="21"/>
                <w:lang w:eastAsia="zh-CN"/>
              </w:rPr>
            </w:pPr>
          </w:p>
        </w:tc>
        <w:tc>
          <w:tcPr>
            <w:tcW w:w="1014" w:type="dxa"/>
          </w:tcPr>
          <w:p w14:paraId="167E3532">
            <w:pPr>
              <w:widowControl w:val="0"/>
              <w:jc w:val="both"/>
              <w:rPr>
                <w:rFonts w:hint="eastAsia" w:ascii="宋体" w:hAnsi="宋体" w:eastAsia="宋体" w:cs="宋体"/>
                <w:bCs/>
                <w:kern w:val="2"/>
                <w:sz w:val="21"/>
                <w:szCs w:val="21"/>
                <w:lang w:eastAsia="zh-CN"/>
              </w:rPr>
            </w:pPr>
          </w:p>
        </w:tc>
      </w:tr>
      <w:tr w14:paraId="1506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77" w:type="dxa"/>
            <w:vMerge w:val="continue"/>
            <w:vAlign w:val="center"/>
          </w:tcPr>
          <w:p w14:paraId="2FA4A137">
            <w:pPr>
              <w:widowControl w:val="0"/>
              <w:jc w:val="center"/>
              <w:rPr>
                <w:rFonts w:ascii="宋体" w:hAnsi="宋体" w:eastAsia="宋体" w:cs="宋体"/>
                <w:kern w:val="2"/>
                <w:sz w:val="21"/>
                <w:szCs w:val="21"/>
                <w:lang w:eastAsia="zh-CN"/>
              </w:rPr>
            </w:pPr>
          </w:p>
        </w:tc>
        <w:tc>
          <w:tcPr>
            <w:tcW w:w="1458" w:type="dxa"/>
            <w:vMerge w:val="continue"/>
            <w:vAlign w:val="center"/>
          </w:tcPr>
          <w:p w14:paraId="2779D8E3">
            <w:pPr>
              <w:widowControl w:val="0"/>
              <w:jc w:val="center"/>
              <w:rPr>
                <w:rFonts w:ascii="宋体" w:hAnsi="宋体" w:eastAsia="宋体" w:cs="宋体"/>
                <w:kern w:val="2"/>
                <w:sz w:val="21"/>
                <w:szCs w:val="21"/>
                <w:lang w:eastAsia="zh-CN"/>
              </w:rPr>
            </w:pPr>
          </w:p>
        </w:tc>
        <w:tc>
          <w:tcPr>
            <w:tcW w:w="3098" w:type="dxa"/>
          </w:tcPr>
          <w:p w14:paraId="389DC3DA">
            <w:pPr>
              <w:widowControl w:val="0"/>
              <w:jc w:val="both"/>
              <w:rPr>
                <w:rFonts w:ascii="宋体" w:hAnsi="宋体" w:eastAsia="宋体" w:cs="宋体"/>
                <w:kern w:val="2"/>
                <w:sz w:val="21"/>
                <w:szCs w:val="21"/>
                <w:lang w:eastAsia="zh-CN"/>
              </w:rPr>
            </w:pPr>
            <w:r>
              <w:rPr>
                <w:rFonts w:hint="eastAsia" w:ascii="宋体" w:hAnsi="宋体" w:eastAsia="宋体" w:cs="宋体"/>
                <w:bCs/>
                <w:kern w:val="2"/>
                <w:sz w:val="21"/>
                <w:szCs w:val="21"/>
                <w:lang w:eastAsia="zh-CN"/>
              </w:rPr>
              <w:t>★</w:t>
            </w:r>
            <w:r>
              <w:rPr>
                <w:rFonts w:hint="eastAsia" w:ascii="宋体" w:hAnsi="宋体" w:eastAsia="宋体" w:cs="宋体"/>
                <w:kern w:val="2"/>
                <w:sz w:val="21"/>
                <w:szCs w:val="21"/>
                <w:lang w:eastAsia="zh-CN"/>
              </w:rPr>
              <w:t>3.3验收时，双方按照合同约定及时对交付的货物进行验收，中标人应配合采购人的履约检查及验收。</w:t>
            </w:r>
          </w:p>
        </w:tc>
        <w:tc>
          <w:tcPr>
            <w:tcW w:w="2891" w:type="dxa"/>
          </w:tcPr>
          <w:p w14:paraId="38D22DCC">
            <w:pPr>
              <w:widowControl w:val="0"/>
              <w:jc w:val="both"/>
              <w:rPr>
                <w:rFonts w:hint="eastAsia" w:ascii="宋体" w:hAnsi="宋体" w:eastAsia="宋体" w:cs="宋体"/>
                <w:bCs/>
                <w:kern w:val="2"/>
                <w:sz w:val="21"/>
                <w:szCs w:val="21"/>
                <w:lang w:eastAsia="zh-CN"/>
              </w:rPr>
            </w:pPr>
          </w:p>
        </w:tc>
        <w:tc>
          <w:tcPr>
            <w:tcW w:w="1221" w:type="dxa"/>
          </w:tcPr>
          <w:p w14:paraId="4347721F">
            <w:pPr>
              <w:widowControl w:val="0"/>
              <w:jc w:val="both"/>
              <w:rPr>
                <w:rFonts w:hint="eastAsia" w:ascii="宋体" w:hAnsi="宋体" w:eastAsia="宋体" w:cs="宋体"/>
                <w:bCs/>
                <w:kern w:val="2"/>
                <w:sz w:val="21"/>
                <w:szCs w:val="21"/>
                <w:lang w:eastAsia="zh-CN"/>
              </w:rPr>
            </w:pPr>
          </w:p>
        </w:tc>
        <w:tc>
          <w:tcPr>
            <w:tcW w:w="1014" w:type="dxa"/>
          </w:tcPr>
          <w:p w14:paraId="3D134760">
            <w:pPr>
              <w:widowControl w:val="0"/>
              <w:jc w:val="both"/>
              <w:rPr>
                <w:rFonts w:hint="eastAsia" w:ascii="宋体" w:hAnsi="宋体" w:eastAsia="宋体" w:cs="宋体"/>
                <w:bCs/>
                <w:kern w:val="2"/>
                <w:sz w:val="21"/>
                <w:szCs w:val="21"/>
                <w:lang w:eastAsia="zh-CN"/>
              </w:rPr>
            </w:pPr>
          </w:p>
        </w:tc>
      </w:tr>
      <w:tr w14:paraId="5222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877" w:type="dxa"/>
            <w:vMerge w:val="continue"/>
            <w:vAlign w:val="center"/>
          </w:tcPr>
          <w:p w14:paraId="3A7B4ED4">
            <w:pPr>
              <w:widowControl w:val="0"/>
              <w:jc w:val="center"/>
              <w:rPr>
                <w:rFonts w:ascii="宋体" w:hAnsi="宋体" w:eastAsia="宋体" w:cs="宋体"/>
                <w:kern w:val="2"/>
                <w:sz w:val="21"/>
                <w:szCs w:val="21"/>
                <w:lang w:eastAsia="zh-CN"/>
              </w:rPr>
            </w:pPr>
          </w:p>
        </w:tc>
        <w:tc>
          <w:tcPr>
            <w:tcW w:w="1458" w:type="dxa"/>
            <w:vMerge w:val="continue"/>
            <w:vAlign w:val="center"/>
          </w:tcPr>
          <w:p w14:paraId="5AB225AD">
            <w:pPr>
              <w:widowControl w:val="0"/>
              <w:jc w:val="center"/>
              <w:rPr>
                <w:rFonts w:ascii="宋体" w:hAnsi="宋体" w:eastAsia="宋体" w:cs="宋体"/>
                <w:kern w:val="2"/>
                <w:sz w:val="21"/>
                <w:szCs w:val="21"/>
                <w:lang w:eastAsia="zh-CN"/>
              </w:rPr>
            </w:pPr>
          </w:p>
        </w:tc>
        <w:tc>
          <w:tcPr>
            <w:tcW w:w="3098" w:type="dxa"/>
          </w:tcPr>
          <w:p w14:paraId="26E73DC2">
            <w:pPr>
              <w:widowControl w:val="0"/>
              <w:spacing w:line="360" w:lineRule="auto"/>
              <w:jc w:val="both"/>
              <w:rPr>
                <w:rFonts w:ascii="宋体" w:hAnsi="宋体" w:eastAsia="宋体" w:cs="宋体"/>
                <w:b/>
                <w:bCs/>
                <w:kern w:val="2"/>
                <w:sz w:val="21"/>
                <w:szCs w:val="21"/>
                <w:lang w:eastAsia="zh-CN"/>
              </w:rPr>
            </w:pPr>
            <w:r>
              <w:rPr>
                <w:rFonts w:hint="eastAsia" w:ascii="宋体" w:hAnsi="宋体" w:eastAsia="宋体" w:cs="宋体"/>
                <w:kern w:val="2"/>
                <w:sz w:val="21"/>
                <w:szCs w:val="21"/>
                <w:lang w:eastAsia="zh-CN"/>
              </w:rPr>
              <w:t>★</w:t>
            </w:r>
            <w:r>
              <w:rPr>
                <w:rFonts w:ascii="宋体" w:hAnsi="宋体" w:eastAsia="宋体" w:cs="宋体"/>
                <w:kern w:val="2"/>
                <w:sz w:val="21"/>
                <w:szCs w:val="21"/>
                <w:lang w:eastAsia="zh-CN"/>
              </w:rPr>
              <w:t>3.4</w:t>
            </w:r>
            <w:r>
              <w:rPr>
                <w:rFonts w:hint="eastAsia" w:ascii="宋体" w:hAnsi="宋体" w:eastAsia="宋体" w:cs="宋体"/>
                <w:kern w:val="2"/>
                <w:sz w:val="21"/>
                <w:szCs w:val="21"/>
                <w:lang w:eastAsia="zh-CN"/>
              </w:rPr>
              <w:t>中标人货物经过大学组织的验收后，中标人需提供产品保修文件。</w:t>
            </w:r>
          </w:p>
        </w:tc>
        <w:tc>
          <w:tcPr>
            <w:tcW w:w="2891" w:type="dxa"/>
          </w:tcPr>
          <w:p w14:paraId="5B66431D">
            <w:pPr>
              <w:widowControl w:val="0"/>
              <w:spacing w:line="360" w:lineRule="auto"/>
              <w:jc w:val="both"/>
              <w:rPr>
                <w:rFonts w:hint="eastAsia" w:ascii="宋体" w:hAnsi="宋体" w:eastAsia="宋体" w:cs="宋体"/>
                <w:kern w:val="2"/>
                <w:sz w:val="21"/>
                <w:szCs w:val="21"/>
                <w:lang w:eastAsia="zh-CN"/>
              </w:rPr>
            </w:pPr>
          </w:p>
        </w:tc>
        <w:tc>
          <w:tcPr>
            <w:tcW w:w="1221" w:type="dxa"/>
          </w:tcPr>
          <w:p w14:paraId="55BB50F0">
            <w:pPr>
              <w:widowControl w:val="0"/>
              <w:spacing w:line="360" w:lineRule="auto"/>
              <w:jc w:val="both"/>
              <w:rPr>
                <w:rFonts w:hint="eastAsia" w:ascii="宋体" w:hAnsi="宋体" w:eastAsia="宋体" w:cs="宋体"/>
                <w:kern w:val="2"/>
                <w:sz w:val="21"/>
                <w:szCs w:val="21"/>
                <w:lang w:eastAsia="zh-CN"/>
              </w:rPr>
            </w:pPr>
          </w:p>
        </w:tc>
        <w:tc>
          <w:tcPr>
            <w:tcW w:w="1014" w:type="dxa"/>
          </w:tcPr>
          <w:p w14:paraId="3778BD19">
            <w:pPr>
              <w:widowControl w:val="0"/>
              <w:spacing w:line="360" w:lineRule="auto"/>
              <w:jc w:val="both"/>
              <w:rPr>
                <w:rFonts w:hint="eastAsia" w:ascii="宋体" w:hAnsi="宋体" w:eastAsia="宋体" w:cs="宋体"/>
                <w:kern w:val="2"/>
                <w:sz w:val="21"/>
                <w:szCs w:val="21"/>
                <w:lang w:eastAsia="zh-CN"/>
              </w:rPr>
            </w:pPr>
          </w:p>
        </w:tc>
      </w:tr>
      <w:tr w14:paraId="66AB5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Align w:val="center"/>
          </w:tcPr>
          <w:p w14:paraId="3F139C56">
            <w:pPr>
              <w:widowControl w:val="0"/>
              <w:jc w:val="center"/>
              <w:rPr>
                <w:rFonts w:ascii="宋体" w:hAnsi="宋体" w:eastAsia="宋体" w:cs="宋体"/>
                <w:kern w:val="2"/>
                <w:sz w:val="21"/>
                <w:szCs w:val="21"/>
                <w:lang w:eastAsia="zh-CN"/>
              </w:rPr>
            </w:pPr>
            <w:r>
              <w:rPr>
                <w:rFonts w:ascii="宋体" w:hAnsi="宋体" w:eastAsia="宋体" w:cs="宋体"/>
                <w:kern w:val="2"/>
                <w:sz w:val="21"/>
                <w:szCs w:val="21"/>
                <w:lang w:eastAsia="zh-CN"/>
              </w:rPr>
              <w:t>5</w:t>
            </w:r>
          </w:p>
        </w:tc>
        <w:tc>
          <w:tcPr>
            <w:tcW w:w="1458" w:type="dxa"/>
            <w:vAlign w:val="center"/>
          </w:tcPr>
          <w:p w14:paraId="5DE79ECD">
            <w:pPr>
              <w:widowControl w:val="0"/>
              <w:jc w:val="center"/>
              <w:rPr>
                <w:rFonts w:ascii="宋体" w:hAnsi="宋体" w:eastAsia="宋体" w:cs="宋体"/>
                <w:b/>
                <w:color w:val="000000"/>
                <w:kern w:val="2"/>
                <w:sz w:val="21"/>
                <w:szCs w:val="21"/>
                <w:lang w:eastAsia="zh-CN"/>
              </w:rPr>
            </w:pPr>
            <w:r>
              <w:rPr>
                <w:rFonts w:hint="eastAsia" w:ascii="宋体" w:hAnsi="宋体" w:eastAsia="宋体" w:cs="宋体"/>
                <w:kern w:val="2"/>
                <w:sz w:val="21"/>
                <w:szCs w:val="21"/>
                <w:lang w:eastAsia="zh-CN"/>
              </w:rPr>
              <w:t>检测验证</w:t>
            </w:r>
          </w:p>
        </w:tc>
        <w:tc>
          <w:tcPr>
            <w:tcW w:w="3098" w:type="dxa"/>
            <w:vAlign w:val="center"/>
          </w:tcPr>
          <w:p w14:paraId="7A239D16">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如招标方发现中标人提供的货物与投标资料明显不相符且投标人不能提供证据，招标方有权直接通过第三方检测机构对于中标方提供的本项目全部或部分设备，依据投标技术响应情况逐一测试验证，其检测结果作为验证中标方提供设备与其投标资料是否相符的认定标准。如检测结果符合合同要求，其检测费用由采购人承担；如检测结果不符合合同要求，其检测费用由中标人承担。</w:t>
            </w:r>
          </w:p>
        </w:tc>
        <w:tc>
          <w:tcPr>
            <w:tcW w:w="2891" w:type="dxa"/>
            <w:vAlign w:val="center"/>
          </w:tcPr>
          <w:p w14:paraId="6F62AD67">
            <w:pPr>
              <w:widowControl w:val="0"/>
              <w:jc w:val="both"/>
              <w:rPr>
                <w:rFonts w:hint="eastAsia" w:ascii="宋体" w:hAnsi="宋体" w:eastAsia="宋体" w:cs="宋体"/>
                <w:kern w:val="2"/>
                <w:sz w:val="21"/>
                <w:szCs w:val="21"/>
                <w:lang w:eastAsia="zh-CN"/>
              </w:rPr>
            </w:pPr>
          </w:p>
        </w:tc>
        <w:tc>
          <w:tcPr>
            <w:tcW w:w="1221" w:type="dxa"/>
            <w:vAlign w:val="center"/>
          </w:tcPr>
          <w:p w14:paraId="5E843578">
            <w:pPr>
              <w:widowControl w:val="0"/>
              <w:jc w:val="both"/>
              <w:rPr>
                <w:rFonts w:hint="eastAsia" w:ascii="宋体" w:hAnsi="宋体" w:eastAsia="宋体" w:cs="宋体"/>
                <w:kern w:val="2"/>
                <w:sz w:val="21"/>
                <w:szCs w:val="21"/>
                <w:lang w:eastAsia="zh-CN"/>
              </w:rPr>
            </w:pPr>
          </w:p>
        </w:tc>
        <w:tc>
          <w:tcPr>
            <w:tcW w:w="1014" w:type="dxa"/>
            <w:vAlign w:val="center"/>
          </w:tcPr>
          <w:p w14:paraId="7AFF5B25">
            <w:pPr>
              <w:widowControl w:val="0"/>
              <w:jc w:val="both"/>
              <w:rPr>
                <w:rFonts w:hint="eastAsia" w:ascii="宋体" w:hAnsi="宋体" w:eastAsia="宋体" w:cs="宋体"/>
                <w:kern w:val="2"/>
                <w:sz w:val="21"/>
                <w:szCs w:val="21"/>
                <w:lang w:eastAsia="zh-CN"/>
              </w:rPr>
            </w:pPr>
          </w:p>
        </w:tc>
      </w:tr>
      <w:tr w14:paraId="0E6C3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Align w:val="center"/>
          </w:tcPr>
          <w:p w14:paraId="2B01127F">
            <w:pPr>
              <w:widowControl w:val="0"/>
              <w:jc w:val="center"/>
              <w:rPr>
                <w:rFonts w:ascii="宋体" w:hAnsi="宋体" w:eastAsia="宋体" w:cs="宋体"/>
                <w:kern w:val="2"/>
                <w:sz w:val="21"/>
                <w:szCs w:val="21"/>
                <w:lang w:eastAsia="zh-CN"/>
              </w:rPr>
            </w:pPr>
            <w:r>
              <w:rPr>
                <w:rFonts w:ascii="宋体" w:hAnsi="宋体" w:eastAsia="宋体" w:cs="宋体"/>
                <w:kern w:val="2"/>
                <w:sz w:val="21"/>
                <w:szCs w:val="21"/>
                <w:lang w:eastAsia="zh-CN"/>
              </w:rPr>
              <w:t>6</w:t>
            </w:r>
          </w:p>
        </w:tc>
        <w:tc>
          <w:tcPr>
            <w:tcW w:w="1458" w:type="dxa"/>
            <w:vAlign w:val="center"/>
          </w:tcPr>
          <w:p w14:paraId="7D633225">
            <w:pPr>
              <w:widowControl w:val="0"/>
              <w:jc w:val="center"/>
              <w:rPr>
                <w:rFonts w:ascii="宋体" w:hAnsi="宋体" w:eastAsia="宋体" w:cs="宋体"/>
                <w:kern w:val="2"/>
                <w:sz w:val="21"/>
                <w:szCs w:val="21"/>
                <w:lang w:eastAsia="zh-CN"/>
              </w:rPr>
            </w:pPr>
            <w:r>
              <w:rPr>
                <w:rFonts w:hint="eastAsia" w:ascii="宋体" w:hAnsi="宋体" w:eastAsia="宋体" w:cs="宋体"/>
                <w:color w:val="000000"/>
                <w:kern w:val="2"/>
                <w:sz w:val="21"/>
                <w:szCs w:val="21"/>
                <w:lang w:eastAsia="zh-CN"/>
              </w:rPr>
              <w:t>关于付款</w:t>
            </w:r>
          </w:p>
        </w:tc>
        <w:tc>
          <w:tcPr>
            <w:tcW w:w="3098" w:type="dxa"/>
            <w:vAlign w:val="center"/>
          </w:tcPr>
          <w:p w14:paraId="1945C31D">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 xml:space="preserve">★本项目付款共分 3期支付： </w:t>
            </w:r>
          </w:p>
          <w:p w14:paraId="28E3BC2A">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第 1 期：合同签订后，采购人收到中标人足额履约保证金，且中标人提供产品批量生产前的大样，经采购人确认后1</w:t>
            </w:r>
            <w:r>
              <w:rPr>
                <w:rFonts w:ascii="宋体" w:hAnsi="宋体" w:eastAsia="宋体" w:cs="宋体"/>
                <w:kern w:val="2"/>
                <w:sz w:val="21"/>
                <w:szCs w:val="21"/>
                <w:lang w:eastAsia="zh-CN"/>
              </w:rPr>
              <w:t>0</w:t>
            </w:r>
            <w:r>
              <w:rPr>
                <w:rFonts w:hint="eastAsia" w:ascii="宋体" w:hAnsi="宋体" w:eastAsia="宋体" w:cs="宋体"/>
                <w:kern w:val="2"/>
                <w:sz w:val="21"/>
                <w:szCs w:val="21"/>
                <w:lang w:eastAsia="zh-CN"/>
              </w:rPr>
              <w:t xml:space="preserve">个工作日开始启动支付流程，支付20%，具体时间以财政拨付为准； </w:t>
            </w:r>
          </w:p>
          <w:p w14:paraId="452D3685">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第 2 期：所有货物按时到现场，通过采购人到货检查后开始安装，中标人完成所有安装工作后，由采购人进行数量检查，并经采购人签字确认后1</w:t>
            </w:r>
            <w:r>
              <w:rPr>
                <w:rFonts w:ascii="宋体" w:hAnsi="宋体" w:eastAsia="宋体" w:cs="宋体"/>
                <w:kern w:val="2"/>
                <w:sz w:val="21"/>
                <w:szCs w:val="21"/>
                <w:lang w:eastAsia="zh-CN"/>
              </w:rPr>
              <w:t>0</w:t>
            </w:r>
            <w:r>
              <w:rPr>
                <w:rFonts w:hint="eastAsia" w:ascii="宋体" w:hAnsi="宋体" w:eastAsia="宋体" w:cs="宋体"/>
                <w:kern w:val="2"/>
                <w:sz w:val="21"/>
                <w:szCs w:val="21"/>
                <w:lang w:eastAsia="zh-CN"/>
              </w:rPr>
              <w:t xml:space="preserve">个工作日开始启动支付流程，支付 40%，具体时间以财政拨付为准； </w:t>
            </w:r>
          </w:p>
          <w:p w14:paraId="5BE2D388">
            <w:pPr>
              <w:widowControl w:val="0"/>
              <w:jc w:val="both"/>
              <w:rPr>
                <w:rFonts w:ascii="宋体" w:hAnsi="宋体" w:eastAsia="宋体" w:cs="宋体"/>
                <w:bCs/>
                <w:kern w:val="2"/>
                <w:sz w:val="21"/>
                <w:szCs w:val="21"/>
                <w:lang w:eastAsia="zh-CN"/>
              </w:rPr>
            </w:pPr>
            <w:r>
              <w:rPr>
                <w:rFonts w:hint="eastAsia" w:ascii="宋体" w:hAnsi="宋体" w:eastAsia="宋体" w:cs="宋体"/>
                <w:kern w:val="2"/>
                <w:sz w:val="21"/>
                <w:szCs w:val="21"/>
                <w:lang w:eastAsia="zh-CN"/>
              </w:rPr>
              <w:t>第 3 期：待所有货物安装调试、试运行正常，经采购人最终质量验收合格并收到中标人开具的正规发票后 1</w:t>
            </w:r>
            <w:r>
              <w:rPr>
                <w:rFonts w:ascii="宋体" w:hAnsi="宋体" w:eastAsia="宋体" w:cs="宋体"/>
                <w:kern w:val="2"/>
                <w:sz w:val="21"/>
                <w:szCs w:val="21"/>
                <w:lang w:eastAsia="zh-CN"/>
              </w:rPr>
              <w:t>0</w:t>
            </w:r>
            <w:r>
              <w:rPr>
                <w:rFonts w:hint="eastAsia" w:ascii="宋体" w:hAnsi="宋体" w:eastAsia="宋体" w:cs="宋体"/>
                <w:kern w:val="2"/>
                <w:sz w:val="21"/>
                <w:szCs w:val="21"/>
                <w:lang w:eastAsia="zh-CN"/>
              </w:rPr>
              <w:t xml:space="preserve"> 个工作日开始启动支付流程，支付 40%作为验收款，具体时间以财政拨付为准。</w:t>
            </w:r>
          </w:p>
        </w:tc>
        <w:tc>
          <w:tcPr>
            <w:tcW w:w="2891" w:type="dxa"/>
            <w:vAlign w:val="center"/>
          </w:tcPr>
          <w:p w14:paraId="164C5A58">
            <w:pPr>
              <w:widowControl w:val="0"/>
              <w:jc w:val="both"/>
              <w:rPr>
                <w:rFonts w:hint="eastAsia" w:ascii="宋体" w:hAnsi="宋体" w:eastAsia="宋体" w:cs="宋体"/>
                <w:kern w:val="2"/>
                <w:sz w:val="21"/>
                <w:szCs w:val="21"/>
                <w:lang w:eastAsia="zh-CN"/>
              </w:rPr>
            </w:pPr>
          </w:p>
        </w:tc>
        <w:tc>
          <w:tcPr>
            <w:tcW w:w="1221" w:type="dxa"/>
            <w:vAlign w:val="center"/>
          </w:tcPr>
          <w:p w14:paraId="5AF5E184">
            <w:pPr>
              <w:widowControl w:val="0"/>
              <w:jc w:val="both"/>
              <w:rPr>
                <w:rFonts w:hint="eastAsia" w:ascii="宋体" w:hAnsi="宋体" w:eastAsia="宋体" w:cs="宋体"/>
                <w:kern w:val="2"/>
                <w:sz w:val="21"/>
                <w:szCs w:val="21"/>
                <w:lang w:eastAsia="zh-CN"/>
              </w:rPr>
            </w:pPr>
          </w:p>
        </w:tc>
        <w:tc>
          <w:tcPr>
            <w:tcW w:w="1014" w:type="dxa"/>
            <w:vAlign w:val="center"/>
          </w:tcPr>
          <w:p w14:paraId="6045D5B6">
            <w:pPr>
              <w:widowControl w:val="0"/>
              <w:jc w:val="both"/>
              <w:rPr>
                <w:rFonts w:hint="eastAsia" w:ascii="宋体" w:hAnsi="宋体" w:eastAsia="宋体" w:cs="宋体"/>
                <w:kern w:val="2"/>
                <w:sz w:val="21"/>
                <w:szCs w:val="21"/>
                <w:lang w:eastAsia="zh-CN"/>
              </w:rPr>
            </w:pPr>
          </w:p>
        </w:tc>
      </w:tr>
      <w:tr w14:paraId="08A1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Align w:val="center"/>
          </w:tcPr>
          <w:p w14:paraId="755DDBEA">
            <w:pPr>
              <w:widowControl w:val="0"/>
              <w:jc w:val="center"/>
              <w:rPr>
                <w:rFonts w:ascii="宋体" w:hAnsi="宋体" w:eastAsia="宋体" w:cs="宋体"/>
                <w:kern w:val="2"/>
                <w:sz w:val="21"/>
                <w:szCs w:val="21"/>
                <w:lang w:eastAsia="zh-CN"/>
              </w:rPr>
            </w:pPr>
            <w:r>
              <w:rPr>
                <w:rFonts w:ascii="宋体" w:hAnsi="宋体" w:eastAsia="宋体" w:cs="宋体"/>
                <w:kern w:val="2"/>
                <w:sz w:val="21"/>
                <w:szCs w:val="21"/>
                <w:lang w:eastAsia="zh-CN"/>
              </w:rPr>
              <w:t>7</w:t>
            </w:r>
          </w:p>
        </w:tc>
        <w:tc>
          <w:tcPr>
            <w:tcW w:w="1458" w:type="dxa"/>
            <w:vAlign w:val="center"/>
          </w:tcPr>
          <w:p w14:paraId="06A5FED1">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关于报价</w:t>
            </w:r>
          </w:p>
        </w:tc>
        <w:tc>
          <w:tcPr>
            <w:tcW w:w="3098" w:type="dxa"/>
          </w:tcPr>
          <w:p w14:paraId="4BFD0F7F">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投标人应按分项报价表的要求逐项报价。投标人提供的报价除另有约定外，均已包含购买货物费用及售后服务所发生的所有费用，包括但不限于代理费、税费、货物运至指定地点的如运输费、保险费、叉车费和装卸费、配套资料费、安装调试费、服务培训费、设计费包含原辅材料检测、成品检测、室内空气检测及差旅费、施工保障措施费用以及免费保修期内的售后服务费用及国家规定的各项税费等全部费用。与总项目相关的上述安装调试等费用须分摊计入各分项，不得以单项计费。</w:t>
            </w:r>
          </w:p>
        </w:tc>
        <w:tc>
          <w:tcPr>
            <w:tcW w:w="2891" w:type="dxa"/>
          </w:tcPr>
          <w:p w14:paraId="22C708BB">
            <w:pPr>
              <w:widowControl w:val="0"/>
              <w:jc w:val="both"/>
              <w:rPr>
                <w:rFonts w:hint="eastAsia" w:ascii="宋体" w:hAnsi="宋体" w:eastAsia="宋体" w:cs="宋体"/>
                <w:kern w:val="2"/>
                <w:sz w:val="21"/>
                <w:szCs w:val="21"/>
                <w:lang w:eastAsia="zh-CN"/>
              </w:rPr>
            </w:pPr>
          </w:p>
        </w:tc>
        <w:tc>
          <w:tcPr>
            <w:tcW w:w="1221" w:type="dxa"/>
          </w:tcPr>
          <w:p w14:paraId="25AF62A0">
            <w:pPr>
              <w:widowControl w:val="0"/>
              <w:jc w:val="both"/>
              <w:rPr>
                <w:rFonts w:hint="eastAsia" w:ascii="宋体" w:hAnsi="宋体" w:eastAsia="宋体" w:cs="宋体"/>
                <w:kern w:val="2"/>
                <w:sz w:val="21"/>
                <w:szCs w:val="21"/>
                <w:lang w:eastAsia="zh-CN"/>
              </w:rPr>
            </w:pPr>
          </w:p>
        </w:tc>
        <w:tc>
          <w:tcPr>
            <w:tcW w:w="1014" w:type="dxa"/>
          </w:tcPr>
          <w:p w14:paraId="29935D60">
            <w:pPr>
              <w:widowControl w:val="0"/>
              <w:jc w:val="both"/>
              <w:rPr>
                <w:rFonts w:hint="eastAsia" w:ascii="宋体" w:hAnsi="宋体" w:eastAsia="宋体" w:cs="宋体"/>
                <w:kern w:val="2"/>
                <w:sz w:val="21"/>
                <w:szCs w:val="21"/>
                <w:lang w:eastAsia="zh-CN"/>
              </w:rPr>
            </w:pPr>
          </w:p>
        </w:tc>
      </w:tr>
      <w:tr w14:paraId="21F9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vMerge w:val="restart"/>
            <w:vAlign w:val="center"/>
          </w:tcPr>
          <w:p w14:paraId="66D30BD5">
            <w:pPr>
              <w:widowControl w:val="0"/>
              <w:jc w:val="center"/>
              <w:rPr>
                <w:rFonts w:ascii="宋体" w:hAnsi="宋体" w:eastAsia="宋体" w:cs="宋体"/>
                <w:kern w:val="2"/>
                <w:sz w:val="21"/>
                <w:szCs w:val="21"/>
                <w:lang w:eastAsia="zh-CN"/>
              </w:rPr>
            </w:pPr>
            <w:r>
              <w:rPr>
                <w:rFonts w:ascii="宋体" w:hAnsi="宋体" w:eastAsia="宋体" w:cs="宋体"/>
                <w:kern w:val="2"/>
                <w:sz w:val="21"/>
                <w:szCs w:val="21"/>
                <w:lang w:eastAsia="zh-CN"/>
              </w:rPr>
              <w:t>8</w:t>
            </w:r>
          </w:p>
        </w:tc>
        <w:tc>
          <w:tcPr>
            <w:tcW w:w="1458" w:type="dxa"/>
            <w:vMerge w:val="restart"/>
            <w:vAlign w:val="center"/>
          </w:tcPr>
          <w:p w14:paraId="124209F9">
            <w:pPr>
              <w:widowControl w:val="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其他</w:t>
            </w:r>
          </w:p>
        </w:tc>
        <w:tc>
          <w:tcPr>
            <w:tcW w:w="3098" w:type="dxa"/>
          </w:tcPr>
          <w:p w14:paraId="00CE149A">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★7.1本项目中所涉及产品必须满足现场户型要求，中标人应做好全面复核测量工作，并提供满足现场户型摆放安装的要求，相关作业产生的费用应包含在投标报价中。</w:t>
            </w:r>
          </w:p>
        </w:tc>
        <w:tc>
          <w:tcPr>
            <w:tcW w:w="2891" w:type="dxa"/>
          </w:tcPr>
          <w:p w14:paraId="69F74A28">
            <w:pPr>
              <w:widowControl w:val="0"/>
              <w:jc w:val="both"/>
              <w:rPr>
                <w:rFonts w:hint="eastAsia" w:ascii="宋体" w:hAnsi="宋体" w:eastAsia="宋体" w:cs="宋体"/>
                <w:kern w:val="2"/>
                <w:sz w:val="21"/>
                <w:szCs w:val="21"/>
                <w:lang w:eastAsia="zh-CN"/>
              </w:rPr>
            </w:pPr>
          </w:p>
        </w:tc>
        <w:tc>
          <w:tcPr>
            <w:tcW w:w="1221" w:type="dxa"/>
          </w:tcPr>
          <w:p w14:paraId="448062A1">
            <w:pPr>
              <w:widowControl w:val="0"/>
              <w:jc w:val="both"/>
              <w:rPr>
                <w:rFonts w:hint="eastAsia" w:ascii="宋体" w:hAnsi="宋体" w:eastAsia="宋体" w:cs="宋体"/>
                <w:kern w:val="2"/>
                <w:sz w:val="21"/>
                <w:szCs w:val="21"/>
                <w:lang w:eastAsia="zh-CN"/>
              </w:rPr>
            </w:pPr>
          </w:p>
        </w:tc>
        <w:tc>
          <w:tcPr>
            <w:tcW w:w="1014" w:type="dxa"/>
          </w:tcPr>
          <w:p w14:paraId="515ECD6C">
            <w:pPr>
              <w:widowControl w:val="0"/>
              <w:jc w:val="both"/>
              <w:rPr>
                <w:rFonts w:hint="eastAsia" w:ascii="宋体" w:hAnsi="宋体" w:eastAsia="宋体" w:cs="宋体"/>
                <w:kern w:val="2"/>
                <w:sz w:val="21"/>
                <w:szCs w:val="21"/>
                <w:lang w:eastAsia="zh-CN"/>
              </w:rPr>
            </w:pPr>
          </w:p>
        </w:tc>
      </w:tr>
      <w:tr w14:paraId="0822E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877" w:type="dxa"/>
            <w:vMerge w:val="continue"/>
            <w:vAlign w:val="center"/>
          </w:tcPr>
          <w:p w14:paraId="1B108AA8">
            <w:pPr>
              <w:widowControl w:val="0"/>
              <w:jc w:val="both"/>
              <w:rPr>
                <w:rFonts w:ascii="宋体" w:hAnsi="宋体" w:eastAsia="宋体" w:cs="宋体"/>
                <w:kern w:val="2"/>
                <w:sz w:val="21"/>
                <w:szCs w:val="21"/>
                <w:lang w:eastAsia="zh-CN"/>
              </w:rPr>
            </w:pPr>
          </w:p>
        </w:tc>
        <w:tc>
          <w:tcPr>
            <w:tcW w:w="1458" w:type="dxa"/>
            <w:vMerge w:val="continue"/>
            <w:vAlign w:val="center"/>
          </w:tcPr>
          <w:p w14:paraId="734F6C63">
            <w:pPr>
              <w:widowControl w:val="0"/>
              <w:jc w:val="both"/>
              <w:rPr>
                <w:rFonts w:ascii="宋体" w:hAnsi="宋体" w:eastAsia="宋体" w:cs="宋体"/>
                <w:kern w:val="2"/>
                <w:sz w:val="21"/>
                <w:szCs w:val="21"/>
                <w:lang w:eastAsia="zh-CN"/>
              </w:rPr>
            </w:pPr>
          </w:p>
        </w:tc>
        <w:tc>
          <w:tcPr>
            <w:tcW w:w="3098" w:type="dxa"/>
          </w:tcPr>
          <w:p w14:paraId="06C1C0E7">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7.2中标人提供的产品需符合国家及省市相关安全要求，符合国家质量检测标准，若因产品设计和制造等原因而导致安全事故，由中标人承担全部责任及经济损失，包括因此给采购人造成的任何损害。</w:t>
            </w:r>
          </w:p>
        </w:tc>
        <w:tc>
          <w:tcPr>
            <w:tcW w:w="2891" w:type="dxa"/>
          </w:tcPr>
          <w:p w14:paraId="696A3AD9">
            <w:pPr>
              <w:widowControl w:val="0"/>
              <w:jc w:val="both"/>
              <w:rPr>
                <w:rFonts w:hint="eastAsia" w:ascii="宋体" w:hAnsi="宋体" w:eastAsia="宋体" w:cs="宋体"/>
                <w:kern w:val="2"/>
                <w:sz w:val="21"/>
                <w:szCs w:val="21"/>
                <w:lang w:eastAsia="zh-CN"/>
              </w:rPr>
            </w:pPr>
          </w:p>
        </w:tc>
        <w:tc>
          <w:tcPr>
            <w:tcW w:w="1221" w:type="dxa"/>
          </w:tcPr>
          <w:p w14:paraId="056A24CD">
            <w:pPr>
              <w:widowControl w:val="0"/>
              <w:jc w:val="both"/>
              <w:rPr>
                <w:rFonts w:hint="eastAsia" w:ascii="宋体" w:hAnsi="宋体" w:eastAsia="宋体" w:cs="宋体"/>
                <w:kern w:val="2"/>
                <w:sz w:val="21"/>
                <w:szCs w:val="21"/>
                <w:lang w:eastAsia="zh-CN"/>
              </w:rPr>
            </w:pPr>
          </w:p>
        </w:tc>
        <w:tc>
          <w:tcPr>
            <w:tcW w:w="1014" w:type="dxa"/>
          </w:tcPr>
          <w:p w14:paraId="087E6B7A">
            <w:pPr>
              <w:widowControl w:val="0"/>
              <w:jc w:val="both"/>
              <w:rPr>
                <w:rFonts w:hint="eastAsia" w:ascii="宋体" w:hAnsi="宋体" w:eastAsia="宋体" w:cs="宋体"/>
                <w:kern w:val="2"/>
                <w:sz w:val="21"/>
                <w:szCs w:val="21"/>
                <w:lang w:eastAsia="zh-CN"/>
              </w:rPr>
            </w:pPr>
          </w:p>
        </w:tc>
      </w:tr>
      <w:tr w14:paraId="15C87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877" w:type="dxa"/>
            <w:vMerge w:val="continue"/>
            <w:vAlign w:val="center"/>
          </w:tcPr>
          <w:p w14:paraId="75DC251D">
            <w:pPr>
              <w:widowControl w:val="0"/>
              <w:jc w:val="both"/>
              <w:rPr>
                <w:rFonts w:ascii="宋体" w:hAnsi="宋体" w:eastAsia="宋体" w:cs="宋体"/>
                <w:kern w:val="2"/>
                <w:sz w:val="21"/>
                <w:szCs w:val="21"/>
                <w:lang w:eastAsia="zh-CN"/>
              </w:rPr>
            </w:pPr>
          </w:p>
        </w:tc>
        <w:tc>
          <w:tcPr>
            <w:tcW w:w="1458" w:type="dxa"/>
            <w:vMerge w:val="continue"/>
            <w:vAlign w:val="center"/>
          </w:tcPr>
          <w:p w14:paraId="591EF2DB">
            <w:pPr>
              <w:widowControl w:val="0"/>
              <w:jc w:val="both"/>
              <w:rPr>
                <w:rFonts w:ascii="宋体" w:hAnsi="宋体" w:eastAsia="宋体" w:cs="宋体"/>
                <w:kern w:val="2"/>
                <w:sz w:val="21"/>
                <w:szCs w:val="21"/>
                <w:lang w:eastAsia="zh-CN"/>
              </w:rPr>
            </w:pPr>
          </w:p>
        </w:tc>
        <w:tc>
          <w:tcPr>
            <w:tcW w:w="3098" w:type="dxa"/>
          </w:tcPr>
          <w:p w14:paraId="2BD3318D">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7.3采购人在中国使用该产品或产品的任何一部分时，免受第三方提出的侵犯其专利权、商标权或工业设计权等知识产权的起诉或司法干预。若因为知识产权纠纷造成的一切损害赔偿及损失由中标人承担，包括但不限于实际损失、预期损失和对方要求赔偿损失及支出的律师费、交通费和差旅费等。</w:t>
            </w:r>
          </w:p>
        </w:tc>
        <w:tc>
          <w:tcPr>
            <w:tcW w:w="2891" w:type="dxa"/>
          </w:tcPr>
          <w:p w14:paraId="1C5E7CB5">
            <w:pPr>
              <w:widowControl w:val="0"/>
              <w:jc w:val="both"/>
              <w:rPr>
                <w:rFonts w:hint="eastAsia" w:ascii="宋体" w:hAnsi="宋体" w:eastAsia="宋体" w:cs="宋体"/>
                <w:kern w:val="2"/>
                <w:sz w:val="21"/>
                <w:szCs w:val="21"/>
                <w:lang w:eastAsia="zh-CN"/>
              </w:rPr>
            </w:pPr>
          </w:p>
        </w:tc>
        <w:tc>
          <w:tcPr>
            <w:tcW w:w="1221" w:type="dxa"/>
          </w:tcPr>
          <w:p w14:paraId="0A80A276">
            <w:pPr>
              <w:widowControl w:val="0"/>
              <w:jc w:val="both"/>
              <w:rPr>
                <w:rFonts w:hint="eastAsia" w:ascii="宋体" w:hAnsi="宋体" w:eastAsia="宋体" w:cs="宋体"/>
                <w:kern w:val="2"/>
                <w:sz w:val="21"/>
                <w:szCs w:val="21"/>
                <w:lang w:eastAsia="zh-CN"/>
              </w:rPr>
            </w:pPr>
          </w:p>
        </w:tc>
        <w:tc>
          <w:tcPr>
            <w:tcW w:w="1014" w:type="dxa"/>
          </w:tcPr>
          <w:p w14:paraId="1033BBC4">
            <w:pPr>
              <w:widowControl w:val="0"/>
              <w:jc w:val="both"/>
              <w:rPr>
                <w:rFonts w:hint="eastAsia" w:ascii="宋体" w:hAnsi="宋体" w:eastAsia="宋体" w:cs="宋体"/>
                <w:kern w:val="2"/>
                <w:sz w:val="21"/>
                <w:szCs w:val="21"/>
                <w:lang w:eastAsia="zh-CN"/>
              </w:rPr>
            </w:pPr>
          </w:p>
        </w:tc>
      </w:tr>
      <w:tr w14:paraId="63EB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77" w:type="dxa"/>
            <w:vMerge w:val="continue"/>
            <w:vAlign w:val="center"/>
          </w:tcPr>
          <w:p w14:paraId="76928CCC">
            <w:pPr>
              <w:widowControl w:val="0"/>
              <w:jc w:val="both"/>
              <w:rPr>
                <w:rFonts w:ascii="宋体" w:hAnsi="宋体" w:eastAsia="宋体" w:cs="宋体"/>
                <w:kern w:val="2"/>
                <w:sz w:val="21"/>
                <w:szCs w:val="21"/>
                <w:lang w:eastAsia="zh-CN"/>
              </w:rPr>
            </w:pPr>
          </w:p>
        </w:tc>
        <w:tc>
          <w:tcPr>
            <w:tcW w:w="1458" w:type="dxa"/>
            <w:vMerge w:val="continue"/>
            <w:vAlign w:val="center"/>
          </w:tcPr>
          <w:p w14:paraId="742346E5">
            <w:pPr>
              <w:widowControl w:val="0"/>
              <w:jc w:val="both"/>
              <w:rPr>
                <w:rFonts w:ascii="宋体" w:hAnsi="宋体" w:eastAsia="宋体" w:cs="宋体"/>
                <w:kern w:val="2"/>
                <w:sz w:val="21"/>
                <w:szCs w:val="21"/>
                <w:lang w:eastAsia="zh-CN"/>
              </w:rPr>
            </w:pPr>
          </w:p>
        </w:tc>
        <w:tc>
          <w:tcPr>
            <w:tcW w:w="3098" w:type="dxa"/>
          </w:tcPr>
          <w:p w14:paraId="23C4A7F9">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7.4中标通知书发布之日起到合同签署之日，期间双方往来的各类事项同样适用合同相关约定。</w:t>
            </w:r>
          </w:p>
        </w:tc>
        <w:tc>
          <w:tcPr>
            <w:tcW w:w="2891" w:type="dxa"/>
          </w:tcPr>
          <w:p w14:paraId="0315DB74">
            <w:pPr>
              <w:widowControl w:val="0"/>
              <w:jc w:val="both"/>
              <w:rPr>
                <w:rFonts w:hint="eastAsia" w:ascii="宋体" w:hAnsi="宋体" w:eastAsia="宋体" w:cs="宋体"/>
                <w:kern w:val="2"/>
                <w:sz w:val="21"/>
                <w:szCs w:val="21"/>
                <w:lang w:eastAsia="zh-CN"/>
              </w:rPr>
            </w:pPr>
          </w:p>
        </w:tc>
        <w:tc>
          <w:tcPr>
            <w:tcW w:w="1221" w:type="dxa"/>
          </w:tcPr>
          <w:p w14:paraId="22BD9FBA">
            <w:pPr>
              <w:widowControl w:val="0"/>
              <w:jc w:val="both"/>
              <w:rPr>
                <w:rFonts w:hint="eastAsia" w:ascii="宋体" w:hAnsi="宋体" w:eastAsia="宋体" w:cs="宋体"/>
                <w:kern w:val="2"/>
                <w:sz w:val="21"/>
                <w:szCs w:val="21"/>
                <w:lang w:eastAsia="zh-CN"/>
              </w:rPr>
            </w:pPr>
          </w:p>
        </w:tc>
        <w:tc>
          <w:tcPr>
            <w:tcW w:w="1014" w:type="dxa"/>
          </w:tcPr>
          <w:p w14:paraId="5998A452">
            <w:pPr>
              <w:widowControl w:val="0"/>
              <w:jc w:val="both"/>
              <w:rPr>
                <w:rFonts w:hint="eastAsia" w:ascii="宋体" w:hAnsi="宋体" w:eastAsia="宋体" w:cs="宋体"/>
                <w:kern w:val="2"/>
                <w:sz w:val="21"/>
                <w:szCs w:val="21"/>
                <w:lang w:eastAsia="zh-CN"/>
              </w:rPr>
            </w:pPr>
          </w:p>
        </w:tc>
      </w:tr>
      <w:tr w14:paraId="635A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877" w:type="dxa"/>
            <w:vMerge w:val="continue"/>
            <w:vAlign w:val="center"/>
          </w:tcPr>
          <w:p w14:paraId="06C9D496">
            <w:pPr>
              <w:widowControl w:val="0"/>
              <w:jc w:val="both"/>
              <w:rPr>
                <w:rFonts w:ascii="宋体" w:hAnsi="宋体" w:eastAsia="宋体" w:cs="宋体"/>
                <w:kern w:val="2"/>
                <w:sz w:val="21"/>
                <w:szCs w:val="21"/>
                <w:lang w:eastAsia="zh-CN"/>
              </w:rPr>
            </w:pPr>
          </w:p>
        </w:tc>
        <w:tc>
          <w:tcPr>
            <w:tcW w:w="1458" w:type="dxa"/>
            <w:vMerge w:val="continue"/>
            <w:vAlign w:val="center"/>
          </w:tcPr>
          <w:p w14:paraId="30CC9CD6">
            <w:pPr>
              <w:widowControl w:val="0"/>
              <w:jc w:val="both"/>
              <w:rPr>
                <w:rFonts w:ascii="宋体" w:hAnsi="宋体" w:eastAsia="宋体" w:cs="宋体"/>
                <w:kern w:val="2"/>
                <w:sz w:val="21"/>
                <w:szCs w:val="21"/>
                <w:lang w:eastAsia="zh-CN"/>
              </w:rPr>
            </w:pPr>
          </w:p>
        </w:tc>
        <w:tc>
          <w:tcPr>
            <w:tcW w:w="3098" w:type="dxa"/>
          </w:tcPr>
          <w:p w14:paraId="38287EC6">
            <w:pPr>
              <w:widowControl w:val="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7.5本招标文件未对家具具体颜色做出要求，实物颜色由中标人根据采购人现有家具颜色报样板给采购人选择确认再制作，否则造成损失由中标人全力承担。中标人中标后项目不转包，未经采购人同意不进行分包。</w:t>
            </w:r>
          </w:p>
        </w:tc>
        <w:tc>
          <w:tcPr>
            <w:tcW w:w="2891" w:type="dxa"/>
          </w:tcPr>
          <w:p w14:paraId="32E8CA7B">
            <w:pPr>
              <w:widowControl w:val="0"/>
              <w:jc w:val="both"/>
              <w:rPr>
                <w:rFonts w:hint="eastAsia" w:ascii="宋体" w:hAnsi="宋体" w:eastAsia="宋体" w:cs="宋体"/>
                <w:kern w:val="2"/>
                <w:sz w:val="21"/>
                <w:szCs w:val="21"/>
                <w:lang w:eastAsia="zh-CN"/>
              </w:rPr>
            </w:pPr>
          </w:p>
        </w:tc>
        <w:tc>
          <w:tcPr>
            <w:tcW w:w="1221" w:type="dxa"/>
          </w:tcPr>
          <w:p w14:paraId="286B016A">
            <w:pPr>
              <w:widowControl w:val="0"/>
              <w:jc w:val="both"/>
              <w:rPr>
                <w:rFonts w:hint="eastAsia" w:ascii="宋体" w:hAnsi="宋体" w:eastAsia="宋体" w:cs="宋体"/>
                <w:kern w:val="2"/>
                <w:sz w:val="21"/>
                <w:szCs w:val="21"/>
                <w:lang w:eastAsia="zh-CN"/>
              </w:rPr>
            </w:pPr>
          </w:p>
        </w:tc>
        <w:tc>
          <w:tcPr>
            <w:tcW w:w="1014" w:type="dxa"/>
          </w:tcPr>
          <w:p w14:paraId="4EC2D419">
            <w:pPr>
              <w:widowControl w:val="0"/>
              <w:jc w:val="both"/>
              <w:rPr>
                <w:rFonts w:hint="eastAsia" w:ascii="宋体" w:hAnsi="宋体" w:eastAsia="宋体" w:cs="宋体"/>
                <w:kern w:val="2"/>
                <w:sz w:val="21"/>
                <w:szCs w:val="21"/>
                <w:lang w:eastAsia="zh-CN"/>
              </w:rPr>
            </w:pPr>
          </w:p>
        </w:tc>
      </w:tr>
      <w:tr w14:paraId="66AE5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77" w:type="dxa"/>
            <w:vMerge w:val="continue"/>
            <w:vAlign w:val="center"/>
          </w:tcPr>
          <w:p w14:paraId="1A414DBE">
            <w:pPr>
              <w:widowControl w:val="0"/>
              <w:jc w:val="both"/>
              <w:rPr>
                <w:rFonts w:ascii="宋体" w:hAnsi="宋体" w:eastAsia="宋体" w:cs="宋体"/>
                <w:kern w:val="2"/>
                <w:sz w:val="21"/>
                <w:szCs w:val="21"/>
                <w:lang w:eastAsia="zh-CN"/>
              </w:rPr>
            </w:pPr>
          </w:p>
        </w:tc>
        <w:tc>
          <w:tcPr>
            <w:tcW w:w="1458" w:type="dxa"/>
            <w:vMerge w:val="continue"/>
            <w:vAlign w:val="center"/>
          </w:tcPr>
          <w:p w14:paraId="5C56F433">
            <w:pPr>
              <w:widowControl w:val="0"/>
              <w:jc w:val="both"/>
              <w:rPr>
                <w:rFonts w:ascii="宋体" w:hAnsi="宋体" w:eastAsia="宋体" w:cs="宋体"/>
                <w:kern w:val="2"/>
                <w:sz w:val="21"/>
                <w:szCs w:val="21"/>
                <w:lang w:eastAsia="zh-CN"/>
              </w:rPr>
            </w:pPr>
          </w:p>
        </w:tc>
        <w:tc>
          <w:tcPr>
            <w:tcW w:w="3098" w:type="dxa"/>
          </w:tcPr>
          <w:p w14:paraId="3D3DA7AE">
            <w:pPr>
              <w:widowControl w:val="0"/>
              <w:jc w:val="both"/>
              <w:rPr>
                <w:rFonts w:ascii="宋体" w:hAnsi="宋体" w:eastAsia="宋体" w:cs="宋体"/>
                <w:color w:val="000000"/>
                <w:kern w:val="2"/>
                <w:sz w:val="21"/>
                <w:szCs w:val="21"/>
                <w:lang w:eastAsia="zh-CN"/>
              </w:rPr>
            </w:pPr>
            <w:r>
              <w:rPr>
                <w:rFonts w:hint="eastAsia" w:ascii="宋体" w:hAnsi="宋体" w:eastAsia="宋体" w:cs="宋体"/>
                <w:b/>
                <w:bCs/>
                <w:color w:val="FF0000"/>
                <w:kern w:val="2"/>
                <w:sz w:val="21"/>
                <w:szCs w:val="21"/>
                <w:lang w:eastAsia="zh-CN"/>
              </w:rPr>
              <w:t>★7.6投标人应承诺所投产品符合国家强制性标准要求。（在《采购投标及履约承诺函》中承诺视为符合规定）未提供相关承诺将视为投标无效。</w:t>
            </w:r>
          </w:p>
        </w:tc>
        <w:tc>
          <w:tcPr>
            <w:tcW w:w="2891" w:type="dxa"/>
          </w:tcPr>
          <w:p w14:paraId="77B7FED6">
            <w:pPr>
              <w:widowControl w:val="0"/>
              <w:jc w:val="both"/>
              <w:rPr>
                <w:rFonts w:hint="eastAsia" w:ascii="宋体" w:hAnsi="宋体" w:eastAsia="宋体" w:cs="宋体"/>
                <w:b/>
                <w:bCs/>
                <w:color w:val="FF0000"/>
                <w:kern w:val="2"/>
                <w:sz w:val="21"/>
                <w:szCs w:val="21"/>
                <w:lang w:eastAsia="zh-CN"/>
              </w:rPr>
            </w:pPr>
          </w:p>
        </w:tc>
        <w:tc>
          <w:tcPr>
            <w:tcW w:w="1221" w:type="dxa"/>
          </w:tcPr>
          <w:p w14:paraId="348D28F2">
            <w:pPr>
              <w:widowControl w:val="0"/>
              <w:jc w:val="both"/>
              <w:rPr>
                <w:rFonts w:hint="eastAsia" w:ascii="宋体" w:hAnsi="宋体" w:eastAsia="宋体" w:cs="宋体"/>
                <w:b/>
                <w:bCs/>
                <w:color w:val="FF0000"/>
                <w:kern w:val="2"/>
                <w:sz w:val="21"/>
                <w:szCs w:val="21"/>
                <w:lang w:eastAsia="zh-CN"/>
              </w:rPr>
            </w:pPr>
          </w:p>
        </w:tc>
        <w:tc>
          <w:tcPr>
            <w:tcW w:w="1014" w:type="dxa"/>
          </w:tcPr>
          <w:p w14:paraId="7EC7EF6B">
            <w:pPr>
              <w:widowControl w:val="0"/>
              <w:jc w:val="both"/>
              <w:rPr>
                <w:rFonts w:hint="eastAsia" w:ascii="宋体" w:hAnsi="宋体" w:eastAsia="宋体" w:cs="宋体"/>
                <w:b/>
                <w:bCs/>
                <w:color w:val="FF0000"/>
                <w:kern w:val="2"/>
                <w:sz w:val="21"/>
                <w:szCs w:val="21"/>
                <w:lang w:eastAsia="zh-CN"/>
              </w:rPr>
            </w:pPr>
          </w:p>
        </w:tc>
      </w:tr>
    </w:tbl>
    <w:p w14:paraId="466DE55B">
      <w:pPr>
        <w:widowControl w:val="0"/>
        <w:ind w:firstLine="420" w:firstLineChars="200"/>
        <w:jc w:val="both"/>
        <w:rPr>
          <w:rFonts w:eastAsia="宋体"/>
          <w:bCs/>
          <w:kern w:val="2"/>
          <w:sz w:val="21"/>
          <w:szCs w:val="21"/>
          <w:lang w:eastAsia="zh-CN"/>
        </w:rPr>
      </w:pPr>
      <w:r>
        <w:rPr>
          <w:rFonts w:hint="eastAsia" w:eastAsia="宋体"/>
          <w:bCs/>
          <w:kern w:val="2"/>
          <w:sz w:val="21"/>
          <w:szCs w:val="21"/>
          <w:lang w:eastAsia="zh-CN"/>
        </w:rPr>
        <w:t>《商务要求偏离表》编制指引：</w:t>
      </w:r>
    </w:p>
    <w:p w14:paraId="24E74886">
      <w:pPr>
        <w:widowControl w:val="0"/>
        <w:ind w:firstLine="420" w:firstLineChars="200"/>
        <w:jc w:val="both"/>
        <w:rPr>
          <w:rFonts w:eastAsia="宋体"/>
          <w:bCs/>
          <w:kern w:val="2"/>
          <w:sz w:val="21"/>
          <w:szCs w:val="21"/>
          <w:lang w:eastAsia="zh-CN"/>
        </w:rPr>
      </w:pPr>
      <w:r>
        <w:rPr>
          <w:rFonts w:hint="eastAsia" w:eastAsia="宋体"/>
          <w:bCs/>
          <w:kern w:val="2"/>
          <w:sz w:val="21"/>
          <w:szCs w:val="21"/>
          <w:lang w:eastAsia="zh-CN"/>
        </w:rPr>
        <w:t>1、商务要求偏离表的序号、商务需求项、招标商务要求等栏目对应“用户需求书”中的“商务要求”章节相关内容。</w:t>
      </w:r>
    </w:p>
    <w:p w14:paraId="5D75FDE5">
      <w:pPr>
        <w:widowControl w:val="0"/>
        <w:ind w:firstLine="420" w:firstLineChars="200"/>
        <w:jc w:val="both"/>
        <w:rPr>
          <w:rFonts w:eastAsia="宋体"/>
          <w:bCs/>
          <w:kern w:val="2"/>
          <w:sz w:val="21"/>
          <w:szCs w:val="21"/>
          <w:lang w:eastAsia="zh-CN"/>
        </w:rPr>
      </w:pPr>
      <w:r>
        <w:rPr>
          <w:rFonts w:eastAsia="宋体"/>
          <w:bCs/>
          <w:kern w:val="2"/>
          <w:sz w:val="21"/>
          <w:szCs w:val="21"/>
          <w:lang w:eastAsia="zh-CN"/>
        </w:rPr>
        <w:t>2</w:t>
      </w:r>
      <w:r>
        <w:rPr>
          <w:rFonts w:hint="eastAsia" w:eastAsia="宋体"/>
          <w:bCs/>
          <w:kern w:val="2"/>
          <w:sz w:val="21"/>
          <w:szCs w:val="21"/>
          <w:lang w:eastAsia="zh-CN"/>
        </w:rPr>
        <w:t>、“投标商务响应”一栏必须一一对照“招标商务要求”，详细填写自身响应情况，而不能不合理照搬照抄招标文件的商务要求，以体现具体响应情况。</w:t>
      </w:r>
    </w:p>
    <w:p w14:paraId="56B6A2B4">
      <w:pPr>
        <w:widowControl w:val="0"/>
        <w:ind w:firstLine="420" w:firstLineChars="200"/>
        <w:jc w:val="both"/>
        <w:rPr>
          <w:rFonts w:eastAsia="宋体"/>
          <w:bCs/>
          <w:color w:val="FF0000"/>
          <w:kern w:val="2"/>
          <w:sz w:val="21"/>
          <w:szCs w:val="21"/>
          <w:lang w:eastAsia="zh-CN"/>
        </w:rPr>
      </w:pPr>
      <w:r>
        <w:rPr>
          <w:rFonts w:eastAsia="宋体"/>
          <w:bCs/>
          <w:kern w:val="2"/>
          <w:sz w:val="21"/>
          <w:szCs w:val="21"/>
          <w:lang w:eastAsia="zh-CN"/>
        </w:rPr>
        <w:t>3</w:t>
      </w:r>
      <w:r>
        <w:rPr>
          <w:rFonts w:hint="eastAsia" w:eastAsia="宋体"/>
          <w:bCs/>
          <w:kern w:val="2"/>
          <w:sz w:val="21"/>
          <w:szCs w:val="21"/>
          <w:lang w:eastAsia="zh-CN"/>
        </w:rPr>
        <w:t>、“偏离情况”一栏填写如实填写“正偏离”、“负偏离”或“无偏离”，其中：“正偏离”表示“投标响应优于招标商务要求”，“负偏离”表示“投标响应不满足招标商务要求”，“无偏离”表示“投标响应与招标商务要求一致”。</w:t>
      </w:r>
    </w:p>
    <w:p w14:paraId="7CCA2253">
      <w:pPr>
        <w:widowControl w:val="0"/>
        <w:jc w:val="both"/>
        <w:rPr>
          <w:rFonts w:eastAsia="宋体"/>
          <w:bCs/>
          <w:kern w:val="2"/>
          <w:sz w:val="21"/>
          <w:szCs w:val="21"/>
          <w:lang w:eastAsia="zh-CN"/>
        </w:rPr>
      </w:pPr>
      <w:r>
        <w:rPr>
          <w:rFonts w:hint="eastAsia" w:eastAsia="宋体"/>
          <w:bCs/>
          <w:kern w:val="2"/>
          <w:sz w:val="21"/>
          <w:szCs w:val="21"/>
          <w:lang w:eastAsia="zh-CN"/>
        </w:rPr>
        <w:t>“投标商务响应”对比“招标商务要求”存在响应不全（包括未响应整项招标商务要求或者未响应一项招标商务要求的部分内容），均视为“负偏离”。</w:t>
      </w:r>
    </w:p>
    <w:p w14:paraId="41E0BEC3">
      <w:pPr>
        <w:widowControl w:val="0"/>
        <w:ind w:firstLine="420" w:firstLineChars="200"/>
        <w:jc w:val="both"/>
        <w:rPr>
          <w:rFonts w:eastAsia="宋体"/>
          <w:bCs/>
          <w:kern w:val="2"/>
          <w:sz w:val="21"/>
          <w:szCs w:val="21"/>
          <w:lang w:eastAsia="zh-CN"/>
        </w:rPr>
      </w:pPr>
      <w:r>
        <w:rPr>
          <w:rFonts w:hint="eastAsia" w:eastAsia="宋体"/>
          <w:bCs/>
          <w:kern w:val="2"/>
          <w:sz w:val="21"/>
          <w:szCs w:val="21"/>
          <w:lang w:eastAsia="zh-CN"/>
        </w:rPr>
        <w:t>4、带★号条款为不可偏离条款，如未响应或出现负偏离的，将作投标无效处理。</w:t>
      </w:r>
    </w:p>
    <w:p w14:paraId="077666E2">
      <w:pPr>
        <w:widowControl w:val="0"/>
        <w:ind w:firstLine="0"/>
        <w:jc w:val="both"/>
        <w:rPr>
          <w:rFonts w:ascii="宋体" w:hAnsi="宋体" w:eastAsia="宋体" w:cs="宋体"/>
          <w:kern w:val="2"/>
          <w:szCs w:val="20"/>
          <w:lang w:eastAsia="zh-CN"/>
        </w:rPr>
      </w:pPr>
    </w:p>
    <w:p w14:paraId="02D8D520">
      <w:pPr>
        <w:widowControl w:val="0"/>
        <w:jc w:val="both"/>
        <w:rPr>
          <w:rFonts w:ascii="黑体" w:hAnsi="黑体" w:eastAsia="黑体" w:cs="黑体"/>
          <w:kern w:val="2"/>
          <w:szCs w:val="28"/>
          <w:lang w:eastAsia="zh-CN"/>
        </w:rPr>
      </w:pPr>
      <w:r>
        <w:rPr>
          <w:rFonts w:hint="eastAsia" w:ascii="黑体" w:hAnsi="黑体" w:eastAsia="黑体" w:cs="黑体"/>
          <w:kern w:val="2"/>
          <w:szCs w:val="28"/>
          <w:lang w:eastAsia="zh-CN"/>
        </w:rPr>
        <w:br w:type="page"/>
      </w:r>
    </w:p>
    <w:p w14:paraId="61CEB573">
      <w:pPr>
        <w:keepNext/>
        <w:keepLines/>
        <w:widowControl w:val="0"/>
        <w:spacing w:before="260" w:after="260" w:line="240" w:lineRule="auto"/>
        <w:jc w:val="left"/>
        <w:outlineLvl w:val="2"/>
        <w:rPr>
          <w:rFonts w:ascii="黑体" w:hAnsi="黑体" w:eastAsia="黑体" w:cs="黑体"/>
          <w:kern w:val="2"/>
          <w:szCs w:val="28"/>
          <w:lang w:eastAsia="zh-CN"/>
        </w:rPr>
      </w:pPr>
      <w:r>
        <w:rPr>
          <w:rFonts w:hint="eastAsia" w:ascii="黑体" w:hAnsi="黑体" w:eastAsia="黑体" w:cs="黑体"/>
          <w:kern w:val="2"/>
          <w:szCs w:val="28"/>
          <w:lang w:eastAsia="zh-CN"/>
        </w:rPr>
        <w:t>十一、技术保障措施（格式自定）</w:t>
      </w:r>
    </w:p>
    <w:p w14:paraId="3FD93450">
      <w:pPr>
        <w:widowControl w:val="0"/>
        <w:ind w:firstLine="0"/>
        <w:jc w:val="left"/>
        <w:rPr>
          <w:rFonts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43D25594">
      <w:pPr>
        <w:widowControl w:val="0"/>
        <w:ind w:firstLine="0"/>
        <w:jc w:val="left"/>
        <w:rPr>
          <w:rFonts w:ascii="宋体" w:hAnsi="宋体" w:eastAsia="宋体" w:cs="宋体"/>
          <w:b/>
          <w:bCs/>
          <w:color w:val="FF0000"/>
          <w:kern w:val="2"/>
          <w:sz w:val="22"/>
          <w:szCs w:val="18"/>
          <w:lang w:eastAsia="zh-CN"/>
        </w:rPr>
      </w:pPr>
    </w:p>
    <w:p w14:paraId="4D1AF35A">
      <w:pPr>
        <w:widowControl w:val="0"/>
        <w:ind w:firstLine="0"/>
        <w:jc w:val="left"/>
        <w:rPr>
          <w:rFonts w:ascii="宋体" w:hAnsi="宋体" w:eastAsia="宋体" w:cs="宋体"/>
          <w:b/>
          <w:bCs/>
          <w:color w:val="FF0000"/>
          <w:kern w:val="2"/>
          <w:sz w:val="22"/>
          <w:szCs w:val="18"/>
          <w:lang w:eastAsia="zh-CN"/>
        </w:rPr>
      </w:pPr>
    </w:p>
    <w:p w14:paraId="4B5A1B67">
      <w:pPr>
        <w:widowControl w:val="0"/>
        <w:ind w:firstLine="0"/>
        <w:jc w:val="left"/>
        <w:rPr>
          <w:rFonts w:ascii="宋体" w:hAnsi="宋体" w:eastAsia="宋体" w:cs="宋体"/>
          <w:b/>
          <w:bCs/>
          <w:color w:val="FF0000"/>
          <w:kern w:val="2"/>
          <w:sz w:val="22"/>
          <w:szCs w:val="18"/>
          <w:lang w:eastAsia="zh-CN"/>
        </w:rPr>
      </w:pPr>
    </w:p>
    <w:p w14:paraId="067F5A70">
      <w:pPr>
        <w:widowControl w:val="0"/>
        <w:ind w:firstLine="0"/>
        <w:jc w:val="left"/>
        <w:rPr>
          <w:rFonts w:ascii="宋体" w:hAnsi="宋体" w:eastAsia="宋体" w:cs="宋体"/>
          <w:kern w:val="2"/>
          <w:szCs w:val="20"/>
          <w:lang w:eastAsia="zh-CN"/>
        </w:rPr>
      </w:pPr>
    </w:p>
    <w:p w14:paraId="39FAB0D2">
      <w:pPr>
        <w:keepNext/>
        <w:keepLines/>
        <w:widowControl w:val="0"/>
        <w:spacing w:before="260" w:after="260" w:line="240" w:lineRule="auto"/>
        <w:jc w:val="left"/>
        <w:outlineLvl w:val="2"/>
        <w:rPr>
          <w:rFonts w:ascii="黑体" w:hAnsi="黑体" w:eastAsia="黑体" w:cs="黑体"/>
          <w:kern w:val="2"/>
          <w:szCs w:val="28"/>
          <w:lang w:eastAsia="zh-CN"/>
        </w:rPr>
      </w:pPr>
      <w:r>
        <w:rPr>
          <w:rFonts w:hint="eastAsia" w:ascii="黑体" w:hAnsi="黑体" w:eastAsia="黑体" w:cs="黑体"/>
          <w:kern w:val="2"/>
          <w:szCs w:val="28"/>
          <w:lang w:eastAsia="zh-CN"/>
        </w:rPr>
        <w:t>十二、项目实施方案（格式自定）</w:t>
      </w:r>
    </w:p>
    <w:p w14:paraId="31D20068">
      <w:pPr>
        <w:widowControl w:val="0"/>
        <w:ind w:firstLine="0"/>
        <w:jc w:val="left"/>
        <w:rPr>
          <w:rFonts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5AB09B66">
      <w:pPr>
        <w:widowControl w:val="0"/>
        <w:ind w:firstLine="0"/>
        <w:jc w:val="left"/>
        <w:rPr>
          <w:rFonts w:ascii="宋体" w:hAnsi="宋体" w:eastAsia="宋体" w:cs="宋体"/>
          <w:b/>
          <w:bCs/>
          <w:color w:val="FF0000"/>
          <w:kern w:val="2"/>
          <w:sz w:val="22"/>
          <w:szCs w:val="18"/>
          <w:lang w:eastAsia="zh-CN"/>
        </w:rPr>
      </w:pPr>
    </w:p>
    <w:p w14:paraId="06C409F9">
      <w:pPr>
        <w:widowControl w:val="0"/>
        <w:ind w:firstLine="0"/>
        <w:jc w:val="left"/>
        <w:rPr>
          <w:rFonts w:ascii="宋体" w:hAnsi="宋体" w:eastAsia="宋体" w:cs="宋体"/>
          <w:b/>
          <w:bCs/>
          <w:color w:val="FF0000"/>
          <w:kern w:val="2"/>
          <w:sz w:val="22"/>
          <w:szCs w:val="18"/>
          <w:lang w:eastAsia="zh-CN"/>
        </w:rPr>
      </w:pPr>
    </w:p>
    <w:p w14:paraId="6B9B4546">
      <w:pPr>
        <w:widowControl w:val="0"/>
        <w:ind w:firstLine="0"/>
        <w:jc w:val="left"/>
        <w:rPr>
          <w:rFonts w:ascii="宋体" w:hAnsi="宋体" w:eastAsia="宋体" w:cs="宋体"/>
          <w:b/>
          <w:bCs/>
          <w:color w:val="FF0000"/>
          <w:kern w:val="2"/>
          <w:sz w:val="22"/>
          <w:szCs w:val="18"/>
          <w:lang w:eastAsia="zh-CN"/>
        </w:rPr>
      </w:pPr>
    </w:p>
    <w:p w14:paraId="48FBDD57">
      <w:pPr>
        <w:widowControl w:val="0"/>
        <w:ind w:firstLine="0"/>
        <w:jc w:val="left"/>
        <w:rPr>
          <w:rFonts w:ascii="宋体" w:hAnsi="宋体" w:eastAsia="宋体" w:cs="宋体"/>
          <w:b/>
          <w:bCs/>
          <w:color w:val="FF0000"/>
          <w:kern w:val="2"/>
          <w:sz w:val="22"/>
          <w:szCs w:val="18"/>
          <w:lang w:eastAsia="zh-CN"/>
        </w:rPr>
      </w:pPr>
    </w:p>
    <w:p w14:paraId="76902E8C">
      <w:pPr>
        <w:widowControl w:val="0"/>
        <w:ind w:firstLine="0"/>
        <w:jc w:val="left"/>
        <w:rPr>
          <w:rFonts w:ascii="宋体" w:hAnsi="宋体" w:eastAsia="宋体" w:cs="宋体"/>
          <w:kern w:val="2"/>
          <w:szCs w:val="20"/>
          <w:lang w:eastAsia="zh-CN"/>
        </w:rPr>
      </w:pPr>
    </w:p>
    <w:p w14:paraId="2AFA0DA7">
      <w:pPr>
        <w:keepNext/>
        <w:keepLines/>
        <w:widowControl w:val="0"/>
        <w:spacing w:before="260" w:after="260" w:line="240" w:lineRule="auto"/>
        <w:jc w:val="left"/>
        <w:outlineLvl w:val="2"/>
        <w:rPr>
          <w:rFonts w:ascii="黑体" w:hAnsi="黑体" w:eastAsia="黑体" w:cs="黑体"/>
          <w:kern w:val="2"/>
          <w:szCs w:val="28"/>
          <w:lang w:eastAsia="zh-CN"/>
        </w:rPr>
      </w:pPr>
      <w:r>
        <w:rPr>
          <w:rFonts w:hint="eastAsia" w:ascii="黑体" w:hAnsi="黑体" w:eastAsia="黑体" w:cs="黑体"/>
          <w:kern w:val="2"/>
          <w:szCs w:val="28"/>
          <w:lang w:eastAsia="zh-CN"/>
        </w:rPr>
        <w:t>十三、投标人认证情况（格式自定）</w:t>
      </w:r>
    </w:p>
    <w:p w14:paraId="23C75768">
      <w:pPr>
        <w:widowControl w:val="0"/>
        <w:ind w:firstLine="0"/>
        <w:jc w:val="left"/>
        <w:rPr>
          <w:rFonts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59800908">
      <w:pPr>
        <w:widowControl w:val="0"/>
        <w:ind w:firstLine="0"/>
        <w:jc w:val="left"/>
        <w:rPr>
          <w:rFonts w:ascii="宋体" w:hAnsi="宋体" w:eastAsia="宋体" w:cs="宋体"/>
          <w:b/>
          <w:bCs/>
          <w:color w:val="FF0000"/>
          <w:kern w:val="2"/>
          <w:sz w:val="22"/>
          <w:szCs w:val="18"/>
          <w:lang w:eastAsia="zh-CN"/>
        </w:rPr>
      </w:pPr>
    </w:p>
    <w:p w14:paraId="3CF37B14">
      <w:pPr>
        <w:widowControl w:val="0"/>
        <w:ind w:firstLine="0"/>
        <w:jc w:val="left"/>
        <w:rPr>
          <w:rFonts w:ascii="宋体" w:hAnsi="宋体" w:eastAsia="宋体" w:cs="宋体"/>
          <w:b/>
          <w:bCs/>
          <w:color w:val="FF0000"/>
          <w:kern w:val="2"/>
          <w:sz w:val="22"/>
          <w:szCs w:val="18"/>
          <w:lang w:eastAsia="zh-CN"/>
        </w:rPr>
      </w:pPr>
    </w:p>
    <w:p w14:paraId="5F2CEA90">
      <w:pPr>
        <w:widowControl w:val="0"/>
        <w:ind w:firstLine="0"/>
        <w:jc w:val="left"/>
        <w:rPr>
          <w:rFonts w:ascii="宋体" w:hAnsi="宋体" w:eastAsia="宋体" w:cs="宋体"/>
          <w:b/>
          <w:bCs/>
          <w:color w:val="FF0000"/>
          <w:kern w:val="2"/>
          <w:sz w:val="22"/>
          <w:szCs w:val="18"/>
          <w:lang w:eastAsia="zh-CN"/>
        </w:rPr>
      </w:pPr>
    </w:p>
    <w:p w14:paraId="5B8CC67C">
      <w:pPr>
        <w:widowControl w:val="0"/>
        <w:ind w:firstLine="0"/>
        <w:jc w:val="left"/>
        <w:rPr>
          <w:rFonts w:ascii="宋体" w:hAnsi="宋体" w:eastAsia="宋体" w:cs="宋体"/>
          <w:b/>
          <w:bCs/>
          <w:color w:val="FF0000"/>
          <w:kern w:val="2"/>
          <w:sz w:val="22"/>
          <w:szCs w:val="18"/>
          <w:lang w:eastAsia="zh-CN"/>
        </w:rPr>
      </w:pPr>
    </w:p>
    <w:p w14:paraId="4B65C0E7">
      <w:pPr>
        <w:widowControl w:val="0"/>
        <w:ind w:firstLine="0"/>
        <w:jc w:val="left"/>
        <w:rPr>
          <w:rFonts w:ascii="宋体" w:hAnsi="宋体" w:eastAsia="宋体" w:cs="宋体"/>
          <w:b/>
          <w:bCs/>
          <w:color w:val="FF0000"/>
          <w:kern w:val="2"/>
          <w:sz w:val="22"/>
          <w:szCs w:val="18"/>
          <w:lang w:eastAsia="zh-CN"/>
        </w:rPr>
      </w:pPr>
    </w:p>
    <w:p w14:paraId="5738EAA6">
      <w:pPr>
        <w:widowControl w:val="0"/>
        <w:spacing w:before="60" w:beforeLines="25" w:after="60" w:afterLines="25"/>
        <w:ind w:firstLine="0"/>
        <w:jc w:val="left"/>
        <w:rPr>
          <w:rFonts w:ascii="宋体" w:hAnsi="宋体" w:eastAsia="宋体" w:cs="宋体"/>
          <w:kern w:val="2"/>
          <w:szCs w:val="20"/>
          <w:lang w:eastAsia="zh-CN"/>
        </w:rPr>
      </w:pPr>
    </w:p>
    <w:p w14:paraId="5F459D37">
      <w:pPr>
        <w:keepNext/>
        <w:keepLines/>
        <w:widowControl w:val="0"/>
        <w:spacing w:before="260" w:after="260" w:line="240" w:lineRule="auto"/>
        <w:jc w:val="left"/>
        <w:outlineLvl w:val="2"/>
        <w:rPr>
          <w:rFonts w:ascii="宋体" w:hAnsi="宋体" w:eastAsia="宋体" w:cs="宋体"/>
          <w:b/>
          <w:bCs/>
          <w:color w:val="FF0000"/>
          <w:kern w:val="2"/>
          <w:sz w:val="22"/>
          <w:szCs w:val="18"/>
          <w:lang w:eastAsia="zh-CN"/>
        </w:rPr>
      </w:pPr>
      <w:r>
        <w:rPr>
          <w:rFonts w:hint="eastAsia" w:ascii="黑体" w:hAnsi="黑体" w:eastAsia="黑体" w:cs="黑体"/>
          <w:kern w:val="2"/>
          <w:szCs w:val="28"/>
          <w:lang w:eastAsia="zh-CN"/>
        </w:rPr>
        <w:t>十四、投标人同类业绩</w:t>
      </w:r>
    </w:p>
    <w:tbl>
      <w:tblPr>
        <w:tblStyle w:val="4"/>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544"/>
        <w:gridCol w:w="2162"/>
        <w:gridCol w:w="925"/>
        <w:gridCol w:w="1081"/>
        <w:gridCol w:w="2378"/>
      </w:tblGrid>
      <w:tr w14:paraId="0C601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645" w:type="pct"/>
            <w:vAlign w:val="center"/>
          </w:tcPr>
          <w:p w14:paraId="4E4E5D38">
            <w:pPr>
              <w:widowControl w:val="0"/>
              <w:jc w:val="center"/>
              <w:rPr>
                <w:rFonts w:ascii="宋体" w:hAnsi="宋体" w:eastAsia="宋体"/>
                <w:kern w:val="2"/>
                <w:sz w:val="20"/>
                <w:szCs w:val="21"/>
                <w:lang w:eastAsia="zh-CN"/>
              </w:rPr>
            </w:pPr>
            <w:r>
              <w:rPr>
                <w:rFonts w:hint="eastAsia" w:ascii="宋体" w:hAnsi="宋体" w:eastAsia="宋体"/>
                <w:kern w:val="2"/>
                <w:sz w:val="20"/>
                <w:szCs w:val="21"/>
                <w:lang w:eastAsia="zh-CN"/>
              </w:rPr>
              <w:t>采购人</w:t>
            </w:r>
          </w:p>
        </w:tc>
        <w:tc>
          <w:tcPr>
            <w:tcW w:w="831" w:type="pct"/>
            <w:vAlign w:val="center"/>
          </w:tcPr>
          <w:p w14:paraId="0DF4EC0E">
            <w:pPr>
              <w:widowControl w:val="0"/>
              <w:jc w:val="center"/>
              <w:rPr>
                <w:rFonts w:ascii="宋体" w:hAnsi="宋体" w:eastAsia="宋体"/>
                <w:kern w:val="2"/>
                <w:sz w:val="20"/>
                <w:szCs w:val="21"/>
                <w:lang w:eastAsia="zh-CN"/>
              </w:rPr>
            </w:pPr>
            <w:r>
              <w:rPr>
                <w:rFonts w:hint="eastAsia" w:ascii="宋体" w:hAnsi="宋体" w:eastAsia="宋体"/>
                <w:kern w:val="2"/>
                <w:sz w:val="20"/>
                <w:szCs w:val="21"/>
                <w:lang w:eastAsia="zh-CN"/>
              </w:rPr>
              <w:t>项目名称</w:t>
            </w:r>
          </w:p>
        </w:tc>
        <w:tc>
          <w:tcPr>
            <w:tcW w:w="1164" w:type="pct"/>
            <w:vAlign w:val="center"/>
          </w:tcPr>
          <w:p w14:paraId="3765B367">
            <w:pPr>
              <w:widowControl w:val="0"/>
              <w:jc w:val="center"/>
              <w:rPr>
                <w:rFonts w:ascii="宋体" w:hAnsi="宋体" w:eastAsia="宋体"/>
                <w:kern w:val="2"/>
                <w:sz w:val="20"/>
                <w:szCs w:val="21"/>
                <w:lang w:eastAsia="zh-CN"/>
              </w:rPr>
            </w:pPr>
            <w:r>
              <w:rPr>
                <w:rFonts w:hint="eastAsia" w:ascii="宋体" w:hAnsi="宋体" w:eastAsia="宋体"/>
                <w:kern w:val="2"/>
                <w:sz w:val="20"/>
                <w:szCs w:val="21"/>
                <w:lang w:eastAsia="zh-CN"/>
              </w:rPr>
              <w:t>项目规模（金额）</w:t>
            </w:r>
          </w:p>
        </w:tc>
        <w:tc>
          <w:tcPr>
            <w:tcW w:w="498" w:type="pct"/>
            <w:vAlign w:val="center"/>
          </w:tcPr>
          <w:p w14:paraId="2F76A3E1">
            <w:pPr>
              <w:widowControl w:val="0"/>
              <w:jc w:val="center"/>
              <w:rPr>
                <w:rFonts w:ascii="宋体" w:hAnsi="宋体" w:eastAsia="宋体"/>
                <w:kern w:val="2"/>
                <w:sz w:val="20"/>
                <w:szCs w:val="21"/>
                <w:lang w:eastAsia="zh-CN"/>
              </w:rPr>
            </w:pPr>
            <w:r>
              <w:rPr>
                <w:rFonts w:hint="eastAsia" w:ascii="宋体" w:hAnsi="宋体" w:eastAsia="宋体"/>
                <w:kern w:val="2"/>
                <w:sz w:val="20"/>
                <w:szCs w:val="21"/>
                <w:lang w:eastAsia="zh-CN"/>
              </w:rPr>
              <w:t>合同签订日期</w:t>
            </w:r>
          </w:p>
        </w:tc>
        <w:tc>
          <w:tcPr>
            <w:tcW w:w="582" w:type="pct"/>
            <w:vAlign w:val="center"/>
          </w:tcPr>
          <w:p w14:paraId="0F39DBB3">
            <w:pPr>
              <w:widowControl w:val="0"/>
              <w:jc w:val="center"/>
              <w:rPr>
                <w:rFonts w:ascii="宋体" w:hAnsi="宋体" w:eastAsia="宋体"/>
                <w:kern w:val="2"/>
                <w:sz w:val="20"/>
                <w:szCs w:val="21"/>
                <w:lang w:eastAsia="zh-CN"/>
              </w:rPr>
            </w:pPr>
            <w:r>
              <w:rPr>
                <w:rFonts w:hint="eastAsia" w:ascii="宋体" w:hAnsi="宋体" w:eastAsia="宋体"/>
                <w:kern w:val="2"/>
                <w:sz w:val="20"/>
                <w:szCs w:val="21"/>
                <w:lang w:eastAsia="zh-CN"/>
              </w:rPr>
              <w:t>履约验收时间</w:t>
            </w:r>
          </w:p>
        </w:tc>
        <w:tc>
          <w:tcPr>
            <w:tcW w:w="1280" w:type="pct"/>
            <w:vAlign w:val="center"/>
          </w:tcPr>
          <w:p w14:paraId="25B5A23A">
            <w:pPr>
              <w:widowControl w:val="0"/>
              <w:jc w:val="center"/>
              <w:rPr>
                <w:rFonts w:ascii="宋体" w:hAnsi="宋体" w:eastAsia="宋体"/>
                <w:kern w:val="2"/>
                <w:sz w:val="20"/>
                <w:szCs w:val="21"/>
                <w:lang w:eastAsia="zh-CN"/>
              </w:rPr>
            </w:pPr>
            <w:r>
              <w:rPr>
                <w:rFonts w:hint="eastAsia" w:ascii="宋体" w:hAnsi="宋体" w:eastAsia="宋体"/>
                <w:kern w:val="2"/>
                <w:sz w:val="20"/>
                <w:szCs w:val="21"/>
                <w:lang w:eastAsia="zh-CN"/>
              </w:rPr>
              <w:t>完成质量情况（以履约验收报告为准）</w:t>
            </w:r>
          </w:p>
        </w:tc>
      </w:tr>
      <w:tr w14:paraId="3587E4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645" w:type="pct"/>
            <w:vAlign w:val="center"/>
          </w:tcPr>
          <w:p w14:paraId="4A9AF327">
            <w:pPr>
              <w:widowControl w:val="0"/>
              <w:ind w:firstLine="400" w:firstLineChars="200"/>
              <w:jc w:val="both"/>
              <w:rPr>
                <w:rFonts w:ascii="宋体" w:hAnsi="宋体" w:eastAsia="宋体"/>
                <w:kern w:val="2"/>
                <w:sz w:val="20"/>
                <w:szCs w:val="21"/>
                <w:lang w:eastAsia="zh-CN"/>
              </w:rPr>
            </w:pPr>
            <w:r>
              <w:rPr>
                <w:rFonts w:ascii="宋体" w:hAnsi="宋体" w:eastAsia="宋体"/>
                <w:kern w:val="2"/>
                <w:sz w:val="20"/>
                <w:szCs w:val="21"/>
                <w:lang w:eastAsia="zh-CN"/>
              </w:rPr>
              <w:t>……</w:t>
            </w:r>
          </w:p>
        </w:tc>
        <w:tc>
          <w:tcPr>
            <w:tcW w:w="831" w:type="pct"/>
            <w:vAlign w:val="center"/>
          </w:tcPr>
          <w:p w14:paraId="13CF6CDE">
            <w:pPr>
              <w:widowControl w:val="0"/>
              <w:ind w:firstLine="400" w:firstLineChars="200"/>
              <w:jc w:val="both"/>
              <w:rPr>
                <w:rFonts w:ascii="宋体" w:hAnsi="宋体" w:eastAsia="宋体"/>
                <w:kern w:val="2"/>
                <w:sz w:val="20"/>
                <w:szCs w:val="21"/>
                <w:lang w:eastAsia="zh-CN"/>
              </w:rPr>
            </w:pPr>
          </w:p>
        </w:tc>
        <w:tc>
          <w:tcPr>
            <w:tcW w:w="1164" w:type="pct"/>
            <w:vAlign w:val="center"/>
          </w:tcPr>
          <w:p w14:paraId="7F781805">
            <w:pPr>
              <w:widowControl w:val="0"/>
              <w:ind w:firstLine="400" w:firstLineChars="200"/>
              <w:jc w:val="both"/>
              <w:rPr>
                <w:rFonts w:ascii="宋体" w:hAnsi="宋体" w:eastAsia="宋体"/>
                <w:kern w:val="2"/>
                <w:sz w:val="20"/>
                <w:szCs w:val="21"/>
                <w:lang w:eastAsia="zh-CN"/>
              </w:rPr>
            </w:pPr>
          </w:p>
        </w:tc>
        <w:tc>
          <w:tcPr>
            <w:tcW w:w="498" w:type="pct"/>
            <w:vAlign w:val="center"/>
          </w:tcPr>
          <w:p w14:paraId="5BA1C4B5">
            <w:pPr>
              <w:widowControl w:val="0"/>
              <w:ind w:firstLine="400" w:firstLineChars="200"/>
              <w:jc w:val="both"/>
              <w:rPr>
                <w:rFonts w:ascii="宋体" w:hAnsi="宋体" w:eastAsia="宋体"/>
                <w:kern w:val="2"/>
                <w:sz w:val="20"/>
                <w:szCs w:val="21"/>
                <w:lang w:eastAsia="zh-CN"/>
              </w:rPr>
            </w:pPr>
          </w:p>
        </w:tc>
        <w:tc>
          <w:tcPr>
            <w:tcW w:w="582" w:type="pct"/>
            <w:vAlign w:val="center"/>
          </w:tcPr>
          <w:p w14:paraId="101E9AA0">
            <w:pPr>
              <w:widowControl w:val="0"/>
              <w:ind w:firstLine="400" w:firstLineChars="200"/>
              <w:jc w:val="both"/>
              <w:rPr>
                <w:rFonts w:ascii="宋体" w:hAnsi="宋体" w:eastAsia="宋体"/>
                <w:kern w:val="2"/>
                <w:sz w:val="20"/>
                <w:szCs w:val="21"/>
                <w:lang w:eastAsia="zh-CN"/>
              </w:rPr>
            </w:pPr>
          </w:p>
        </w:tc>
        <w:tc>
          <w:tcPr>
            <w:tcW w:w="1280" w:type="pct"/>
            <w:vAlign w:val="center"/>
          </w:tcPr>
          <w:p w14:paraId="6C308A2B">
            <w:pPr>
              <w:widowControl w:val="0"/>
              <w:ind w:firstLine="400" w:firstLineChars="200"/>
              <w:jc w:val="both"/>
              <w:rPr>
                <w:rFonts w:ascii="宋体" w:hAnsi="宋体" w:eastAsia="宋体"/>
                <w:kern w:val="2"/>
                <w:sz w:val="20"/>
                <w:szCs w:val="21"/>
                <w:lang w:eastAsia="zh-CN"/>
              </w:rPr>
            </w:pPr>
          </w:p>
        </w:tc>
      </w:tr>
      <w:tr w14:paraId="522E3D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645" w:type="pct"/>
            <w:vAlign w:val="center"/>
          </w:tcPr>
          <w:p w14:paraId="4908BCBE">
            <w:pPr>
              <w:widowControl w:val="0"/>
              <w:ind w:firstLine="400" w:firstLineChars="200"/>
              <w:jc w:val="both"/>
              <w:rPr>
                <w:rFonts w:ascii="宋体" w:hAnsi="宋体" w:eastAsia="宋体"/>
                <w:kern w:val="2"/>
                <w:sz w:val="20"/>
                <w:szCs w:val="21"/>
                <w:lang w:eastAsia="zh-CN"/>
              </w:rPr>
            </w:pPr>
          </w:p>
        </w:tc>
        <w:tc>
          <w:tcPr>
            <w:tcW w:w="831" w:type="pct"/>
            <w:vAlign w:val="center"/>
          </w:tcPr>
          <w:p w14:paraId="7047FD25">
            <w:pPr>
              <w:widowControl w:val="0"/>
              <w:ind w:firstLine="400" w:firstLineChars="200"/>
              <w:jc w:val="both"/>
              <w:rPr>
                <w:rFonts w:ascii="宋体" w:hAnsi="宋体" w:eastAsia="宋体"/>
                <w:kern w:val="2"/>
                <w:sz w:val="20"/>
                <w:szCs w:val="21"/>
                <w:lang w:eastAsia="zh-CN"/>
              </w:rPr>
            </w:pPr>
          </w:p>
        </w:tc>
        <w:tc>
          <w:tcPr>
            <w:tcW w:w="1164" w:type="pct"/>
            <w:vAlign w:val="center"/>
          </w:tcPr>
          <w:p w14:paraId="58D613C8">
            <w:pPr>
              <w:widowControl w:val="0"/>
              <w:ind w:firstLine="400" w:firstLineChars="200"/>
              <w:jc w:val="both"/>
              <w:rPr>
                <w:rFonts w:ascii="宋体" w:hAnsi="宋体" w:eastAsia="宋体"/>
                <w:kern w:val="2"/>
                <w:sz w:val="20"/>
                <w:szCs w:val="21"/>
                <w:lang w:eastAsia="zh-CN"/>
              </w:rPr>
            </w:pPr>
          </w:p>
        </w:tc>
        <w:tc>
          <w:tcPr>
            <w:tcW w:w="498" w:type="pct"/>
            <w:vAlign w:val="center"/>
          </w:tcPr>
          <w:p w14:paraId="4E22F1F6">
            <w:pPr>
              <w:widowControl w:val="0"/>
              <w:ind w:firstLine="400" w:firstLineChars="200"/>
              <w:jc w:val="both"/>
              <w:rPr>
                <w:rFonts w:ascii="宋体" w:hAnsi="宋体" w:eastAsia="宋体"/>
                <w:kern w:val="2"/>
                <w:sz w:val="20"/>
                <w:szCs w:val="21"/>
                <w:lang w:eastAsia="zh-CN"/>
              </w:rPr>
            </w:pPr>
          </w:p>
        </w:tc>
        <w:tc>
          <w:tcPr>
            <w:tcW w:w="582" w:type="pct"/>
            <w:vAlign w:val="center"/>
          </w:tcPr>
          <w:p w14:paraId="04FEF62B">
            <w:pPr>
              <w:widowControl w:val="0"/>
              <w:ind w:firstLine="400" w:firstLineChars="200"/>
              <w:jc w:val="both"/>
              <w:rPr>
                <w:rFonts w:ascii="宋体" w:hAnsi="宋体" w:eastAsia="宋体"/>
                <w:kern w:val="2"/>
                <w:sz w:val="20"/>
                <w:szCs w:val="21"/>
                <w:lang w:eastAsia="zh-CN"/>
              </w:rPr>
            </w:pPr>
          </w:p>
        </w:tc>
        <w:tc>
          <w:tcPr>
            <w:tcW w:w="1280" w:type="pct"/>
            <w:vAlign w:val="center"/>
          </w:tcPr>
          <w:p w14:paraId="14CC60E4">
            <w:pPr>
              <w:widowControl w:val="0"/>
              <w:ind w:firstLine="400" w:firstLineChars="200"/>
              <w:jc w:val="both"/>
              <w:rPr>
                <w:rFonts w:ascii="宋体" w:hAnsi="宋体" w:eastAsia="宋体"/>
                <w:kern w:val="2"/>
                <w:sz w:val="20"/>
                <w:szCs w:val="21"/>
                <w:lang w:eastAsia="zh-CN"/>
              </w:rPr>
            </w:pPr>
          </w:p>
        </w:tc>
      </w:tr>
      <w:tr w14:paraId="3E36A6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645" w:type="pct"/>
            <w:vAlign w:val="center"/>
          </w:tcPr>
          <w:p w14:paraId="5B5B5FCE">
            <w:pPr>
              <w:widowControl w:val="0"/>
              <w:ind w:firstLine="400" w:firstLineChars="200"/>
              <w:jc w:val="both"/>
              <w:rPr>
                <w:rFonts w:ascii="宋体" w:hAnsi="宋体" w:eastAsia="宋体"/>
                <w:kern w:val="2"/>
                <w:sz w:val="20"/>
                <w:szCs w:val="21"/>
                <w:lang w:eastAsia="zh-CN"/>
              </w:rPr>
            </w:pPr>
          </w:p>
        </w:tc>
        <w:tc>
          <w:tcPr>
            <w:tcW w:w="831" w:type="pct"/>
            <w:vAlign w:val="center"/>
          </w:tcPr>
          <w:p w14:paraId="2466D574">
            <w:pPr>
              <w:widowControl w:val="0"/>
              <w:ind w:firstLine="400" w:firstLineChars="200"/>
              <w:jc w:val="both"/>
              <w:rPr>
                <w:rFonts w:ascii="宋体" w:hAnsi="宋体" w:eastAsia="宋体"/>
                <w:kern w:val="2"/>
                <w:sz w:val="20"/>
                <w:szCs w:val="21"/>
                <w:lang w:eastAsia="zh-CN"/>
              </w:rPr>
            </w:pPr>
          </w:p>
        </w:tc>
        <w:tc>
          <w:tcPr>
            <w:tcW w:w="1164" w:type="pct"/>
            <w:vAlign w:val="center"/>
          </w:tcPr>
          <w:p w14:paraId="02C791B6">
            <w:pPr>
              <w:widowControl w:val="0"/>
              <w:ind w:firstLine="400" w:firstLineChars="200"/>
              <w:jc w:val="both"/>
              <w:rPr>
                <w:rFonts w:ascii="宋体" w:hAnsi="宋体" w:eastAsia="宋体"/>
                <w:kern w:val="2"/>
                <w:sz w:val="20"/>
                <w:szCs w:val="21"/>
                <w:lang w:eastAsia="zh-CN"/>
              </w:rPr>
            </w:pPr>
          </w:p>
        </w:tc>
        <w:tc>
          <w:tcPr>
            <w:tcW w:w="498" w:type="pct"/>
            <w:vAlign w:val="center"/>
          </w:tcPr>
          <w:p w14:paraId="3F8740CE">
            <w:pPr>
              <w:widowControl w:val="0"/>
              <w:ind w:firstLine="400" w:firstLineChars="200"/>
              <w:jc w:val="both"/>
              <w:rPr>
                <w:rFonts w:ascii="宋体" w:hAnsi="宋体" w:eastAsia="宋体"/>
                <w:kern w:val="2"/>
                <w:sz w:val="20"/>
                <w:szCs w:val="21"/>
                <w:lang w:eastAsia="zh-CN"/>
              </w:rPr>
            </w:pPr>
          </w:p>
        </w:tc>
        <w:tc>
          <w:tcPr>
            <w:tcW w:w="582" w:type="pct"/>
            <w:vAlign w:val="center"/>
          </w:tcPr>
          <w:p w14:paraId="5129DB91">
            <w:pPr>
              <w:widowControl w:val="0"/>
              <w:ind w:firstLine="400" w:firstLineChars="200"/>
              <w:jc w:val="both"/>
              <w:rPr>
                <w:rFonts w:ascii="宋体" w:hAnsi="宋体" w:eastAsia="宋体"/>
                <w:kern w:val="2"/>
                <w:sz w:val="20"/>
                <w:szCs w:val="21"/>
                <w:lang w:eastAsia="zh-CN"/>
              </w:rPr>
            </w:pPr>
          </w:p>
          <w:p w14:paraId="47F384EA">
            <w:pPr>
              <w:widowControl w:val="0"/>
              <w:jc w:val="both"/>
              <w:rPr>
                <w:rFonts w:eastAsia="宋体"/>
                <w:kern w:val="2"/>
                <w:sz w:val="21"/>
                <w:lang w:eastAsia="zh-CN"/>
              </w:rPr>
            </w:pPr>
          </w:p>
        </w:tc>
        <w:tc>
          <w:tcPr>
            <w:tcW w:w="1280" w:type="pct"/>
            <w:vAlign w:val="center"/>
          </w:tcPr>
          <w:p w14:paraId="34C6CC5A">
            <w:pPr>
              <w:widowControl w:val="0"/>
              <w:ind w:firstLine="400" w:firstLineChars="200"/>
              <w:jc w:val="both"/>
              <w:rPr>
                <w:rFonts w:ascii="宋体" w:hAnsi="宋体" w:eastAsia="宋体"/>
                <w:kern w:val="2"/>
                <w:sz w:val="20"/>
                <w:szCs w:val="21"/>
                <w:lang w:eastAsia="zh-CN"/>
              </w:rPr>
            </w:pPr>
          </w:p>
        </w:tc>
      </w:tr>
    </w:tbl>
    <w:p w14:paraId="445FF88A">
      <w:pPr>
        <w:keepNext/>
        <w:keepLines/>
        <w:widowControl w:val="0"/>
        <w:spacing w:before="260" w:after="260" w:line="240" w:lineRule="auto"/>
        <w:jc w:val="left"/>
        <w:outlineLvl w:val="2"/>
        <w:rPr>
          <w:rFonts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118FBC6C">
      <w:pPr>
        <w:widowControl w:val="0"/>
        <w:spacing w:before="60" w:beforeLines="25" w:after="60" w:afterLines="25"/>
        <w:ind w:firstLine="0"/>
        <w:jc w:val="left"/>
        <w:rPr>
          <w:rFonts w:ascii="宋体" w:hAnsi="宋体" w:eastAsia="宋体" w:cs="宋体"/>
          <w:kern w:val="2"/>
          <w:szCs w:val="20"/>
          <w:lang w:eastAsia="zh-CN"/>
        </w:rPr>
      </w:pPr>
    </w:p>
    <w:p w14:paraId="625A69D3">
      <w:pPr>
        <w:widowControl w:val="0"/>
        <w:jc w:val="both"/>
        <w:rPr>
          <w:rFonts w:ascii="黑体" w:hAnsi="黑体" w:eastAsia="黑体" w:cs="黑体"/>
          <w:kern w:val="2"/>
          <w:szCs w:val="28"/>
          <w:lang w:eastAsia="zh-CN"/>
        </w:rPr>
      </w:pPr>
      <w:r>
        <w:rPr>
          <w:rFonts w:hint="eastAsia" w:ascii="黑体" w:hAnsi="黑体" w:eastAsia="黑体" w:cs="黑体"/>
          <w:kern w:val="2"/>
          <w:szCs w:val="28"/>
          <w:lang w:eastAsia="zh-CN"/>
        </w:rPr>
        <w:br w:type="page"/>
      </w:r>
    </w:p>
    <w:p w14:paraId="3E825043">
      <w:pPr>
        <w:keepNext/>
        <w:keepLines/>
        <w:widowControl w:val="0"/>
        <w:spacing w:before="260" w:after="260" w:line="240" w:lineRule="auto"/>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十五、投标人认为需要加以说明的其他内容</w:t>
      </w:r>
    </w:p>
    <w:p w14:paraId="1F711019">
      <w:pPr>
        <w:widowControl/>
        <w:jc w:val="center"/>
        <w:rPr>
          <w:rFonts w:ascii="黑体" w:hAnsi="宋体" w:eastAsia="黑体"/>
          <w:szCs w:val="20"/>
          <w:lang w:eastAsia="zh-CN"/>
        </w:rPr>
      </w:pPr>
      <w:r>
        <w:rPr>
          <w:rFonts w:hint="eastAsia" w:ascii="黑体" w:hAnsi="宋体" w:eastAsia="黑体"/>
          <w:szCs w:val="20"/>
          <w:lang w:eastAsia="zh-CN"/>
        </w:rPr>
        <w:t>（一）采购违法行为风险知悉确认书</w:t>
      </w:r>
    </w:p>
    <w:p w14:paraId="5D297FFF">
      <w:pPr>
        <w:widowControl w:val="0"/>
        <w:spacing w:after="120" w:afterLines="50" w:line="360" w:lineRule="exact"/>
        <w:ind w:firstLine="422" w:firstLineChars="200"/>
        <w:jc w:val="both"/>
        <w:rPr>
          <w:rFonts w:ascii="宋体" w:hAnsi="宋体" w:eastAsia="宋体" w:cs="宋体"/>
          <w:b/>
          <w:bCs/>
          <w:kern w:val="2"/>
          <w:sz w:val="21"/>
          <w:szCs w:val="21"/>
          <w:lang w:eastAsia="zh-CN"/>
        </w:rPr>
      </w:pPr>
      <w:r>
        <w:rPr>
          <w:rFonts w:hint="eastAsia" w:ascii="宋体" w:hAnsi="宋体" w:eastAsia="宋体" w:cs="宋体"/>
          <w:b/>
          <w:bCs/>
          <w:kern w:val="2"/>
          <w:sz w:val="21"/>
          <w:szCs w:val="21"/>
          <w:lang w:eastAsia="zh-CN" w:bidi="ar"/>
        </w:rPr>
        <w:t>我单位在投标前已充分知悉以下情形为参与自行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8455"/>
      </w:tblGrid>
      <w:tr w14:paraId="39AE4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6F96853">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序号</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4EF30581">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b/>
                <w:bCs/>
                <w:kern w:val="2"/>
                <w:sz w:val="21"/>
                <w:szCs w:val="21"/>
                <w:lang w:eastAsia="zh-CN" w:bidi="ar"/>
              </w:rPr>
              <w:t>供应商参与投标禁止情形</w:t>
            </w:r>
          </w:p>
        </w:tc>
      </w:tr>
      <w:tr w14:paraId="5120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06B3513E">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28872126">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与其他投标供应商的法定代表人、主要经营负责人、投标授权代表人、项目负责人、主要技术人员为</w:t>
            </w:r>
            <w:r>
              <w:rPr>
                <w:rFonts w:hint="eastAsia" w:ascii="宋体" w:hAnsi="宋体" w:eastAsia="宋体" w:cs="宋体"/>
                <w:b/>
                <w:bCs/>
                <w:kern w:val="2"/>
                <w:sz w:val="21"/>
                <w:szCs w:val="21"/>
                <w:lang w:eastAsia="zh-CN" w:bidi="ar"/>
              </w:rPr>
              <w:t>同一人、属同一单位或者在同一单位缴纳社会保险</w:t>
            </w:r>
            <w:r>
              <w:rPr>
                <w:rFonts w:hint="eastAsia" w:ascii="宋体" w:hAnsi="宋体" w:eastAsia="宋体" w:cs="宋体"/>
                <w:kern w:val="2"/>
                <w:sz w:val="21"/>
                <w:szCs w:val="21"/>
                <w:lang w:eastAsia="zh-CN" w:bidi="ar"/>
              </w:rPr>
              <w:t>。</w:t>
            </w:r>
          </w:p>
        </w:tc>
      </w:tr>
      <w:tr w14:paraId="1104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316F4F0">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729A7BBC">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参与本项目采购活动时，与其他投标供应商存在单位负责人为</w:t>
            </w:r>
            <w:r>
              <w:rPr>
                <w:rFonts w:hint="eastAsia" w:ascii="宋体" w:hAnsi="宋体" w:eastAsia="宋体" w:cs="宋体"/>
                <w:b/>
                <w:bCs/>
                <w:kern w:val="2"/>
                <w:sz w:val="21"/>
                <w:szCs w:val="21"/>
                <w:lang w:eastAsia="zh-CN" w:bidi="ar"/>
              </w:rPr>
              <w:t>同一人或直接控股、管理关系</w:t>
            </w:r>
            <w:r>
              <w:rPr>
                <w:rFonts w:hint="eastAsia" w:ascii="宋体" w:hAnsi="宋体" w:eastAsia="宋体" w:cs="宋体"/>
                <w:kern w:val="2"/>
                <w:sz w:val="21"/>
                <w:szCs w:val="21"/>
                <w:lang w:eastAsia="zh-CN" w:bidi="ar"/>
              </w:rPr>
              <w:t>。</w:t>
            </w:r>
          </w:p>
        </w:tc>
      </w:tr>
      <w:tr w14:paraId="4A5F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0E837A2">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3</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757E2010">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与其他投标供应商的投标文件或部分投标文件</w:t>
            </w:r>
            <w:r>
              <w:rPr>
                <w:rFonts w:hint="eastAsia" w:ascii="宋体" w:hAnsi="宋体" w:eastAsia="宋体" w:cs="宋体"/>
                <w:b/>
                <w:bCs/>
                <w:kern w:val="2"/>
                <w:sz w:val="21"/>
                <w:szCs w:val="21"/>
                <w:lang w:eastAsia="zh-CN" w:bidi="ar"/>
              </w:rPr>
              <w:t>相互混装或存在非正常一致</w:t>
            </w:r>
            <w:r>
              <w:rPr>
                <w:rFonts w:hint="eastAsia" w:ascii="宋体" w:hAnsi="宋体" w:eastAsia="宋体" w:cs="宋体"/>
                <w:kern w:val="2"/>
                <w:sz w:val="21"/>
                <w:szCs w:val="21"/>
                <w:lang w:eastAsia="zh-CN" w:bidi="ar"/>
              </w:rPr>
              <w:t>。</w:t>
            </w:r>
          </w:p>
        </w:tc>
      </w:tr>
      <w:tr w14:paraId="6286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FECD9EC">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4</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5EF03CAE">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与其他投标供应商的投标文件由</w:t>
            </w:r>
            <w:r>
              <w:rPr>
                <w:rFonts w:hint="eastAsia" w:ascii="宋体" w:hAnsi="宋体" w:eastAsia="宋体" w:cs="宋体"/>
                <w:b/>
                <w:bCs/>
                <w:kern w:val="2"/>
                <w:sz w:val="21"/>
                <w:szCs w:val="21"/>
                <w:lang w:eastAsia="zh-CN" w:bidi="ar"/>
              </w:rPr>
              <w:t>同一单位或者同一人编制</w:t>
            </w:r>
            <w:r>
              <w:rPr>
                <w:rFonts w:hint="eastAsia" w:ascii="宋体" w:hAnsi="宋体" w:eastAsia="宋体" w:cs="宋体"/>
                <w:kern w:val="2"/>
                <w:sz w:val="21"/>
                <w:szCs w:val="21"/>
                <w:lang w:eastAsia="zh-CN" w:bidi="ar"/>
              </w:rPr>
              <w:t>，或者使用</w:t>
            </w:r>
            <w:r>
              <w:rPr>
                <w:rFonts w:hint="eastAsia" w:ascii="宋体" w:hAnsi="宋体" w:eastAsia="宋体" w:cs="宋体"/>
                <w:b/>
                <w:bCs/>
                <w:kern w:val="2"/>
                <w:sz w:val="21"/>
                <w:szCs w:val="21"/>
                <w:lang w:eastAsia="zh-CN" w:bidi="ar"/>
              </w:rPr>
              <w:t>同一设备编制</w:t>
            </w:r>
            <w:r>
              <w:rPr>
                <w:rFonts w:hint="eastAsia" w:ascii="宋体" w:hAnsi="宋体" w:eastAsia="宋体" w:cs="宋体"/>
                <w:kern w:val="2"/>
                <w:sz w:val="21"/>
                <w:szCs w:val="21"/>
                <w:lang w:eastAsia="zh-CN" w:bidi="ar"/>
              </w:rPr>
              <w:t>。</w:t>
            </w:r>
          </w:p>
        </w:tc>
      </w:tr>
      <w:tr w14:paraId="5ED47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DA6D5F6">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5</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4EEEA5E5">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提供</w:t>
            </w:r>
            <w:r>
              <w:rPr>
                <w:rFonts w:hint="eastAsia" w:ascii="宋体" w:hAnsi="宋体" w:eastAsia="宋体" w:cs="宋体"/>
                <w:b/>
                <w:bCs/>
                <w:kern w:val="2"/>
                <w:sz w:val="21"/>
                <w:szCs w:val="21"/>
                <w:lang w:eastAsia="zh-CN" w:bidi="ar"/>
              </w:rPr>
              <w:t>未经出具机构核实</w:t>
            </w:r>
            <w:r>
              <w:rPr>
                <w:rFonts w:hint="eastAsia" w:ascii="宋体" w:hAnsi="宋体" w:eastAsia="宋体" w:cs="宋体"/>
                <w:kern w:val="2"/>
                <w:sz w:val="21"/>
                <w:szCs w:val="21"/>
                <w:lang w:eastAsia="zh-CN" w:bidi="ar"/>
              </w:rPr>
              <w:t>的虚假的检验检测报告、业绩材料、社保缴纳证明、学历学位证书、职称认证证书等材料。</w:t>
            </w:r>
          </w:p>
        </w:tc>
      </w:tr>
      <w:tr w14:paraId="21737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FE3FC18">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6</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4E47F9CD">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擅自将投标密钥出借他人使用或未妥善保管。</w:t>
            </w:r>
          </w:p>
        </w:tc>
      </w:tr>
    </w:tbl>
    <w:p w14:paraId="6F68731F">
      <w:pPr>
        <w:widowControl w:val="0"/>
        <w:spacing w:before="120" w:beforeLines="50" w:line="380" w:lineRule="exact"/>
        <w:ind w:firstLine="422" w:firstLineChars="200"/>
        <w:jc w:val="both"/>
        <w:rPr>
          <w:rFonts w:ascii="宋体" w:hAnsi="宋体" w:eastAsia="宋体" w:cs="宋体"/>
          <w:b/>
          <w:kern w:val="2"/>
          <w:sz w:val="21"/>
          <w:szCs w:val="21"/>
          <w:lang w:eastAsia="zh-CN"/>
        </w:rPr>
      </w:pPr>
      <w:r>
        <w:rPr>
          <w:rFonts w:hint="eastAsia" w:ascii="宋体" w:hAnsi="宋体" w:eastAsia="宋体" w:cs="宋体"/>
          <w:b/>
          <w:kern w:val="2"/>
          <w:sz w:val="21"/>
          <w:szCs w:val="21"/>
          <w:lang w:eastAsia="zh-CN" w:bidi="ar"/>
        </w:rPr>
        <w:t>一、我单位已充分知悉“隐瞒真实情况，提供虚假资料”的法定情形，包括但不限于：</w:t>
      </w:r>
    </w:p>
    <w:p w14:paraId="58A9454B">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（一）通过转让或者租借等方式从其他单位获取资格或者资质证书投标的。</w:t>
      </w:r>
    </w:p>
    <w:p w14:paraId="2F3B2328">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（二）由其他单位或者其他单位负责人在投标供应商编制的投标文件上加盖印章或者签字的。</w:t>
      </w:r>
    </w:p>
    <w:p w14:paraId="25072852">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（三）项目负责人或者主要技术人员不是本单位人员的。</w:t>
      </w:r>
    </w:p>
    <w:p w14:paraId="1D38AD44">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（四）投标保证金不是从投标供应商基本账户转出的。</w:t>
      </w:r>
    </w:p>
    <w:p w14:paraId="08D76B8E">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（五）其他隐瞒真实情况、提供虚假资料的行为。</w:t>
      </w:r>
    </w:p>
    <w:p w14:paraId="72A7CF3C">
      <w:pPr>
        <w:widowControl w:val="0"/>
        <w:spacing w:line="380" w:lineRule="exact"/>
        <w:ind w:firstLine="422" w:firstLineChars="200"/>
        <w:jc w:val="both"/>
        <w:rPr>
          <w:rFonts w:ascii="宋体" w:hAnsi="宋体" w:eastAsia="宋体" w:cs="宋体"/>
          <w:b/>
          <w:kern w:val="2"/>
          <w:sz w:val="21"/>
          <w:szCs w:val="21"/>
          <w:lang w:eastAsia="zh-CN"/>
        </w:rPr>
      </w:pPr>
      <w:r>
        <w:rPr>
          <w:rFonts w:hint="eastAsia" w:ascii="宋体" w:hAnsi="宋体" w:eastAsia="宋体" w:cs="宋体"/>
          <w:b/>
          <w:kern w:val="2"/>
          <w:sz w:val="21"/>
          <w:szCs w:val="21"/>
          <w:lang w:eastAsia="zh-CN" w:bidi="ar"/>
        </w:rPr>
        <w:t>二、我单位已充分知悉“与其他采购参加人串通投标”的法定情形，包括但不限于：</w:t>
      </w:r>
    </w:p>
    <w:p w14:paraId="2A8A826C">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（一）投标供应商之间相互约定给予未中标的供应商利益补偿。</w:t>
      </w:r>
    </w:p>
    <w:p w14:paraId="71513BCE">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（二）不同投标供应商的法定代表人、主要经营负责人、项目投标授权代表人、项目负责人、主要技术人员为同一人、属同一单位或者在同一单位缴纳社会保险。</w:t>
      </w:r>
    </w:p>
    <w:p w14:paraId="510065C6">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（三）不同投标供应商的投标文件由同一单位或者同一人编制，或者由同一人分阶段参与编制的。</w:t>
      </w:r>
    </w:p>
    <w:p w14:paraId="00CF70CE">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（四）不同投标供应商的投标文件或部分投标文件相互混装。</w:t>
      </w:r>
    </w:p>
    <w:p w14:paraId="701FE7C6">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（五）不同投标供应商的投标文件内容存在非正常一致。</w:t>
      </w:r>
    </w:p>
    <w:p w14:paraId="14EEA0CF">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（六）由同一单位工作人员为两家以上（含两家）供应商进行同一项投标活动的。</w:t>
      </w:r>
    </w:p>
    <w:p w14:paraId="1754D7DF">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（七）不同投标人的投标报价呈规律性差异。</w:t>
      </w:r>
    </w:p>
    <w:p w14:paraId="4229BA99">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（八）不同投标人的投标保证金从同一单位或者个人的账户转出。</w:t>
      </w:r>
    </w:p>
    <w:p w14:paraId="5B1A35B7">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（九）主管部门依照法律、法规认定的其他情形。</w:t>
      </w:r>
    </w:p>
    <w:p w14:paraId="7BBC1641">
      <w:pPr>
        <w:widowControl w:val="0"/>
        <w:spacing w:line="340" w:lineRule="exact"/>
        <w:ind w:firstLine="422" w:firstLineChars="200"/>
        <w:jc w:val="both"/>
        <w:rPr>
          <w:rFonts w:ascii="宋体" w:hAnsi="宋体" w:eastAsia="宋体" w:cs="宋体"/>
          <w:b/>
          <w:kern w:val="2"/>
          <w:sz w:val="21"/>
          <w:szCs w:val="21"/>
          <w:lang w:eastAsia="zh-CN"/>
        </w:rPr>
      </w:pPr>
      <w:r>
        <w:rPr>
          <w:rFonts w:hint="eastAsia" w:ascii="宋体" w:hAnsi="宋体" w:eastAsia="宋体" w:cs="宋体"/>
          <w:b/>
          <w:kern w:val="2"/>
          <w:sz w:val="21"/>
          <w:szCs w:val="21"/>
          <w:lang w:eastAsia="zh-CN" w:bidi="ar"/>
        </w:rPr>
        <w:t>三、我单位已充分知悉下列情形存在法律风险，在投标前已对相关风险事项进行排查。</w:t>
      </w:r>
    </w:p>
    <w:p w14:paraId="4BDACFA6">
      <w:pPr>
        <w:widowControl w:val="0"/>
        <w:spacing w:line="340" w:lineRule="exact"/>
        <w:ind w:firstLine="420" w:firstLineChars="200"/>
        <w:jc w:val="both"/>
        <w:rPr>
          <w:rFonts w:ascii="宋体" w:hAnsi="宋体" w:eastAsia="宋体" w:cs="宋体"/>
          <w:b/>
          <w:kern w:val="2"/>
          <w:sz w:val="21"/>
          <w:szCs w:val="21"/>
          <w:lang w:eastAsia="zh-CN"/>
        </w:rPr>
      </w:pPr>
      <w:r>
        <w:rPr>
          <w:rFonts w:hint="eastAsia" w:ascii="宋体" w:hAnsi="宋体" w:eastAsia="宋体" w:cs="宋体"/>
          <w:kern w:val="2"/>
          <w:sz w:val="21"/>
          <w:szCs w:val="21"/>
          <w:lang w:eastAsia="zh-CN" w:bidi="ar"/>
        </w:rPr>
        <w:t>（一）对于从其他主体获取的投标资料，我单位应审慎核查，确保其真实性。</w:t>
      </w:r>
      <w:r>
        <w:rPr>
          <w:rFonts w:hint="eastAsia" w:ascii="宋体" w:hAnsi="宋体" w:eastAsia="宋体" w:cs="宋体"/>
          <w:b/>
          <w:kern w:val="2"/>
          <w:sz w:val="21"/>
          <w:szCs w:val="21"/>
          <w:lang w:eastAsia="zh-CN" w:bidi="ar"/>
        </w:rPr>
        <w:t>如主管部门查实投标文件中存在虚假资料的，无论相关资料是否由第三方或本公司员工提供，均不影响主管部门对供应商存在“隐瞒真实情况，提供虚假资料”违法行为的认定。</w:t>
      </w:r>
    </w:p>
    <w:p w14:paraId="3EC035E3">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（二）对于涉及国家机关出具的公文、证件、证明材料等文件，一旦涉嫌虚假，经查实，主管部门将依法从严处理，并移送有关部门追究法律责任；涉嫌犯罪的，移送司法机关处理。</w:t>
      </w:r>
    </w:p>
    <w:p w14:paraId="6D043CB1">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（三）我单位对投标电子密钥负有妥善保管、及时变更和续期等主体责任；使用电子密钥在</w:t>
      </w:r>
      <w:r>
        <w:rPr>
          <w:rFonts w:hint="eastAsia" w:eastAsia="宋体"/>
          <w:kern w:val="2"/>
          <w:sz w:val="21"/>
          <w:lang w:eastAsia="zh-CN" w:bidi="ar"/>
        </w:rPr>
        <w:t>深圳自行采购网站</w:t>
      </w:r>
      <w:r>
        <w:rPr>
          <w:rFonts w:hint="eastAsia" w:ascii="宋体" w:hAnsi="宋体" w:eastAsia="宋体" w:cs="宋体"/>
          <w:kern w:val="2"/>
          <w:sz w:val="21"/>
          <w:szCs w:val="21"/>
          <w:lang w:eastAsia="zh-CN" w:bidi="ar"/>
        </w:rPr>
        <w:t>进行的活动，均具有法律效力，须承担相应的法律后果。若</w:t>
      </w:r>
      <w:r>
        <w:rPr>
          <w:rFonts w:hint="eastAsia" w:ascii="宋体" w:hAnsi="宋体" w:eastAsia="宋体" w:cs="宋体"/>
          <w:b/>
          <w:bCs/>
          <w:kern w:val="2"/>
          <w:sz w:val="21"/>
          <w:szCs w:val="21"/>
          <w:lang w:eastAsia="zh-CN" w:bidi="ar"/>
        </w:rPr>
        <w:t>擅自将投标密钥出借他人使用所造成的法律后果，由我单位自行承担</w:t>
      </w:r>
      <w:r>
        <w:rPr>
          <w:rFonts w:hint="eastAsia" w:ascii="宋体" w:hAnsi="宋体" w:eastAsia="宋体" w:cs="宋体"/>
          <w:kern w:val="2"/>
          <w:sz w:val="21"/>
          <w:szCs w:val="21"/>
          <w:lang w:eastAsia="zh-CN" w:bidi="ar"/>
        </w:rPr>
        <w:t>。</w:t>
      </w:r>
    </w:p>
    <w:p w14:paraId="06738174">
      <w:pPr>
        <w:widowControl w:val="0"/>
        <w:spacing w:line="340" w:lineRule="exact"/>
        <w:ind w:firstLine="422" w:firstLineChars="200"/>
        <w:jc w:val="both"/>
        <w:rPr>
          <w:rFonts w:ascii="宋体" w:hAnsi="宋体" w:eastAsia="宋体" w:cs="宋体"/>
          <w:b/>
          <w:kern w:val="2"/>
          <w:sz w:val="21"/>
          <w:szCs w:val="21"/>
          <w:lang w:eastAsia="zh-CN"/>
        </w:rPr>
      </w:pPr>
      <w:r>
        <w:rPr>
          <w:rFonts w:hint="eastAsia" w:ascii="宋体" w:hAnsi="宋体" w:eastAsia="宋体" w:cs="宋体"/>
          <w:b/>
          <w:kern w:val="2"/>
          <w:sz w:val="21"/>
          <w:szCs w:val="21"/>
          <w:lang w:eastAsia="zh-CN" w:bidi="ar"/>
        </w:rPr>
        <w:t>四、我单位已充分知悉政府采购违法、违规行为的法律后果。</w:t>
      </w:r>
    </w:p>
    <w:p w14:paraId="2680ABCC">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53D4860F">
      <w:pPr>
        <w:widowControl w:val="0"/>
        <w:spacing w:line="340" w:lineRule="exact"/>
        <w:ind w:firstLine="420" w:firstLineChars="200"/>
        <w:jc w:val="both"/>
        <w:rPr>
          <w:rFonts w:ascii="宋体" w:hAnsi="宋体" w:eastAsia="宋体" w:cs="宋体"/>
          <w:kern w:val="2"/>
          <w:sz w:val="21"/>
          <w:szCs w:val="21"/>
          <w:highlight w:val="yellow"/>
          <w:lang w:eastAsia="zh-CN"/>
        </w:rPr>
      </w:pPr>
      <w:r>
        <w:rPr>
          <w:rFonts w:hint="eastAsia" w:ascii="宋体" w:hAnsi="宋体" w:eastAsia="宋体" w:cs="宋体"/>
          <w:kern w:val="2"/>
          <w:sz w:val="21"/>
          <w:szCs w:val="21"/>
          <w:highlight w:val="yellow"/>
          <w:lang w:eastAsia="zh-CN" w:bidi="ar"/>
        </w:rPr>
        <w:t>以下文字请投标供应商抄写并确认：“我单位已仔细阅读《采购违法行为风险知悉确认书》，充分知悉违法行为的法律后果，并承诺将严谨、诚信、依法依规参与采购活动”。</w:t>
      </w:r>
    </w:p>
    <w:tbl>
      <w:tblPr>
        <w:tblStyle w:val="10"/>
        <w:tblW w:w="5000" w:type="pct"/>
        <w:tblInd w:w="0" w:type="dxa"/>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9289"/>
      </w:tblGrid>
      <w:tr w14:paraId="02D7CAAF">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shd w:val="clear" w:color="auto" w:fill="auto"/>
          </w:tcPr>
          <w:p w14:paraId="490B99FF">
            <w:pPr>
              <w:widowControl w:val="0"/>
              <w:autoSpaceDE w:val="0"/>
              <w:autoSpaceDN w:val="0"/>
              <w:spacing w:line="340" w:lineRule="exact"/>
              <w:ind w:firstLine="1866"/>
              <w:jc w:val="both"/>
              <w:rPr>
                <w:rFonts w:ascii="宋体" w:hAnsi="宋体" w:eastAsia="宋体" w:cs="宋体"/>
                <w:spacing w:val="-4"/>
                <w:sz w:val="21"/>
                <w:szCs w:val="21"/>
                <w:lang w:eastAsia="zh-CN"/>
              </w:rPr>
            </w:pPr>
          </w:p>
        </w:tc>
      </w:tr>
      <w:tr w14:paraId="23B26FC0">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shd w:val="clear" w:color="auto" w:fill="auto"/>
          </w:tcPr>
          <w:p w14:paraId="5FCACF1C">
            <w:pPr>
              <w:widowControl w:val="0"/>
              <w:autoSpaceDE w:val="0"/>
              <w:autoSpaceDN w:val="0"/>
              <w:spacing w:line="340" w:lineRule="exact"/>
              <w:ind w:firstLine="1866"/>
              <w:jc w:val="both"/>
              <w:rPr>
                <w:rFonts w:ascii="宋体" w:hAnsi="宋体" w:eastAsia="宋体" w:cs="宋体"/>
                <w:spacing w:val="-4"/>
                <w:sz w:val="21"/>
                <w:szCs w:val="21"/>
                <w:lang w:eastAsia="zh-CN"/>
              </w:rPr>
            </w:pPr>
          </w:p>
        </w:tc>
      </w:tr>
      <w:tr w14:paraId="59B31EE5">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shd w:val="clear" w:color="auto" w:fill="auto"/>
          </w:tcPr>
          <w:p w14:paraId="2578CAB9">
            <w:pPr>
              <w:widowControl w:val="0"/>
              <w:autoSpaceDE w:val="0"/>
              <w:autoSpaceDN w:val="0"/>
              <w:spacing w:line="340" w:lineRule="exact"/>
              <w:ind w:firstLine="1866"/>
              <w:jc w:val="both"/>
              <w:rPr>
                <w:rFonts w:ascii="宋体" w:hAnsi="宋体" w:eastAsia="宋体" w:cs="宋体"/>
                <w:spacing w:val="-4"/>
                <w:sz w:val="21"/>
                <w:szCs w:val="21"/>
                <w:lang w:eastAsia="zh-CN"/>
              </w:rPr>
            </w:pPr>
          </w:p>
        </w:tc>
      </w:tr>
      <w:tr w14:paraId="4F79770E">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shd w:val="clear" w:color="auto" w:fill="auto"/>
          </w:tcPr>
          <w:p w14:paraId="760BF930">
            <w:pPr>
              <w:widowControl w:val="0"/>
              <w:autoSpaceDE w:val="0"/>
              <w:autoSpaceDN w:val="0"/>
              <w:spacing w:line="340" w:lineRule="exact"/>
              <w:ind w:firstLine="1866"/>
              <w:jc w:val="both"/>
              <w:rPr>
                <w:rFonts w:ascii="宋体" w:hAnsi="宋体" w:eastAsia="宋体" w:cs="宋体"/>
                <w:spacing w:val="-4"/>
                <w:sz w:val="21"/>
                <w:szCs w:val="21"/>
                <w:lang w:eastAsia="zh-CN"/>
              </w:rPr>
            </w:pPr>
          </w:p>
        </w:tc>
      </w:tr>
    </w:tbl>
    <w:p w14:paraId="082E47F6">
      <w:pPr>
        <w:widowControl/>
        <w:wordWrap w:val="0"/>
        <w:autoSpaceDE w:val="0"/>
        <w:autoSpaceDN w:val="0"/>
        <w:spacing w:line="340" w:lineRule="exact"/>
        <w:ind w:right="808" w:firstLine="404" w:firstLineChars="200"/>
        <w:jc w:val="right"/>
        <w:rPr>
          <w:rFonts w:ascii="宋体" w:hAnsi="宋体" w:eastAsia="宋体" w:cs="宋体"/>
          <w:spacing w:val="-4"/>
          <w:sz w:val="21"/>
          <w:szCs w:val="21"/>
          <w:lang w:eastAsia="zh-CN"/>
        </w:rPr>
      </w:pPr>
    </w:p>
    <w:p w14:paraId="62413A73">
      <w:pPr>
        <w:widowControl/>
        <w:wordWrap w:val="0"/>
        <w:autoSpaceDE w:val="0"/>
        <w:autoSpaceDN w:val="0"/>
        <w:spacing w:line="340" w:lineRule="exact"/>
        <w:ind w:right="808" w:firstLine="404" w:firstLineChars="200"/>
        <w:jc w:val="right"/>
        <w:rPr>
          <w:rFonts w:ascii="宋体" w:hAnsi="宋体" w:eastAsia="宋体" w:cs="宋体"/>
          <w:spacing w:val="-4"/>
          <w:sz w:val="21"/>
          <w:szCs w:val="21"/>
          <w:u w:val="single"/>
          <w:lang w:eastAsia="zh-CN"/>
        </w:rPr>
      </w:pPr>
      <w:r>
        <w:rPr>
          <w:rFonts w:hint="eastAsia" w:ascii="宋体" w:hAnsi="宋体" w:eastAsia="宋体" w:cs="宋体"/>
          <w:spacing w:val="-4"/>
          <w:sz w:val="21"/>
          <w:szCs w:val="21"/>
          <w:lang w:eastAsia="zh-CN" w:bidi="ar"/>
        </w:rPr>
        <w:t>单位负责人签名：</w:t>
      </w:r>
      <w:r>
        <w:rPr>
          <w:rFonts w:hint="eastAsia" w:ascii="宋体" w:hAnsi="宋体" w:eastAsia="宋体" w:cs="宋体"/>
          <w:spacing w:val="-4"/>
          <w:sz w:val="21"/>
          <w:szCs w:val="21"/>
          <w:u w:val="single"/>
          <w:lang w:eastAsia="zh-CN" w:bidi="ar"/>
        </w:rPr>
        <w:t xml:space="preserve">              </w:t>
      </w:r>
    </w:p>
    <w:p w14:paraId="1F28AECD">
      <w:pPr>
        <w:widowControl/>
        <w:wordWrap w:val="0"/>
        <w:autoSpaceDE w:val="0"/>
        <w:autoSpaceDN w:val="0"/>
        <w:spacing w:line="340" w:lineRule="exact"/>
        <w:ind w:right="808" w:firstLine="404" w:firstLineChars="200"/>
        <w:jc w:val="center"/>
        <w:rPr>
          <w:rFonts w:ascii="宋体" w:hAnsi="宋体" w:eastAsia="宋体" w:cs="宋体"/>
          <w:spacing w:val="-4"/>
          <w:sz w:val="21"/>
          <w:szCs w:val="21"/>
          <w:u w:val="single"/>
          <w:lang w:eastAsia="zh-CN"/>
        </w:rPr>
      </w:pPr>
      <w:r>
        <w:rPr>
          <w:rFonts w:hint="eastAsia" w:ascii="宋体" w:hAnsi="宋体" w:eastAsia="宋体" w:cs="宋体"/>
          <w:spacing w:val="-4"/>
          <w:sz w:val="21"/>
          <w:szCs w:val="21"/>
          <w:lang w:eastAsia="zh-CN" w:bidi="ar"/>
        </w:rPr>
        <w:t xml:space="preserve">                                 （加盖公章）</w:t>
      </w:r>
    </w:p>
    <w:p w14:paraId="5E68BEA8">
      <w:pPr>
        <w:widowControl/>
        <w:wordWrap w:val="0"/>
        <w:autoSpaceDE w:val="0"/>
        <w:autoSpaceDN w:val="0"/>
        <w:spacing w:line="340" w:lineRule="exact"/>
        <w:ind w:right="808" w:firstLine="404" w:firstLineChars="200"/>
        <w:jc w:val="right"/>
        <w:rPr>
          <w:rFonts w:ascii="宋体" w:hAnsi="宋体" w:eastAsia="宋体" w:cs="宋体"/>
          <w:spacing w:val="-4"/>
          <w:sz w:val="21"/>
          <w:szCs w:val="21"/>
          <w:u w:val="single"/>
          <w:lang w:eastAsia="zh-CN"/>
        </w:rPr>
      </w:pPr>
      <w:r>
        <w:rPr>
          <w:rFonts w:hint="eastAsia" w:ascii="宋体" w:hAnsi="宋体" w:eastAsia="宋体" w:cs="宋体"/>
          <w:spacing w:val="-4"/>
          <w:sz w:val="21"/>
          <w:szCs w:val="21"/>
          <w:lang w:eastAsia="zh-CN" w:bidi="ar"/>
        </w:rPr>
        <w:t xml:space="preserve">     日期：</w:t>
      </w:r>
      <w:r>
        <w:rPr>
          <w:rFonts w:hint="eastAsia" w:ascii="宋体" w:hAnsi="宋体" w:eastAsia="宋体" w:cs="宋体"/>
          <w:spacing w:val="-4"/>
          <w:sz w:val="21"/>
          <w:szCs w:val="21"/>
          <w:u w:val="single"/>
          <w:lang w:eastAsia="zh-CN" w:bidi="ar"/>
        </w:rPr>
        <w:t xml:space="preserve">              </w:t>
      </w:r>
    </w:p>
    <w:p w14:paraId="5CEFDCAA">
      <w:pPr>
        <w:widowControl/>
        <w:autoSpaceDE w:val="0"/>
        <w:autoSpaceDN w:val="0"/>
        <w:spacing w:line="340" w:lineRule="exact"/>
        <w:ind w:firstLine="406" w:firstLineChars="200"/>
        <w:jc w:val="left"/>
        <w:rPr>
          <w:rFonts w:ascii="宋体" w:hAnsi="宋体" w:eastAsia="宋体" w:cs="宋体"/>
          <w:b/>
          <w:bCs/>
          <w:color w:val="FF0000"/>
          <w:spacing w:val="-4"/>
          <w:sz w:val="21"/>
          <w:szCs w:val="21"/>
          <w:lang w:eastAsia="zh-CN"/>
        </w:rPr>
      </w:pPr>
    </w:p>
    <w:p w14:paraId="5019F197">
      <w:pPr>
        <w:widowControl/>
        <w:autoSpaceDE w:val="0"/>
        <w:autoSpaceDN w:val="0"/>
        <w:spacing w:line="340" w:lineRule="exact"/>
        <w:jc w:val="left"/>
        <w:rPr>
          <w:rFonts w:ascii="宋体" w:hAnsi="宋体" w:eastAsia="宋体" w:cs="宋体"/>
          <w:b/>
          <w:bCs/>
          <w:color w:val="FF0000"/>
          <w:spacing w:val="-4"/>
          <w:sz w:val="21"/>
          <w:szCs w:val="21"/>
          <w:lang w:eastAsia="zh-CN"/>
        </w:rPr>
      </w:pPr>
      <w:r>
        <w:rPr>
          <w:rFonts w:hint="eastAsia" w:ascii="宋体" w:hAnsi="宋体" w:eastAsia="宋体" w:cs="宋体"/>
          <w:b/>
          <w:bCs/>
          <w:color w:val="FF0000"/>
          <w:spacing w:val="-4"/>
          <w:sz w:val="21"/>
          <w:szCs w:val="21"/>
          <w:lang w:eastAsia="zh-CN" w:bidi="ar"/>
        </w:rPr>
        <w:t>注：1.《采购违法行为风险知悉确认书》需由投标供应商负责人</w:t>
      </w:r>
      <w:r>
        <w:rPr>
          <w:rFonts w:hint="eastAsia" w:ascii="宋体" w:hAnsi="宋体" w:eastAsia="宋体" w:cs="宋体"/>
          <w:b/>
          <w:bCs/>
          <w:color w:val="FF0000"/>
          <w:spacing w:val="-4"/>
          <w:sz w:val="21"/>
          <w:szCs w:val="21"/>
          <w:highlight w:val="yellow"/>
          <w:lang w:eastAsia="zh-CN" w:bidi="ar"/>
        </w:rPr>
        <w:t>签字并加盖单位公章</w:t>
      </w:r>
      <w:r>
        <w:rPr>
          <w:rFonts w:hint="eastAsia" w:ascii="宋体" w:hAnsi="宋体" w:eastAsia="宋体" w:cs="宋体"/>
          <w:b/>
          <w:bCs/>
          <w:color w:val="FF0000"/>
          <w:spacing w:val="-4"/>
          <w:sz w:val="21"/>
          <w:szCs w:val="21"/>
          <w:lang w:eastAsia="zh-CN" w:bidi="ar"/>
        </w:rPr>
        <w:t>后，扫描上传至投标文件一并提交。</w:t>
      </w:r>
    </w:p>
    <w:p w14:paraId="5F369825">
      <w:pPr>
        <w:widowControl w:val="0"/>
        <w:spacing w:beforeAutospacing="0" w:afterAutospacing="0"/>
        <w:jc w:val="both"/>
        <w:rPr>
          <w:rFonts w:eastAsia="宋体"/>
          <w:color w:val="FF0000"/>
          <w:lang w:eastAsia="zh-CN" w:bidi="ar"/>
        </w:rPr>
      </w:pPr>
      <w:r>
        <w:rPr>
          <w:rFonts w:hint="eastAsia" w:ascii="宋体" w:hAnsi="宋体" w:eastAsia="宋体" w:cs="宋体"/>
          <w:b/>
          <w:bCs/>
          <w:color w:val="FF0000"/>
          <w:spacing w:val="-4"/>
          <w:sz w:val="21"/>
          <w:szCs w:val="21"/>
          <w:lang w:eastAsia="zh-CN" w:bidi="ar"/>
        </w:rPr>
        <w:t>2.根据《深圳市财政局关于在采购文件及深圳政府采购智慧平台增设供应商投标特别警示条款等事宜的通知》（深财购〔2025〕7号）的要求，《采购违法行为风险知悉确认书》用于对供应商违法行为的提醒，不作为供应商资格性审查及符合性审查条件。</w:t>
      </w:r>
    </w:p>
    <w:p w14:paraId="54034A36">
      <w:pPr>
        <w:widowControl/>
        <w:autoSpaceDE w:val="0"/>
        <w:autoSpaceDN w:val="0"/>
        <w:spacing w:line="400" w:lineRule="exact"/>
        <w:ind w:firstLine="404" w:firstLineChars="200"/>
        <w:jc w:val="left"/>
        <w:rPr>
          <w:rFonts w:ascii="宋体" w:hAnsi="宋体" w:eastAsia="宋体" w:cs="宋体"/>
          <w:color w:val="FF0000"/>
          <w:spacing w:val="-4"/>
          <w:sz w:val="21"/>
          <w:szCs w:val="21"/>
          <w:lang w:eastAsia="zh-CN"/>
        </w:rPr>
      </w:pPr>
    </w:p>
    <w:p w14:paraId="36FDDDB7">
      <w:pPr>
        <w:widowControl/>
        <w:autoSpaceDE w:val="0"/>
        <w:autoSpaceDN w:val="0"/>
        <w:spacing w:line="400" w:lineRule="exact"/>
        <w:ind w:right="1414" w:firstLine="480" w:firstLineChars="200"/>
        <w:jc w:val="right"/>
        <w:rPr>
          <w:rFonts w:eastAsia="宋体"/>
          <w:lang w:eastAsia="zh-CN"/>
        </w:rPr>
      </w:pPr>
    </w:p>
    <w:p w14:paraId="6AB4C178">
      <w:pPr>
        <w:widowControl w:val="0"/>
        <w:jc w:val="both"/>
        <w:rPr>
          <w:rFonts w:ascii="黑体" w:eastAsia="黑体" w:cs="黑体"/>
          <w:kern w:val="2"/>
          <w:szCs w:val="20"/>
          <w:lang w:eastAsia="zh-CN" w:bidi="ar"/>
        </w:rPr>
      </w:pPr>
      <w:r>
        <w:rPr>
          <w:rFonts w:hint="eastAsia" w:ascii="黑体" w:eastAsia="黑体" w:cs="黑体"/>
          <w:kern w:val="2"/>
          <w:szCs w:val="20"/>
          <w:lang w:eastAsia="zh-CN" w:bidi="ar"/>
        </w:rPr>
        <w:br w:type="page"/>
      </w:r>
    </w:p>
    <w:p w14:paraId="755ED561">
      <w:pPr>
        <w:widowControl w:val="0"/>
        <w:jc w:val="center"/>
        <w:rPr>
          <w:rFonts w:ascii="黑体" w:eastAsia="黑体" w:cs="黑体"/>
          <w:kern w:val="2"/>
          <w:szCs w:val="20"/>
          <w:lang w:eastAsia="zh-CN"/>
        </w:rPr>
      </w:pPr>
      <w:r>
        <w:rPr>
          <w:rFonts w:hint="eastAsia" w:ascii="黑体" w:eastAsia="黑体" w:cs="黑体"/>
          <w:kern w:val="2"/>
          <w:szCs w:val="20"/>
          <w:lang w:eastAsia="zh-CN" w:bidi="ar"/>
        </w:rPr>
        <w:t>（二）订单融资情况</w:t>
      </w:r>
    </w:p>
    <w:p w14:paraId="6AA01A7F">
      <w:pPr>
        <w:widowControl w:val="0"/>
        <w:ind w:firstLine="422" w:firstLineChars="200"/>
        <w:jc w:val="both"/>
        <w:rPr>
          <w:rFonts w:ascii="宋体" w:hAnsi="宋体" w:eastAsia="宋体" w:cs="宋体"/>
          <w:b/>
          <w:bCs/>
          <w:kern w:val="2"/>
          <w:sz w:val="21"/>
          <w:lang w:eastAsia="zh-CN"/>
        </w:rPr>
      </w:pPr>
      <w:r>
        <w:rPr>
          <w:rFonts w:hint="eastAsia" w:ascii="宋体" w:hAnsi="宋体" w:eastAsia="宋体" w:cs="宋体"/>
          <w:b/>
          <w:bCs/>
          <w:kern w:val="2"/>
          <w:sz w:val="21"/>
          <w:lang w:eastAsia="zh-CN" w:bidi="ar"/>
        </w:rPr>
        <w:t>1、关于订单融资政策</w:t>
      </w:r>
    </w:p>
    <w:p w14:paraId="1B07660E">
      <w:pPr>
        <w:widowControl w:val="0"/>
        <w:spacing w:beforeAutospacing="0" w:after="120" w:afterAutospacing="0"/>
        <w:ind w:firstLine="420" w:firstLineChars="200"/>
        <w:jc w:val="both"/>
        <w:rPr>
          <w:rFonts w:eastAsia="宋体"/>
          <w:b/>
          <w:szCs w:val="21"/>
          <w:lang w:eastAsia="zh-CN"/>
        </w:rPr>
      </w:pPr>
      <w:r>
        <w:rPr>
          <w:rFonts w:hint="eastAsia" w:eastAsia="宋体" w:cs="宋体"/>
          <w:bCs/>
          <w:kern w:val="2"/>
          <w:sz w:val="21"/>
          <w:szCs w:val="21"/>
          <w:lang w:eastAsia="zh-CN" w:bidi="ar"/>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自行采购活动供应商可凭借所获取的中标通知书与采购合同，向参与订单融资业务的金融机构提出融资申请，金融机构以各自信贷政策为基础，为中标（成交）供应商提供融资授信，订单融资具体流程可登录深圳要素交易金融服务平台</w:t>
      </w:r>
      <w:r>
        <w:rPr>
          <w:rFonts w:eastAsia="宋体"/>
          <w:bCs/>
          <w:kern w:val="2"/>
          <w:sz w:val="21"/>
          <w:szCs w:val="21"/>
          <w:lang w:eastAsia="zh-CN" w:bidi="ar"/>
        </w:rPr>
        <w:t>(https://finance.szexgrp.com/gtm/web/guarantee/#/)</w:t>
      </w:r>
      <w:r>
        <w:rPr>
          <w:rFonts w:hint="eastAsia" w:eastAsia="宋体" w:cs="宋体"/>
          <w:bCs/>
          <w:kern w:val="2"/>
          <w:sz w:val="21"/>
          <w:szCs w:val="21"/>
          <w:lang w:eastAsia="zh-CN" w:bidi="ar"/>
        </w:rPr>
        <w:t>，相关政策法规参阅深圳市政府采购监管网（</w:t>
      </w:r>
      <w:r>
        <w:rPr>
          <w:rFonts w:eastAsia="宋体"/>
          <w:bCs/>
          <w:kern w:val="2"/>
          <w:sz w:val="21"/>
          <w:szCs w:val="21"/>
          <w:lang w:eastAsia="zh-CN" w:bidi="ar"/>
        </w:rPr>
        <w:t>http://zfcg.sz.gov.cn/</w:t>
      </w:r>
      <w:r>
        <w:rPr>
          <w:rFonts w:hint="eastAsia" w:eastAsia="宋体" w:cs="宋体"/>
          <w:bCs/>
          <w:kern w:val="2"/>
          <w:sz w:val="21"/>
          <w:szCs w:val="21"/>
          <w:lang w:eastAsia="zh-CN" w:bidi="ar"/>
        </w:rPr>
        <w:t>）信息公开栏目。</w:t>
      </w:r>
    </w:p>
    <w:p w14:paraId="3B844F0D">
      <w:pPr>
        <w:widowControl w:val="0"/>
        <w:ind w:firstLine="422" w:firstLineChars="200"/>
        <w:jc w:val="both"/>
        <w:rPr>
          <w:rFonts w:ascii="宋体" w:hAnsi="宋体" w:eastAsia="宋体" w:cs="宋体"/>
          <w:b/>
          <w:bCs/>
          <w:kern w:val="2"/>
          <w:sz w:val="21"/>
          <w:lang w:eastAsia="zh-CN"/>
        </w:rPr>
      </w:pPr>
      <w:r>
        <w:rPr>
          <w:rFonts w:hint="eastAsia" w:ascii="宋体" w:hAnsi="宋体" w:eastAsia="宋体" w:cs="宋体"/>
          <w:b/>
          <w:bCs/>
          <w:kern w:val="2"/>
          <w:sz w:val="21"/>
          <w:lang w:eastAsia="zh-CN" w:bidi="ar"/>
        </w:rPr>
        <w:t>2、供应商账户信息</w:t>
      </w:r>
    </w:p>
    <w:p w14:paraId="7C7FB71A">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投标人（单位全称）：</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r>
        <w:rPr>
          <w:rFonts w:eastAsia="宋体"/>
          <w:kern w:val="2"/>
          <w:sz w:val="21"/>
          <w:szCs w:val="21"/>
          <w:lang w:eastAsia="zh-CN" w:bidi="ar"/>
        </w:rPr>
        <w:t xml:space="preserve">  </w:t>
      </w:r>
    </w:p>
    <w:p w14:paraId="348802A2">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投标人单位地址：</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2D797159">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法定代表人（负责人）或其授权委托代理人：</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76E49A34">
      <w:pPr>
        <w:widowControl w:val="0"/>
        <w:ind w:left="480" w:leftChars="200" w:firstLine="210" w:firstLineChars="100"/>
        <w:jc w:val="both"/>
        <w:rPr>
          <w:rFonts w:eastAsia="宋体"/>
          <w:kern w:val="2"/>
          <w:sz w:val="21"/>
          <w:szCs w:val="21"/>
          <w:u w:val="thick"/>
          <w:lang w:eastAsia="zh-CN"/>
        </w:rPr>
      </w:pPr>
      <w:r>
        <w:rPr>
          <w:rFonts w:hint="eastAsia" w:eastAsia="宋体" w:cs="宋体"/>
          <w:kern w:val="2"/>
          <w:sz w:val="21"/>
          <w:szCs w:val="21"/>
          <w:lang w:eastAsia="zh-CN" w:bidi="ar"/>
        </w:rPr>
        <w:t>联系电话：</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3A2B5294">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开户银行名称：</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1F72233A">
      <w:pPr>
        <w:widowControl w:val="0"/>
        <w:ind w:left="480" w:leftChars="200" w:firstLine="210" w:firstLineChars="100"/>
        <w:jc w:val="both"/>
        <w:rPr>
          <w:rFonts w:eastAsia="宋体"/>
          <w:kern w:val="2"/>
          <w:sz w:val="21"/>
          <w:szCs w:val="21"/>
          <w:u w:val="thick"/>
          <w:lang w:eastAsia="zh-CN"/>
        </w:rPr>
      </w:pPr>
      <w:r>
        <w:rPr>
          <w:rFonts w:hint="eastAsia" w:eastAsia="宋体" w:cs="宋体"/>
          <w:kern w:val="2"/>
          <w:sz w:val="21"/>
          <w:szCs w:val="21"/>
          <w:lang w:eastAsia="zh-CN" w:bidi="ar"/>
        </w:rPr>
        <w:t>开户银行账号：</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5C16EAB4">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开户银行地址：</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2F25D09E">
      <w:pPr>
        <w:widowControl w:val="0"/>
        <w:jc w:val="both"/>
        <w:rPr>
          <w:rFonts w:eastAsia="宋体"/>
          <w:kern w:val="2"/>
          <w:sz w:val="21"/>
          <w:szCs w:val="21"/>
          <w:lang w:eastAsia="zh-CN"/>
        </w:rPr>
      </w:pPr>
      <w:r>
        <w:rPr>
          <w:rFonts w:hint="eastAsia" w:ascii="宋体" w:hAnsi="宋体" w:eastAsia="宋体" w:cs="宋体"/>
          <w:b/>
          <w:bCs/>
          <w:color w:val="FF0000"/>
          <w:spacing w:val="-4"/>
          <w:sz w:val="21"/>
          <w:szCs w:val="21"/>
          <w:lang w:eastAsia="zh-CN" w:bidi="ar"/>
        </w:rPr>
        <w:t>注：本项填写内容作为订单融资开展的参考信息，不作为供应商资格性审查及符合性审查条件。</w:t>
      </w:r>
    </w:p>
    <w:p w14:paraId="293628D6">
      <w:pPr>
        <w:widowControl/>
        <w:autoSpaceDE w:val="0"/>
        <w:autoSpaceDN w:val="0"/>
        <w:spacing w:line="400" w:lineRule="exact"/>
        <w:ind w:right="1414" w:firstLine="480" w:firstLineChars="200"/>
        <w:jc w:val="right"/>
        <w:rPr>
          <w:rFonts w:eastAsia="宋体"/>
          <w:lang w:eastAsia="zh-CN"/>
        </w:rPr>
      </w:pPr>
    </w:p>
    <w:p w14:paraId="25146403">
      <w:pPr>
        <w:widowControl w:val="0"/>
        <w:jc w:val="both"/>
        <w:rPr>
          <w:rFonts w:ascii="黑体" w:hAnsi="宋体" w:eastAsia="黑体" w:cs="黑体"/>
          <w:szCs w:val="20"/>
          <w:lang w:eastAsia="zh-CN" w:bidi="ar"/>
        </w:rPr>
      </w:pPr>
      <w:r>
        <w:rPr>
          <w:rFonts w:hint="eastAsia" w:ascii="黑体" w:hAnsi="宋体" w:eastAsia="黑体" w:cs="黑体"/>
          <w:szCs w:val="20"/>
          <w:lang w:eastAsia="zh-CN" w:bidi="ar"/>
        </w:rPr>
        <w:br w:type="page"/>
      </w:r>
    </w:p>
    <w:p w14:paraId="13E8FCC1">
      <w:pPr>
        <w:widowControl/>
        <w:jc w:val="center"/>
        <w:rPr>
          <w:rFonts w:ascii="黑体" w:hAnsi="宋体" w:eastAsia="黑体" w:cs="黑体"/>
          <w:szCs w:val="20"/>
          <w:lang w:eastAsia="zh-CN"/>
        </w:rPr>
      </w:pPr>
      <w:r>
        <w:rPr>
          <w:rFonts w:hint="eastAsia" w:ascii="黑体" w:hAnsi="宋体" w:eastAsia="黑体" w:cs="黑体"/>
          <w:szCs w:val="20"/>
          <w:lang w:eastAsia="zh-CN" w:bidi="ar"/>
        </w:rPr>
        <w:t>（三）投标人认为需要加以说明的其他内容（格式自定）</w:t>
      </w:r>
    </w:p>
    <w:p w14:paraId="1C4A8FAD">
      <w:pPr>
        <w:widowControl/>
        <w:jc w:val="left"/>
        <w:rPr>
          <w:rFonts w:eastAsia="宋体"/>
          <w:kern w:val="2"/>
          <w:sz w:val="21"/>
          <w:lang w:eastAsia="zh-CN"/>
        </w:rPr>
      </w:pPr>
      <w:r>
        <w:rPr>
          <w:rFonts w:eastAsia="宋体"/>
          <w:kern w:val="2"/>
          <w:sz w:val="21"/>
          <w:lang w:eastAsia="zh-CN"/>
        </w:rPr>
        <w:br w:type="page"/>
      </w:r>
      <w:bookmarkStart w:id="47" w:name="_Toc3995"/>
    </w:p>
    <w:bookmarkEnd w:id="47"/>
    <w:p w14:paraId="619E5B67">
      <w:pPr>
        <w:keepNext/>
        <w:keepLines/>
        <w:widowControl w:val="0"/>
        <w:adjustRightInd w:val="0"/>
        <w:spacing w:before="260" w:after="260" w:line="240" w:lineRule="auto"/>
        <w:jc w:val="center"/>
        <w:textAlignment w:val="baseline"/>
        <w:outlineLvl w:val="1"/>
        <w:rPr>
          <w:rFonts w:ascii="宋体" w:hAnsi="宋体" w:eastAsia="宋体"/>
          <w:b/>
          <w:bCs/>
          <w:szCs w:val="20"/>
          <w:lang w:eastAsia="zh-CN"/>
        </w:rPr>
      </w:pPr>
      <w:r>
        <w:rPr>
          <w:rFonts w:hint="eastAsia" w:ascii="宋体" w:hAnsi="宋体" w:eastAsia="宋体"/>
          <w:b/>
          <w:bCs/>
          <w:szCs w:val="20"/>
          <w:lang w:eastAsia="zh-CN"/>
        </w:rPr>
        <w:t>第五章  合同条款及格式</w:t>
      </w:r>
    </w:p>
    <w:p w14:paraId="340F181E">
      <w:pPr>
        <w:widowControl w:val="0"/>
        <w:jc w:val="both"/>
        <w:rPr>
          <w:rFonts w:eastAsia="宋体"/>
          <w:kern w:val="2"/>
          <w:sz w:val="21"/>
          <w:lang w:eastAsia="zh-CN"/>
        </w:rPr>
      </w:pPr>
    </w:p>
    <w:p w14:paraId="0970ED8D">
      <w:pPr>
        <w:widowControl w:val="0"/>
        <w:jc w:val="center"/>
        <w:rPr>
          <w:rFonts w:eastAsia="宋体"/>
          <w:b/>
          <w:bCs/>
          <w:kern w:val="2"/>
          <w:sz w:val="28"/>
          <w:szCs w:val="36"/>
          <w:lang w:eastAsia="zh-CN"/>
        </w:rPr>
      </w:pPr>
      <w:r>
        <w:rPr>
          <w:rFonts w:hint="eastAsia" w:eastAsia="宋体"/>
          <w:b/>
          <w:bCs/>
          <w:kern w:val="2"/>
          <w:sz w:val="28"/>
          <w:szCs w:val="36"/>
          <w:lang w:eastAsia="zh-CN"/>
        </w:rPr>
        <w:t>（仅供参考，具体以项目需求及采购结果为准）</w:t>
      </w:r>
    </w:p>
    <w:p w14:paraId="2383CAD0">
      <w:pPr>
        <w:widowControl w:val="0"/>
        <w:spacing w:line="360" w:lineRule="auto"/>
        <w:jc w:val="both"/>
        <w:rPr>
          <w:rFonts w:eastAsia="宋体"/>
          <w:b/>
          <w:bCs/>
          <w:kern w:val="2"/>
          <w:lang w:eastAsia="zh-CN"/>
        </w:rPr>
      </w:pPr>
    </w:p>
    <w:p w14:paraId="02E71E5E">
      <w:pPr>
        <w:widowControl w:val="0"/>
        <w:spacing w:beforeAutospacing="1" w:afterAutospacing="1"/>
        <w:jc w:val="left"/>
        <w:rPr>
          <w:rFonts w:eastAsia="宋体"/>
          <w:lang w:eastAsia="zh-CN"/>
        </w:rPr>
      </w:pPr>
      <w:r>
        <w:rPr>
          <w:rFonts w:hint="eastAsia" w:eastAsia="宋体"/>
          <w:u w:val="single"/>
          <w:lang w:eastAsia="zh-CN"/>
        </w:rPr>
        <w:t>*</w:t>
      </w:r>
      <w:r>
        <w:rPr>
          <w:rFonts w:eastAsia="宋体"/>
          <w:u w:val="single"/>
          <w:lang w:eastAsia="zh-CN"/>
        </w:rPr>
        <w:t xml:space="preserve">** </w:t>
      </w:r>
      <w:r>
        <w:rPr>
          <w:rFonts w:hint="eastAsia" w:eastAsia="宋体"/>
          <w:lang w:eastAsia="zh-CN"/>
        </w:rPr>
        <w:t>采购项目采购合同</w:t>
      </w:r>
    </w:p>
    <w:p w14:paraId="492E704B">
      <w:pPr>
        <w:widowControl w:val="0"/>
        <w:jc w:val="both"/>
        <w:rPr>
          <w:rFonts w:eastAsia="宋体"/>
          <w:kern w:val="2"/>
          <w:sz w:val="21"/>
          <w:lang w:eastAsia="zh-CN"/>
        </w:rPr>
      </w:pPr>
    </w:p>
    <w:p w14:paraId="667A7D73">
      <w:pPr>
        <w:widowControl w:val="0"/>
        <w:jc w:val="both"/>
        <w:rPr>
          <w:rFonts w:eastAsia="宋体"/>
          <w:kern w:val="2"/>
          <w:sz w:val="21"/>
          <w:lang w:eastAsia="zh-CN"/>
        </w:rPr>
      </w:pPr>
      <w:r>
        <w:rPr>
          <w:rFonts w:hint="eastAsia" w:eastAsia="宋体"/>
          <w:kern w:val="2"/>
          <w:sz w:val="21"/>
          <w:lang w:eastAsia="zh-CN"/>
        </w:rPr>
        <w:t>合同编号：*</w:t>
      </w:r>
      <w:r>
        <w:rPr>
          <w:rFonts w:eastAsia="宋体"/>
          <w:kern w:val="2"/>
          <w:sz w:val="21"/>
          <w:lang w:eastAsia="zh-CN"/>
        </w:rPr>
        <w:t>**</w:t>
      </w:r>
    </w:p>
    <w:p w14:paraId="7584633F">
      <w:pPr>
        <w:widowControl w:val="0"/>
        <w:spacing w:beforeAutospacing="1" w:afterAutospacing="1"/>
        <w:jc w:val="left"/>
        <w:rPr>
          <w:rFonts w:eastAsia="宋体"/>
          <w:lang w:eastAsia="zh-CN"/>
        </w:rPr>
      </w:pPr>
      <w:r>
        <w:rPr>
          <w:rFonts w:hint="eastAsia" w:eastAsia="宋体"/>
          <w:lang w:eastAsia="zh-CN"/>
        </w:rPr>
        <w:t>甲方（甲方）：*</w:t>
      </w:r>
      <w:r>
        <w:rPr>
          <w:rFonts w:eastAsia="宋体"/>
          <w:lang w:eastAsia="zh-CN"/>
        </w:rPr>
        <w:t>**</w:t>
      </w:r>
    </w:p>
    <w:p w14:paraId="588BE368">
      <w:pPr>
        <w:widowControl w:val="0"/>
        <w:jc w:val="both"/>
        <w:rPr>
          <w:rFonts w:eastAsia="宋体"/>
          <w:kern w:val="2"/>
          <w:sz w:val="21"/>
          <w:lang w:eastAsia="zh-CN"/>
        </w:rPr>
      </w:pPr>
      <w:r>
        <w:rPr>
          <w:rFonts w:hint="eastAsia" w:eastAsia="宋体"/>
          <w:kern w:val="2"/>
          <w:sz w:val="21"/>
          <w:lang w:eastAsia="zh-CN"/>
        </w:rPr>
        <w:t>地址：*</w:t>
      </w:r>
      <w:r>
        <w:rPr>
          <w:rFonts w:eastAsia="宋体"/>
          <w:kern w:val="2"/>
          <w:sz w:val="21"/>
          <w:lang w:eastAsia="zh-CN"/>
        </w:rPr>
        <w:t>**</w:t>
      </w:r>
    </w:p>
    <w:p w14:paraId="68117C7E">
      <w:pPr>
        <w:widowControl w:val="0"/>
        <w:spacing w:beforeAutospacing="1" w:afterAutospacing="1"/>
        <w:jc w:val="left"/>
        <w:rPr>
          <w:rFonts w:eastAsia="宋体"/>
          <w:lang w:eastAsia="zh-CN"/>
        </w:rPr>
      </w:pPr>
      <w:r>
        <w:rPr>
          <w:rFonts w:hint="eastAsia" w:eastAsia="宋体"/>
          <w:lang w:eastAsia="zh-CN"/>
        </w:rPr>
        <w:t>法定代表人：*</w:t>
      </w:r>
      <w:r>
        <w:rPr>
          <w:rFonts w:eastAsia="宋体"/>
          <w:lang w:eastAsia="zh-CN"/>
        </w:rPr>
        <w:t>**</w:t>
      </w:r>
      <w:r>
        <w:rPr>
          <w:rFonts w:eastAsia="宋体"/>
          <w:lang w:eastAsia="zh-CN"/>
        </w:rPr>
        <w:br w:type="textWrapping"/>
      </w:r>
      <w:r>
        <w:rPr>
          <w:rFonts w:eastAsia="宋体"/>
          <w:lang w:eastAsia="zh-CN"/>
        </w:rPr>
        <w:t>联系人：</w:t>
      </w:r>
      <w:r>
        <w:rPr>
          <w:rFonts w:hint="eastAsia" w:eastAsia="宋体"/>
          <w:lang w:eastAsia="zh-CN"/>
        </w:rPr>
        <w:t>*</w:t>
      </w:r>
      <w:r>
        <w:rPr>
          <w:rFonts w:eastAsia="宋体"/>
          <w:lang w:eastAsia="zh-CN"/>
        </w:rPr>
        <w:t>**</w:t>
      </w:r>
      <w:r>
        <w:rPr>
          <w:rFonts w:hint="eastAsia" w:eastAsia="宋体"/>
          <w:lang w:eastAsia="zh-CN"/>
        </w:rPr>
        <w:t xml:space="preserve">   </w:t>
      </w:r>
      <w:r>
        <w:rPr>
          <w:rFonts w:eastAsia="宋体"/>
          <w:lang w:eastAsia="zh-CN"/>
        </w:rPr>
        <w:t xml:space="preserve"> </w:t>
      </w:r>
      <w:r>
        <w:rPr>
          <w:rFonts w:hint="eastAsia" w:eastAsia="宋体"/>
          <w:lang w:eastAsia="zh-CN"/>
        </w:rPr>
        <w:t>联系电话：*</w:t>
      </w:r>
      <w:r>
        <w:rPr>
          <w:rFonts w:eastAsia="宋体"/>
          <w:lang w:eastAsia="zh-CN"/>
        </w:rPr>
        <w:t xml:space="preserve">**    </w:t>
      </w:r>
      <w:r>
        <w:rPr>
          <w:rFonts w:hint="eastAsia" w:eastAsia="宋体"/>
          <w:lang w:eastAsia="zh-CN"/>
        </w:rPr>
        <w:t>电子邮件：*</w:t>
      </w:r>
      <w:r>
        <w:rPr>
          <w:rFonts w:eastAsia="宋体"/>
          <w:lang w:eastAsia="zh-CN"/>
        </w:rPr>
        <w:t>**</w:t>
      </w:r>
    </w:p>
    <w:p w14:paraId="3EB9DCDA">
      <w:pPr>
        <w:widowControl w:val="0"/>
        <w:spacing w:beforeAutospacing="1" w:afterAutospacing="1"/>
        <w:jc w:val="left"/>
        <w:rPr>
          <w:rFonts w:eastAsia="宋体"/>
          <w:lang w:eastAsia="zh-CN"/>
        </w:rPr>
      </w:pPr>
    </w:p>
    <w:p w14:paraId="68BF6D05">
      <w:pPr>
        <w:widowControl w:val="0"/>
        <w:spacing w:beforeAutospacing="1" w:afterAutospacing="1"/>
        <w:jc w:val="left"/>
        <w:rPr>
          <w:rFonts w:eastAsia="宋体"/>
          <w:lang w:eastAsia="zh-CN"/>
        </w:rPr>
      </w:pPr>
      <w:r>
        <w:rPr>
          <w:rFonts w:hint="eastAsia" w:eastAsia="宋体"/>
          <w:lang w:eastAsia="zh-CN"/>
        </w:rPr>
        <w:t>乙方（供应商）：*</w:t>
      </w:r>
      <w:r>
        <w:rPr>
          <w:rFonts w:eastAsia="宋体"/>
          <w:lang w:eastAsia="zh-CN"/>
        </w:rPr>
        <w:t>**</w:t>
      </w:r>
    </w:p>
    <w:p w14:paraId="08B7CEBA">
      <w:pPr>
        <w:widowControl w:val="0"/>
        <w:jc w:val="both"/>
        <w:rPr>
          <w:rFonts w:eastAsia="宋体"/>
          <w:kern w:val="2"/>
          <w:sz w:val="21"/>
          <w:lang w:eastAsia="zh-CN"/>
        </w:rPr>
      </w:pPr>
      <w:r>
        <w:rPr>
          <w:rFonts w:hint="eastAsia" w:eastAsia="宋体"/>
          <w:kern w:val="2"/>
          <w:lang w:eastAsia="zh-CN"/>
        </w:rPr>
        <w:t>地址：</w:t>
      </w:r>
      <w:r>
        <w:rPr>
          <w:rFonts w:hint="eastAsia" w:eastAsia="宋体"/>
          <w:kern w:val="2"/>
          <w:sz w:val="21"/>
          <w:lang w:eastAsia="zh-CN"/>
        </w:rPr>
        <w:t>*</w:t>
      </w:r>
      <w:r>
        <w:rPr>
          <w:rFonts w:eastAsia="宋体"/>
          <w:kern w:val="2"/>
          <w:sz w:val="21"/>
          <w:lang w:eastAsia="zh-CN"/>
        </w:rPr>
        <w:t>**</w:t>
      </w:r>
    </w:p>
    <w:p w14:paraId="02DCE08B">
      <w:pPr>
        <w:widowControl w:val="0"/>
        <w:jc w:val="both"/>
        <w:rPr>
          <w:rFonts w:eastAsia="宋体"/>
          <w:kern w:val="2"/>
          <w:sz w:val="21"/>
          <w:lang w:eastAsia="zh-CN"/>
        </w:rPr>
      </w:pPr>
      <w:r>
        <w:rPr>
          <w:rFonts w:hint="eastAsia" w:eastAsia="宋体"/>
          <w:kern w:val="2"/>
          <w:sz w:val="21"/>
          <w:lang w:eastAsia="zh-CN"/>
        </w:rPr>
        <w:t>法定代表人：*</w:t>
      </w:r>
      <w:r>
        <w:rPr>
          <w:rFonts w:eastAsia="宋体"/>
          <w:kern w:val="2"/>
          <w:sz w:val="21"/>
          <w:lang w:eastAsia="zh-CN"/>
        </w:rPr>
        <w:t>**</w:t>
      </w:r>
    </w:p>
    <w:p w14:paraId="6F06DA32">
      <w:pPr>
        <w:widowControl w:val="0"/>
        <w:spacing w:beforeAutospacing="1" w:afterAutospacing="1"/>
        <w:jc w:val="left"/>
        <w:rPr>
          <w:rFonts w:eastAsia="宋体"/>
          <w:lang w:eastAsia="zh-CN"/>
        </w:rPr>
      </w:pPr>
      <w:r>
        <w:rPr>
          <w:rFonts w:eastAsia="宋体"/>
          <w:lang w:eastAsia="zh-CN"/>
        </w:rPr>
        <w:t>联系人</w:t>
      </w:r>
      <w:r>
        <w:rPr>
          <w:rFonts w:hint="eastAsia" w:eastAsia="宋体"/>
          <w:lang w:eastAsia="zh-CN"/>
        </w:rPr>
        <w:t>：*</w:t>
      </w:r>
      <w:r>
        <w:rPr>
          <w:rFonts w:eastAsia="宋体"/>
          <w:lang w:eastAsia="zh-CN"/>
        </w:rPr>
        <w:t xml:space="preserve">**    </w:t>
      </w:r>
      <w:r>
        <w:rPr>
          <w:rFonts w:hint="eastAsia" w:eastAsia="宋体"/>
          <w:lang w:eastAsia="zh-CN"/>
        </w:rPr>
        <w:t>联系电话：*</w:t>
      </w:r>
      <w:r>
        <w:rPr>
          <w:rFonts w:eastAsia="宋体"/>
          <w:lang w:eastAsia="zh-CN"/>
        </w:rPr>
        <w:t xml:space="preserve">**    </w:t>
      </w:r>
      <w:r>
        <w:rPr>
          <w:rFonts w:hint="eastAsia" w:eastAsia="宋体"/>
          <w:lang w:eastAsia="zh-CN"/>
        </w:rPr>
        <w:t>电子邮件：*</w:t>
      </w:r>
      <w:r>
        <w:rPr>
          <w:rFonts w:eastAsia="宋体"/>
          <w:lang w:eastAsia="zh-CN"/>
        </w:rPr>
        <w:t>**</w:t>
      </w:r>
    </w:p>
    <w:p w14:paraId="2F5C9F1B">
      <w:pPr>
        <w:widowControl w:val="0"/>
        <w:jc w:val="both"/>
        <w:rPr>
          <w:rFonts w:eastAsia="宋体"/>
          <w:kern w:val="2"/>
          <w:sz w:val="21"/>
          <w:lang w:eastAsia="zh-CN"/>
        </w:rPr>
      </w:pPr>
    </w:p>
    <w:p w14:paraId="76B34CD4">
      <w:pPr>
        <w:widowControl w:val="0"/>
        <w:spacing w:line="360" w:lineRule="auto"/>
        <w:jc w:val="both"/>
        <w:rPr>
          <w:rFonts w:eastAsia="宋体"/>
          <w:b/>
          <w:bCs/>
          <w:kern w:val="2"/>
          <w:lang w:eastAsia="zh-CN"/>
        </w:rPr>
      </w:pPr>
    </w:p>
    <w:p w14:paraId="1D0A85F1">
      <w:pPr>
        <w:widowControl w:val="0"/>
        <w:spacing w:beforeAutospacing="1" w:afterAutospacing="1"/>
        <w:jc w:val="left"/>
        <w:rPr>
          <w:rFonts w:eastAsia="宋体"/>
          <w:lang w:eastAsia="zh-CN"/>
        </w:rPr>
      </w:pPr>
      <w:r>
        <w:rPr>
          <w:rFonts w:hint="eastAsia" w:eastAsia="宋体"/>
          <w:lang w:eastAsia="zh-CN"/>
        </w:rPr>
        <w:t>甲、乙双方本着诚实信用、互惠互利的原则，经</w:t>
      </w:r>
      <w:r>
        <w:rPr>
          <w:rFonts w:eastAsia="宋体"/>
          <w:lang w:eastAsia="zh-CN"/>
        </w:rPr>
        <w:t>双方</w:t>
      </w:r>
      <w:r>
        <w:rPr>
          <w:rFonts w:hint="eastAsia" w:eastAsia="宋体"/>
          <w:lang w:eastAsia="zh-CN"/>
        </w:rPr>
        <w:t>友好协商，甲方</w:t>
      </w:r>
      <w:r>
        <w:rPr>
          <w:rFonts w:eastAsia="宋体"/>
          <w:lang w:eastAsia="zh-CN"/>
        </w:rPr>
        <w:t>决定</w:t>
      </w:r>
      <w:r>
        <w:rPr>
          <w:rFonts w:hint="eastAsia" w:eastAsia="宋体"/>
          <w:lang w:eastAsia="zh-CN"/>
        </w:rPr>
        <w:t>向乙方购买如下货物，特订立本合同</w:t>
      </w:r>
      <w:r>
        <w:rPr>
          <w:rFonts w:eastAsia="宋体"/>
          <w:lang w:eastAsia="zh-CN"/>
        </w:rPr>
        <w:t>并</w:t>
      </w:r>
      <w:r>
        <w:rPr>
          <w:rFonts w:hint="eastAsia" w:eastAsia="宋体"/>
          <w:lang w:eastAsia="zh-CN"/>
        </w:rPr>
        <w:t>共同遵守。</w:t>
      </w:r>
    </w:p>
    <w:p w14:paraId="48CA9E6F">
      <w:pPr>
        <w:widowControl w:val="0"/>
        <w:spacing w:after="160" w:line="259" w:lineRule="auto"/>
        <w:ind w:firstLine="420" w:firstLineChars="200"/>
        <w:jc w:val="both"/>
        <w:rPr>
          <w:rFonts w:eastAsia="宋体"/>
          <w:kern w:val="2"/>
          <w:sz w:val="21"/>
          <w:lang w:eastAsia="zh-CN"/>
        </w:rPr>
      </w:pPr>
      <w:r>
        <w:rPr>
          <w:rFonts w:hint="eastAsia" w:eastAsia="宋体"/>
          <w:kern w:val="2"/>
          <w:sz w:val="21"/>
          <w:lang w:eastAsia="zh-CN"/>
        </w:rPr>
        <w:t>一、合同标的</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647"/>
        <w:gridCol w:w="657"/>
        <w:gridCol w:w="2541"/>
        <w:gridCol w:w="1024"/>
        <w:gridCol w:w="834"/>
        <w:gridCol w:w="793"/>
        <w:gridCol w:w="1082"/>
        <w:gridCol w:w="1242"/>
      </w:tblGrid>
      <w:tr w14:paraId="37EF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129" w:type="dxa"/>
            <w:gridSpan w:val="2"/>
            <w:shd w:val="clear" w:color="auto" w:fill="auto"/>
            <w:noWrap/>
            <w:vAlign w:val="center"/>
          </w:tcPr>
          <w:p w14:paraId="67082E56">
            <w:pPr>
              <w:widowControl w:val="0"/>
              <w:spacing w:beforeAutospacing="1" w:afterAutospacing="1"/>
              <w:jc w:val="left"/>
              <w:rPr>
                <w:rFonts w:eastAsia="宋体"/>
                <w:lang w:eastAsia="zh-CN"/>
              </w:rPr>
            </w:pPr>
            <w:r>
              <w:rPr>
                <w:rFonts w:hint="eastAsia" w:eastAsia="宋体"/>
                <w:lang w:eastAsia="zh-CN"/>
              </w:rPr>
              <w:t>序号</w:t>
            </w:r>
          </w:p>
        </w:tc>
        <w:tc>
          <w:tcPr>
            <w:tcW w:w="3261" w:type="dxa"/>
            <w:gridSpan w:val="2"/>
            <w:shd w:val="clear" w:color="auto" w:fill="auto"/>
            <w:noWrap/>
            <w:vAlign w:val="center"/>
          </w:tcPr>
          <w:p w14:paraId="37C7B4B2">
            <w:pPr>
              <w:widowControl w:val="0"/>
              <w:spacing w:beforeAutospacing="1" w:afterAutospacing="1"/>
              <w:jc w:val="left"/>
              <w:rPr>
                <w:rFonts w:eastAsia="宋体"/>
                <w:lang w:eastAsia="zh-CN"/>
              </w:rPr>
            </w:pPr>
            <w:r>
              <w:rPr>
                <w:rFonts w:hint="eastAsia" w:eastAsia="宋体"/>
                <w:lang w:eastAsia="zh-CN"/>
              </w:rPr>
              <w:t>货物名称</w:t>
            </w:r>
          </w:p>
        </w:tc>
        <w:tc>
          <w:tcPr>
            <w:tcW w:w="1041" w:type="dxa"/>
            <w:shd w:val="clear" w:color="auto" w:fill="auto"/>
            <w:noWrap/>
            <w:vAlign w:val="center"/>
          </w:tcPr>
          <w:p w14:paraId="4F18116A">
            <w:pPr>
              <w:widowControl w:val="0"/>
              <w:spacing w:beforeAutospacing="1" w:afterAutospacing="1"/>
              <w:jc w:val="left"/>
              <w:rPr>
                <w:rFonts w:eastAsia="宋体"/>
                <w:lang w:eastAsia="zh-CN"/>
              </w:rPr>
            </w:pPr>
            <w:r>
              <w:rPr>
                <w:rFonts w:hint="eastAsia" w:eastAsia="宋体"/>
                <w:lang w:eastAsia="zh-CN"/>
              </w:rPr>
              <w:t>品牌</w:t>
            </w:r>
          </w:p>
        </w:tc>
        <w:tc>
          <w:tcPr>
            <w:tcW w:w="847" w:type="dxa"/>
            <w:shd w:val="clear" w:color="auto" w:fill="auto"/>
            <w:noWrap/>
            <w:vAlign w:val="center"/>
          </w:tcPr>
          <w:p w14:paraId="5FEE6D5B">
            <w:pPr>
              <w:widowControl w:val="0"/>
              <w:spacing w:beforeAutospacing="1" w:afterAutospacing="1"/>
              <w:jc w:val="left"/>
              <w:rPr>
                <w:rFonts w:eastAsia="宋体"/>
                <w:lang w:eastAsia="zh-CN"/>
              </w:rPr>
            </w:pPr>
            <w:r>
              <w:rPr>
                <w:rFonts w:hint="eastAsia" w:eastAsia="宋体"/>
                <w:lang w:eastAsia="zh-CN"/>
              </w:rPr>
              <w:t>数量</w:t>
            </w:r>
          </w:p>
        </w:tc>
        <w:tc>
          <w:tcPr>
            <w:tcW w:w="805" w:type="dxa"/>
            <w:vAlign w:val="center"/>
          </w:tcPr>
          <w:p w14:paraId="48EBF50C">
            <w:pPr>
              <w:widowControl w:val="0"/>
              <w:spacing w:beforeAutospacing="1" w:afterAutospacing="1"/>
              <w:jc w:val="left"/>
              <w:rPr>
                <w:rFonts w:eastAsia="宋体"/>
                <w:lang w:eastAsia="zh-CN"/>
              </w:rPr>
            </w:pPr>
            <w:r>
              <w:rPr>
                <w:rFonts w:hint="eastAsia" w:eastAsia="宋体"/>
                <w:lang w:eastAsia="zh-CN"/>
              </w:rPr>
              <w:t>单位</w:t>
            </w:r>
          </w:p>
        </w:tc>
        <w:tc>
          <w:tcPr>
            <w:tcW w:w="1100" w:type="dxa"/>
            <w:vAlign w:val="center"/>
          </w:tcPr>
          <w:p w14:paraId="0E58B544">
            <w:pPr>
              <w:widowControl w:val="0"/>
              <w:spacing w:beforeAutospacing="1" w:afterAutospacing="1"/>
              <w:jc w:val="left"/>
              <w:rPr>
                <w:rFonts w:eastAsia="宋体"/>
                <w:bCs/>
                <w:lang w:eastAsia="zh-CN"/>
              </w:rPr>
            </w:pPr>
            <w:r>
              <w:rPr>
                <w:rFonts w:hint="eastAsia" w:eastAsia="宋体"/>
                <w:lang w:eastAsia="zh-CN"/>
              </w:rPr>
              <w:t>单价（元）</w:t>
            </w:r>
          </w:p>
        </w:tc>
        <w:tc>
          <w:tcPr>
            <w:tcW w:w="1263" w:type="dxa"/>
            <w:vAlign w:val="center"/>
          </w:tcPr>
          <w:p w14:paraId="420E5DE7">
            <w:pPr>
              <w:widowControl w:val="0"/>
              <w:spacing w:beforeAutospacing="1" w:afterAutospacing="1"/>
              <w:jc w:val="left"/>
              <w:rPr>
                <w:rFonts w:eastAsia="宋体"/>
                <w:bCs/>
                <w:lang w:eastAsia="zh-CN"/>
              </w:rPr>
            </w:pPr>
            <w:r>
              <w:rPr>
                <w:rFonts w:hint="eastAsia" w:eastAsia="宋体"/>
                <w:lang w:eastAsia="zh-CN"/>
              </w:rPr>
              <w:t>总价（元）</w:t>
            </w:r>
          </w:p>
        </w:tc>
      </w:tr>
      <w:tr w14:paraId="5C264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restart"/>
            <w:shd w:val="clear" w:color="auto" w:fill="auto"/>
            <w:noWrap/>
            <w:vAlign w:val="center"/>
          </w:tcPr>
          <w:p w14:paraId="72D17137">
            <w:pPr>
              <w:widowControl w:val="0"/>
              <w:jc w:val="both"/>
              <w:rPr>
                <w:rFonts w:eastAsia="宋体"/>
                <w:kern w:val="2"/>
                <w:sz w:val="21"/>
                <w:lang w:eastAsia="zh-CN"/>
              </w:rPr>
            </w:pPr>
            <w:r>
              <w:rPr>
                <w:rFonts w:hint="eastAsia" w:eastAsia="宋体"/>
                <w:kern w:val="2"/>
                <w:sz w:val="21"/>
                <w:lang w:eastAsia="zh-CN"/>
              </w:rPr>
              <w:t>1</w:t>
            </w:r>
          </w:p>
        </w:tc>
        <w:tc>
          <w:tcPr>
            <w:tcW w:w="656" w:type="dxa"/>
            <w:vAlign w:val="center"/>
          </w:tcPr>
          <w:p w14:paraId="2556742A">
            <w:pPr>
              <w:widowControl w:val="0"/>
              <w:jc w:val="both"/>
              <w:rPr>
                <w:rFonts w:eastAsia="宋体"/>
                <w:kern w:val="2"/>
                <w:sz w:val="21"/>
                <w:lang w:eastAsia="zh-CN"/>
              </w:rPr>
            </w:pPr>
          </w:p>
        </w:tc>
        <w:tc>
          <w:tcPr>
            <w:tcW w:w="3261" w:type="dxa"/>
            <w:gridSpan w:val="2"/>
            <w:shd w:val="clear" w:color="auto" w:fill="auto"/>
            <w:noWrap/>
            <w:vAlign w:val="center"/>
          </w:tcPr>
          <w:p w14:paraId="4C5FA4AE">
            <w:pPr>
              <w:widowControl w:val="0"/>
              <w:jc w:val="both"/>
              <w:rPr>
                <w:rFonts w:eastAsia="宋体"/>
                <w:kern w:val="2"/>
                <w:sz w:val="21"/>
                <w:lang w:eastAsia="zh-CN"/>
              </w:rPr>
            </w:pPr>
          </w:p>
        </w:tc>
        <w:tc>
          <w:tcPr>
            <w:tcW w:w="1041" w:type="dxa"/>
            <w:shd w:val="clear" w:color="auto" w:fill="auto"/>
            <w:noWrap/>
            <w:vAlign w:val="center"/>
          </w:tcPr>
          <w:p w14:paraId="328DCF40">
            <w:pPr>
              <w:widowControl w:val="0"/>
              <w:jc w:val="both"/>
              <w:rPr>
                <w:rFonts w:eastAsia="宋体"/>
                <w:kern w:val="2"/>
                <w:sz w:val="21"/>
                <w:lang w:eastAsia="zh-CN"/>
              </w:rPr>
            </w:pPr>
          </w:p>
        </w:tc>
        <w:tc>
          <w:tcPr>
            <w:tcW w:w="847" w:type="dxa"/>
            <w:shd w:val="clear" w:color="auto" w:fill="auto"/>
            <w:noWrap/>
            <w:vAlign w:val="center"/>
          </w:tcPr>
          <w:p w14:paraId="76A15905">
            <w:pPr>
              <w:widowControl w:val="0"/>
              <w:jc w:val="both"/>
              <w:rPr>
                <w:rFonts w:eastAsia="宋体"/>
                <w:kern w:val="2"/>
                <w:sz w:val="21"/>
                <w:lang w:eastAsia="zh-CN"/>
              </w:rPr>
            </w:pPr>
          </w:p>
        </w:tc>
        <w:tc>
          <w:tcPr>
            <w:tcW w:w="805" w:type="dxa"/>
            <w:vAlign w:val="center"/>
          </w:tcPr>
          <w:p w14:paraId="371A3DB8">
            <w:pPr>
              <w:widowControl w:val="0"/>
              <w:jc w:val="both"/>
              <w:rPr>
                <w:rFonts w:eastAsia="宋体"/>
                <w:kern w:val="2"/>
                <w:sz w:val="21"/>
                <w:lang w:eastAsia="zh-CN"/>
              </w:rPr>
            </w:pPr>
          </w:p>
        </w:tc>
        <w:tc>
          <w:tcPr>
            <w:tcW w:w="1100" w:type="dxa"/>
            <w:vAlign w:val="center"/>
          </w:tcPr>
          <w:p w14:paraId="5E6C91A5">
            <w:pPr>
              <w:widowControl w:val="0"/>
              <w:jc w:val="both"/>
              <w:rPr>
                <w:rFonts w:eastAsia="宋体"/>
                <w:kern w:val="2"/>
                <w:sz w:val="21"/>
                <w:lang w:eastAsia="zh-CN"/>
              </w:rPr>
            </w:pPr>
          </w:p>
        </w:tc>
        <w:tc>
          <w:tcPr>
            <w:tcW w:w="1263" w:type="dxa"/>
            <w:vAlign w:val="center"/>
          </w:tcPr>
          <w:p w14:paraId="0272F8C0">
            <w:pPr>
              <w:widowControl w:val="0"/>
              <w:jc w:val="both"/>
              <w:rPr>
                <w:rFonts w:eastAsia="宋体"/>
                <w:kern w:val="2"/>
                <w:sz w:val="21"/>
                <w:lang w:eastAsia="zh-CN"/>
              </w:rPr>
            </w:pPr>
          </w:p>
        </w:tc>
      </w:tr>
      <w:tr w14:paraId="00457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3D931FEE">
            <w:pPr>
              <w:widowControl w:val="0"/>
              <w:jc w:val="both"/>
              <w:rPr>
                <w:rFonts w:eastAsia="宋体"/>
                <w:kern w:val="2"/>
                <w:sz w:val="21"/>
                <w:lang w:eastAsia="zh-CN"/>
              </w:rPr>
            </w:pPr>
          </w:p>
        </w:tc>
        <w:tc>
          <w:tcPr>
            <w:tcW w:w="656" w:type="dxa"/>
            <w:vAlign w:val="center"/>
          </w:tcPr>
          <w:p w14:paraId="1E01A71D">
            <w:pPr>
              <w:widowControl w:val="0"/>
              <w:jc w:val="both"/>
              <w:rPr>
                <w:rFonts w:eastAsia="宋体"/>
                <w:kern w:val="2"/>
                <w:sz w:val="21"/>
                <w:lang w:eastAsia="zh-CN"/>
              </w:rPr>
            </w:pPr>
          </w:p>
        </w:tc>
        <w:tc>
          <w:tcPr>
            <w:tcW w:w="3261" w:type="dxa"/>
            <w:gridSpan w:val="2"/>
            <w:shd w:val="clear" w:color="auto" w:fill="auto"/>
            <w:noWrap/>
            <w:vAlign w:val="center"/>
          </w:tcPr>
          <w:p w14:paraId="1E06E671">
            <w:pPr>
              <w:widowControl w:val="0"/>
              <w:jc w:val="both"/>
              <w:rPr>
                <w:rFonts w:eastAsia="宋体"/>
                <w:kern w:val="2"/>
                <w:sz w:val="21"/>
                <w:lang w:eastAsia="zh-CN"/>
              </w:rPr>
            </w:pPr>
          </w:p>
        </w:tc>
        <w:tc>
          <w:tcPr>
            <w:tcW w:w="1041" w:type="dxa"/>
            <w:shd w:val="clear" w:color="auto" w:fill="auto"/>
            <w:noWrap/>
            <w:vAlign w:val="center"/>
          </w:tcPr>
          <w:p w14:paraId="02FC039F">
            <w:pPr>
              <w:widowControl w:val="0"/>
              <w:jc w:val="both"/>
              <w:rPr>
                <w:rFonts w:eastAsia="宋体"/>
                <w:kern w:val="2"/>
                <w:sz w:val="21"/>
                <w:lang w:eastAsia="zh-CN"/>
              </w:rPr>
            </w:pPr>
          </w:p>
        </w:tc>
        <w:tc>
          <w:tcPr>
            <w:tcW w:w="847" w:type="dxa"/>
            <w:shd w:val="clear" w:color="auto" w:fill="auto"/>
            <w:noWrap/>
            <w:vAlign w:val="center"/>
          </w:tcPr>
          <w:p w14:paraId="5BF9FFE4">
            <w:pPr>
              <w:widowControl w:val="0"/>
              <w:jc w:val="both"/>
              <w:rPr>
                <w:rFonts w:eastAsia="宋体"/>
                <w:kern w:val="2"/>
                <w:sz w:val="21"/>
                <w:lang w:eastAsia="zh-CN"/>
              </w:rPr>
            </w:pPr>
          </w:p>
        </w:tc>
        <w:tc>
          <w:tcPr>
            <w:tcW w:w="805" w:type="dxa"/>
            <w:vAlign w:val="center"/>
          </w:tcPr>
          <w:p w14:paraId="6AA36F09">
            <w:pPr>
              <w:widowControl w:val="0"/>
              <w:jc w:val="both"/>
              <w:rPr>
                <w:rFonts w:eastAsia="宋体"/>
                <w:kern w:val="2"/>
                <w:sz w:val="21"/>
                <w:lang w:eastAsia="zh-CN"/>
              </w:rPr>
            </w:pPr>
          </w:p>
        </w:tc>
        <w:tc>
          <w:tcPr>
            <w:tcW w:w="1100" w:type="dxa"/>
            <w:vAlign w:val="center"/>
          </w:tcPr>
          <w:p w14:paraId="76A3830A">
            <w:pPr>
              <w:widowControl w:val="0"/>
              <w:jc w:val="both"/>
              <w:rPr>
                <w:rFonts w:eastAsia="宋体"/>
                <w:kern w:val="2"/>
                <w:sz w:val="21"/>
                <w:lang w:eastAsia="zh-CN"/>
              </w:rPr>
            </w:pPr>
          </w:p>
        </w:tc>
        <w:tc>
          <w:tcPr>
            <w:tcW w:w="1263" w:type="dxa"/>
            <w:vAlign w:val="center"/>
          </w:tcPr>
          <w:p w14:paraId="4438F52A">
            <w:pPr>
              <w:widowControl w:val="0"/>
              <w:jc w:val="both"/>
              <w:rPr>
                <w:rFonts w:eastAsia="宋体"/>
                <w:kern w:val="2"/>
                <w:sz w:val="21"/>
                <w:lang w:eastAsia="zh-CN"/>
              </w:rPr>
            </w:pPr>
          </w:p>
        </w:tc>
      </w:tr>
      <w:tr w14:paraId="3A92E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584216FC">
            <w:pPr>
              <w:widowControl w:val="0"/>
              <w:jc w:val="both"/>
              <w:rPr>
                <w:rFonts w:eastAsia="宋体"/>
                <w:kern w:val="2"/>
                <w:sz w:val="21"/>
                <w:lang w:eastAsia="zh-CN"/>
              </w:rPr>
            </w:pPr>
          </w:p>
        </w:tc>
        <w:tc>
          <w:tcPr>
            <w:tcW w:w="656" w:type="dxa"/>
            <w:vAlign w:val="center"/>
          </w:tcPr>
          <w:p w14:paraId="10935CE4">
            <w:pPr>
              <w:widowControl w:val="0"/>
              <w:jc w:val="both"/>
              <w:rPr>
                <w:rFonts w:eastAsia="宋体"/>
                <w:kern w:val="2"/>
                <w:sz w:val="21"/>
                <w:lang w:eastAsia="zh-CN"/>
              </w:rPr>
            </w:pPr>
          </w:p>
        </w:tc>
        <w:tc>
          <w:tcPr>
            <w:tcW w:w="3261" w:type="dxa"/>
            <w:gridSpan w:val="2"/>
            <w:shd w:val="clear" w:color="auto" w:fill="auto"/>
            <w:noWrap/>
            <w:vAlign w:val="center"/>
          </w:tcPr>
          <w:p w14:paraId="789BFFC8">
            <w:pPr>
              <w:widowControl w:val="0"/>
              <w:jc w:val="both"/>
              <w:rPr>
                <w:rFonts w:eastAsia="宋体"/>
                <w:kern w:val="2"/>
                <w:sz w:val="21"/>
                <w:lang w:eastAsia="zh-CN"/>
              </w:rPr>
            </w:pPr>
          </w:p>
        </w:tc>
        <w:tc>
          <w:tcPr>
            <w:tcW w:w="1041" w:type="dxa"/>
            <w:shd w:val="clear" w:color="auto" w:fill="auto"/>
            <w:noWrap/>
            <w:vAlign w:val="center"/>
          </w:tcPr>
          <w:p w14:paraId="3B936781">
            <w:pPr>
              <w:widowControl w:val="0"/>
              <w:jc w:val="both"/>
              <w:rPr>
                <w:rFonts w:eastAsia="宋体"/>
                <w:kern w:val="2"/>
                <w:sz w:val="21"/>
                <w:lang w:eastAsia="zh-CN"/>
              </w:rPr>
            </w:pPr>
          </w:p>
        </w:tc>
        <w:tc>
          <w:tcPr>
            <w:tcW w:w="847" w:type="dxa"/>
            <w:shd w:val="clear" w:color="auto" w:fill="auto"/>
            <w:noWrap/>
            <w:vAlign w:val="center"/>
          </w:tcPr>
          <w:p w14:paraId="45FBAF90">
            <w:pPr>
              <w:widowControl w:val="0"/>
              <w:jc w:val="both"/>
              <w:rPr>
                <w:rFonts w:eastAsia="宋体"/>
                <w:kern w:val="2"/>
                <w:sz w:val="21"/>
                <w:lang w:eastAsia="zh-CN"/>
              </w:rPr>
            </w:pPr>
          </w:p>
        </w:tc>
        <w:tc>
          <w:tcPr>
            <w:tcW w:w="805" w:type="dxa"/>
            <w:vAlign w:val="center"/>
          </w:tcPr>
          <w:p w14:paraId="359E6130">
            <w:pPr>
              <w:widowControl w:val="0"/>
              <w:jc w:val="both"/>
              <w:rPr>
                <w:rFonts w:eastAsia="宋体"/>
                <w:kern w:val="2"/>
                <w:sz w:val="21"/>
                <w:lang w:eastAsia="zh-CN"/>
              </w:rPr>
            </w:pPr>
          </w:p>
        </w:tc>
        <w:tc>
          <w:tcPr>
            <w:tcW w:w="1100" w:type="dxa"/>
            <w:vAlign w:val="center"/>
          </w:tcPr>
          <w:p w14:paraId="01495EC3">
            <w:pPr>
              <w:widowControl w:val="0"/>
              <w:jc w:val="both"/>
              <w:rPr>
                <w:rFonts w:eastAsia="宋体"/>
                <w:kern w:val="2"/>
                <w:sz w:val="21"/>
                <w:lang w:eastAsia="zh-CN"/>
              </w:rPr>
            </w:pPr>
          </w:p>
        </w:tc>
        <w:tc>
          <w:tcPr>
            <w:tcW w:w="1263" w:type="dxa"/>
            <w:vAlign w:val="center"/>
          </w:tcPr>
          <w:p w14:paraId="570D8D82">
            <w:pPr>
              <w:widowControl w:val="0"/>
              <w:jc w:val="both"/>
              <w:rPr>
                <w:rFonts w:eastAsia="宋体"/>
                <w:kern w:val="2"/>
                <w:sz w:val="21"/>
                <w:lang w:eastAsia="zh-CN"/>
              </w:rPr>
            </w:pPr>
          </w:p>
        </w:tc>
      </w:tr>
      <w:tr w14:paraId="312B3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25821C73">
            <w:pPr>
              <w:widowControl w:val="0"/>
              <w:jc w:val="both"/>
              <w:rPr>
                <w:rFonts w:eastAsia="宋体"/>
                <w:kern w:val="2"/>
                <w:sz w:val="21"/>
                <w:lang w:eastAsia="zh-CN"/>
              </w:rPr>
            </w:pPr>
          </w:p>
        </w:tc>
        <w:tc>
          <w:tcPr>
            <w:tcW w:w="656" w:type="dxa"/>
            <w:vAlign w:val="center"/>
          </w:tcPr>
          <w:p w14:paraId="1F267C26">
            <w:pPr>
              <w:widowControl w:val="0"/>
              <w:jc w:val="both"/>
              <w:rPr>
                <w:rFonts w:eastAsia="宋体"/>
                <w:kern w:val="2"/>
                <w:sz w:val="21"/>
                <w:lang w:eastAsia="zh-CN"/>
              </w:rPr>
            </w:pPr>
          </w:p>
        </w:tc>
        <w:tc>
          <w:tcPr>
            <w:tcW w:w="3261" w:type="dxa"/>
            <w:gridSpan w:val="2"/>
            <w:shd w:val="clear" w:color="auto" w:fill="auto"/>
            <w:noWrap/>
            <w:vAlign w:val="center"/>
          </w:tcPr>
          <w:p w14:paraId="42278EC4">
            <w:pPr>
              <w:widowControl w:val="0"/>
              <w:jc w:val="both"/>
              <w:rPr>
                <w:rFonts w:eastAsia="宋体"/>
                <w:kern w:val="2"/>
                <w:sz w:val="21"/>
                <w:lang w:eastAsia="zh-CN"/>
              </w:rPr>
            </w:pPr>
          </w:p>
        </w:tc>
        <w:tc>
          <w:tcPr>
            <w:tcW w:w="1041" w:type="dxa"/>
            <w:shd w:val="clear" w:color="auto" w:fill="auto"/>
            <w:noWrap/>
            <w:vAlign w:val="center"/>
          </w:tcPr>
          <w:p w14:paraId="56CEE8C2">
            <w:pPr>
              <w:widowControl w:val="0"/>
              <w:jc w:val="both"/>
              <w:rPr>
                <w:rFonts w:eastAsia="宋体"/>
                <w:kern w:val="2"/>
                <w:sz w:val="21"/>
                <w:lang w:eastAsia="zh-CN"/>
              </w:rPr>
            </w:pPr>
          </w:p>
        </w:tc>
        <w:tc>
          <w:tcPr>
            <w:tcW w:w="847" w:type="dxa"/>
            <w:shd w:val="clear" w:color="auto" w:fill="auto"/>
            <w:noWrap/>
            <w:vAlign w:val="center"/>
          </w:tcPr>
          <w:p w14:paraId="5BA77F09">
            <w:pPr>
              <w:widowControl w:val="0"/>
              <w:jc w:val="both"/>
              <w:rPr>
                <w:rFonts w:eastAsia="宋体"/>
                <w:kern w:val="2"/>
                <w:sz w:val="21"/>
                <w:lang w:eastAsia="zh-CN"/>
              </w:rPr>
            </w:pPr>
          </w:p>
        </w:tc>
        <w:tc>
          <w:tcPr>
            <w:tcW w:w="805" w:type="dxa"/>
            <w:vAlign w:val="center"/>
          </w:tcPr>
          <w:p w14:paraId="1CBC073A">
            <w:pPr>
              <w:widowControl w:val="0"/>
              <w:jc w:val="both"/>
              <w:rPr>
                <w:rFonts w:eastAsia="宋体"/>
                <w:kern w:val="2"/>
                <w:sz w:val="21"/>
                <w:lang w:eastAsia="zh-CN"/>
              </w:rPr>
            </w:pPr>
          </w:p>
        </w:tc>
        <w:tc>
          <w:tcPr>
            <w:tcW w:w="1100" w:type="dxa"/>
            <w:vAlign w:val="center"/>
          </w:tcPr>
          <w:p w14:paraId="0D6952CD">
            <w:pPr>
              <w:widowControl w:val="0"/>
              <w:jc w:val="both"/>
              <w:rPr>
                <w:rFonts w:eastAsia="宋体"/>
                <w:kern w:val="2"/>
                <w:sz w:val="21"/>
                <w:lang w:eastAsia="zh-CN"/>
              </w:rPr>
            </w:pPr>
          </w:p>
        </w:tc>
        <w:tc>
          <w:tcPr>
            <w:tcW w:w="1263" w:type="dxa"/>
            <w:vAlign w:val="center"/>
          </w:tcPr>
          <w:p w14:paraId="7FDDCA8B">
            <w:pPr>
              <w:widowControl w:val="0"/>
              <w:jc w:val="both"/>
              <w:rPr>
                <w:rFonts w:eastAsia="宋体"/>
                <w:kern w:val="2"/>
                <w:sz w:val="21"/>
                <w:lang w:eastAsia="zh-CN"/>
              </w:rPr>
            </w:pPr>
          </w:p>
        </w:tc>
      </w:tr>
      <w:tr w14:paraId="6C4F8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3F3635D7">
            <w:pPr>
              <w:widowControl w:val="0"/>
              <w:jc w:val="both"/>
              <w:rPr>
                <w:rFonts w:eastAsia="宋体"/>
                <w:kern w:val="2"/>
                <w:sz w:val="21"/>
                <w:lang w:eastAsia="zh-CN"/>
              </w:rPr>
            </w:pPr>
          </w:p>
        </w:tc>
        <w:tc>
          <w:tcPr>
            <w:tcW w:w="656" w:type="dxa"/>
            <w:vAlign w:val="center"/>
          </w:tcPr>
          <w:p w14:paraId="4D574BCD">
            <w:pPr>
              <w:widowControl w:val="0"/>
              <w:jc w:val="both"/>
              <w:rPr>
                <w:rFonts w:eastAsia="宋体"/>
                <w:kern w:val="2"/>
                <w:sz w:val="21"/>
                <w:lang w:eastAsia="zh-CN"/>
              </w:rPr>
            </w:pPr>
          </w:p>
        </w:tc>
        <w:tc>
          <w:tcPr>
            <w:tcW w:w="3261" w:type="dxa"/>
            <w:gridSpan w:val="2"/>
            <w:shd w:val="clear" w:color="auto" w:fill="auto"/>
            <w:noWrap/>
            <w:vAlign w:val="center"/>
          </w:tcPr>
          <w:p w14:paraId="46489E8E">
            <w:pPr>
              <w:widowControl w:val="0"/>
              <w:jc w:val="both"/>
              <w:rPr>
                <w:rFonts w:eastAsia="宋体"/>
                <w:kern w:val="2"/>
                <w:sz w:val="21"/>
                <w:lang w:eastAsia="zh-CN"/>
              </w:rPr>
            </w:pPr>
          </w:p>
        </w:tc>
        <w:tc>
          <w:tcPr>
            <w:tcW w:w="1041" w:type="dxa"/>
            <w:shd w:val="clear" w:color="auto" w:fill="auto"/>
            <w:noWrap/>
            <w:vAlign w:val="center"/>
          </w:tcPr>
          <w:p w14:paraId="38BC60A5">
            <w:pPr>
              <w:widowControl w:val="0"/>
              <w:jc w:val="both"/>
              <w:rPr>
                <w:rFonts w:eastAsia="宋体"/>
                <w:kern w:val="2"/>
                <w:sz w:val="21"/>
                <w:lang w:eastAsia="zh-CN"/>
              </w:rPr>
            </w:pPr>
          </w:p>
        </w:tc>
        <w:tc>
          <w:tcPr>
            <w:tcW w:w="847" w:type="dxa"/>
            <w:shd w:val="clear" w:color="auto" w:fill="auto"/>
            <w:noWrap/>
            <w:vAlign w:val="center"/>
          </w:tcPr>
          <w:p w14:paraId="2ADC2A40">
            <w:pPr>
              <w:widowControl w:val="0"/>
              <w:jc w:val="both"/>
              <w:rPr>
                <w:rFonts w:eastAsia="宋体"/>
                <w:kern w:val="2"/>
                <w:sz w:val="21"/>
                <w:lang w:eastAsia="zh-CN"/>
              </w:rPr>
            </w:pPr>
          </w:p>
        </w:tc>
        <w:tc>
          <w:tcPr>
            <w:tcW w:w="805" w:type="dxa"/>
            <w:vAlign w:val="center"/>
          </w:tcPr>
          <w:p w14:paraId="3B1BEC59">
            <w:pPr>
              <w:widowControl w:val="0"/>
              <w:jc w:val="both"/>
              <w:rPr>
                <w:rFonts w:eastAsia="宋体"/>
                <w:kern w:val="2"/>
                <w:sz w:val="21"/>
                <w:lang w:eastAsia="zh-CN"/>
              </w:rPr>
            </w:pPr>
          </w:p>
        </w:tc>
        <w:tc>
          <w:tcPr>
            <w:tcW w:w="1100" w:type="dxa"/>
            <w:vAlign w:val="center"/>
          </w:tcPr>
          <w:p w14:paraId="1E2DC6E0">
            <w:pPr>
              <w:widowControl w:val="0"/>
              <w:jc w:val="both"/>
              <w:rPr>
                <w:rFonts w:eastAsia="宋体"/>
                <w:kern w:val="2"/>
                <w:sz w:val="21"/>
                <w:lang w:eastAsia="zh-CN"/>
              </w:rPr>
            </w:pPr>
          </w:p>
        </w:tc>
        <w:tc>
          <w:tcPr>
            <w:tcW w:w="1263" w:type="dxa"/>
            <w:vAlign w:val="center"/>
          </w:tcPr>
          <w:p w14:paraId="34A1BB61">
            <w:pPr>
              <w:widowControl w:val="0"/>
              <w:jc w:val="both"/>
              <w:rPr>
                <w:rFonts w:eastAsia="宋体"/>
                <w:kern w:val="2"/>
                <w:sz w:val="21"/>
                <w:lang w:eastAsia="zh-CN"/>
              </w:rPr>
            </w:pPr>
          </w:p>
        </w:tc>
      </w:tr>
      <w:tr w14:paraId="55717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38BDF6A7">
            <w:pPr>
              <w:widowControl w:val="0"/>
              <w:jc w:val="both"/>
              <w:rPr>
                <w:rFonts w:eastAsia="宋体"/>
                <w:kern w:val="2"/>
                <w:sz w:val="21"/>
                <w:lang w:eastAsia="zh-CN"/>
              </w:rPr>
            </w:pPr>
          </w:p>
        </w:tc>
        <w:tc>
          <w:tcPr>
            <w:tcW w:w="656" w:type="dxa"/>
            <w:vAlign w:val="center"/>
          </w:tcPr>
          <w:p w14:paraId="0621D445">
            <w:pPr>
              <w:widowControl w:val="0"/>
              <w:jc w:val="both"/>
              <w:rPr>
                <w:rFonts w:eastAsia="宋体"/>
                <w:kern w:val="2"/>
                <w:sz w:val="21"/>
                <w:lang w:eastAsia="zh-CN"/>
              </w:rPr>
            </w:pPr>
          </w:p>
        </w:tc>
        <w:tc>
          <w:tcPr>
            <w:tcW w:w="3261" w:type="dxa"/>
            <w:gridSpan w:val="2"/>
            <w:shd w:val="clear" w:color="auto" w:fill="auto"/>
            <w:noWrap/>
            <w:vAlign w:val="center"/>
          </w:tcPr>
          <w:p w14:paraId="6FF4D240">
            <w:pPr>
              <w:widowControl w:val="0"/>
              <w:jc w:val="both"/>
              <w:rPr>
                <w:rFonts w:eastAsia="宋体"/>
                <w:kern w:val="2"/>
                <w:sz w:val="21"/>
                <w:lang w:eastAsia="zh-CN"/>
              </w:rPr>
            </w:pPr>
          </w:p>
        </w:tc>
        <w:tc>
          <w:tcPr>
            <w:tcW w:w="1041" w:type="dxa"/>
            <w:shd w:val="clear" w:color="auto" w:fill="auto"/>
            <w:noWrap/>
            <w:vAlign w:val="center"/>
          </w:tcPr>
          <w:p w14:paraId="328F5F62">
            <w:pPr>
              <w:widowControl w:val="0"/>
              <w:jc w:val="both"/>
              <w:rPr>
                <w:rFonts w:eastAsia="宋体"/>
                <w:kern w:val="2"/>
                <w:sz w:val="21"/>
                <w:lang w:eastAsia="zh-CN"/>
              </w:rPr>
            </w:pPr>
          </w:p>
        </w:tc>
        <w:tc>
          <w:tcPr>
            <w:tcW w:w="847" w:type="dxa"/>
            <w:shd w:val="clear" w:color="auto" w:fill="auto"/>
            <w:noWrap/>
            <w:vAlign w:val="center"/>
          </w:tcPr>
          <w:p w14:paraId="545D2DD3">
            <w:pPr>
              <w:widowControl w:val="0"/>
              <w:jc w:val="both"/>
              <w:rPr>
                <w:rFonts w:eastAsia="宋体"/>
                <w:kern w:val="2"/>
                <w:sz w:val="21"/>
                <w:lang w:eastAsia="zh-CN"/>
              </w:rPr>
            </w:pPr>
          </w:p>
        </w:tc>
        <w:tc>
          <w:tcPr>
            <w:tcW w:w="805" w:type="dxa"/>
            <w:vAlign w:val="center"/>
          </w:tcPr>
          <w:p w14:paraId="65217704">
            <w:pPr>
              <w:widowControl w:val="0"/>
              <w:jc w:val="both"/>
              <w:rPr>
                <w:rFonts w:eastAsia="宋体"/>
                <w:kern w:val="2"/>
                <w:sz w:val="21"/>
                <w:lang w:eastAsia="zh-CN"/>
              </w:rPr>
            </w:pPr>
          </w:p>
        </w:tc>
        <w:tc>
          <w:tcPr>
            <w:tcW w:w="1100" w:type="dxa"/>
            <w:vAlign w:val="center"/>
          </w:tcPr>
          <w:p w14:paraId="29C1619D">
            <w:pPr>
              <w:widowControl w:val="0"/>
              <w:jc w:val="both"/>
              <w:rPr>
                <w:rFonts w:eastAsia="宋体"/>
                <w:kern w:val="2"/>
                <w:sz w:val="21"/>
                <w:lang w:eastAsia="zh-CN"/>
              </w:rPr>
            </w:pPr>
          </w:p>
        </w:tc>
        <w:tc>
          <w:tcPr>
            <w:tcW w:w="1263" w:type="dxa"/>
            <w:vAlign w:val="center"/>
          </w:tcPr>
          <w:p w14:paraId="6134003B">
            <w:pPr>
              <w:widowControl w:val="0"/>
              <w:jc w:val="both"/>
              <w:rPr>
                <w:rFonts w:eastAsia="宋体"/>
                <w:kern w:val="2"/>
                <w:sz w:val="21"/>
                <w:lang w:eastAsia="zh-CN"/>
              </w:rPr>
            </w:pPr>
          </w:p>
        </w:tc>
      </w:tr>
      <w:tr w14:paraId="2C14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087D6689">
            <w:pPr>
              <w:widowControl w:val="0"/>
              <w:jc w:val="both"/>
              <w:rPr>
                <w:rFonts w:eastAsia="宋体"/>
                <w:kern w:val="2"/>
                <w:sz w:val="21"/>
                <w:lang w:eastAsia="zh-CN"/>
              </w:rPr>
            </w:pPr>
          </w:p>
        </w:tc>
        <w:tc>
          <w:tcPr>
            <w:tcW w:w="656" w:type="dxa"/>
            <w:vAlign w:val="center"/>
          </w:tcPr>
          <w:p w14:paraId="07E4D943">
            <w:pPr>
              <w:widowControl w:val="0"/>
              <w:jc w:val="both"/>
              <w:rPr>
                <w:rFonts w:eastAsia="宋体"/>
                <w:kern w:val="2"/>
                <w:sz w:val="21"/>
                <w:lang w:eastAsia="zh-CN"/>
              </w:rPr>
            </w:pPr>
          </w:p>
        </w:tc>
        <w:tc>
          <w:tcPr>
            <w:tcW w:w="3261" w:type="dxa"/>
            <w:gridSpan w:val="2"/>
            <w:shd w:val="clear" w:color="auto" w:fill="auto"/>
            <w:noWrap/>
            <w:vAlign w:val="center"/>
          </w:tcPr>
          <w:p w14:paraId="67298CC0">
            <w:pPr>
              <w:widowControl w:val="0"/>
              <w:jc w:val="both"/>
              <w:rPr>
                <w:rFonts w:eastAsia="宋体"/>
                <w:kern w:val="2"/>
                <w:sz w:val="21"/>
                <w:lang w:eastAsia="zh-CN"/>
              </w:rPr>
            </w:pPr>
          </w:p>
        </w:tc>
        <w:tc>
          <w:tcPr>
            <w:tcW w:w="1041" w:type="dxa"/>
            <w:shd w:val="clear" w:color="auto" w:fill="auto"/>
            <w:noWrap/>
            <w:vAlign w:val="center"/>
          </w:tcPr>
          <w:p w14:paraId="41663D39">
            <w:pPr>
              <w:widowControl w:val="0"/>
              <w:jc w:val="both"/>
              <w:rPr>
                <w:rFonts w:eastAsia="宋体"/>
                <w:kern w:val="2"/>
                <w:sz w:val="21"/>
                <w:lang w:eastAsia="zh-CN"/>
              </w:rPr>
            </w:pPr>
          </w:p>
        </w:tc>
        <w:tc>
          <w:tcPr>
            <w:tcW w:w="847" w:type="dxa"/>
            <w:shd w:val="clear" w:color="auto" w:fill="auto"/>
            <w:noWrap/>
            <w:vAlign w:val="center"/>
          </w:tcPr>
          <w:p w14:paraId="63099093">
            <w:pPr>
              <w:widowControl w:val="0"/>
              <w:jc w:val="both"/>
              <w:rPr>
                <w:rFonts w:eastAsia="宋体"/>
                <w:kern w:val="2"/>
                <w:sz w:val="21"/>
                <w:lang w:eastAsia="zh-CN"/>
              </w:rPr>
            </w:pPr>
          </w:p>
        </w:tc>
        <w:tc>
          <w:tcPr>
            <w:tcW w:w="805" w:type="dxa"/>
            <w:vAlign w:val="center"/>
          </w:tcPr>
          <w:p w14:paraId="547AA86B">
            <w:pPr>
              <w:widowControl w:val="0"/>
              <w:jc w:val="both"/>
              <w:rPr>
                <w:rFonts w:eastAsia="宋体"/>
                <w:kern w:val="2"/>
                <w:sz w:val="21"/>
                <w:lang w:eastAsia="zh-CN"/>
              </w:rPr>
            </w:pPr>
          </w:p>
        </w:tc>
        <w:tc>
          <w:tcPr>
            <w:tcW w:w="1100" w:type="dxa"/>
            <w:vAlign w:val="center"/>
          </w:tcPr>
          <w:p w14:paraId="662CAC7A">
            <w:pPr>
              <w:widowControl w:val="0"/>
              <w:jc w:val="both"/>
              <w:rPr>
                <w:rFonts w:eastAsia="宋体"/>
                <w:kern w:val="2"/>
                <w:sz w:val="21"/>
                <w:lang w:eastAsia="zh-CN"/>
              </w:rPr>
            </w:pPr>
          </w:p>
        </w:tc>
        <w:tc>
          <w:tcPr>
            <w:tcW w:w="1263" w:type="dxa"/>
            <w:vAlign w:val="center"/>
          </w:tcPr>
          <w:p w14:paraId="3654013C">
            <w:pPr>
              <w:widowControl w:val="0"/>
              <w:jc w:val="both"/>
              <w:rPr>
                <w:rFonts w:eastAsia="宋体"/>
                <w:kern w:val="2"/>
                <w:sz w:val="21"/>
                <w:lang w:eastAsia="zh-CN"/>
              </w:rPr>
            </w:pPr>
          </w:p>
        </w:tc>
      </w:tr>
      <w:tr w14:paraId="3666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 w:hRule="atLeast"/>
          <w:jc w:val="center"/>
        </w:trPr>
        <w:tc>
          <w:tcPr>
            <w:tcW w:w="473" w:type="dxa"/>
            <w:vMerge w:val="restart"/>
            <w:shd w:val="clear" w:color="auto" w:fill="auto"/>
            <w:noWrap/>
            <w:vAlign w:val="center"/>
          </w:tcPr>
          <w:p w14:paraId="2446BB8A">
            <w:pPr>
              <w:widowControl w:val="0"/>
              <w:jc w:val="both"/>
              <w:rPr>
                <w:rFonts w:eastAsia="宋体"/>
                <w:kern w:val="2"/>
                <w:sz w:val="21"/>
                <w:lang w:eastAsia="zh-CN"/>
              </w:rPr>
            </w:pPr>
            <w:r>
              <w:rPr>
                <w:rFonts w:hint="eastAsia" w:eastAsia="宋体"/>
                <w:kern w:val="2"/>
                <w:sz w:val="21"/>
                <w:lang w:eastAsia="zh-CN"/>
              </w:rPr>
              <w:t>2</w:t>
            </w:r>
          </w:p>
        </w:tc>
        <w:tc>
          <w:tcPr>
            <w:tcW w:w="656" w:type="dxa"/>
            <w:vAlign w:val="center"/>
          </w:tcPr>
          <w:p w14:paraId="6AEE85DD">
            <w:pPr>
              <w:widowControl w:val="0"/>
              <w:jc w:val="both"/>
              <w:rPr>
                <w:rFonts w:eastAsia="宋体"/>
                <w:kern w:val="2"/>
                <w:sz w:val="21"/>
                <w:lang w:eastAsia="zh-CN"/>
              </w:rPr>
            </w:pPr>
          </w:p>
        </w:tc>
        <w:tc>
          <w:tcPr>
            <w:tcW w:w="3261" w:type="dxa"/>
            <w:gridSpan w:val="2"/>
            <w:shd w:val="clear" w:color="auto" w:fill="auto"/>
            <w:noWrap/>
            <w:vAlign w:val="center"/>
          </w:tcPr>
          <w:p w14:paraId="537973EB">
            <w:pPr>
              <w:widowControl w:val="0"/>
              <w:jc w:val="both"/>
              <w:rPr>
                <w:rFonts w:eastAsia="宋体"/>
                <w:kern w:val="2"/>
                <w:sz w:val="21"/>
                <w:lang w:eastAsia="zh-CN"/>
              </w:rPr>
            </w:pPr>
          </w:p>
        </w:tc>
        <w:tc>
          <w:tcPr>
            <w:tcW w:w="1041" w:type="dxa"/>
            <w:shd w:val="clear" w:color="auto" w:fill="auto"/>
            <w:noWrap/>
            <w:vAlign w:val="center"/>
          </w:tcPr>
          <w:p w14:paraId="7F6A100C">
            <w:pPr>
              <w:widowControl w:val="0"/>
              <w:jc w:val="both"/>
              <w:rPr>
                <w:rFonts w:eastAsia="宋体"/>
                <w:kern w:val="2"/>
                <w:sz w:val="21"/>
                <w:lang w:eastAsia="zh-CN"/>
              </w:rPr>
            </w:pPr>
          </w:p>
        </w:tc>
        <w:tc>
          <w:tcPr>
            <w:tcW w:w="847" w:type="dxa"/>
            <w:shd w:val="clear" w:color="auto" w:fill="auto"/>
            <w:noWrap/>
            <w:vAlign w:val="center"/>
          </w:tcPr>
          <w:p w14:paraId="47741F36">
            <w:pPr>
              <w:widowControl w:val="0"/>
              <w:jc w:val="both"/>
              <w:rPr>
                <w:rFonts w:eastAsia="宋体"/>
                <w:kern w:val="2"/>
                <w:sz w:val="21"/>
                <w:lang w:eastAsia="zh-CN"/>
              </w:rPr>
            </w:pPr>
          </w:p>
        </w:tc>
        <w:tc>
          <w:tcPr>
            <w:tcW w:w="805" w:type="dxa"/>
            <w:vAlign w:val="center"/>
          </w:tcPr>
          <w:p w14:paraId="55248E2B">
            <w:pPr>
              <w:widowControl w:val="0"/>
              <w:jc w:val="both"/>
              <w:rPr>
                <w:rFonts w:eastAsia="宋体"/>
                <w:kern w:val="2"/>
                <w:sz w:val="21"/>
                <w:lang w:eastAsia="zh-CN"/>
              </w:rPr>
            </w:pPr>
          </w:p>
        </w:tc>
        <w:tc>
          <w:tcPr>
            <w:tcW w:w="1100" w:type="dxa"/>
            <w:vAlign w:val="center"/>
          </w:tcPr>
          <w:p w14:paraId="7F2BA2AC">
            <w:pPr>
              <w:widowControl w:val="0"/>
              <w:jc w:val="both"/>
              <w:rPr>
                <w:rFonts w:eastAsia="宋体"/>
                <w:kern w:val="2"/>
                <w:sz w:val="21"/>
                <w:lang w:eastAsia="zh-CN"/>
              </w:rPr>
            </w:pPr>
          </w:p>
        </w:tc>
        <w:tc>
          <w:tcPr>
            <w:tcW w:w="1263" w:type="dxa"/>
            <w:vAlign w:val="center"/>
          </w:tcPr>
          <w:p w14:paraId="40CB4FC4">
            <w:pPr>
              <w:widowControl w:val="0"/>
              <w:jc w:val="both"/>
              <w:rPr>
                <w:rFonts w:eastAsia="宋体"/>
                <w:kern w:val="2"/>
                <w:sz w:val="21"/>
                <w:lang w:eastAsia="zh-CN"/>
              </w:rPr>
            </w:pPr>
          </w:p>
        </w:tc>
      </w:tr>
      <w:tr w14:paraId="7470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1806F172">
            <w:pPr>
              <w:widowControl w:val="0"/>
              <w:jc w:val="both"/>
              <w:rPr>
                <w:rFonts w:eastAsia="宋体"/>
                <w:kern w:val="2"/>
                <w:sz w:val="21"/>
                <w:lang w:eastAsia="zh-CN"/>
              </w:rPr>
            </w:pPr>
          </w:p>
        </w:tc>
        <w:tc>
          <w:tcPr>
            <w:tcW w:w="656" w:type="dxa"/>
            <w:vAlign w:val="center"/>
          </w:tcPr>
          <w:p w14:paraId="70AB937D">
            <w:pPr>
              <w:widowControl w:val="0"/>
              <w:jc w:val="both"/>
              <w:rPr>
                <w:rFonts w:eastAsia="宋体"/>
                <w:kern w:val="2"/>
                <w:sz w:val="21"/>
                <w:lang w:eastAsia="zh-CN"/>
              </w:rPr>
            </w:pPr>
          </w:p>
        </w:tc>
        <w:tc>
          <w:tcPr>
            <w:tcW w:w="3261" w:type="dxa"/>
            <w:gridSpan w:val="2"/>
            <w:shd w:val="clear" w:color="auto" w:fill="auto"/>
            <w:noWrap/>
            <w:vAlign w:val="center"/>
          </w:tcPr>
          <w:p w14:paraId="3B8D6A7F">
            <w:pPr>
              <w:widowControl w:val="0"/>
              <w:jc w:val="both"/>
              <w:rPr>
                <w:rFonts w:eastAsia="宋体"/>
                <w:kern w:val="2"/>
                <w:sz w:val="21"/>
                <w:lang w:eastAsia="zh-CN"/>
              </w:rPr>
            </w:pPr>
          </w:p>
        </w:tc>
        <w:tc>
          <w:tcPr>
            <w:tcW w:w="1041" w:type="dxa"/>
            <w:shd w:val="clear" w:color="auto" w:fill="auto"/>
            <w:noWrap/>
            <w:vAlign w:val="center"/>
          </w:tcPr>
          <w:p w14:paraId="15A633C6">
            <w:pPr>
              <w:widowControl w:val="0"/>
              <w:jc w:val="both"/>
              <w:rPr>
                <w:rFonts w:eastAsia="宋体"/>
                <w:kern w:val="2"/>
                <w:sz w:val="21"/>
                <w:lang w:eastAsia="zh-CN"/>
              </w:rPr>
            </w:pPr>
          </w:p>
        </w:tc>
        <w:tc>
          <w:tcPr>
            <w:tcW w:w="847" w:type="dxa"/>
            <w:shd w:val="clear" w:color="auto" w:fill="auto"/>
            <w:noWrap/>
            <w:vAlign w:val="center"/>
          </w:tcPr>
          <w:p w14:paraId="72C6A6A3">
            <w:pPr>
              <w:widowControl w:val="0"/>
              <w:jc w:val="both"/>
              <w:rPr>
                <w:rFonts w:eastAsia="宋体"/>
                <w:kern w:val="2"/>
                <w:sz w:val="21"/>
                <w:lang w:eastAsia="zh-CN"/>
              </w:rPr>
            </w:pPr>
          </w:p>
        </w:tc>
        <w:tc>
          <w:tcPr>
            <w:tcW w:w="805" w:type="dxa"/>
            <w:vAlign w:val="center"/>
          </w:tcPr>
          <w:p w14:paraId="70B92A51">
            <w:pPr>
              <w:widowControl w:val="0"/>
              <w:jc w:val="both"/>
              <w:rPr>
                <w:rFonts w:eastAsia="宋体"/>
                <w:kern w:val="2"/>
                <w:sz w:val="21"/>
                <w:lang w:eastAsia="zh-CN"/>
              </w:rPr>
            </w:pPr>
          </w:p>
        </w:tc>
        <w:tc>
          <w:tcPr>
            <w:tcW w:w="1100" w:type="dxa"/>
            <w:vAlign w:val="center"/>
          </w:tcPr>
          <w:p w14:paraId="1FECE23D">
            <w:pPr>
              <w:widowControl w:val="0"/>
              <w:jc w:val="both"/>
              <w:rPr>
                <w:rFonts w:eastAsia="宋体"/>
                <w:kern w:val="2"/>
                <w:sz w:val="21"/>
                <w:lang w:eastAsia="zh-CN"/>
              </w:rPr>
            </w:pPr>
          </w:p>
        </w:tc>
        <w:tc>
          <w:tcPr>
            <w:tcW w:w="1263" w:type="dxa"/>
            <w:vAlign w:val="center"/>
          </w:tcPr>
          <w:p w14:paraId="0E33468C">
            <w:pPr>
              <w:widowControl w:val="0"/>
              <w:jc w:val="both"/>
              <w:rPr>
                <w:rFonts w:eastAsia="宋体"/>
                <w:kern w:val="2"/>
                <w:sz w:val="21"/>
                <w:lang w:eastAsia="zh-CN"/>
              </w:rPr>
            </w:pPr>
          </w:p>
        </w:tc>
      </w:tr>
      <w:tr w14:paraId="4834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5F406243">
            <w:pPr>
              <w:widowControl w:val="0"/>
              <w:jc w:val="both"/>
              <w:rPr>
                <w:rFonts w:eastAsia="宋体"/>
                <w:kern w:val="2"/>
                <w:sz w:val="21"/>
                <w:lang w:eastAsia="zh-CN"/>
              </w:rPr>
            </w:pPr>
          </w:p>
        </w:tc>
        <w:tc>
          <w:tcPr>
            <w:tcW w:w="656" w:type="dxa"/>
            <w:vAlign w:val="center"/>
          </w:tcPr>
          <w:p w14:paraId="5F1DDFCC">
            <w:pPr>
              <w:widowControl w:val="0"/>
              <w:jc w:val="both"/>
              <w:rPr>
                <w:rFonts w:eastAsia="宋体"/>
                <w:kern w:val="2"/>
                <w:sz w:val="21"/>
                <w:lang w:eastAsia="zh-CN"/>
              </w:rPr>
            </w:pPr>
          </w:p>
        </w:tc>
        <w:tc>
          <w:tcPr>
            <w:tcW w:w="3261" w:type="dxa"/>
            <w:gridSpan w:val="2"/>
            <w:shd w:val="clear" w:color="auto" w:fill="auto"/>
            <w:noWrap/>
            <w:vAlign w:val="center"/>
          </w:tcPr>
          <w:p w14:paraId="39089F6A">
            <w:pPr>
              <w:widowControl w:val="0"/>
              <w:jc w:val="both"/>
              <w:rPr>
                <w:rFonts w:eastAsia="宋体"/>
                <w:kern w:val="2"/>
                <w:sz w:val="21"/>
                <w:lang w:eastAsia="zh-CN"/>
              </w:rPr>
            </w:pPr>
          </w:p>
        </w:tc>
        <w:tc>
          <w:tcPr>
            <w:tcW w:w="1041" w:type="dxa"/>
            <w:shd w:val="clear" w:color="auto" w:fill="auto"/>
            <w:noWrap/>
            <w:vAlign w:val="center"/>
          </w:tcPr>
          <w:p w14:paraId="647EB840">
            <w:pPr>
              <w:widowControl w:val="0"/>
              <w:jc w:val="both"/>
              <w:rPr>
                <w:rFonts w:eastAsia="宋体"/>
                <w:kern w:val="2"/>
                <w:sz w:val="21"/>
                <w:lang w:eastAsia="zh-CN"/>
              </w:rPr>
            </w:pPr>
          </w:p>
        </w:tc>
        <w:tc>
          <w:tcPr>
            <w:tcW w:w="847" w:type="dxa"/>
            <w:shd w:val="clear" w:color="auto" w:fill="auto"/>
            <w:noWrap/>
            <w:vAlign w:val="center"/>
          </w:tcPr>
          <w:p w14:paraId="2759392A">
            <w:pPr>
              <w:widowControl w:val="0"/>
              <w:jc w:val="both"/>
              <w:rPr>
                <w:rFonts w:eastAsia="宋体"/>
                <w:kern w:val="2"/>
                <w:sz w:val="21"/>
                <w:lang w:eastAsia="zh-CN"/>
              </w:rPr>
            </w:pPr>
          </w:p>
        </w:tc>
        <w:tc>
          <w:tcPr>
            <w:tcW w:w="805" w:type="dxa"/>
            <w:vAlign w:val="center"/>
          </w:tcPr>
          <w:p w14:paraId="34DD8976">
            <w:pPr>
              <w:widowControl w:val="0"/>
              <w:jc w:val="both"/>
              <w:rPr>
                <w:rFonts w:eastAsia="宋体"/>
                <w:kern w:val="2"/>
                <w:sz w:val="21"/>
                <w:lang w:eastAsia="zh-CN"/>
              </w:rPr>
            </w:pPr>
          </w:p>
        </w:tc>
        <w:tc>
          <w:tcPr>
            <w:tcW w:w="1100" w:type="dxa"/>
            <w:vAlign w:val="center"/>
          </w:tcPr>
          <w:p w14:paraId="79E97A0C">
            <w:pPr>
              <w:widowControl w:val="0"/>
              <w:jc w:val="both"/>
              <w:rPr>
                <w:rFonts w:eastAsia="宋体"/>
                <w:kern w:val="2"/>
                <w:sz w:val="21"/>
                <w:lang w:eastAsia="zh-CN"/>
              </w:rPr>
            </w:pPr>
          </w:p>
        </w:tc>
        <w:tc>
          <w:tcPr>
            <w:tcW w:w="1263" w:type="dxa"/>
            <w:vAlign w:val="center"/>
          </w:tcPr>
          <w:p w14:paraId="65FD67D5">
            <w:pPr>
              <w:widowControl w:val="0"/>
              <w:jc w:val="both"/>
              <w:rPr>
                <w:rFonts w:eastAsia="宋体"/>
                <w:kern w:val="2"/>
                <w:sz w:val="21"/>
                <w:lang w:eastAsia="zh-CN"/>
              </w:rPr>
            </w:pPr>
          </w:p>
        </w:tc>
      </w:tr>
      <w:tr w14:paraId="0AD9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160A8816">
            <w:pPr>
              <w:widowControl w:val="0"/>
              <w:jc w:val="both"/>
              <w:rPr>
                <w:rFonts w:eastAsia="宋体"/>
                <w:kern w:val="2"/>
                <w:sz w:val="21"/>
                <w:lang w:eastAsia="zh-CN"/>
              </w:rPr>
            </w:pPr>
          </w:p>
        </w:tc>
        <w:tc>
          <w:tcPr>
            <w:tcW w:w="656" w:type="dxa"/>
            <w:vAlign w:val="center"/>
          </w:tcPr>
          <w:p w14:paraId="427C7F4C">
            <w:pPr>
              <w:widowControl w:val="0"/>
              <w:jc w:val="both"/>
              <w:rPr>
                <w:rFonts w:eastAsia="宋体"/>
                <w:kern w:val="2"/>
                <w:sz w:val="21"/>
                <w:lang w:eastAsia="zh-CN"/>
              </w:rPr>
            </w:pPr>
          </w:p>
        </w:tc>
        <w:tc>
          <w:tcPr>
            <w:tcW w:w="3261" w:type="dxa"/>
            <w:gridSpan w:val="2"/>
            <w:shd w:val="clear" w:color="auto" w:fill="auto"/>
            <w:noWrap/>
            <w:vAlign w:val="center"/>
          </w:tcPr>
          <w:p w14:paraId="00EA7294">
            <w:pPr>
              <w:widowControl w:val="0"/>
              <w:jc w:val="both"/>
              <w:rPr>
                <w:rFonts w:eastAsia="宋体"/>
                <w:kern w:val="2"/>
                <w:sz w:val="21"/>
                <w:lang w:eastAsia="zh-CN"/>
              </w:rPr>
            </w:pPr>
          </w:p>
        </w:tc>
        <w:tc>
          <w:tcPr>
            <w:tcW w:w="1041" w:type="dxa"/>
            <w:shd w:val="clear" w:color="auto" w:fill="auto"/>
            <w:noWrap/>
            <w:vAlign w:val="center"/>
          </w:tcPr>
          <w:p w14:paraId="2F43CAA0">
            <w:pPr>
              <w:widowControl w:val="0"/>
              <w:jc w:val="both"/>
              <w:rPr>
                <w:rFonts w:eastAsia="宋体"/>
                <w:kern w:val="2"/>
                <w:sz w:val="21"/>
                <w:lang w:eastAsia="zh-CN"/>
              </w:rPr>
            </w:pPr>
          </w:p>
        </w:tc>
        <w:tc>
          <w:tcPr>
            <w:tcW w:w="847" w:type="dxa"/>
            <w:shd w:val="clear" w:color="auto" w:fill="auto"/>
            <w:noWrap/>
            <w:vAlign w:val="center"/>
          </w:tcPr>
          <w:p w14:paraId="407173FB">
            <w:pPr>
              <w:widowControl w:val="0"/>
              <w:jc w:val="both"/>
              <w:rPr>
                <w:rFonts w:eastAsia="宋体"/>
                <w:kern w:val="2"/>
                <w:sz w:val="21"/>
                <w:lang w:eastAsia="zh-CN"/>
              </w:rPr>
            </w:pPr>
          </w:p>
        </w:tc>
        <w:tc>
          <w:tcPr>
            <w:tcW w:w="805" w:type="dxa"/>
            <w:vAlign w:val="center"/>
          </w:tcPr>
          <w:p w14:paraId="6C1E2894">
            <w:pPr>
              <w:widowControl w:val="0"/>
              <w:jc w:val="both"/>
              <w:rPr>
                <w:rFonts w:eastAsia="宋体"/>
                <w:kern w:val="2"/>
                <w:sz w:val="21"/>
                <w:lang w:eastAsia="zh-CN"/>
              </w:rPr>
            </w:pPr>
          </w:p>
        </w:tc>
        <w:tc>
          <w:tcPr>
            <w:tcW w:w="1100" w:type="dxa"/>
            <w:vAlign w:val="center"/>
          </w:tcPr>
          <w:p w14:paraId="3D6CC260">
            <w:pPr>
              <w:widowControl w:val="0"/>
              <w:jc w:val="both"/>
              <w:rPr>
                <w:rFonts w:eastAsia="宋体"/>
                <w:kern w:val="2"/>
                <w:sz w:val="21"/>
                <w:lang w:eastAsia="zh-CN"/>
              </w:rPr>
            </w:pPr>
          </w:p>
        </w:tc>
        <w:tc>
          <w:tcPr>
            <w:tcW w:w="1263" w:type="dxa"/>
            <w:vAlign w:val="center"/>
          </w:tcPr>
          <w:p w14:paraId="2A5FA849">
            <w:pPr>
              <w:widowControl w:val="0"/>
              <w:jc w:val="both"/>
              <w:rPr>
                <w:rFonts w:eastAsia="宋体"/>
                <w:kern w:val="2"/>
                <w:sz w:val="21"/>
                <w:lang w:eastAsia="zh-CN"/>
              </w:rPr>
            </w:pPr>
          </w:p>
        </w:tc>
      </w:tr>
      <w:tr w14:paraId="1CC7B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441927EF">
            <w:pPr>
              <w:widowControl w:val="0"/>
              <w:jc w:val="both"/>
              <w:rPr>
                <w:rFonts w:eastAsia="宋体"/>
                <w:kern w:val="2"/>
                <w:sz w:val="21"/>
                <w:lang w:eastAsia="zh-CN"/>
              </w:rPr>
            </w:pPr>
          </w:p>
        </w:tc>
        <w:tc>
          <w:tcPr>
            <w:tcW w:w="656" w:type="dxa"/>
            <w:vAlign w:val="center"/>
          </w:tcPr>
          <w:p w14:paraId="16DD9466">
            <w:pPr>
              <w:widowControl w:val="0"/>
              <w:jc w:val="both"/>
              <w:rPr>
                <w:rFonts w:eastAsia="宋体"/>
                <w:kern w:val="2"/>
                <w:sz w:val="21"/>
                <w:lang w:eastAsia="zh-CN"/>
              </w:rPr>
            </w:pPr>
          </w:p>
        </w:tc>
        <w:tc>
          <w:tcPr>
            <w:tcW w:w="3261" w:type="dxa"/>
            <w:gridSpan w:val="2"/>
            <w:shd w:val="clear" w:color="auto" w:fill="auto"/>
            <w:noWrap/>
            <w:vAlign w:val="center"/>
          </w:tcPr>
          <w:p w14:paraId="20F2E3BA">
            <w:pPr>
              <w:widowControl w:val="0"/>
              <w:jc w:val="both"/>
              <w:rPr>
                <w:rFonts w:eastAsia="宋体"/>
                <w:kern w:val="2"/>
                <w:sz w:val="21"/>
                <w:lang w:eastAsia="zh-CN"/>
              </w:rPr>
            </w:pPr>
          </w:p>
        </w:tc>
        <w:tc>
          <w:tcPr>
            <w:tcW w:w="1041" w:type="dxa"/>
            <w:shd w:val="clear" w:color="auto" w:fill="auto"/>
            <w:noWrap/>
            <w:vAlign w:val="center"/>
          </w:tcPr>
          <w:p w14:paraId="3A34C375">
            <w:pPr>
              <w:widowControl w:val="0"/>
              <w:jc w:val="both"/>
              <w:rPr>
                <w:rFonts w:eastAsia="宋体"/>
                <w:kern w:val="2"/>
                <w:sz w:val="21"/>
                <w:lang w:eastAsia="zh-CN"/>
              </w:rPr>
            </w:pPr>
          </w:p>
        </w:tc>
        <w:tc>
          <w:tcPr>
            <w:tcW w:w="847" w:type="dxa"/>
            <w:shd w:val="clear" w:color="auto" w:fill="auto"/>
            <w:noWrap/>
            <w:vAlign w:val="center"/>
          </w:tcPr>
          <w:p w14:paraId="61D2E72A">
            <w:pPr>
              <w:widowControl w:val="0"/>
              <w:jc w:val="both"/>
              <w:rPr>
                <w:rFonts w:eastAsia="宋体"/>
                <w:kern w:val="2"/>
                <w:sz w:val="21"/>
                <w:lang w:eastAsia="zh-CN"/>
              </w:rPr>
            </w:pPr>
          </w:p>
        </w:tc>
        <w:tc>
          <w:tcPr>
            <w:tcW w:w="805" w:type="dxa"/>
            <w:vAlign w:val="center"/>
          </w:tcPr>
          <w:p w14:paraId="3D449F9D">
            <w:pPr>
              <w:widowControl w:val="0"/>
              <w:jc w:val="both"/>
              <w:rPr>
                <w:rFonts w:eastAsia="宋体"/>
                <w:kern w:val="2"/>
                <w:sz w:val="21"/>
                <w:lang w:eastAsia="zh-CN"/>
              </w:rPr>
            </w:pPr>
          </w:p>
        </w:tc>
        <w:tc>
          <w:tcPr>
            <w:tcW w:w="1100" w:type="dxa"/>
            <w:vAlign w:val="center"/>
          </w:tcPr>
          <w:p w14:paraId="472E8964">
            <w:pPr>
              <w:widowControl w:val="0"/>
              <w:jc w:val="both"/>
              <w:rPr>
                <w:rFonts w:eastAsia="宋体"/>
                <w:kern w:val="2"/>
                <w:sz w:val="21"/>
                <w:lang w:eastAsia="zh-CN"/>
              </w:rPr>
            </w:pPr>
          </w:p>
        </w:tc>
        <w:tc>
          <w:tcPr>
            <w:tcW w:w="1263" w:type="dxa"/>
            <w:vAlign w:val="center"/>
          </w:tcPr>
          <w:p w14:paraId="4009BB3F">
            <w:pPr>
              <w:widowControl w:val="0"/>
              <w:jc w:val="both"/>
              <w:rPr>
                <w:rFonts w:eastAsia="宋体"/>
                <w:kern w:val="2"/>
                <w:sz w:val="21"/>
                <w:lang w:eastAsia="zh-CN"/>
              </w:rPr>
            </w:pPr>
          </w:p>
        </w:tc>
      </w:tr>
      <w:tr w14:paraId="687E3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01CCCC08">
            <w:pPr>
              <w:widowControl w:val="0"/>
              <w:jc w:val="both"/>
              <w:rPr>
                <w:rFonts w:eastAsia="宋体"/>
                <w:kern w:val="2"/>
                <w:sz w:val="21"/>
                <w:lang w:eastAsia="zh-CN"/>
              </w:rPr>
            </w:pPr>
          </w:p>
        </w:tc>
        <w:tc>
          <w:tcPr>
            <w:tcW w:w="656" w:type="dxa"/>
            <w:vAlign w:val="center"/>
          </w:tcPr>
          <w:p w14:paraId="2BE8E6CE">
            <w:pPr>
              <w:widowControl w:val="0"/>
              <w:jc w:val="both"/>
              <w:rPr>
                <w:rFonts w:eastAsia="宋体"/>
                <w:kern w:val="2"/>
                <w:sz w:val="21"/>
                <w:lang w:eastAsia="zh-CN"/>
              </w:rPr>
            </w:pPr>
          </w:p>
        </w:tc>
        <w:tc>
          <w:tcPr>
            <w:tcW w:w="3261" w:type="dxa"/>
            <w:gridSpan w:val="2"/>
            <w:shd w:val="clear" w:color="auto" w:fill="auto"/>
            <w:noWrap/>
            <w:vAlign w:val="center"/>
          </w:tcPr>
          <w:p w14:paraId="14B990DA">
            <w:pPr>
              <w:widowControl w:val="0"/>
              <w:jc w:val="both"/>
              <w:rPr>
                <w:rFonts w:eastAsia="宋体"/>
                <w:kern w:val="2"/>
                <w:sz w:val="21"/>
                <w:lang w:eastAsia="zh-CN"/>
              </w:rPr>
            </w:pPr>
          </w:p>
        </w:tc>
        <w:tc>
          <w:tcPr>
            <w:tcW w:w="1041" w:type="dxa"/>
            <w:shd w:val="clear" w:color="auto" w:fill="auto"/>
            <w:noWrap/>
            <w:vAlign w:val="center"/>
          </w:tcPr>
          <w:p w14:paraId="08E476BD">
            <w:pPr>
              <w:widowControl w:val="0"/>
              <w:jc w:val="both"/>
              <w:rPr>
                <w:rFonts w:eastAsia="宋体"/>
                <w:kern w:val="2"/>
                <w:sz w:val="21"/>
                <w:lang w:eastAsia="zh-CN"/>
              </w:rPr>
            </w:pPr>
          </w:p>
        </w:tc>
        <w:tc>
          <w:tcPr>
            <w:tcW w:w="847" w:type="dxa"/>
            <w:shd w:val="clear" w:color="auto" w:fill="auto"/>
            <w:noWrap/>
            <w:vAlign w:val="center"/>
          </w:tcPr>
          <w:p w14:paraId="2AAD7FD0">
            <w:pPr>
              <w:widowControl w:val="0"/>
              <w:jc w:val="both"/>
              <w:rPr>
                <w:rFonts w:eastAsia="宋体"/>
                <w:kern w:val="2"/>
                <w:sz w:val="21"/>
                <w:lang w:eastAsia="zh-CN"/>
              </w:rPr>
            </w:pPr>
          </w:p>
        </w:tc>
        <w:tc>
          <w:tcPr>
            <w:tcW w:w="805" w:type="dxa"/>
            <w:vAlign w:val="center"/>
          </w:tcPr>
          <w:p w14:paraId="01F0E00B">
            <w:pPr>
              <w:widowControl w:val="0"/>
              <w:jc w:val="both"/>
              <w:rPr>
                <w:rFonts w:eastAsia="宋体"/>
                <w:kern w:val="2"/>
                <w:sz w:val="21"/>
                <w:lang w:eastAsia="zh-CN"/>
              </w:rPr>
            </w:pPr>
          </w:p>
        </w:tc>
        <w:tc>
          <w:tcPr>
            <w:tcW w:w="1100" w:type="dxa"/>
            <w:vAlign w:val="center"/>
          </w:tcPr>
          <w:p w14:paraId="0FE8F682">
            <w:pPr>
              <w:widowControl w:val="0"/>
              <w:jc w:val="both"/>
              <w:rPr>
                <w:rFonts w:eastAsia="宋体"/>
                <w:kern w:val="2"/>
                <w:sz w:val="21"/>
                <w:lang w:eastAsia="zh-CN"/>
              </w:rPr>
            </w:pPr>
          </w:p>
        </w:tc>
        <w:tc>
          <w:tcPr>
            <w:tcW w:w="1263" w:type="dxa"/>
            <w:vAlign w:val="center"/>
          </w:tcPr>
          <w:p w14:paraId="0C4E6AF3">
            <w:pPr>
              <w:widowControl w:val="0"/>
              <w:jc w:val="both"/>
              <w:rPr>
                <w:rFonts w:eastAsia="宋体"/>
                <w:kern w:val="2"/>
                <w:sz w:val="21"/>
                <w:lang w:eastAsia="zh-CN"/>
              </w:rPr>
            </w:pPr>
          </w:p>
        </w:tc>
      </w:tr>
      <w:tr w14:paraId="02D5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329999EA">
            <w:pPr>
              <w:widowControl w:val="0"/>
              <w:jc w:val="both"/>
              <w:rPr>
                <w:rFonts w:eastAsia="宋体"/>
                <w:kern w:val="2"/>
                <w:sz w:val="21"/>
                <w:lang w:eastAsia="zh-CN"/>
              </w:rPr>
            </w:pPr>
          </w:p>
        </w:tc>
        <w:tc>
          <w:tcPr>
            <w:tcW w:w="656" w:type="dxa"/>
            <w:vAlign w:val="center"/>
          </w:tcPr>
          <w:p w14:paraId="09DB6906">
            <w:pPr>
              <w:widowControl w:val="0"/>
              <w:jc w:val="both"/>
              <w:rPr>
                <w:rFonts w:eastAsia="宋体"/>
                <w:kern w:val="2"/>
                <w:sz w:val="21"/>
                <w:lang w:eastAsia="zh-CN"/>
              </w:rPr>
            </w:pPr>
          </w:p>
        </w:tc>
        <w:tc>
          <w:tcPr>
            <w:tcW w:w="3261" w:type="dxa"/>
            <w:gridSpan w:val="2"/>
            <w:shd w:val="clear" w:color="auto" w:fill="auto"/>
            <w:noWrap/>
            <w:vAlign w:val="center"/>
          </w:tcPr>
          <w:p w14:paraId="774E4255">
            <w:pPr>
              <w:widowControl w:val="0"/>
              <w:jc w:val="both"/>
              <w:rPr>
                <w:rFonts w:eastAsia="宋体"/>
                <w:kern w:val="2"/>
                <w:sz w:val="21"/>
                <w:lang w:eastAsia="zh-CN"/>
              </w:rPr>
            </w:pPr>
          </w:p>
        </w:tc>
        <w:tc>
          <w:tcPr>
            <w:tcW w:w="1041" w:type="dxa"/>
            <w:shd w:val="clear" w:color="auto" w:fill="auto"/>
            <w:noWrap/>
            <w:vAlign w:val="center"/>
          </w:tcPr>
          <w:p w14:paraId="5361D9EA">
            <w:pPr>
              <w:widowControl w:val="0"/>
              <w:jc w:val="both"/>
              <w:rPr>
                <w:rFonts w:eastAsia="宋体"/>
                <w:kern w:val="2"/>
                <w:sz w:val="21"/>
                <w:lang w:eastAsia="zh-CN"/>
              </w:rPr>
            </w:pPr>
          </w:p>
        </w:tc>
        <w:tc>
          <w:tcPr>
            <w:tcW w:w="847" w:type="dxa"/>
            <w:shd w:val="clear" w:color="auto" w:fill="auto"/>
            <w:noWrap/>
            <w:vAlign w:val="center"/>
          </w:tcPr>
          <w:p w14:paraId="675F0DC1">
            <w:pPr>
              <w:widowControl w:val="0"/>
              <w:jc w:val="both"/>
              <w:rPr>
                <w:rFonts w:eastAsia="宋体"/>
                <w:kern w:val="2"/>
                <w:sz w:val="21"/>
                <w:lang w:eastAsia="zh-CN"/>
              </w:rPr>
            </w:pPr>
          </w:p>
        </w:tc>
        <w:tc>
          <w:tcPr>
            <w:tcW w:w="805" w:type="dxa"/>
            <w:vAlign w:val="center"/>
          </w:tcPr>
          <w:p w14:paraId="014D445E">
            <w:pPr>
              <w:widowControl w:val="0"/>
              <w:jc w:val="both"/>
              <w:rPr>
                <w:rFonts w:eastAsia="宋体"/>
                <w:kern w:val="2"/>
                <w:sz w:val="21"/>
                <w:lang w:eastAsia="zh-CN"/>
              </w:rPr>
            </w:pPr>
          </w:p>
        </w:tc>
        <w:tc>
          <w:tcPr>
            <w:tcW w:w="1100" w:type="dxa"/>
            <w:vAlign w:val="center"/>
          </w:tcPr>
          <w:p w14:paraId="0265A06B">
            <w:pPr>
              <w:widowControl w:val="0"/>
              <w:jc w:val="both"/>
              <w:rPr>
                <w:rFonts w:eastAsia="宋体"/>
                <w:kern w:val="2"/>
                <w:sz w:val="21"/>
                <w:lang w:eastAsia="zh-CN"/>
              </w:rPr>
            </w:pPr>
          </w:p>
        </w:tc>
        <w:tc>
          <w:tcPr>
            <w:tcW w:w="1263" w:type="dxa"/>
            <w:vAlign w:val="center"/>
          </w:tcPr>
          <w:p w14:paraId="5C269441">
            <w:pPr>
              <w:widowControl w:val="0"/>
              <w:jc w:val="both"/>
              <w:rPr>
                <w:rFonts w:eastAsia="宋体"/>
                <w:kern w:val="2"/>
                <w:sz w:val="21"/>
                <w:lang w:eastAsia="zh-CN"/>
              </w:rPr>
            </w:pPr>
          </w:p>
        </w:tc>
      </w:tr>
      <w:tr w14:paraId="062B7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shd w:val="clear" w:color="auto" w:fill="auto"/>
            <w:noWrap/>
            <w:vAlign w:val="center"/>
          </w:tcPr>
          <w:p w14:paraId="0C4F69D0">
            <w:pPr>
              <w:widowControl w:val="0"/>
              <w:jc w:val="both"/>
              <w:rPr>
                <w:rFonts w:eastAsia="宋体"/>
                <w:kern w:val="2"/>
                <w:sz w:val="21"/>
                <w:lang w:eastAsia="zh-CN"/>
              </w:rPr>
            </w:pPr>
            <w:r>
              <w:rPr>
                <w:rFonts w:hint="eastAsia" w:eastAsia="宋体"/>
                <w:kern w:val="2"/>
                <w:sz w:val="21"/>
                <w:lang w:eastAsia="zh-CN"/>
              </w:rPr>
              <w:t>3</w:t>
            </w:r>
          </w:p>
        </w:tc>
        <w:tc>
          <w:tcPr>
            <w:tcW w:w="656" w:type="dxa"/>
            <w:vAlign w:val="center"/>
          </w:tcPr>
          <w:p w14:paraId="683E8A82">
            <w:pPr>
              <w:widowControl w:val="0"/>
              <w:jc w:val="both"/>
              <w:rPr>
                <w:rFonts w:eastAsia="宋体"/>
                <w:kern w:val="2"/>
                <w:sz w:val="21"/>
                <w:lang w:eastAsia="zh-CN"/>
              </w:rPr>
            </w:pPr>
          </w:p>
        </w:tc>
        <w:tc>
          <w:tcPr>
            <w:tcW w:w="3261" w:type="dxa"/>
            <w:gridSpan w:val="2"/>
            <w:shd w:val="clear" w:color="auto" w:fill="auto"/>
            <w:noWrap/>
            <w:vAlign w:val="center"/>
          </w:tcPr>
          <w:p w14:paraId="1C31280E">
            <w:pPr>
              <w:widowControl w:val="0"/>
              <w:jc w:val="both"/>
              <w:rPr>
                <w:rFonts w:eastAsia="宋体"/>
                <w:kern w:val="2"/>
                <w:sz w:val="21"/>
                <w:lang w:eastAsia="zh-CN"/>
              </w:rPr>
            </w:pPr>
          </w:p>
        </w:tc>
        <w:tc>
          <w:tcPr>
            <w:tcW w:w="1041" w:type="dxa"/>
            <w:shd w:val="clear" w:color="auto" w:fill="auto"/>
            <w:noWrap/>
            <w:vAlign w:val="center"/>
          </w:tcPr>
          <w:p w14:paraId="0F8B4DB0">
            <w:pPr>
              <w:widowControl w:val="0"/>
              <w:jc w:val="both"/>
              <w:rPr>
                <w:rFonts w:eastAsia="宋体"/>
                <w:kern w:val="2"/>
                <w:sz w:val="21"/>
                <w:lang w:eastAsia="zh-CN"/>
              </w:rPr>
            </w:pPr>
          </w:p>
        </w:tc>
        <w:tc>
          <w:tcPr>
            <w:tcW w:w="847" w:type="dxa"/>
            <w:shd w:val="clear" w:color="auto" w:fill="auto"/>
            <w:noWrap/>
            <w:vAlign w:val="center"/>
          </w:tcPr>
          <w:p w14:paraId="4922CE01">
            <w:pPr>
              <w:widowControl w:val="0"/>
              <w:jc w:val="both"/>
              <w:rPr>
                <w:rFonts w:eastAsia="宋体"/>
                <w:kern w:val="2"/>
                <w:sz w:val="21"/>
                <w:lang w:eastAsia="zh-CN"/>
              </w:rPr>
            </w:pPr>
          </w:p>
        </w:tc>
        <w:tc>
          <w:tcPr>
            <w:tcW w:w="805" w:type="dxa"/>
            <w:vAlign w:val="center"/>
          </w:tcPr>
          <w:p w14:paraId="391390DB">
            <w:pPr>
              <w:widowControl w:val="0"/>
              <w:jc w:val="both"/>
              <w:rPr>
                <w:rFonts w:eastAsia="宋体"/>
                <w:kern w:val="2"/>
                <w:sz w:val="21"/>
                <w:lang w:eastAsia="zh-CN"/>
              </w:rPr>
            </w:pPr>
          </w:p>
        </w:tc>
        <w:tc>
          <w:tcPr>
            <w:tcW w:w="1100" w:type="dxa"/>
            <w:vAlign w:val="center"/>
          </w:tcPr>
          <w:p w14:paraId="6517D363">
            <w:pPr>
              <w:widowControl w:val="0"/>
              <w:jc w:val="both"/>
              <w:rPr>
                <w:rFonts w:eastAsia="宋体"/>
                <w:kern w:val="2"/>
                <w:sz w:val="21"/>
                <w:lang w:eastAsia="zh-CN"/>
              </w:rPr>
            </w:pPr>
          </w:p>
        </w:tc>
        <w:tc>
          <w:tcPr>
            <w:tcW w:w="1263" w:type="dxa"/>
            <w:vAlign w:val="center"/>
          </w:tcPr>
          <w:p w14:paraId="3F62B55F">
            <w:pPr>
              <w:widowControl w:val="0"/>
              <w:jc w:val="both"/>
              <w:rPr>
                <w:rFonts w:eastAsia="宋体"/>
                <w:kern w:val="2"/>
                <w:sz w:val="21"/>
                <w:lang w:eastAsia="zh-CN"/>
              </w:rPr>
            </w:pPr>
          </w:p>
        </w:tc>
      </w:tr>
      <w:tr w14:paraId="505AD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shd w:val="clear" w:color="auto" w:fill="auto"/>
            <w:noWrap/>
            <w:vAlign w:val="center"/>
          </w:tcPr>
          <w:p w14:paraId="184BCD7C">
            <w:pPr>
              <w:widowControl w:val="0"/>
              <w:jc w:val="both"/>
              <w:rPr>
                <w:rFonts w:eastAsia="宋体"/>
                <w:kern w:val="2"/>
                <w:sz w:val="21"/>
                <w:lang w:eastAsia="zh-CN"/>
              </w:rPr>
            </w:pPr>
            <w:r>
              <w:rPr>
                <w:rFonts w:hint="eastAsia" w:eastAsia="宋体"/>
                <w:kern w:val="2"/>
                <w:sz w:val="21"/>
                <w:lang w:eastAsia="zh-CN"/>
              </w:rPr>
              <w:t>4</w:t>
            </w:r>
          </w:p>
        </w:tc>
        <w:tc>
          <w:tcPr>
            <w:tcW w:w="656" w:type="dxa"/>
            <w:vAlign w:val="center"/>
          </w:tcPr>
          <w:p w14:paraId="5F232887">
            <w:pPr>
              <w:widowControl w:val="0"/>
              <w:jc w:val="both"/>
              <w:rPr>
                <w:rFonts w:eastAsia="宋体"/>
                <w:kern w:val="2"/>
                <w:sz w:val="21"/>
                <w:lang w:eastAsia="zh-CN"/>
              </w:rPr>
            </w:pPr>
          </w:p>
        </w:tc>
        <w:tc>
          <w:tcPr>
            <w:tcW w:w="3261" w:type="dxa"/>
            <w:gridSpan w:val="2"/>
            <w:shd w:val="clear" w:color="auto" w:fill="auto"/>
            <w:noWrap/>
            <w:vAlign w:val="center"/>
          </w:tcPr>
          <w:p w14:paraId="5F5CB08C">
            <w:pPr>
              <w:widowControl w:val="0"/>
              <w:jc w:val="both"/>
              <w:rPr>
                <w:rFonts w:eastAsia="宋体"/>
                <w:kern w:val="2"/>
                <w:sz w:val="21"/>
                <w:lang w:eastAsia="zh-CN"/>
              </w:rPr>
            </w:pPr>
          </w:p>
        </w:tc>
        <w:tc>
          <w:tcPr>
            <w:tcW w:w="1041" w:type="dxa"/>
            <w:shd w:val="clear" w:color="auto" w:fill="auto"/>
            <w:noWrap/>
            <w:vAlign w:val="center"/>
          </w:tcPr>
          <w:p w14:paraId="6994F8BD">
            <w:pPr>
              <w:widowControl w:val="0"/>
              <w:jc w:val="both"/>
              <w:rPr>
                <w:rFonts w:eastAsia="宋体"/>
                <w:kern w:val="2"/>
                <w:sz w:val="21"/>
                <w:lang w:eastAsia="zh-CN"/>
              </w:rPr>
            </w:pPr>
          </w:p>
        </w:tc>
        <w:tc>
          <w:tcPr>
            <w:tcW w:w="847" w:type="dxa"/>
            <w:shd w:val="clear" w:color="auto" w:fill="auto"/>
            <w:noWrap/>
            <w:vAlign w:val="center"/>
          </w:tcPr>
          <w:p w14:paraId="0F838316">
            <w:pPr>
              <w:widowControl w:val="0"/>
              <w:jc w:val="both"/>
              <w:rPr>
                <w:rFonts w:eastAsia="宋体"/>
                <w:kern w:val="2"/>
                <w:sz w:val="21"/>
                <w:lang w:eastAsia="zh-CN"/>
              </w:rPr>
            </w:pPr>
          </w:p>
        </w:tc>
        <w:tc>
          <w:tcPr>
            <w:tcW w:w="805" w:type="dxa"/>
            <w:vAlign w:val="center"/>
          </w:tcPr>
          <w:p w14:paraId="0CF02DDC">
            <w:pPr>
              <w:widowControl w:val="0"/>
              <w:jc w:val="both"/>
              <w:rPr>
                <w:rFonts w:eastAsia="宋体"/>
                <w:kern w:val="2"/>
                <w:sz w:val="21"/>
                <w:lang w:eastAsia="zh-CN"/>
              </w:rPr>
            </w:pPr>
          </w:p>
        </w:tc>
        <w:tc>
          <w:tcPr>
            <w:tcW w:w="1100" w:type="dxa"/>
            <w:vAlign w:val="center"/>
          </w:tcPr>
          <w:p w14:paraId="0ED22D8C">
            <w:pPr>
              <w:widowControl w:val="0"/>
              <w:jc w:val="both"/>
              <w:rPr>
                <w:rFonts w:eastAsia="宋体"/>
                <w:kern w:val="2"/>
                <w:sz w:val="21"/>
                <w:lang w:eastAsia="zh-CN"/>
              </w:rPr>
            </w:pPr>
          </w:p>
        </w:tc>
        <w:tc>
          <w:tcPr>
            <w:tcW w:w="1263" w:type="dxa"/>
            <w:vAlign w:val="center"/>
          </w:tcPr>
          <w:p w14:paraId="3FB67DA0">
            <w:pPr>
              <w:widowControl w:val="0"/>
              <w:jc w:val="both"/>
              <w:rPr>
                <w:rFonts w:eastAsia="宋体"/>
                <w:kern w:val="2"/>
                <w:sz w:val="21"/>
                <w:lang w:eastAsia="zh-CN"/>
              </w:rPr>
            </w:pPr>
          </w:p>
        </w:tc>
      </w:tr>
      <w:tr w14:paraId="4E07A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shd w:val="clear" w:color="auto" w:fill="auto"/>
            <w:noWrap/>
            <w:vAlign w:val="center"/>
          </w:tcPr>
          <w:p w14:paraId="52D0D2BC">
            <w:pPr>
              <w:widowControl w:val="0"/>
              <w:jc w:val="both"/>
              <w:rPr>
                <w:rFonts w:eastAsia="宋体"/>
                <w:kern w:val="2"/>
                <w:sz w:val="21"/>
                <w:lang w:eastAsia="zh-CN"/>
              </w:rPr>
            </w:pPr>
            <w:r>
              <w:rPr>
                <w:rFonts w:hint="eastAsia" w:eastAsia="宋体"/>
                <w:kern w:val="2"/>
                <w:sz w:val="21"/>
                <w:lang w:eastAsia="zh-CN"/>
              </w:rPr>
              <w:t>5</w:t>
            </w:r>
          </w:p>
        </w:tc>
        <w:tc>
          <w:tcPr>
            <w:tcW w:w="656" w:type="dxa"/>
            <w:vAlign w:val="center"/>
          </w:tcPr>
          <w:p w14:paraId="6FC55062">
            <w:pPr>
              <w:widowControl w:val="0"/>
              <w:jc w:val="both"/>
              <w:rPr>
                <w:rFonts w:eastAsia="宋体"/>
                <w:kern w:val="2"/>
                <w:sz w:val="21"/>
                <w:lang w:eastAsia="zh-CN"/>
              </w:rPr>
            </w:pPr>
          </w:p>
        </w:tc>
        <w:tc>
          <w:tcPr>
            <w:tcW w:w="3261" w:type="dxa"/>
            <w:gridSpan w:val="2"/>
            <w:shd w:val="clear" w:color="auto" w:fill="auto"/>
            <w:noWrap/>
            <w:vAlign w:val="center"/>
          </w:tcPr>
          <w:p w14:paraId="02403423">
            <w:pPr>
              <w:widowControl w:val="0"/>
              <w:jc w:val="both"/>
              <w:rPr>
                <w:rFonts w:eastAsia="宋体"/>
                <w:kern w:val="2"/>
                <w:sz w:val="21"/>
                <w:lang w:eastAsia="zh-CN"/>
              </w:rPr>
            </w:pPr>
          </w:p>
        </w:tc>
        <w:tc>
          <w:tcPr>
            <w:tcW w:w="1041" w:type="dxa"/>
            <w:shd w:val="clear" w:color="auto" w:fill="auto"/>
            <w:noWrap/>
            <w:vAlign w:val="center"/>
          </w:tcPr>
          <w:p w14:paraId="666DEDE2">
            <w:pPr>
              <w:widowControl w:val="0"/>
              <w:jc w:val="both"/>
              <w:rPr>
                <w:rFonts w:eastAsia="宋体"/>
                <w:kern w:val="2"/>
                <w:sz w:val="21"/>
                <w:lang w:eastAsia="zh-CN"/>
              </w:rPr>
            </w:pPr>
          </w:p>
        </w:tc>
        <w:tc>
          <w:tcPr>
            <w:tcW w:w="847" w:type="dxa"/>
            <w:shd w:val="clear" w:color="auto" w:fill="auto"/>
            <w:noWrap/>
            <w:vAlign w:val="center"/>
          </w:tcPr>
          <w:p w14:paraId="5C54F3AD">
            <w:pPr>
              <w:widowControl w:val="0"/>
              <w:jc w:val="both"/>
              <w:rPr>
                <w:rFonts w:eastAsia="宋体"/>
                <w:kern w:val="2"/>
                <w:sz w:val="21"/>
                <w:lang w:eastAsia="zh-CN"/>
              </w:rPr>
            </w:pPr>
          </w:p>
        </w:tc>
        <w:tc>
          <w:tcPr>
            <w:tcW w:w="805" w:type="dxa"/>
            <w:vAlign w:val="center"/>
          </w:tcPr>
          <w:p w14:paraId="70508E2A">
            <w:pPr>
              <w:widowControl w:val="0"/>
              <w:jc w:val="both"/>
              <w:rPr>
                <w:rFonts w:eastAsia="宋体"/>
                <w:kern w:val="2"/>
                <w:sz w:val="21"/>
                <w:lang w:eastAsia="zh-CN"/>
              </w:rPr>
            </w:pPr>
          </w:p>
        </w:tc>
        <w:tc>
          <w:tcPr>
            <w:tcW w:w="1100" w:type="dxa"/>
            <w:vAlign w:val="center"/>
          </w:tcPr>
          <w:p w14:paraId="11FEC34A">
            <w:pPr>
              <w:widowControl w:val="0"/>
              <w:jc w:val="both"/>
              <w:rPr>
                <w:rFonts w:eastAsia="宋体"/>
                <w:kern w:val="2"/>
                <w:sz w:val="21"/>
                <w:lang w:eastAsia="zh-CN"/>
              </w:rPr>
            </w:pPr>
          </w:p>
        </w:tc>
        <w:tc>
          <w:tcPr>
            <w:tcW w:w="1263" w:type="dxa"/>
            <w:vAlign w:val="center"/>
          </w:tcPr>
          <w:p w14:paraId="63FF5834">
            <w:pPr>
              <w:widowControl w:val="0"/>
              <w:jc w:val="both"/>
              <w:rPr>
                <w:rFonts w:eastAsia="宋体"/>
                <w:kern w:val="2"/>
                <w:sz w:val="21"/>
                <w:lang w:eastAsia="zh-CN"/>
              </w:rPr>
            </w:pPr>
          </w:p>
        </w:tc>
      </w:tr>
      <w:tr w14:paraId="3260C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restart"/>
            <w:shd w:val="clear" w:color="auto" w:fill="auto"/>
            <w:noWrap/>
            <w:vAlign w:val="center"/>
          </w:tcPr>
          <w:p w14:paraId="6A23C9DC">
            <w:pPr>
              <w:widowControl w:val="0"/>
              <w:jc w:val="both"/>
              <w:rPr>
                <w:rFonts w:eastAsia="宋体"/>
                <w:kern w:val="2"/>
                <w:sz w:val="21"/>
                <w:lang w:eastAsia="zh-CN"/>
              </w:rPr>
            </w:pPr>
            <w:r>
              <w:rPr>
                <w:rFonts w:hint="eastAsia" w:eastAsia="宋体"/>
                <w:kern w:val="2"/>
                <w:sz w:val="21"/>
                <w:lang w:eastAsia="zh-CN"/>
              </w:rPr>
              <w:t>6</w:t>
            </w:r>
          </w:p>
        </w:tc>
        <w:tc>
          <w:tcPr>
            <w:tcW w:w="656" w:type="dxa"/>
            <w:vAlign w:val="center"/>
          </w:tcPr>
          <w:p w14:paraId="49C9CAD0">
            <w:pPr>
              <w:widowControl w:val="0"/>
              <w:jc w:val="both"/>
              <w:rPr>
                <w:rFonts w:eastAsia="宋体"/>
                <w:kern w:val="2"/>
                <w:sz w:val="21"/>
                <w:lang w:eastAsia="zh-CN"/>
              </w:rPr>
            </w:pPr>
          </w:p>
        </w:tc>
        <w:tc>
          <w:tcPr>
            <w:tcW w:w="3261" w:type="dxa"/>
            <w:gridSpan w:val="2"/>
            <w:shd w:val="clear" w:color="auto" w:fill="auto"/>
            <w:noWrap/>
            <w:vAlign w:val="center"/>
          </w:tcPr>
          <w:p w14:paraId="18FAECC3">
            <w:pPr>
              <w:widowControl w:val="0"/>
              <w:jc w:val="both"/>
              <w:rPr>
                <w:rFonts w:eastAsia="宋体"/>
                <w:kern w:val="2"/>
                <w:sz w:val="21"/>
                <w:lang w:eastAsia="zh-CN"/>
              </w:rPr>
            </w:pPr>
          </w:p>
        </w:tc>
        <w:tc>
          <w:tcPr>
            <w:tcW w:w="1041" w:type="dxa"/>
            <w:shd w:val="clear" w:color="auto" w:fill="auto"/>
            <w:noWrap/>
            <w:vAlign w:val="center"/>
          </w:tcPr>
          <w:p w14:paraId="314CD3A5">
            <w:pPr>
              <w:widowControl w:val="0"/>
              <w:jc w:val="both"/>
              <w:rPr>
                <w:rFonts w:eastAsia="宋体"/>
                <w:kern w:val="2"/>
                <w:sz w:val="21"/>
                <w:lang w:eastAsia="zh-CN"/>
              </w:rPr>
            </w:pPr>
          </w:p>
        </w:tc>
        <w:tc>
          <w:tcPr>
            <w:tcW w:w="847" w:type="dxa"/>
            <w:shd w:val="clear" w:color="auto" w:fill="auto"/>
            <w:noWrap/>
            <w:vAlign w:val="center"/>
          </w:tcPr>
          <w:p w14:paraId="7C46D688">
            <w:pPr>
              <w:widowControl w:val="0"/>
              <w:jc w:val="both"/>
              <w:rPr>
                <w:rFonts w:eastAsia="宋体"/>
                <w:kern w:val="2"/>
                <w:sz w:val="21"/>
                <w:lang w:eastAsia="zh-CN"/>
              </w:rPr>
            </w:pPr>
          </w:p>
        </w:tc>
        <w:tc>
          <w:tcPr>
            <w:tcW w:w="805" w:type="dxa"/>
            <w:vAlign w:val="center"/>
          </w:tcPr>
          <w:p w14:paraId="4B2059A2">
            <w:pPr>
              <w:widowControl w:val="0"/>
              <w:jc w:val="both"/>
              <w:rPr>
                <w:rFonts w:eastAsia="宋体"/>
                <w:kern w:val="2"/>
                <w:sz w:val="21"/>
                <w:lang w:eastAsia="zh-CN"/>
              </w:rPr>
            </w:pPr>
          </w:p>
        </w:tc>
        <w:tc>
          <w:tcPr>
            <w:tcW w:w="1100" w:type="dxa"/>
            <w:vAlign w:val="center"/>
          </w:tcPr>
          <w:p w14:paraId="2D3106EE">
            <w:pPr>
              <w:widowControl w:val="0"/>
              <w:jc w:val="both"/>
              <w:rPr>
                <w:rFonts w:eastAsia="宋体"/>
                <w:kern w:val="2"/>
                <w:sz w:val="21"/>
                <w:lang w:eastAsia="zh-CN"/>
              </w:rPr>
            </w:pPr>
          </w:p>
        </w:tc>
        <w:tc>
          <w:tcPr>
            <w:tcW w:w="1263" w:type="dxa"/>
            <w:vAlign w:val="center"/>
          </w:tcPr>
          <w:p w14:paraId="6D6EC5C1">
            <w:pPr>
              <w:widowControl w:val="0"/>
              <w:jc w:val="both"/>
              <w:rPr>
                <w:rFonts w:eastAsia="宋体"/>
                <w:kern w:val="2"/>
                <w:sz w:val="21"/>
                <w:lang w:eastAsia="zh-CN"/>
              </w:rPr>
            </w:pPr>
          </w:p>
        </w:tc>
      </w:tr>
      <w:tr w14:paraId="17736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23585FE1">
            <w:pPr>
              <w:widowControl w:val="0"/>
              <w:jc w:val="both"/>
              <w:rPr>
                <w:rFonts w:eastAsia="宋体"/>
                <w:kern w:val="2"/>
                <w:sz w:val="21"/>
                <w:lang w:eastAsia="zh-CN"/>
              </w:rPr>
            </w:pPr>
          </w:p>
        </w:tc>
        <w:tc>
          <w:tcPr>
            <w:tcW w:w="656" w:type="dxa"/>
            <w:vAlign w:val="center"/>
          </w:tcPr>
          <w:p w14:paraId="0620A3DA">
            <w:pPr>
              <w:widowControl w:val="0"/>
              <w:jc w:val="both"/>
              <w:rPr>
                <w:rFonts w:eastAsia="宋体"/>
                <w:kern w:val="2"/>
                <w:sz w:val="21"/>
                <w:lang w:eastAsia="zh-CN"/>
              </w:rPr>
            </w:pPr>
          </w:p>
        </w:tc>
        <w:tc>
          <w:tcPr>
            <w:tcW w:w="3261" w:type="dxa"/>
            <w:gridSpan w:val="2"/>
            <w:shd w:val="clear" w:color="auto" w:fill="auto"/>
            <w:noWrap/>
            <w:vAlign w:val="center"/>
          </w:tcPr>
          <w:p w14:paraId="119FABC1">
            <w:pPr>
              <w:widowControl w:val="0"/>
              <w:jc w:val="both"/>
              <w:rPr>
                <w:rFonts w:eastAsia="宋体"/>
                <w:kern w:val="2"/>
                <w:sz w:val="21"/>
                <w:lang w:eastAsia="zh-CN"/>
              </w:rPr>
            </w:pPr>
          </w:p>
        </w:tc>
        <w:tc>
          <w:tcPr>
            <w:tcW w:w="1041" w:type="dxa"/>
            <w:shd w:val="clear" w:color="auto" w:fill="auto"/>
            <w:noWrap/>
            <w:vAlign w:val="center"/>
          </w:tcPr>
          <w:p w14:paraId="7567C1AD">
            <w:pPr>
              <w:widowControl w:val="0"/>
              <w:jc w:val="both"/>
              <w:rPr>
                <w:rFonts w:eastAsia="宋体"/>
                <w:kern w:val="2"/>
                <w:sz w:val="21"/>
                <w:lang w:eastAsia="zh-CN"/>
              </w:rPr>
            </w:pPr>
          </w:p>
        </w:tc>
        <w:tc>
          <w:tcPr>
            <w:tcW w:w="847" w:type="dxa"/>
            <w:shd w:val="clear" w:color="auto" w:fill="auto"/>
            <w:noWrap/>
            <w:vAlign w:val="center"/>
          </w:tcPr>
          <w:p w14:paraId="1743DF30">
            <w:pPr>
              <w:widowControl w:val="0"/>
              <w:jc w:val="both"/>
              <w:rPr>
                <w:rFonts w:eastAsia="宋体"/>
                <w:kern w:val="2"/>
                <w:sz w:val="21"/>
                <w:lang w:eastAsia="zh-CN"/>
              </w:rPr>
            </w:pPr>
          </w:p>
        </w:tc>
        <w:tc>
          <w:tcPr>
            <w:tcW w:w="805" w:type="dxa"/>
            <w:vAlign w:val="center"/>
          </w:tcPr>
          <w:p w14:paraId="6A34576F">
            <w:pPr>
              <w:widowControl w:val="0"/>
              <w:jc w:val="both"/>
              <w:rPr>
                <w:rFonts w:eastAsia="宋体"/>
                <w:kern w:val="2"/>
                <w:sz w:val="21"/>
                <w:lang w:eastAsia="zh-CN"/>
              </w:rPr>
            </w:pPr>
          </w:p>
        </w:tc>
        <w:tc>
          <w:tcPr>
            <w:tcW w:w="1100" w:type="dxa"/>
            <w:vAlign w:val="center"/>
          </w:tcPr>
          <w:p w14:paraId="3A99C489">
            <w:pPr>
              <w:widowControl w:val="0"/>
              <w:jc w:val="both"/>
              <w:rPr>
                <w:rFonts w:eastAsia="宋体"/>
                <w:kern w:val="2"/>
                <w:sz w:val="21"/>
                <w:lang w:eastAsia="zh-CN"/>
              </w:rPr>
            </w:pPr>
          </w:p>
        </w:tc>
        <w:tc>
          <w:tcPr>
            <w:tcW w:w="1263" w:type="dxa"/>
            <w:vAlign w:val="center"/>
          </w:tcPr>
          <w:p w14:paraId="4DEF8B3E">
            <w:pPr>
              <w:widowControl w:val="0"/>
              <w:jc w:val="both"/>
              <w:rPr>
                <w:rFonts w:eastAsia="宋体"/>
                <w:kern w:val="2"/>
                <w:sz w:val="21"/>
                <w:lang w:eastAsia="zh-CN"/>
              </w:rPr>
            </w:pPr>
          </w:p>
        </w:tc>
      </w:tr>
      <w:tr w14:paraId="2F3B1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20ABA306">
            <w:pPr>
              <w:widowControl w:val="0"/>
              <w:jc w:val="both"/>
              <w:rPr>
                <w:rFonts w:eastAsia="宋体"/>
                <w:kern w:val="2"/>
                <w:sz w:val="21"/>
                <w:lang w:eastAsia="zh-CN"/>
              </w:rPr>
            </w:pPr>
          </w:p>
        </w:tc>
        <w:tc>
          <w:tcPr>
            <w:tcW w:w="656" w:type="dxa"/>
            <w:vAlign w:val="center"/>
          </w:tcPr>
          <w:p w14:paraId="013109C0">
            <w:pPr>
              <w:widowControl w:val="0"/>
              <w:jc w:val="both"/>
              <w:rPr>
                <w:rFonts w:eastAsia="宋体"/>
                <w:kern w:val="2"/>
                <w:sz w:val="21"/>
                <w:lang w:eastAsia="zh-CN"/>
              </w:rPr>
            </w:pPr>
          </w:p>
        </w:tc>
        <w:tc>
          <w:tcPr>
            <w:tcW w:w="3261" w:type="dxa"/>
            <w:gridSpan w:val="2"/>
            <w:shd w:val="clear" w:color="auto" w:fill="auto"/>
            <w:noWrap/>
            <w:vAlign w:val="center"/>
          </w:tcPr>
          <w:p w14:paraId="5CC818E1">
            <w:pPr>
              <w:widowControl w:val="0"/>
              <w:jc w:val="both"/>
              <w:rPr>
                <w:rFonts w:eastAsia="宋体"/>
                <w:kern w:val="2"/>
                <w:sz w:val="21"/>
                <w:lang w:eastAsia="zh-CN"/>
              </w:rPr>
            </w:pPr>
          </w:p>
        </w:tc>
        <w:tc>
          <w:tcPr>
            <w:tcW w:w="1041" w:type="dxa"/>
            <w:shd w:val="clear" w:color="auto" w:fill="auto"/>
            <w:noWrap/>
            <w:vAlign w:val="center"/>
          </w:tcPr>
          <w:p w14:paraId="28F50334">
            <w:pPr>
              <w:widowControl w:val="0"/>
              <w:jc w:val="both"/>
              <w:rPr>
                <w:rFonts w:eastAsia="宋体"/>
                <w:kern w:val="2"/>
                <w:sz w:val="21"/>
                <w:lang w:eastAsia="zh-CN"/>
              </w:rPr>
            </w:pPr>
          </w:p>
        </w:tc>
        <w:tc>
          <w:tcPr>
            <w:tcW w:w="847" w:type="dxa"/>
            <w:shd w:val="clear" w:color="auto" w:fill="auto"/>
            <w:noWrap/>
            <w:vAlign w:val="center"/>
          </w:tcPr>
          <w:p w14:paraId="7079529C">
            <w:pPr>
              <w:widowControl w:val="0"/>
              <w:jc w:val="both"/>
              <w:rPr>
                <w:rFonts w:eastAsia="宋体"/>
                <w:kern w:val="2"/>
                <w:sz w:val="21"/>
                <w:lang w:eastAsia="zh-CN"/>
              </w:rPr>
            </w:pPr>
          </w:p>
        </w:tc>
        <w:tc>
          <w:tcPr>
            <w:tcW w:w="805" w:type="dxa"/>
            <w:vAlign w:val="center"/>
          </w:tcPr>
          <w:p w14:paraId="0518FCF1">
            <w:pPr>
              <w:widowControl w:val="0"/>
              <w:jc w:val="both"/>
              <w:rPr>
                <w:rFonts w:eastAsia="宋体"/>
                <w:kern w:val="2"/>
                <w:sz w:val="21"/>
                <w:lang w:eastAsia="zh-CN"/>
              </w:rPr>
            </w:pPr>
          </w:p>
        </w:tc>
        <w:tc>
          <w:tcPr>
            <w:tcW w:w="1100" w:type="dxa"/>
            <w:vAlign w:val="center"/>
          </w:tcPr>
          <w:p w14:paraId="192DC99D">
            <w:pPr>
              <w:widowControl w:val="0"/>
              <w:jc w:val="both"/>
              <w:rPr>
                <w:rFonts w:eastAsia="宋体"/>
                <w:kern w:val="2"/>
                <w:sz w:val="21"/>
                <w:lang w:eastAsia="zh-CN"/>
              </w:rPr>
            </w:pPr>
          </w:p>
        </w:tc>
        <w:tc>
          <w:tcPr>
            <w:tcW w:w="1263" w:type="dxa"/>
            <w:vAlign w:val="center"/>
          </w:tcPr>
          <w:p w14:paraId="6EC0C1D4">
            <w:pPr>
              <w:widowControl w:val="0"/>
              <w:jc w:val="both"/>
              <w:rPr>
                <w:rFonts w:eastAsia="宋体"/>
                <w:kern w:val="2"/>
                <w:sz w:val="21"/>
                <w:lang w:eastAsia="zh-CN"/>
              </w:rPr>
            </w:pPr>
          </w:p>
        </w:tc>
      </w:tr>
      <w:tr w14:paraId="6A37FD1D">
        <w:tblPrEx>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0015712F">
            <w:pPr>
              <w:widowControl w:val="0"/>
              <w:jc w:val="both"/>
              <w:rPr>
                <w:rFonts w:eastAsia="宋体"/>
                <w:kern w:val="2"/>
                <w:sz w:val="21"/>
                <w:lang w:eastAsia="zh-CN"/>
              </w:rPr>
            </w:pPr>
          </w:p>
        </w:tc>
        <w:tc>
          <w:tcPr>
            <w:tcW w:w="656" w:type="dxa"/>
            <w:vAlign w:val="center"/>
          </w:tcPr>
          <w:p w14:paraId="66A587F9">
            <w:pPr>
              <w:widowControl w:val="0"/>
              <w:jc w:val="both"/>
              <w:rPr>
                <w:rFonts w:eastAsia="宋体"/>
                <w:kern w:val="2"/>
                <w:sz w:val="21"/>
                <w:lang w:eastAsia="zh-CN"/>
              </w:rPr>
            </w:pPr>
          </w:p>
        </w:tc>
        <w:tc>
          <w:tcPr>
            <w:tcW w:w="3261" w:type="dxa"/>
            <w:gridSpan w:val="2"/>
            <w:shd w:val="clear" w:color="auto" w:fill="auto"/>
            <w:noWrap/>
            <w:vAlign w:val="center"/>
          </w:tcPr>
          <w:p w14:paraId="2BCDC070">
            <w:pPr>
              <w:widowControl w:val="0"/>
              <w:jc w:val="both"/>
              <w:rPr>
                <w:rFonts w:eastAsia="宋体"/>
                <w:kern w:val="2"/>
                <w:sz w:val="21"/>
                <w:lang w:eastAsia="zh-CN"/>
              </w:rPr>
            </w:pPr>
          </w:p>
        </w:tc>
        <w:tc>
          <w:tcPr>
            <w:tcW w:w="1041" w:type="dxa"/>
            <w:shd w:val="clear" w:color="auto" w:fill="auto"/>
            <w:noWrap/>
            <w:vAlign w:val="center"/>
          </w:tcPr>
          <w:p w14:paraId="31CF1AB5">
            <w:pPr>
              <w:widowControl w:val="0"/>
              <w:jc w:val="both"/>
              <w:rPr>
                <w:rFonts w:eastAsia="宋体"/>
                <w:kern w:val="2"/>
                <w:sz w:val="21"/>
                <w:lang w:eastAsia="zh-CN"/>
              </w:rPr>
            </w:pPr>
          </w:p>
        </w:tc>
        <w:tc>
          <w:tcPr>
            <w:tcW w:w="847" w:type="dxa"/>
            <w:shd w:val="clear" w:color="auto" w:fill="auto"/>
            <w:noWrap/>
            <w:vAlign w:val="center"/>
          </w:tcPr>
          <w:p w14:paraId="740777F3">
            <w:pPr>
              <w:widowControl w:val="0"/>
              <w:jc w:val="both"/>
              <w:rPr>
                <w:rFonts w:eastAsia="宋体"/>
                <w:kern w:val="2"/>
                <w:sz w:val="21"/>
                <w:lang w:eastAsia="zh-CN"/>
              </w:rPr>
            </w:pPr>
          </w:p>
        </w:tc>
        <w:tc>
          <w:tcPr>
            <w:tcW w:w="805" w:type="dxa"/>
            <w:vAlign w:val="center"/>
          </w:tcPr>
          <w:p w14:paraId="1381FBDE">
            <w:pPr>
              <w:widowControl w:val="0"/>
              <w:jc w:val="both"/>
              <w:rPr>
                <w:rFonts w:eastAsia="宋体"/>
                <w:kern w:val="2"/>
                <w:sz w:val="21"/>
                <w:lang w:eastAsia="zh-CN"/>
              </w:rPr>
            </w:pPr>
          </w:p>
        </w:tc>
        <w:tc>
          <w:tcPr>
            <w:tcW w:w="1100" w:type="dxa"/>
            <w:vAlign w:val="center"/>
          </w:tcPr>
          <w:p w14:paraId="641255EE">
            <w:pPr>
              <w:widowControl w:val="0"/>
              <w:jc w:val="both"/>
              <w:rPr>
                <w:rFonts w:eastAsia="宋体"/>
                <w:kern w:val="2"/>
                <w:sz w:val="21"/>
                <w:lang w:eastAsia="zh-CN"/>
              </w:rPr>
            </w:pPr>
          </w:p>
        </w:tc>
        <w:tc>
          <w:tcPr>
            <w:tcW w:w="1263" w:type="dxa"/>
            <w:vAlign w:val="center"/>
          </w:tcPr>
          <w:p w14:paraId="6A585790">
            <w:pPr>
              <w:widowControl w:val="0"/>
              <w:jc w:val="both"/>
              <w:rPr>
                <w:rFonts w:eastAsia="宋体"/>
                <w:kern w:val="2"/>
                <w:sz w:val="21"/>
                <w:lang w:eastAsia="zh-CN"/>
              </w:rPr>
            </w:pPr>
          </w:p>
        </w:tc>
      </w:tr>
      <w:tr w14:paraId="3C0EF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56F34834">
            <w:pPr>
              <w:widowControl w:val="0"/>
              <w:jc w:val="both"/>
              <w:rPr>
                <w:rFonts w:eastAsia="宋体"/>
                <w:kern w:val="2"/>
                <w:sz w:val="21"/>
                <w:lang w:eastAsia="zh-CN"/>
              </w:rPr>
            </w:pPr>
          </w:p>
        </w:tc>
        <w:tc>
          <w:tcPr>
            <w:tcW w:w="656" w:type="dxa"/>
            <w:vAlign w:val="center"/>
          </w:tcPr>
          <w:p w14:paraId="05695315">
            <w:pPr>
              <w:widowControl w:val="0"/>
              <w:jc w:val="both"/>
              <w:rPr>
                <w:rFonts w:eastAsia="宋体"/>
                <w:kern w:val="2"/>
                <w:sz w:val="21"/>
                <w:lang w:eastAsia="zh-CN"/>
              </w:rPr>
            </w:pPr>
          </w:p>
        </w:tc>
        <w:tc>
          <w:tcPr>
            <w:tcW w:w="3261" w:type="dxa"/>
            <w:gridSpan w:val="2"/>
            <w:shd w:val="clear" w:color="auto" w:fill="auto"/>
            <w:noWrap/>
            <w:vAlign w:val="center"/>
          </w:tcPr>
          <w:p w14:paraId="68E2F90A">
            <w:pPr>
              <w:widowControl w:val="0"/>
              <w:jc w:val="both"/>
              <w:rPr>
                <w:rFonts w:eastAsia="宋体"/>
                <w:kern w:val="2"/>
                <w:sz w:val="21"/>
                <w:lang w:eastAsia="zh-CN"/>
              </w:rPr>
            </w:pPr>
          </w:p>
        </w:tc>
        <w:tc>
          <w:tcPr>
            <w:tcW w:w="1041" w:type="dxa"/>
            <w:shd w:val="clear" w:color="auto" w:fill="auto"/>
            <w:noWrap/>
            <w:vAlign w:val="center"/>
          </w:tcPr>
          <w:p w14:paraId="1E8DBA5F">
            <w:pPr>
              <w:widowControl w:val="0"/>
              <w:jc w:val="both"/>
              <w:rPr>
                <w:rFonts w:eastAsia="宋体"/>
                <w:kern w:val="2"/>
                <w:sz w:val="21"/>
                <w:lang w:eastAsia="zh-CN"/>
              </w:rPr>
            </w:pPr>
          </w:p>
        </w:tc>
        <w:tc>
          <w:tcPr>
            <w:tcW w:w="847" w:type="dxa"/>
            <w:shd w:val="clear" w:color="auto" w:fill="auto"/>
            <w:noWrap/>
            <w:vAlign w:val="center"/>
          </w:tcPr>
          <w:p w14:paraId="4CBF0C84">
            <w:pPr>
              <w:widowControl w:val="0"/>
              <w:jc w:val="both"/>
              <w:rPr>
                <w:rFonts w:eastAsia="宋体"/>
                <w:kern w:val="2"/>
                <w:sz w:val="21"/>
                <w:lang w:eastAsia="zh-CN"/>
              </w:rPr>
            </w:pPr>
          </w:p>
        </w:tc>
        <w:tc>
          <w:tcPr>
            <w:tcW w:w="805" w:type="dxa"/>
            <w:vAlign w:val="center"/>
          </w:tcPr>
          <w:p w14:paraId="50D8879E">
            <w:pPr>
              <w:widowControl w:val="0"/>
              <w:jc w:val="both"/>
              <w:rPr>
                <w:rFonts w:eastAsia="宋体"/>
                <w:kern w:val="2"/>
                <w:sz w:val="21"/>
                <w:lang w:eastAsia="zh-CN"/>
              </w:rPr>
            </w:pPr>
          </w:p>
        </w:tc>
        <w:tc>
          <w:tcPr>
            <w:tcW w:w="1100" w:type="dxa"/>
            <w:vAlign w:val="center"/>
          </w:tcPr>
          <w:p w14:paraId="36F4788E">
            <w:pPr>
              <w:widowControl w:val="0"/>
              <w:jc w:val="both"/>
              <w:rPr>
                <w:rFonts w:eastAsia="宋体"/>
                <w:kern w:val="2"/>
                <w:sz w:val="21"/>
                <w:lang w:eastAsia="zh-CN"/>
              </w:rPr>
            </w:pPr>
          </w:p>
        </w:tc>
        <w:tc>
          <w:tcPr>
            <w:tcW w:w="1263" w:type="dxa"/>
            <w:vAlign w:val="center"/>
          </w:tcPr>
          <w:p w14:paraId="6E4366D0">
            <w:pPr>
              <w:widowControl w:val="0"/>
              <w:jc w:val="both"/>
              <w:rPr>
                <w:rFonts w:eastAsia="宋体"/>
                <w:kern w:val="2"/>
                <w:sz w:val="21"/>
                <w:lang w:eastAsia="zh-CN"/>
              </w:rPr>
            </w:pPr>
          </w:p>
        </w:tc>
      </w:tr>
      <w:tr w14:paraId="16ACE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3FA060F4">
            <w:pPr>
              <w:widowControl w:val="0"/>
              <w:jc w:val="both"/>
              <w:rPr>
                <w:rFonts w:eastAsia="宋体"/>
                <w:kern w:val="2"/>
                <w:sz w:val="21"/>
                <w:lang w:eastAsia="zh-CN"/>
              </w:rPr>
            </w:pPr>
          </w:p>
        </w:tc>
        <w:tc>
          <w:tcPr>
            <w:tcW w:w="656" w:type="dxa"/>
            <w:vAlign w:val="center"/>
          </w:tcPr>
          <w:p w14:paraId="62413BE3">
            <w:pPr>
              <w:widowControl w:val="0"/>
              <w:jc w:val="both"/>
              <w:rPr>
                <w:rFonts w:eastAsia="宋体"/>
                <w:kern w:val="2"/>
                <w:sz w:val="21"/>
                <w:lang w:eastAsia="zh-CN"/>
              </w:rPr>
            </w:pPr>
          </w:p>
        </w:tc>
        <w:tc>
          <w:tcPr>
            <w:tcW w:w="3261" w:type="dxa"/>
            <w:gridSpan w:val="2"/>
            <w:shd w:val="clear" w:color="auto" w:fill="auto"/>
            <w:noWrap/>
            <w:vAlign w:val="center"/>
          </w:tcPr>
          <w:p w14:paraId="1C977ECE">
            <w:pPr>
              <w:widowControl w:val="0"/>
              <w:jc w:val="both"/>
              <w:rPr>
                <w:rFonts w:eastAsia="宋体"/>
                <w:kern w:val="2"/>
                <w:sz w:val="21"/>
                <w:lang w:eastAsia="zh-CN"/>
              </w:rPr>
            </w:pPr>
          </w:p>
        </w:tc>
        <w:tc>
          <w:tcPr>
            <w:tcW w:w="1041" w:type="dxa"/>
            <w:shd w:val="clear" w:color="auto" w:fill="auto"/>
            <w:noWrap/>
            <w:vAlign w:val="center"/>
          </w:tcPr>
          <w:p w14:paraId="3582E97B">
            <w:pPr>
              <w:widowControl w:val="0"/>
              <w:jc w:val="both"/>
              <w:rPr>
                <w:rFonts w:eastAsia="宋体"/>
                <w:kern w:val="2"/>
                <w:sz w:val="21"/>
                <w:lang w:eastAsia="zh-CN"/>
              </w:rPr>
            </w:pPr>
          </w:p>
        </w:tc>
        <w:tc>
          <w:tcPr>
            <w:tcW w:w="847" w:type="dxa"/>
            <w:shd w:val="clear" w:color="auto" w:fill="auto"/>
            <w:noWrap/>
            <w:vAlign w:val="center"/>
          </w:tcPr>
          <w:p w14:paraId="7DE770D0">
            <w:pPr>
              <w:widowControl w:val="0"/>
              <w:jc w:val="both"/>
              <w:rPr>
                <w:rFonts w:eastAsia="宋体"/>
                <w:kern w:val="2"/>
                <w:sz w:val="21"/>
                <w:lang w:eastAsia="zh-CN"/>
              </w:rPr>
            </w:pPr>
          </w:p>
        </w:tc>
        <w:tc>
          <w:tcPr>
            <w:tcW w:w="805" w:type="dxa"/>
            <w:vAlign w:val="center"/>
          </w:tcPr>
          <w:p w14:paraId="122652AD">
            <w:pPr>
              <w:widowControl w:val="0"/>
              <w:jc w:val="both"/>
              <w:rPr>
                <w:rFonts w:eastAsia="宋体"/>
                <w:kern w:val="2"/>
                <w:sz w:val="21"/>
                <w:lang w:eastAsia="zh-CN"/>
              </w:rPr>
            </w:pPr>
          </w:p>
        </w:tc>
        <w:tc>
          <w:tcPr>
            <w:tcW w:w="1100" w:type="dxa"/>
            <w:vAlign w:val="center"/>
          </w:tcPr>
          <w:p w14:paraId="0E796806">
            <w:pPr>
              <w:widowControl w:val="0"/>
              <w:jc w:val="both"/>
              <w:rPr>
                <w:rFonts w:eastAsia="宋体"/>
                <w:kern w:val="2"/>
                <w:sz w:val="21"/>
                <w:lang w:eastAsia="zh-CN"/>
              </w:rPr>
            </w:pPr>
          </w:p>
        </w:tc>
        <w:tc>
          <w:tcPr>
            <w:tcW w:w="1263" w:type="dxa"/>
            <w:vAlign w:val="center"/>
          </w:tcPr>
          <w:p w14:paraId="34D97924">
            <w:pPr>
              <w:widowControl w:val="0"/>
              <w:jc w:val="both"/>
              <w:rPr>
                <w:rFonts w:eastAsia="宋体"/>
                <w:kern w:val="2"/>
                <w:sz w:val="21"/>
                <w:lang w:eastAsia="zh-CN"/>
              </w:rPr>
            </w:pPr>
          </w:p>
        </w:tc>
      </w:tr>
      <w:tr w14:paraId="76CE7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5B770A34">
            <w:pPr>
              <w:widowControl w:val="0"/>
              <w:jc w:val="both"/>
              <w:rPr>
                <w:rFonts w:eastAsia="宋体"/>
                <w:kern w:val="2"/>
                <w:sz w:val="21"/>
                <w:lang w:eastAsia="zh-CN"/>
              </w:rPr>
            </w:pPr>
          </w:p>
        </w:tc>
        <w:tc>
          <w:tcPr>
            <w:tcW w:w="656" w:type="dxa"/>
            <w:vAlign w:val="center"/>
          </w:tcPr>
          <w:p w14:paraId="21518F5C">
            <w:pPr>
              <w:widowControl w:val="0"/>
              <w:jc w:val="both"/>
              <w:rPr>
                <w:rFonts w:eastAsia="宋体"/>
                <w:kern w:val="2"/>
                <w:sz w:val="21"/>
                <w:lang w:eastAsia="zh-CN"/>
              </w:rPr>
            </w:pPr>
          </w:p>
        </w:tc>
        <w:tc>
          <w:tcPr>
            <w:tcW w:w="3261" w:type="dxa"/>
            <w:gridSpan w:val="2"/>
            <w:shd w:val="clear" w:color="auto" w:fill="auto"/>
            <w:noWrap/>
            <w:vAlign w:val="center"/>
          </w:tcPr>
          <w:p w14:paraId="424CFE31">
            <w:pPr>
              <w:widowControl w:val="0"/>
              <w:jc w:val="both"/>
              <w:rPr>
                <w:rFonts w:eastAsia="宋体"/>
                <w:kern w:val="2"/>
                <w:sz w:val="21"/>
                <w:lang w:eastAsia="zh-CN"/>
              </w:rPr>
            </w:pPr>
          </w:p>
        </w:tc>
        <w:tc>
          <w:tcPr>
            <w:tcW w:w="1041" w:type="dxa"/>
            <w:shd w:val="clear" w:color="auto" w:fill="auto"/>
            <w:noWrap/>
            <w:vAlign w:val="center"/>
          </w:tcPr>
          <w:p w14:paraId="2FC9E29D">
            <w:pPr>
              <w:widowControl w:val="0"/>
              <w:jc w:val="both"/>
              <w:rPr>
                <w:rFonts w:eastAsia="宋体"/>
                <w:kern w:val="2"/>
                <w:sz w:val="21"/>
                <w:lang w:eastAsia="zh-CN"/>
              </w:rPr>
            </w:pPr>
          </w:p>
        </w:tc>
        <w:tc>
          <w:tcPr>
            <w:tcW w:w="847" w:type="dxa"/>
            <w:shd w:val="clear" w:color="auto" w:fill="auto"/>
            <w:noWrap/>
            <w:vAlign w:val="center"/>
          </w:tcPr>
          <w:p w14:paraId="2EA34C99">
            <w:pPr>
              <w:widowControl w:val="0"/>
              <w:jc w:val="both"/>
              <w:rPr>
                <w:rFonts w:eastAsia="宋体"/>
                <w:kern w:val="2"/>
                <w:sz w:val="21"/>
                <w:lang w:eastAsia="zh-CN"/>
              </w:rPr>
            </w:pPr>
          </w:p>
        </w:tc>
        <w:tc>
          <w:tcPr>
            <w:tcW w:w="805" w:type="dxa"/>
            <w:vAlign w:val="center"/>
          </w:tcPr>
          <w:p w14:paraId="5BA1C313">
            <w:pPr>
              <w:widowControl w:val="0"/>
              <w:jc w:val="both"/>
              <w:rPr>
                <w:rFonts w:eastAsia="宋体"/>
                <w:kern w:val="2"/>
                <w:sz w:val="21"/>
                <w:lang w:eastAsia="zh-CN"/>
              </w:rPr>
            </w:pPr>
          </w:p>
        </w:tc>
        <w:tc>
          <w:tcPr>
            <w:tcW w:w="1100" w:type="dxa"/>
            <w:vAlign w:val="center"/>
          </w:tcPr>
          <w:p w14:paraId="62B1D099">
            <w:pPr>
              <w:widowControl w:val="0"/>
              <w:jc w:val="both"/>
              <w:rPr>
                <w:rFonts w:eastAsia="宋体"/>
                <w:kern w:val="2"/>
                <w:sz w:val="21"/>
                <w:lang w:eastAsia="zh-CN"/>
              </w:rPr>
            </w:pPr>
          </w:p>
        </w:tc>
        <w:tc>
          <w:tcPr>
            <w:tcW w:w="1263" w:type="dxa"/>
            <w:vAlign w:val="center"/>
          </w:tcPr>
          <w:p w14:paraId="6D05D323">
            <w:pPr>
              <w:widowControl w:val="0"/>
              <w:jc w:val="both"/>
              <w:rPr>
                <w:rFonts w:eastAsia="宋体"/>
                <w:kern w:val="2"/>
                <w:sz w:val="21"/>
                <w:lang w:eastAsia="zh-CN"/>
              </w:rPr>
            </w:pPr>
          </w:p>
        </w:tc>
      </w:tr>
      <w:tr w14:paraId="41CB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restart"/>
            <w:shd w:val="clear" w:color="auto" w:fill="auto"/>
            <w:noWrap/>
            <w:vAlign w:val="center"/>
          </w:tcPr>
          <w:p w14:paraId="47769C5D">
            <w:pPr>
              <w:widowControl w:val="0"/>
              <w:jc w:val="both"/>
              <w:rPr>
                <w:rFonts w:eastAsia="宋体"/>
                <w:kern w:val="2"/>
                <w:sz w:val="21"/>
                <w:lang w:eastAsia="zh-CN"/>
              </w:rPr>
            </w:pPr>
            <w:r>
              <w:rPr>
                <w:rFonts w:hint="eastAsia" w:eastAsia="宋体"/>
                <w:kern w:val="2"/>
                <w:sz w:val="21"/>
                <w:lang w:eastAsia="zh-CN"/>
              </w:rPr>
              <w:t>7</w:t>
            </w:r>
          </w:p>
        </w:tc>
        <w:tc>
          <w:tcPr>
            <w:tcW w:w="656" w:type="dxa"/>
            <w:vAlign w:val="center"/>
          </w:tcPr>
          <w:p w14:paraId="7D9639BF">
            <w:pPr>
              <w:widowControl w:val="0"/>
              <w:jc w:val="both"/>
              <w:rPr>
                <w:rFonts w:eastAsia="宋体"/>
                <w:kern w:val="2"/>
                <w:sz w:val="21"/>
                <w:lang w:eastAsia="zh-CN"/>
              </w:rPr>
            </w:pPr>
          </w:p>
        </w:tc>
        <w:tc>
          <w:tcPr>
            <w:tcW w:w="3261" w:type="dxa"/>
            <w:gridSpan w:val="2"/>
            <w:shd w:val="clear" w:color="auto" w:fill="auto"/>
            <w:noWrap/>
            <w:vAlign w:val="center"/>
          </w:tcPr>
          <w:p w14:paraId="2EEF6DE6">
            <w:pPr>
              <w:widowControl w:val="0"/>
              <w:jc w:val="both"/>
              <w:rPr>
                <w:rFonts w:eastAsia="宋体"/>
                <w:kern w:val="2"/>
                <w:sz w:val="21"/>
                <w:lang w:eastAsia="zh-CN"/>
              </w:rPr>
            </w:pPr>
          </w:p>
        </w:tc>
        <w:tc>
          <w:tcPr>
            <w:tcW w:w="1041" w:type="dxa"/>
            <w:shd w:val="clear" w:color="auto" w:fill="auto"/>
            <w:noWrap/>
            <w:vAlign w:val="center"/>
          </w:tcPr>
          <w:p w14:paraId="4017CF4A">
            <w:pPr>
              <w:widowControl w:val="0"/>
              <w:jc w:val="both"/>
              <w:rPr>
                <w:rFonts w:eastAsia="宋体"/>
                <w:kern w:val="2"/>
                <w:sz w:val="21"/>
                <w:lang w:eastAsia="zh-CN"/>
              </w:rPr>
            </w:pPr>
          </w:p>
        </w:tc>
        <w:tc>
          <w:tcPr>
            <w:tcW w:w="847" w:type="dxa"/>
            <w:shd w:val="clear" w:color="auto" w:fill="auto"/>
            <w:noWrap/>
            <w:vAlign w:val="center"/>
          </w:tcPr>
          <w:p w14:paraId="57D49D57">
            <w:pPr>
              <w:widowControl w:val="0"/>
              <w:jc w:val="both"/>
              <w:rPr>
                <w:rFonts w:eastAsia="宋体"/>
                <w:kern w:val="2"/>
                <w:sz w:val="21"/>
                <w:lang w:eastAsia="zh-CN"/>
              </w:rPr>
            </w:pPr>
          </w:p>
        </w:tc>
        <w:tc>
          <w:tcPr>
            <w:tcW w:w="805" w:type="dxa"/>
            <w:vAlign w:val="center"/>
          </w:tcPr>
          <w:p w14:paraId="193894E8">
            <w:pPr>
              <w:widowControl w:val="0"/>
              <w:jc w:val="both"/>
              <w:rPr>
                <w:rFonts w:eastAsia="宋体"/>
                <w:kern w:val="2"/>
                <w:sz w:val="21"/>
                <w:lang w:eastAsia="zh-CN"/>
              </w:rPr>
            </w:pPr>
          </w:p>
        </w:tc>
        <w:tc>
          <w:tcPr>
            <w:tcW w:w="1100" w:type="dxa"/>
            <w:vAlign w:val="center"/>
          </w:tcPr>
          <w:p w14:paraId="25C51A5D">
            <w:pPr>
              <w:widowControl w:val="0"/>
              <w:jc w:val="both"/>
              <w:rPr>
                <w:rFonts w:eastAsia="宋体"/>
                <w:kern w:val="2"/>
                <w:sz w:val="21"/>
                <w:lang w:eastAsia="zh-CN"/>
              </w:rPr>
            </w:pPr>
          </w:p>
        </w:tc>
        <w:tc>
          <w:tcPr>
            <w:tcW w:w="1263" w:type="dxa"/>
            <w:vAlign w:val="center"/>
          </w:tcPr>
          <w:p w14:paraId="44436DF0">
            <w:pPr>
              <w:widowControl w:val="0"/>
              <w:jc w:val="both"/>
              <w:rPr>
                <w:rFonts w:eastAsia="宋体"/>
                <w:kern w:val="2"/>
                <w:sz w:val="21"/>
                <w:lang w:eastAsia="zh-CN"/>
              </w:rPr>
            </w:pPr>
          </w:p>
        </w:tc>
      </w:tr>
      <w:tr w14:paraId="2EA6A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1F003205">
            <w:pPr>
              <w:widowControl w:val="0"/>
              <w:jc w:val="both"/>
              <w:rPr>
                <w:rFonts w:eastAsia="宋体"/>
                <w:kern w:val="2"/>
                <w:sz w:val="21"/>
                <w:lang w:eastAsia="zh-CN"/>
              </w:rPr>
            </w:pPr>
          </w:p>
        </w:tc>
        <w:tc>
          <w:tcPr>
            <w:tcW w:w="656" w:type="dxa"/>
            <w:vAlign w:val="center"/>
          </w:tcPr>
          <w:p w14:paraId="08B0B5B5">
            <w:pPr>
              <w:widowControl w:val="0"/>
              <w:jc w:val="both"/>
              <w:rPr>
                <w:rFonts w:eastAsia="宋体"/>
                <w:kern w:val="2"/>
                <w:sz w:val="21"/>
                <w:lang w:eastAsia="zh-CN"/>
              </w:rPr>
            </w:pPr>
          </w:p>
        </w:tc>
        <w:tc>
          <w:tcPr>
            <w:tcW w:w="3261" w:type="dxa"/>
            <w:gridSpan w:val="2"/>
            <w:shd w:val="clear" w:color="auto" w:fill="auto"/>
            <w:noWrap/>
            <w:vAlign w:val="center"/>
          </w:tcPr>
          <w:p w14:paraId="74DAAC3E">
            <w:pPr>
              <w:widowControl w:val="0"/>
              <w:jc w:val="both"/>
              <w:rPr>
                <w:rFonts w:eastAsia="宋体"/>
                <w:kern w:val="2"/>
                <w:sz w:val="21"/>
                <w:lang w:eastAsia="zh-CN"/>
              </w:rPr>
            </w:pPr>
          </w:p>
        </w:tc>
        <w:tc>
          <w:tcPr>
            <w:tcW w:w="1041" w:type="dxa"/>
            <w:shd w:val="clear" w:color="auto" w:fill="auto"/>
            <w:noWrap/>
            <w:vAlign w:val="center"/>
          </w:tcPr>
          <w:p w14:paraId="1CB12AAF">
            <w:pPr>
              <w:widowControl w:val="0"/>
              <w:jc w:val="both"/>
              <w:rPr>
                <w:rFonts w:eastAsia="宋体"/>
                <w:kern w:val="2"/>
                <w:sz w:val="21"/>
                <w:lang w:eastAsia="zh-CN"/>
              </w:rPr>
            </w:pPr>
          </w:p>
        </w:tc>
        <w:tc>
          <w:tcPr>
            <w:tcW w:w="847" w:type="dxa"/>
            <w:shd w:val="clear" w:color="auto" w:fill="auto"/>
            <w:noWrap/>
            <w:vAlign w:val="center"/>
          </w:tcPr>
          <w:p w14:paraId="078D8996">
            <w:pPr>
              <w:widowControl w:val="0"/>
              <w:jc w:val="both"/>
              <w:rPr>
                <w:rFonts w:eastAsia="宋体"/>
                <w:kern w:val="2"/>
                <w:sz w:val="21"/>
                <w:lang w:eastAsia="zh-CN"/>
              </w:rPr>
            </w:pPr>
          </w:p>
        </w:tc>
        <w:tc>
          <w:tcPr>
            <w:tcW w:w="805" w:type="dxa"/>
            <w:vAlign w:val="center"/>
          </w:tcPr>
          <w:p w14:paraId="288EA78B">
            <w:pPr>
              <w:widowControl w:val="0"/>
              <w:jc w:val="both"/>
              <w:rPr>
                <w:rFonts w:eastAsia="宋体"/>
                <w:kern w:val="2"/>
                <w:sz w:val="21"/>
                <w:lang w:eastAsia="zh-CN"/>
              </w:rPr>
            </w:pPr>
          </w:p>
        </w:tc>
        <w:tc>
          <w:tcPr>
            <w:tcW w:w="1100" w:type="dxa"/>
            <w:vAlign w:val="center"/>
          </w:tcPr>
          <w:p w14:paraId="3DE41792">
            <w:pPr>
              <w:widowControl w:val="0"/>
              <w:jc w:val="both"/>
              <w:rPr>
                <w:rFonts w:eastAsia="宋体"/>
                <w:kern w:val="2"/>
                <w:sz w:val="21"/>
                <w:lang w:eastAsia="zh-CN"/>
              </w:rPr>
            </w:pPr>
          </w:p>
        </w:tc>
        <w:tc>
          <w:tcPr>
            <w:tcW w:w="1263" w:type="dxa"/>
            <w:vAlign w:val="center"/>
          </w:tcPr>
          <w:p w14:paraId="1F232837">
            <w:pPr>
              <w:widowControl w:val="0"/>
              <w:jc w:val="both"/>
              <w:rPr>
                <w:rFonts w:eastAsia="宋体"/>
                <w:kern w:val="2"/>
                <w:sz w:val="21"/>
                <w:lang w:eastAsia="zh-CN"/>
              </w:rPr>
            </w:pPr>
          </w:p>
        </w:tc>
      </w:tr>
      <w:tr w14:paraId="5E2AB7CA">
        <w:tblPrEx>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2FF98ECC">
            <w:pPr>
              <w:widowControl w:val="0"/>
              <w:jc w:val="both"/>
              <w:rPr>
                <w:rFonts w:eastAsia="宋体"/>
                <w:kern w:val="2"/>
                <w:sz w:val="21"/>
                <w:lang w:eastAsia="zh-CN"/>
              </w:rPr>
            </w:pPr>
          </w:p>
        </w:tc>
        <w:tc>
          <w:tcPr>
            <w:tcW w:w="656" w:type="dxa"/>
            <w:vAlign w:val="center"/>
          </w:tcPr>
          <w:p w14:paraId="28F860CD">
            <w:pPr>
              <w:widowControl w:val="0"/>
              <w:jc w:val="both"/>
              <w:rPr>
                <w:rFonts w:eastAsia="宋体"/>
                <w:kern w:val="2"/>
                <w:sz w:val="21"/>
                <w:lang w:eastAsia="zh-CN"/>
              </w:rPr>
            </w:pPr>
          </w:p>
        </w:tc>
        <w:tc>
          <w:tcPr>
            <w:tcW w:w="3261" w:type="dxa"/>
            <w:gridSpan w:val="2"/>
            <w:shd w:val="clear" w:color="auto" w:fill="auto"/>
            <w:noWrap/>
            <w:vAlign w:val="center"/>
          </w:tcPr>
          <w:p w14:paraId="21735D51">
            <w:pPr>
              <w:widowControl w:val="0"/>
              <w:jc w:val="both"/>
              <w:rPr>
                <w:rFonts w:eastAsia="宋体"/>
                <w:kern w:val="2"/>
                <w:sz w:val="21"/>
                <w:lang w:eastAsia="zh-CN"/>
              </w:rPr>
            </w:pPr>
          </w:p>
        </w:tc>
        <w:tc>
          <w:tcPr>
            <w:tcW w:w="1041" w:type="dxa"/>
            <w:shd w:val="clear" w:color="auto" w:fill="auto"/>
            <w:noWrap/>
            <w:vAlign w:val="center"/>
          </w:tcPr>
          <w:p w14:paraId="7BB5A677">
            <w:pPr>
              <w:widowControl w:val="0"/>
              <w:jc w:val="both"/>
              <w:rPr>
                <w:rFonts w:eastAsia="宋体"/>
                <w:kern w:val="2"/>
                <w:sz w:val="21"/>
                <w:lang w:eastAsia="zh-CN"/>
              </w:rPr>
            </w:pPr>
          </w:p>
        </w:tc>
        <w:tc>
          <w:tcPr>
            <w:tcW w:w="847" w:type="dxa"/>
            <w:shd w:val="clear" w:color="auto" w:fill="auto"/>
            <w:noWrap/>
            <w:vAlign w:val="center"/>
          </w:tcPr>
          <w:p w14:paraId="5A014087">
            <w:pPr>
              <w:widowControl w:val="0"/>
              <w:jc w:val="both"/>
              <w:rPr>
                <w:rFonts w:eastAsia="宋体"/>
                <w:kern w:val="2"/>
                <w:sz w:val="21"/>
                <w:lang w:eastAsia="zh-CN"/>
              </w:rPr>
            </w:pPr>
          </w:p>
        </w:tc>
        <w:tc>
          <w:tcPr>
            <w:tcW w:w="805" w:type="dxa"/>
            <w:vAlign w:val="center"/>
          </w:tcPr>
          <w:p w14:paraId="36CEBA61">
            <w:pPr>
              <w:widowControl w:val="0"/>
              <w:jc w:val="both"/>
              <w:rPr>
                <w:rFonts w:eastAsia="宋体"/>
                <w:kern w:val="2"/>
                <w:sz w:val="21"/>
                <w:lang w:eastAsia="zh-CN"/>
              </w:rPr>
            </w:pPr>
          </w:p>
        </w:tc>
        <w:tc>
          <w:tcPr>
            <w:tcW w:w="1100" w:type="dxa"/>
            <w:vAlign w:val="center"/>
          </w:tcPr>
          <w:p w14:paraId="42AEA3B4">
            <w:pPr>
              <w:widowControl w:val="0"/>
              <w:jc w:val="both"/>
              <w:rPr>
                <w:rFonts w:eastAsia="宋体"/>
                <w:kern w:val="2"/>
                <w:sz w:val="21"/>
                <w:lang w:eastAsia="zh-CN"/>
              </w:rPr>
            </w:pPr>
          </w:p>
        </w:tc>
        <w:tc>
          <w:tcPr>
            <w:tcW w:w="1263" w:type="dxa"/>
            <w:vAlign w:val="center"/>
          </w:tcPr>
          <w:p w14:paraId="639B1F6B">
            <w:pPr>
              <w:widowControl w:val="0"/>
              <w:jc w:val="both"/>
              <w:rPr>
                <w:rFonts w:eastAsia="宋体"/>
                <w:kern w:val="2"/>
                <w:sz w:val="21"/>
                <w:lang w:eastAsia="zh-CN"/>
              </w:rPr>
            </w:pPr>
          </w:p>
        </w:tc>
      </w:tr>
      <w:tr w14:paraId="540E1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52A6C112">
            <w:pPr>
              <w:widowControl w:val="0"/>
              <w:jc w:val="both"/>
              <w:rPr>
                <w:rFonts w:eastAsia="宋体"/>
                <w:kern w:val="2"/>
                <w:sz w:val="21"/>
                <w:lang w:eastAsia="zh-CN"/>
              </w:rPr>
            </w:pPr>
          </w:p>
        </w:tc>
        <w:tc>
          <w:tcPr>
            <w:tcW w:w="656" w:type="dxa"/>
            <w:vAlign w:val="center"/>
          </w:tcPr>
          <w:p w14:paraId="4B46F924">
            <w:pPr>
              <w:widowControl w:val="0"/>
              <w:jc w:val="both"/>
              <w:rPr>
                <w:rFonts w:eastAsia="宋体"/>
                <w:kern w:val="2"/>
                <w:sz w:val="21"/>
                <w:lang w:eastAsia="zh-CN"/>
              </w:rPr>
            </w:pPr>
          </w:p>
        </w:tc>
        <w:tc>
          <w:tcPr>
            <w:tcW w:w="3261" w:type="dxa"/>
            <w:gridSpan w:val="2"/>
            <w:shd w:val="clear" w:color="auto" w:fill="auto"/>
            <w:noWrap/>
            <w:vAlign w:val="center"/>
          </w:tcPr>
          <w:p w14:paraId="11DCCC0D">
            <w:pPr>
              <w:widowControl w:val="0"/>
              <w:jc w:val="both"/>
              <w:rPr>
                <w:rFonts w:eastAsia="宋体"/>
                <w:kern w:val="2"/>
                <w:sz w:val="21"/>
                <w:lang w:eastAsia="zh-CN"/>
              </w:rPr>
            </w:pPr>
          </w:p>
        </w:tc>
        <w:tc>
          <w:tcPr>
            <w:tcW w:w="1041" w:type="dxa"/>
            <w:shd w:val="clear" w:color="auto" w:fill="auto"/>
            <w:noWrap/>
            <w:vAlign w:val="center"/>
          </w:tcPr>
          <w:p w14:paraId="61BC5B53">
            <w:pPr>
              <w:widowControl w:val="0"/>
              <w:jc w:val="both"/>
              <w:rPr>
                <w:rFonts w:eastAsia="宋体"/>
                <w:kern w:val="2"/>
                <w:sz w:val="21"/>
                <w:lang w:eastAsia="zh-CN"/>
              </w:rPr>
            </w:pPr>
          </w:p>
        </w:tc>
        <w:tc>
          <w:tcPr>
            <w:tcW w:w="847" w:type="dxa"/>
            <w:shd w:val="clear" w:color="auto" w:fill="auto"/>
            <w:noWrap/>
            <w:vAlign w:val="center"/>
          </w:tcPr>
          <w:p w14:paraId="1052206F">
            <w:pPr>
              <w:widowControl w:val="0"/>
              <w:jc w:val="both"/>
              <w:rPr>
                <w:rFonts w:eastAsia="宋体"/>
                <w:kern w:val="2"/>
                <w:sz w:val="21"/>
                <w:lang w:eastAsia="zh-CN"/>
              </w:rPr>
            </w:pPr>
          </w:p>
        </w:tc>
        <w:tc>
          <w:tcPr>
            <w:tcW w:w="805" w:type="dxa"/>
            <w:vAlign w:val="center"/>
          </w:tcPr>
          <w:p w14:paraId="1590D857">
            <w:pPr>
              <w:widowControl w:val="0"/>
              <w:jc w:val="both"/>
              <w:rPr>
                <w:rFonts w:eastAsia="宋体"/>
                <w:kern w:val="2"/>
                <w:sz w:val="21"/>
                <w:lang w:eastAsia="zh-CN"/>
              </w:rPr>
            </w:pPr>
          </w:p>
        </w:tc>
        <w:tc>
          <w:tcPr>
            <w:tcW w:w="1100" w:type="dxa"/>
            <w:vAlign w:val="center"/>
          </w:tcPr>
          <w:p w14:paraId="6FBA0942">
            <w:pPr>
              <w:widowControl w:val="0"/>
              <w:jc w:val="both"/>
              <w:rPr>
                <w:rFonts w:eastAsia="宋体"/>
                <w:kern w:val="2"/>
                <w:sz w:val="21"/>
                <w:lang w:eastAsia="zh-CN"/>
              </w:rPr>
            </w:pPr>
          </w:p>
        </w:tc>
        <w:tc>
          <w:tcPr>
            <w:tcW w:w="1263" w:type="dxa"/>
            <w:vAlign w:val="center"/>
          </w:tcPr>
          <w:p w14:paraId="728D7B78">
            <w:pPr>
              <w:widowControl w:val="0"/>
              <w:jc w:val="both"/>
              <w:rPr>
                <w:rFonts w:eastAsia="宋体"/>
                <w:kern w:val="2"/>
                <w:sz w:val="21"/>
                <w:lang w:eastAsia="zh-CN"/>
              </w:rPr>
            </w:pPr>
          </w:p>
        </w:tc>
      </w:tr>
      <w:tr w14:paraId="35035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123BE0AE">
            <w:pPr>
              <w:widowControl w:val="0"/>
              <w:jc w:val="both"/>
              <w:rPr>
                <w:rFonts w:eastAsia="宋体"/>
                <w:kern w:val="2"/>
                <w:sz w:val="21"/>
                <w:lang w:eastAsia="zh-CN"/>
              </w:rPr>
            </w:pPr>
          </w:p>
        </w:tc>
        <w:tc>
          <w:tcPr>
            <w:tcW w:w="656" w:type="dxa"/>
            <w:vAlign w:val="center"/>
          </w:tcPr>
          <w:p w14:paraId="7385225D">
            <w:pPr>
              <w:widowControl w:val="0"/>
              <w:jc w:val="both"/>
              <w:rPr>
                <w:rFonts w:eastAsia="宋体"/>
                <w:kern w:val="2"/>
                <w:sz w:val="21"/>
                <w:lang w:eastAsia="zh-CN"/>
              </w:rPr>
            </w:pPr>
          </w:p>
        </w:tc>
        <w:tc>
          <w:tcPr>
            <w:tcW w:w="3261" w:type="dxa"/>
            <w:gridSpan w:val="2"/>
            <w:shd w:val="clear" w:color="auto" w:fill="auto"/>
            <w:noWrap/>
            <w:vAlign w:val="center"/>
          </w:tcPr>
          <w:p w14:paraId="7950779B">
            <w:pPr>
              <w:widowControl w:val="0"/>
              <w:jc w:val="both"/>
              <w:rPr>
                <w:rFonts w:eastAsia="宋体"/>
                <w:kern w:val="2"/>
                <w:sz w:val="21"/>
                <w:lang w:eastAsia="zh-CN"/>
              </w:rPr>
            </w:pPr>
          </w:p>
        </w:tc>
        <w:tc>
          <w:tcPr>
            <w:tcW w:w="1041" w:type="dxa"/>
            <w:shd w:val="clear" w:color="auto" w:fill="auto"/>
            <w:noWrap/>
            <w:vAlign w:val="center"/>
          </w:tcPr>
          <w:p w14:paraId="56C00D49">
            <w:pPr>
              <w:widowControl w:val="0"/>
              <w:jc w:val="both"/>
              <w:rPr>
                <w:rFonts w:eastAsia="宋体"/>
                <w:kern w:val="2"/>
                <w:sz w:val="21"/>
                <w:lang w:eastAsia="zh-CN"/>
              </w:rPr>
            </w:pPr>
          </w:p>
        </w:tc>
        <w:tc>
          <w:tcPr>
            <w:tcW w:w="847" w:type="dxa"/>
            <w:shd w:val="clear" w:color="auto" w:fill="auto"/>
            <w:noWrap/>
            <w:vAlign w:val="center"/>
          </w:tcPr>
          <w:p w14:paraId="73F1C2BC">
            <w:pPr>
              <w:widowControl w:val="0"/>
              <w:jc w:val="both"/>
              <w:rPr>
                <w:rFonts w:eastAsia="宋体"/>
                <w:kern w:val="2"/>
                <w:sz w:val="21"/>
                <w:lang w:eastAsia="zh-CN"/>
              </w:rPr>
            </w:pPr>
          </w:p>
        </w:tc>
        <w:tc>
          <w:tcPr>
            <w:tcW w:w="805" w:type="dxa"/>
            <w:vAlign w:val="center"/>
          </w:tcPr>
          <w:p w14:paraId="7931C566">
            <w:pPr>
              <w:widowControl w:val="0"/>
              <w:jc w:val="both"/>
              <w:rPr>
                <w:rFonts w:eastAsia="宋体"/>
                <w:kern w:val="2"/>
                <w:sz w:val="21"/>
                <w:lang w:eastAsia="zh-CN"/>
              </w:rPr>
            </w:pPr>
          </w:p>
        </w:tc>
        <w:tc>
          <w:tcPr>
            <w:tcW w:w="1100" w:type="dxa"/>
            <w:vAlign w:val="center"/>
          </w:tcPr>
          <w:p w14:paraId="34DBB9C1">
            <w:pPr>
              <w:widowControl w:val="0"/>
              <w:jc w:val="both"/>
              <w:rPr>
                <w:rFonts w:eastAsia="宋体"/>
                <w:kern w:val="2"/>
                <w:sz w:val="21"/>
                <w:lang w:eastAsia="zh-CN"/>
              </w:rPr>
            </w:pPr>
          </w:p>
        </w:tc>
        <w:tc>
          <w:tcPr>
            <w:tcW w:w="1263" w:type="dxa"/>
            <w:vAlign w:val="center"/>
          </w:tcPr>
          <w:p w14:paraId="47A2BADB">
            <w:pPr>
              <w:widowControl w:val="0"/>
              <w:jc w:val="both"/>
              <w:rPr>
                <w:rFonts w:eastAsia="宋体"/>
                <w:kern w:val="2"/>
                <w:sz w:val="21"/>
                <w:lang w:eastAsia="zh-CN"/>
              </w:rPr>
            </w:pPr>
          </w:p>
        </w:tc>
      </w:tr>
      <w:tr w14:paraId="14A0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079D0609">
            <w:pPr>
              <w:widowControl w:val="0"/>
              <w:jc w:val="both"/>
              <w:rPr>
                <w:rFonts w:eastAsia="宋体"/>
                <w:kern w:val="2"/>
                <w:sz w:val="21"/>
                <w:lang w:eastAsia="zh-CN"/>
              </w:rPr>
            </w:pPr>
          </w:p>
        </w:tc>
        <w:tc>
          <w:tcPr>
            <w:tcW w:w="656" w:type="dxa"/>
            <w:vAlign w:val="center"/>
          </w:tcPr>
          <w:p w14:paraId="0D30FF0F">
            <w:pPr>
              <w:widowControl w:val="0"/>
              <w:jc w:val="both"/>
              <w:rPr>
                <w:rFonts w:eastAsia="宋体"/>
                <w:kern w:val="2"/>
                <w:sz w:val="21"/>
                <w:lang w:eastAsia="zh-CN"/>
              </w:rPr>
            </w:pPr>
          </w:p>
        </w:tc>
        <w:tc>
          <w:tcPr>
            <w:tcW w:w="3261" w:type="dxa"/>
            <w:gridSpan w:val="2"/>
            <w:shd w:val="clear" w:color="auto" w:fill="auto"/>
            <w:noWrap/>
            <w:vAlign w:val="center"/>
          </w:tcPr>
          <w:p w14:paraId="7F52AC0A">
            <w:pPr>
              <w:widowControl w:val="0"/>
              <w:jc w:val="both"/>
              <w:rPr>
                <w:rFonts w:eastAsia="宋体"/>
                <w:kern w:val="2"/>
                <w:sz w:val="21"/>
                <w:lang w:eastAsia="zh-CN"/>
              </w:rPr>
            </w:pPr>
          </w:p>
        </w:tc>
        <w:tc>
          <w:tcPr>
            <w:tcW w:w="1041" w:type="dxa"/>
            <w:shd w:val="clear" w:color="auto" w:fill="auto"/>
            <w:noWrap/>
            <w:vAlign w:val="center"/>
          </w:tcPr>
          <w:p w14:paraId="05E7CDD7">
            <w:pPr>
              <w:widowControl w:val="0"/>
              <w:jc w:val="both"/>
              <w:rPr>
                <w:rFonts w:eastAsia="宋体"/>
                <w:kern w:val="2"/>
                <w:sz w:val="21"/>
                <w:lang w:eastAsia="zh-CN"/>
              </w:rPr>
            </w:pPr>
          </w:p>
        </w:tc>
        <w:tc>
          <w:tcPr>
            <w:tcW w:w="847" w:type="dxa"/>
            <w:shd w:val="clear" w:color="auto" w:fill="auto"/>
            <w:noWrap/>
            <w:vAlign w:val="center"/>
          </w:tcPr>
          <w:p w14:paraId="78584058">
            <w:pPr>
              <w:widowControl w:val="0"/>
              <w:jc w:val="both"/>
              <w:rPr>
                <w:rFonts w:eastAsia="宋体"/>
                <w:kern w:val="2"/>
                <w:sz w:val="21"/>
                <w:lang w:eastAsia="zh-CN"/>
              </w:rPr>
            </w:pPr>
          </w:p>
        </w:tc>
        <w:tc>
          <w:tcPr>
            <w:tcW w:w="805" w:type="dxa"/>
            <w:vAlign w:val="center"/>
          </w:tcPr>
          <w:p w14:paraId="69909FBD">
            <w:pPr>
              <w:widowControl w:val="0"/>
              <w:jc w:val="both"/>
              <w:rPr>
                <w:rFonts w:eastAsia="宋体"/>
                <w:kern w:val="2"/>
                <w:sz w:val="21"/>
                <w:lang w:eastAsia="zh-CN"/>
              </w:rPr>
            </w:pPr>
          </w:p>
        </w:tc>
        <w:tc>
          <w:tcPr>
            <w:tcW w:w="1100" w:type="dxa"/>
            <w:vAlign w:val="center"/>
          </w:tcPr>
          <w:p w14:paraId="2C38FD98">
            <w:pPr>
              <w:widowControl w:val="0"/>
              <w:jc w:val="both"/>
              <w:rPr>
                <w:rFonts w:eastAsia="宋体"/>
                <w:kern w:val="2"/>
                <w:sz w:val="21"/>
                <w:lang w:eastAsia="zh-CN"/>
              </w:rPr>
            </w:pPr>
          </w:p>
        </w:tc>
        <w:tc>
          <w:tcPr>
            <w:tcW w:w="1263" w:type="dxa"/>
            <w:vAlign w:val="center"/>
          </w:tcPr>
          <w:p w14:paraId="385E85FD">
            <w:pPr>
              <w:widowControl w:val="0"/>
              <w:jc w:val="both"/>
              <w:rPr>
                <w:rFonts w:eastAsia="宋体"/>
                <w:kern w:val="2"/>
                <w:sz w:val="21"/>
                <w:lang w:eastAsia="zh-CN"/>
              </w:rPr>
            </w:pPr>
          </w:p>
        </w:tc>
      </w:tr>
      <w:tr w14:paraId="23E4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2A496494">
            <w:pPr>
              <w:widowControl w:val="0"/>
              <w:jc w:val="both"/>
              <w:rPr>
                <w:rFonts w:eastAsia="宋体"/>
                <w:kern w:val="2"/>
                <w:sz w:val="21"/>
                <w:lang w:eastAsia="zh-CN"/>
              </w:rPr>
            </w:pPr>
          </w:p>
        </w:tc>
        <w:tc>
          <w:tcPr>
            <w:tcW w:w="656" w:type="dxa"/>
            <w:vAlign w:val="center"/>
          </w:tcPr>
          <w:p w14:paraId="29F39695">
            <w:pPr>
              <w:widowControl w:val="0"/>
              <w:jc w:val="both"/>
              <w:rPr>
                <w:rFonts w:eastAsia="宋体"/>
                <w:kern w:val="2"/>
                <w:sz w:val="21"/>
                <w:lang w:eastAsia="zh-CN"/>
              </w:rPr>
            </w:pPr>
          </w:p>
        </w:tc>
        <w:tc>
          <w:tcPr>
            <w:tcW w:w="3261" w:type="dxa"/>
            <w:gridSpan w:val="2"/>
            <w:shd w:val="clear" w:color="auto" w:fill="auto"/>
            <w:noWrap/>
            <w:vAlign w:val="center"/>
          </w:tcPr>
          <w:p w14:paraId="2CE08BAE">
            <w:pPr>
              <w:widowControl w:val="0"/>
              <w:jc w:val="both"/>
              <w:rPr>
                <w:rFonts w:eastAsia="宋体"/>
                <w:kern w:val="2"/>
                <w:sz w:val="21"/>
                <w:lang w:eastAsia="zh-CN"/>
              </w:rPr>
            </w:pPr>
          </w:p>
        </w:tc>
        <w:tc>
          <w:tcPr>
            <w:tcW w:w="1041" w:type="dxa"/>
            <w:shd w:val="clear" w:color="auto" w:fill="auto"/>
            <w:noWrap/>
            <w:vAlign w:val="center"/>
          </w:tcPr>
          <w:p w14:paraId="08C6367E">
            <w:pPr>
              <w:widowControl w:val="0"/>
              <w:jc w:val="both"/>
              <w:rPr>
                <w:rFonts w:eastAsia="宋体"/>
                <w:kern w:val="2"/>
                <w:sz w:val="21"/>
                <w:lang w:eastAsia="zh-CN"/>
              </w:rPr>
            </w:pPr>
          </w:p>
        </w:tc>
        <w:tc>
          <w:tcPr>
            <w:tcW w:w="847" w:type="dxa"/>
            <w:shd w:val="clear" w:color="auto" w:fill="auto"/>
            <w:noWrap/>
            <w:vAlign w:val="center"/>
          </w:tcPr>
          <w:p w14:paraId="5CB19FB8">
            <w:pPr>
              <w:widowControl w:val="0"/>
              <w:jc w:val="both"/>
              <w:rPr>
                <w:rFonts w:eastAsia="宋体"/>
                <w:kern w:val="2"/>
                <w:sz w:val="21"/>
                <w:lang w:eastAsia="zh-CN"/>
              </w:rPr>
            </w:pPr>
          </w:p>
        </w:tc>
        <w:tc>
          <w:tcPr>
            <w:tcW w:w="805" w:type="dxa"/>
            <w:vAlign w:val="center"/>
          </w:tcPr>
          <w:p w14:paraId="433FB61B">
            <w:pPr>
              <w:widowControl w:val="0"/>
              <w:jc w:val="both"/>
              <w:rPr>
                <w:rFonts w:eastAsia="宋体"/>
                <w:kern w:val="2"/>
                <w:sz w:val="21"/>
                <w:lang w:eastAsia="zh-CN"/>
              </w:rPr>
            </w:pPr>
          </w:p>
        </w:tc>
        <w:tc>
          <w:tcPr>
            <w:tcW w:w="1100" w:type="dxa"/>
            <w:vAlign w:val="center"/>
          </w:tcPr>
          <w:p w14:paraId="441B0514">
            <w:pPr>
              <w:widowControl w:val="0"/>
              <w:jc w:val="both"/>
              <w:rPr>
                <w:rFonts w:eastAsia="宋体"/>
                <w:kern w:val="2"/>
                <w:sz w:val="21"/>
                <w:lang w:eastAsia="zh-CN"/>
              </w:rPr>
            </w:pPr>
          </w:p>
        </w:tc>
        <w:tc>
          <w:tcPr>
            <w:tcW w:w="1263" w:type="dxa"/>
            <w:vAlign w:val="center"/>
          </w:tcPr>
          <w:p w14:paraId="75387F09">
            <w:pPr>
              <w:widowControl w:val="0"/>
              <w:jc w:val="both"/>
              <w:rPr>
                <w:rFonts w:eastAsia="宋体"/>
                <w:kern w:val="2"/>
                <w:sz w:val="21"/>
                <w:lang w:eastAsia="zh-CN"/>
              </w:rPr>
            </w:pPr>
          </w:p>
        </w:tc>
      </w:tr>
      <w:tr w14:paraId="71866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shd w:val="clear" w:color="auto" w:fill="auto"/>
            <w:noWrap/>
            <w:vAlign w:val="center"/>
          </w:tcPr>
          <w:p w14:paraId="49CDF444">
            <w:pPr>
              <w:widowControl w:val="0"/>
              <w:jc w:val="both"/>
              <w:rPr>
                <w:rFonts w:eastAsia="宋体"/>
                <w:kern w:val="2"/>
                <w:sz w:val="21"/>
                <w:lang w:eastAsia="zh-CN"/>
              </w:rPr>
            </w:pPr>
            <w:r>
              <w:rPr>
                <w:rFonts w:hint="eastAsia" w:eastAsia="宋体"/>
                <w:kern w:val="2"/>
                <w:sz w:val="21"/>
                <w:lang w:eastAsia="zh-CN"/>
              </w:rPr>
              <w:t>8</w:t>
            </w:r>
          </w:p>
        </w:tc>
        <w:tc>
          <w:tcPr>
            <w:tcW w:w="656" w:type="dxa"/>
            <w:vAlign w:val="center"/>
          </w:tcPr>
          <w:p w14:paraId="1001881A">
            <w:pPr>
              <w:widowControl w:val="0"/>
              <w:jc w:val="both"/>
              <w:rPr>
                <w:rFonts w:eastAsia="宋体"/>
                <w:kern w:val="2"/>
                <w:sz w:val="21"/>
                <w:lang w:eastAsia="zh-CN"/>
              </w:rPr>
            </w:pPr>
          </w:p>
        </w:tc>
        <w:tc>
          <w:tcPr>
            <w:tcW w:w="3261" w:type="dxa"/>
            <w:gridSpan w:val="2"/>
            <w:shd w:val="clear" w:color="auto" w:fill="auto"/>
            <w:noWrap/>
            <w:vAlign w:val="center"/>
          </w:tcPr>
          <w:p w14:paraId="37611571">
            <w:pPr>
              <w:widowControl w:val="0"/>
              <w:jc w:val="both"/>
              <w:rPr>
                <w:rFonts w:eastAsia="宋体"/>
                <w:kern w:val="2"/>
                <w:sz w:val="21"/>
                <w:lang w:eastAsia="zh-CN"/>
              </w:rPr>
            </w:pPr>
          </w:p>
        </w:tc>
        <w:tc>
          <w:tcPr>
            <w:tcW w:w="1041" w:type="dxa"/>
            <w:shd w:val="clear" w:color="auto" w:fill="auto"/>
            <w:noWrap/>
            <w:vAlign w:val="center"/>
          </w:tcPr>
          <w:p w14:paraId="41905A4F">
            <w:pPr>
              <w:widowControl w:val="0"/>
              <w:jc w:val="both"/>
              <w:rPr>
                <w:rFonts w:eastAsia="宋体"/>
                <w:kern w:val="2"/>
                <w:sz w:val="21"/>
                <w:lang w:eastAsia="zh-CN"/>
              </w:rPr>
            </w:pPr>
          </w:p>
        </w:tc>
        <w:tc>
          <w:tcPr>
            <w:tcW w:w="847" w:type="dxa"/>
            <w:shd w:val="clear" w:color="auto" w:fill="auto"/>
            <w:noWrap/>
            <w:vAlign w:val="center"/>
          </w:tcPr>
          <w:p w14:paraId="2773F595">
            <w:pPr>
              <w:widowControl w:val="0"/>
              <w:jc w:val="both"/>
              <w:rPr>
                <w:rFonts w:eastAsia="宋体"/>
                <w:kern w:val="2"/>
                <w:sz w:val="21"/>
                <w:lang w:eastAsia="zh-CN"/>
              </w:rPr>
            </w:pPr>
          </w:p>
        </w:tc>
        <w:tc>
          <w:tcPr>
            <w:tcW w:w="805" w:type="dxa"/>
            <w:vAlign w:val="center"/>
          </w:tcPr>
          <w:p w14:paraId="1592FECC">
            <w:pPr>
              <w:widowControl w:val="0"/>
              <w:jc w:val="both"/>
              <w:rPr>
                <w:rFonts w:eastAsia="宋体"/>
                <w:kern w:val="2"/>
                <w:sz w:val="21"/>
                <w:lang w:eastAsia="zh-CN"/>
              </w:rPr>
            </w:pPr>
          </w:p>
        </w:tc>
        <w:tc>
          <w:tcPr>
            <w:tcW w:w="1100" w:type="dxa"/>
            <w:vAlign w:val="center"/>
          </w:tcPr>
          <w:p w14:paraId="0E2E1430">
            <w:pPr>
              <w:widowControl w:val="0"/>
              <w:jc w:val="both"/>
              <w:rPr>
                <w:rFonts w:eastAsia="宋体"/>
                <w:kern w:val="2"/>
                <w:sz w:val="21"/>
                <w:lang w:eastAsia="zh-CN"/>
              </w:rPr>
            </w:pPr>
          </w:p>
        </w:tc>
        <w:tc>
          <w:tcPr>
            <w:tcW w:w="1263" w:type="dxa"/>
            <w:vAlign w:val="center"/>
          </w:tcPr>
          <w:p w14:paraId="713DC82B">
            <w:pPr>
              <w:widowControl w:val="0"/>
              <w:jc w:val="both"/>
              <w:rPr>
                <w:rFonts w:eastAsia="宋体"/>
                <w:kern w:val="2"/>
                <w:sz w:val="21"/>
                <w:lang w:eastAsia="zh-CN"/>
              </w:rPr>
            </w:pPr>
          </w:p>
        </w:tc>
      </w:tr>
      <w:tr w14:paraId="7E90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shd w:val="clear" w:color="auto" w:fill="auto"/>
            <w:noWrap/>
            <w:vAlign w:val="center"/>
          </w:tcPr>
          <w:p w14:paraId="0BA64C51">
            <w:pPr>
              <w:widowControl w:val="0"/>
              <w:jc w:val="both"/>
              <w:rPr>
                <w:rFonts w:eastAsia="宋体"/>
                <w:kern w:val="2"/>
                <w:sz w:val="21"/>
                <w:lang w:eastAsia="zh-CN"/>
              </w:rPr>
            </w:pPr>
            <w:r>
              <w:rPr>
                <w:rFonts w:hint="eastAsia" w:eastAsia="宋体"/>
                <w:kern w:val="2"/>
                <w:sz w:val="21"/>
                <w:lang w:eastAsia="zh-CN"/>
              </w:rPr>
              <w:t>9</w:t>
            </w:r>
          </w:p>
        </w:tc>
        <w:tc>
          <w:tcPr>
            <w:tcW w:w="656" w:type="dxa"/>
            <w:vAlign w:val="center"/>
          </w:tcPr>
          <w:p w14:paraId="634072F5">
            <w:pPr>
              <w:widowControl w:val="0"/>
              <w:jc w:val="both"/>
              <w:rPr>
                <w:rFonts w:eastAsia="宋体"/>
                <w:kern w:val="2"/>
                <w:sz w:val="21"/>
                <w:lang w:eastAsia="zh-CN"/>
              </w:rPr>
            </w:pPr>
          </w:p>
        </w:tc>
        <w:tc>
          <w:tcPr>
            <w:tcW w:w="3261" w:type="dxa"/>
            <w:gridSpan w:val="2"/>
            <w:shd w:val="clear" w:color="auto" w:fill="auto"/>
            <w:noWrap/>
            <w:vAlign w:val="center"/>
          </w:tcPr>
          <w:p w14:paraId="541906B6">
            <w:pPr>
              <w:widowControl w:val="0"/>
              <w:jc w:val="both"/>
              <w:rPr>
                <w:rFonts w:eastAsia="宋体"/>
                <w:kern w:val="2"/>
                <w:sz w:val="21"/>
                <w:lang w:eastAsia="zh-CN"/>
              </w:rPr>
            </w:pPr>
          </w:p>
        </w:tc>
        <w:tc>
          <w:tcPr>
            <w:tcW w:w="1041" w:type="dxa"/>
            <w:shd w:val="clear" w:color="auto" w:fill="auto"/>
            <w:noWrap/>
            <w:vAlign w:val="center"/>
          </w:tcPr>
          <w:p w14:paraId="3051C9A5">
            <w:pPr>
              <w:widowControl w:val="0"/>
              <w:jc w:val="both"/>
              <w:rPr>
                <w:rFonts w:eastAsia="宋体"/>
                <w:kern w:val="2"/>
                <w:sz w:val="21"/>
                <w:lang w:eastAsia="zh-CN"/>
              </w:rPr>
            </w:pPr>
          </w:p>
        </w:tc>
        <w:tc>
          <w:tcPr>
            <w:tcW w:w="847" w:type="dxa"/>
            <w:shd w:val="clear" w:color="auto" w:fill="auto"/>
            <w:noWrap/>
            <w:vAlign w:val="center"/>
          </w:tcPr>
          <w:p w14:paraId="4516D376">
            <w:pPr>
              <w:widowControl w:val="0"/>
              <w:jc w:val="both"/>
              <w:rPr>
                <w:rFonts w:eastAsia="宋体"/>
                <w:kern w:val="2"/>
                <w:sz w:val="21"/>
                <w:lang w:eastAsia="zh-CN"/>
              </w:rPr>
            </w:pPr>
          </w:p>
        </w:tc>
        <w:tc>
          <w:tcPr>
            <w:tcW w:w="805" w:type="dxa"/>
            <w:vAlign w:val="center"/>
          </w:tcPr>
          <w:p w14:paraId="726CD68A">
            <w:pPr>
              <w:widowControl w:val="0"/>
              <w:jc w:val="both"/>
              <w:rPr>
                <w:rFonts w:eastAsia="宋体"/>
                <w:kern w:val="2"/>
                <w:sz w:val="21"/>
                <w:lang w:eastAsia="zh-CN"/>
              </w:rPr>
            </w:pPr>
          </w:p>
        </w:tc>
        <w:tc>
          <w:tcPr>
            <w:tcW w:w="1100" w:type="dxa"/>
            <w:vAlign w:val="center"/>
          </w:tcPr>
          <w:p w14:paraId="1A5409B5">
            <w:pPr>
              <w:widowControl w:val="0"/>
              <w:jc w:val="both"/>
              <w:rPr>
                <w:rFonts w:eastAsia="宋体"/>
                <w:kern w:val="2"/>
                <w:sz w:val="21"/>
                <w:lang w:eastAsia="zh-CN"/>
              </w:rPr>
            </w:pPr>
          </w:p>
        </w:tc>
        <w:tc>
          <w:tcPr>
            <w:tcW w:w="1263" w:type="dxa"/>
            <w:vAlign w:val="center"/>
          </w:tcPr>
          <w:p w14:paraId="633252EB">
            <w:pPr>
              <w:widowControl w:val="0"/>
              <w:jc w:val="both"/>
              <w:rPr>
                <w:rFonts w:eastAsia="宋体"/>
                <w:kern w:val="2"/>
                <w:sz w:val="21"/>
                <w:lang w:eastAsia="zh-CN"/>
              </w:rPr>
            </w:pPr>
          </w:p>
        </w:tc>
      </w:tr>
      <w:tr w14:paraId="1BB3F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shd w:val="clear" w:color="auto" w:fill="auto"/>
            <w:noWrap/>
            <w:vAlign w:val="center"/>
          </w:tcPr>
          <w:p w14:paraId="48F0BA50">
            <w:pPr>
              <w:widowControl w:val="0"/>
              <w:jc w:val="both"/>
              <w:rPr>
                <w:rFonts w:eastAsia="宋体"/>
                <w:kern w:val="2"/>
                <w:sz w:val="21"/>
                <w:lang w:eastAsia="zh-CN"/>
              </w:rPr>
            </w:pPr>
            <w:r>
              <w:rPr>
                <w:rFonts w:hint="eastAsia" w:eastAsia="宋体"/>
                <w:kern w:val="2"/>
                <w:sz w:val="21"/>
                <w:lang w:eastAsia="zh-CN"/>
              </w:rPr>
              <w:t>10</w:t>
            </w:r>
          </w:p>
        </w:tc>
        <w:tc>
          <w:tcPr>
            <w:tcW w:w="656" w:type="dxa"/>
            <w:vAlign w:val="center"/>
          </w:tcPr>
          <w:p w14:paraId="41090426">
            <w:pPr>
              <w:widowControl w:val="0"/>
              <w:jc w:val="both"/>
              <w:rPr>
                <w:rFonts w:eastAsia="宋体"/>
                <w:kern w:val="2"/>
                <w:sz w:val="21"/>
                <w:lang w:eastAsia="zh-CN"/>
              </w:rPr>
            </w:pPr>
          </w:p>
        </w:tc>
        <w:tc>
          <w:tcPr>
            <w:tcW w:w="3261" w:type="dxa"/>
            <w:gridSpan w:val="2"/>
            <w:shd w:val="clear" w:color="auto" w:fill="auto"/>
            <w:noWrap/>
            <w:vAlign w:val="center"/>
          </w:tcPr>
          <w:p w14:paraId="2E803DE7">
            <w:pPr>
              <w:widowControl w:val="0"/>
              <w:jc w:val="both"/>
              <w:rPr>
                <w:rFonts w:eastAsia="宋体"/>
                <w:kern w:val="2"/>
                <w:sz w:val="21"/>
                <w:lang w:eastAsia="zh-CN"/>
              </w:rPr>
            </w:pPr>
          </w:p>
        </w:tc>
        <w:tc>
          <w:tcPr>
            <w:tcW w:w="1041" w:type="dxa"/>
            <w:shd w:val="clear" w:color="auto" w:fill="auto"/>
            <w:noWrap/>
            <w:vAlign w:val="center"/>
          </w:tcPr>
          <w:p w14:paraId="0C57D5D3">
            <w:pPr>
              <w:widowControl w:val="0"/>
              <w:jc w:val="both"/>
              <w:rPr>
                <w:rFonts w:eastAsia="宋体"/>
                <w:kern w:val="2"/>
                <w:sz w:val="21"/>
                <w:lang w:eastAsia="zh-CN"/>
              </w:rPr>
            </w:pPr>
          </w:p>
        </w:tc>
        <w:tc>
          <w:tcPr>
            <w:tcW w:w="847" w:type="dxa"/>
            <w:shd w:val="clear" w:color="auto" w:fill="auto"/>
            <w:noWrap/>
            <w:vAlign w:val="center"/>
          </w:tcPr>
          <w:p w14:paraId="3C18EC71">
            <w:pPr>
              <w:widowControl w:val="0"/>
              <w:jc w:val="both"/>
              <w:rPr>
                <w:rFonts w:eastAsia="宋体"/>
                <w:kern w:val="2"/>
                <w:sz w:val="21"/>
                <w:lang w:eastAsia="zh-CN"/>
              </w:rPr>
            </w:pPr>
          </w:p>
        </w:tc>
        <w:tc>
          <w:tcPr>
            <w:tcW w:w="805" w:type="dxa"/>
            <w:vAlign w:val="center"/>
          </w:tcPr>
          <w:p w14:paraId="7866E149">
            <w:pPr>
              <w:widowControl w:val="0"/>
              <w:jc w:val="both"/>
              <w:rPr>
                <w:rFonts w:eastAsia="宋体"/>
                <w:kern w:val="2"/>
                <w:sz w:val="21"/>
                <w:lang w:eastAsia="zh-CN"/>
              </w:rPr>
            </w:pPr>
          </w:p>
        </w:tc>
        <w:tc>
          <w:tcPr>
            <w:tcW w:w="1100" w:type="dxa"/>
            <w:vAlign w:val="center"/>
          </w:tcPr>
          <w:p w14:paraId="63DABE64">
            <w:pPr>
              <w:widowControl w:val="0"/>
              <w:jc w:val="both"/>
              <w:rPr>
                <w:rFonts w:eastAsia="宋体"/>
                <w:kern w:val="2"/>
                <w:sz w:val="21"/>
                <w:lang w:eastAsia="zh-CN"/>
              </w:rPr>
            </w:pPr>
          </w:p>
        </w:tc>
        <w:tc>
          <w:tcPr>
            <w:tcW w:w="1263" w:type="dxa"/>
            <w:vAlign w:val="center"/>
          </w:tcPr>
          <w:p w14:paraId="6786BA2D">
            <w:pPr>
              <w:widowControl w:val="0"/>
              <w:jc w:val="both"/>
              <w:rPr>
                <w:rFonts w:eastAsia="宋体"/>
                <w:kern w:val="2"/>
                <w:sz w:val="21"/>
                <w:lang w:eastAsia="zh-CN"/>
              </w:rPr>
            </w:pPr>
          </w:p>
        </w:tc>
      </w:tr>
      <w:tr w14:paraId="2528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restart"/>
            <w:shd w:val="clear" w:color="auto" w:fill="auto"/>
            <w:noWrap/>
            <w:vAlign w:val="center"/>
          </w:tcPr>
          <w:p w14:paraId="1959B6F5">
            <w:pPr>
              <w:widowControl w:val="0"/>
              <w:jc w:val="both"/>
              <w:rPr>
                <w:rFonts w:eastAsia="宋体"/>
                <w:kern w:val="2"/>
                <w:sz w:val="21"/>
                <w:lang w:eastAsia="zh-CN"/>
              </w:rPr>
            </w:pPr>
            <w:r>
              <w:rPr>
                <w:rFonts w:hint="eastAsia" w:eastAsia="宋体"/>
                <w:kern w:val="2"/>
                <w:sz w:val="21"/>
                <w:lang w:eastAsia="zh-CN"/>
              </w:rPr>
              <w:t>11</w:t>
            </w:r>
          </w:p>
        </w:tc>
        <w:tc>
          <w:tcPr>
            <w:tcW w:w="656" w:type="dxa"/>
            <w:vAlign w:val="center"/>
          </w:tcPr>
          <w:p w14:paraId="3250F157">
            <w:pPr>
              <w:widowControl w:val="0"/>
              <w:jc w:val="both"/>
              <w:rPr>
                <w:rFonts w:eastAsia="宋体"/>
                <w:kern w:val="2"/>
                <w:sz w:val="21"/>
                <w:lang w:eastAsia="zh-CN"/>
              </w:rPr>
            </w:pPr>
          </w:p>
        </w:tc>
        <w:tc>
          <w:tcPr>
            <w:tcW w:w="3261" w:type="dxa"/>
            <w:gridSpan w:val="2"/>
            <w:shd w:val="clear" w:color="auto" w:fill="auto"/>
            <w:noWrap/>
            <w:vAlign w:val="center"/>
          </w:tcPr>
          <w:p w14:paraId="6DCD5270">
            <w:pPr>
              <w:widowControl w:val="0"/>
              <w:jc w:val="both"/>
              <w:rPr>
                <w:rFonts w:eastAsia="宋体"/>
                <w:kern w:val="2"/>
                <w:sz w:val="21"/>
                <w:lang w:eastAsia="zh-CN"/>
              </w:rPr>
            </w:pPr>
          </w:p>
        </w:tc>
        <w:tc>
          <w:tcPr>
            <w:tcW w:w="1041" w:type="dxa"/>
            <w:shd w:val="clear" w:color="auto" w:fill="auto"/>
            <w:noWrap/>
            <w:vAlign w:val="center"/>
          </w:tcPr>
          <w:p w14:paraId="24DAA9B2">
            <w:pPr>
              <w:widowControl w:val="0"/>
              <w:jc w:val="both"/>
              <w:rPr>
                <w:rFonts w:eastAsia="宋体"/>
                <w:kern w:val="2"/>
                <w:sz w:val="21"/>
                <w:lang w:eastAsia="zh-CN"/>
              </w:rPr>
            </w:pPr>
          </w:p>
        </w:tc>
        <w:tc>
          <w:tcPr>
            <w:tcW w:w="847" w:type="dxa"/>
            <w:shd w:val="clear" w:color="auto" w:fill="auto"/>
            <w:noWrap/>
            <w:vAlign w:val="center"/>
          </w:tcPr>
          <w:p w14:paraId="403E8D92">
            <w:pPr>
              <w:widowControl w:val="0"/>
              <w:jc w:val="both"/>
              <w:rPr>
                <w:rFonts w:eastAsia="宋体"/>
                <w:kern w:val="2"/>
                <w:sz w:val="21"/>
                <w:lang w:eastAsia="zh-CN"/>
              </w:rPr>
            </w:pPr>
          </w:p>
        </w:tc>
        <w:tc>
          <w:tcPr>
            <w:tcW w:w="805" w:type="dxa"/>
            <w:vAlign w:val="center"/>
          </w:tcPr>
          <w:p w14:paraId="1FCE182B">
            <w:pPr>
              <w:widowControl w:val="0"/>
              <w:jc w:val="both"/>
              <w:rPr>
                <w:rFonts w:eastAsia="宋体"/>
                <w:kern w:val="2"/>
                <w:sz w:val="21"/>
                <w:lang w:eastAsia="zh-CN"/>
              </w:rPr>
            </w:pPr>
          </w:p>
        </w:tc>
        <w:tc>
          <w:tcPr>
            <w:tcW w:w="1100" w:type="dxa"/>
            <w:vAlign w:val="center"/>
          </w:tcPr>
          <w:p w14:paraId="4502FD4C">
            <w:pPr>
              <w:widowControl w:val="0"/>
              <w:jc w:val="both"/>
              <w:rPr>
                <w:rFonts w:eastAsia="宋体"/>
                <w:kern w:val="2"/>
                <w:sz w:val="21"/>
                <w:lang w:eastAsia="zh-CN"/>
              </w:rPr>
            </w:pPr>
          </w:p>
        </w:tc>
        <w:tc>
          <w:tcPr>
            <w:tcW w:w="1263" w:type="dxa"/>
            <w:vAlign w:val="center"/>
          </w:tcPr>
          <w:p w14:paraId="5DAFA15F">
            <w:pPr>
              <w:widowControl w:val="0"/>
              <w:jc w:val="both"/>
              <w:rPr>
                <w:rFonts w:eastAsia="宋体"/>
                <w:kern w:val="2"/>
                <w:sz w:val="21"/>
                <w:lang w:eastAsia="zh-CN"/>
              </w:rPr>
            </w:pPr>
          </w:p>
        </w:tc>
      </w:tr>
      <w:tr w14:paraId="765C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716E00B8">
            <w:pPr>
              <w:widowControl w:val="0"/>
              <w:jc w:val="both"/>
              <w:rPr>
                <w:rFonts w:eastAsia="宋体"/>
                <w:kern w:val="2"/>
                <w:sz w:val="21"/>
                <w:lang w:eastAsia="zh-CN"/>
              </w:rPr>
            </w:pPr>
          </w:p>
        </w:tc>
        <w:tc>
          <w:tcPr>
            <w:tcW w:w="656" w:type="dxa"/>
            <w:vAlign w:val="center"/>
          </w:tcPr>
          <w:p w14:paraId="40CF262E">
            <w:pPr>
              <w:widowControl w:val="0"/>
              <w:jc w:val="both"/>
              <w:rPr>
                <w:rFonts w:eastAsia="宋体"/>
                <w:kern w:val="2"/>
                <w:sz w:val="21"/>
                <w:lang w:eastAsia="zh-CN"/>
              </w:rPr>
            </w:pPr>
          </w:p>
        </w:tc>
        <w:tc>
          <w:tcPr>
            <w:tcW w:w="3261" w:type="dxa"/>
            <w:gridSpan w:val="2"/>
            <w:shd w:val="clear" w:color="auto" w:fill="auto"/>
            <w:noWrap/>
            <w:vAlign w:val="center"/>
          </w:tcPr>
          <w:p w14:paraId="72B2E4C4">
            <w:pPr>
              <w:widowControl w:val="0"/>
              <w:jc w:val="both"/>
              <w:rPr>
                <w:rFonts w:eastAsia="宋体"/>
                <w:kern w:val="2"/>
                <w:sz w:val="21"/>
                <w:lang w:eastAsia="zh-CN"/>
              </w:rPr>
            </w:pPr>
          </w:p>
        </w:tc>
        <w:tc>
          <w:tcPr>
            <w:tcW w:w="1041" w:type="dxa"/>
            <w:shd w:val="clear" w:color="auto" w:fill="auto"/>
            <w:noWrap/>
            <w:vAlign w:val="center"/>
          </w:tcPr>
          <w:p w14:paraId="68E7016C">
            <w:pPr>
              <w:widowControl w:val="0"/>
              <w:jc w:val="both"/>
              <w:rPr>
                <w:rFonts w:eastAsia="宋体"/>
                <w:kern w:val="2"/>
                <w:sz w:val="21"/>
                <w:lang w:eastAsia="zh-CN"/>
              </w:rPr>
            </w:pPr>
          </w:p>
        </w:tc>
        <w:tc>
          <w:tcPr>
            <w:tcW w:w="847" w:type="dxa"/>
            <w:shd w:val="clear" w:color="auto" w:fill="auto"/>
            <w:noWrap/>
            <w:vAlign w:val="center"/>
          </w:tcPr>
          <w:p w14:paraId="34161ABF">
            <w:pPr>
              <w:widowControl w:val="0"/>
              <w:jc w:val="both"/>
              <w:rPr>
                <w:rFonts w:eastAsia="宋体"/>
                <w:kern w:val="2"/>
                <w:sz w:val="21"/>
                <w:lang w:eastAsia="zh-CN"/>
              </w:rPr>
            </w:pPr>
          </w:p>
        </w:tc>
        <w:tc>
          <w:tcPr>
            <w:tcW w:w="805" w:type="dxa"/>
            <w:vAlign w:val="center"/>
          </w:tcPr>
          <w:p w14:paraId="16D5FA3F">
            <w:pPr>
              <w:widowControl w:val="0"/>
              <w:jc w:val="both"/>
              <w:rPr>
                <w:rFonts w:eastAsia="宋体"/>
                <w:kern w:val="2"/>
                <w:sz w:val="21"/>
                <w:lang w:eastAsia="zh-CN"/>
              </w:rPr>
            </w:pPr>
          </w:p>
        </w:tc>
        <w:tc>
          <w:tcPr>
            <w:tcW w:w="1100" w:type="dxa"/>
            <w:vAlign w:val="center"/>
          </w:tcPr>
          <w:p w14:paraId="2C70E08B">
            <w:pPr>
              <w:widowControl w:val="0"/>
              <w:jc w:val="both"/>
              <w:rPr>
                <w:rFonts w:eastAsia="宋体"/>
                <w:kern w:val="2"/>
                <w:sz w:val="21"/>
                <w:lang w:eastAsia="zh-CN"/>
              </w:rPr>
            </w:pPr>
          </w:p>
        </w:tc>
        <w:tc>
          <w:tcPr>
            <w:tcW w:w="1263" w:type="dxa"/>
            <w:vAlign w:val="center"/>
          </w:tcPr>
          <w:p w14:paraId="40255B01">
            <w:pPr>
              <w:widowControl w:val="0"/>
              <w:jc w:val="both"/>
              <w:rPr>
                <w:rFonts w:eastAsia="宋体"/>
                <w:kern w:val="2"/>
                <w:sz w:val="21"/>
                <w:lang w:eastAsia="zh-CN"/>
              </w:rPr>
            </w:pPr>
          </w:p>
        </w:tc>
      </w:tr>
      <w:tr w14:paraId="242F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327D55B6">
            <w:pPr>
              <w:widowControl w:val="0"/>
              <w:jc w:val="both"/>
              <w:rPr>
                <w:rFonts w:eastAsia="宋体"/>
                <w:kern w:val="2"/>
                <w:sz w:val="21"/>
                <w:lang w:eastAsia="zh-CN"/>
              </w:rPr>
            </w:pPr>
          </w:p>
        </w:tc>
        <w:tc>
          <w:tcPr>
            <w:tcW w:w="656" w:type="dxa"/>
            <w:vAlign w:val="center"/>
          </w:tcPr>
          <w:p w14:paraId="2B69E031">
            <w:pPr>
              <w:widowControl w:val="0"/>
              <w:jc w:val="both"/>
              <w:rPr>
                <w:rFonts w:eastAsia="宋体"/>
                <w:kern w:val="2"/>
                <w:sz w:val="21"/>
                <w:lang w:eastAsia="zh-CN"/>
              </w:rPr>
            </w:pPr>
          </w:p>
        </w:tc>
        <w:tc>
          <w:tcPr>
            <w:tcW w:w="3261" w:type="dxa"/>
            <w:gridSpan w:val="2"/>
            <w:shd w:val="clear" w:color="auto" w:fill="auto"/>
            <w:noWrap/>
            <w:vAlign w:val="center"/>
          </w:tcPr>
          <w:p w14:paraId="70B6436B">
            <w:pPr>
              <w:widowControl w:val="0"/>
              <w:jc w:val="both"/>
              <w:rPr>
                <w:rFonts w:eastAsia="宋体"/>
                <w:kern w:val="2"/>
                <w:sz w:val="21"/>
                <w:lang w:eastAsia="zh-CN"/>
              </w:rPr>
            </w:pPr>
          </w:p>
        </w:tc>
        <w:tc>
          <w:tcPr>
            <w:tcW w:w="1041" w:type="dxa"/>
            <w:shd w:val="clear" w:color="auto" w:fill="auto"/>
            <w:noWrap/>
            <w:vAlign w:val="center"/>
          </w:tcPr>
          <w:p w14:paraId="3D619CBB">
            <w:pPr>
              <w:widowControl w:val="0"/>
              <w:jc w:val="both"/>
              <w:rPr>
                <w:rFonts w:eastAsia="宋体"/>
                <w:kern w:val="2"/>
                <w:sz w:val="21"/>
                <w:lang w:eastAsia="zh-CN"/>
              </w:rPr>
            </w:pPr>
          </w:p>
        </w:tc>
        <w:tc>
          <w:tcPr>
            <w:tcW w:w="847" w:type="dxa"/>
            <w:shd w:val="clear" w:color="auto" w:fill="auto"/>
            <w:noWrap/>
            <w:vAlign w:val="center"/>
          </w:tcPr>
          <w:p w14:paraId="47031EB7">
            <w:pPr>
              <w:widowControl w:val="0"/>
              <w:jc w:val="both"/>
              <w:rPr>
                <w:rFonts w:eastAsia="宋体"/>
                <w:kern w:val="2"/>
                <w:sz w:val="21"/>
                <w:lang w:eastAsia="zh-CN"/>
              </w:rPr>
            </w:pPr>
          </w:p>
        </w:tc>
        <w:tc>
          <w:tcPr>
            <w:tcW w:w="805" w:type="dxa"/>
            <w:vAlign w:val="center"/>
          </w:tcPr>
          <w:p w14:paraId="0D2DCB04">
            <w:pPr>
              <w:widowControl w:val="0"/>
              <w:jc w:val="both"/>
              <w:rPr>
                <w:rFonts w:eastAsia="宋体"/>
                <w:kern w:val="2"/>
                <w:sz w:val="21"/>
                <w:lang w:eastAsia="zh-CN"/>
              </w:rPr>
            </w:pPr>
          </w:p>
        </w:tc>
        <w:tc>
          <w:tcPr>
            <w:tcW w:w="1100" w:type="dxa"/>
            <w:vAlign w:val="center"/>
          </w:tcPr>
          <w:p w14:paraId="7C503050">
            <w:pPr>
              <w:widowControl w:val="0"/>
              <w:jc w:val="both"/>
              <w:rPr>
                <w:rFonts w:eastAsia="宋体"/>
                <w:kern w:val="2"/>
                <w:sz w:val="21"/>
                <w:lang w:eastAsia="zh-CN"/>
              </w:rPr>
            </w:pPr>
          </w:p>
        </w:tc>
        <w:tc>
          <w:tcPr>
            <w:tcW w:w="1263" w:type="dxa"/>
            <w:vAlign w:val="center"/>
          </w:tcPr>
          <w:p w14:paraId="658B2E91">
            <w:pPr>
              <w:widowControl w:val="0"/>
              <w:jc w:val="both"/>
              <w:rPr>
                <w:rFonts w:eastAsia="宋体"/>
                <w:kern w:val="2"/>
                <w:sz w:val="21"/>
                <w:lang w:eastAsia="zh-CN"/>
              </w:rPr>
            </w:pPr>
          </w:p>
        </w:tc>
      </w:tr>
      <w:tr w14:paraId="0E02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4B028539">
            <w:pPr>
              <w:widowControl w:val="0"/>
              <w:jc w:val="both"/>
              <w:rPr>
                <w:rFonts w:eastAsia="宋体"/>
                <w:kern w:val="2"/>
                <w:sz w:val="21"/>
                <w:lang w:eastAsia="zh-CN"/>
              </w:rPr>
            </w:pPr>
          </w:p>
        </w:tc>
        <w:tc>
          <w:tcPr>
            <w:tcW w:w="656" w:type="dxa"/>
            <w:vAlign w:val="center"/>
          </w:tcPr>
          <w:p w14:paraId="555D0953">
            <w:pPr>
              <w:widowControl w:val="0"/>
              <w:jc w:val="both"/>
              <w:rPr>
                <w:rFonts w:eastAsia="宋体"/>
                <w:kern w:val="2"/>
                <w:sz w:val="21"/>
                <w:lang w:eastAsia="zh-CN"/>
              </w:rPr>
            </w:pPr>
          </w:p>
        </w:tc>
        <w:tc>
          <w:tcPr>
            <w:tcW w:w="3261" w:type="dxa"/>
            <w:gridSpan w:val="2"/>
            <w:shd w:val="clear" w:color="auto" w:fill="auto"/>
            <w:noWrap/>
            <w:vAlign w:val="center"/>
          </w:tcPr>
          <w:p w14:paraId="7D29F2DB">
            <w:pPr>
              <w:widowControl w:val="0"/>
              <w:jc w:val="both"/>
              <w:rPr>
                <w:rFonts w:eastAsia="宋体"/>
                <w:kern w:val="2"/>
                <w:sz w:val="21"/>
                <w:lang w:eastAsia="zh-CN"/>
              </w:rPr>
            </w:pPr>
          </w:p>
        </w:tc>
        <w:tc>
          <w:tcPr>
            <w:tcW w:w="1041" w:type="dxa"/>
            <w:shd w:val="clear" w:color="auto" w:fill="auto"/>
            <w:noWrap/>
            <w:vAlign w:val="center"/>
          </w:tcPr>
          <w:p w14:paraId="0B666C57">
            <w:pPr>
              <w:widowControl w:val="0"/>
              <w:jc w:val="both"/>
              <w:rPr>
                <w:rFonts w:eastAsia="宋体"/>
                <w:kern w:val="2"/>
                <w:sz w:val="21"/>
                <w:lang w:eastAsia="zh-CN"/>
              </w:rPr>
            </w:pPr>
          </w:p>
        </w:tc>
        <w:tc>
          <w:tcPr>
            <w:tcW w:w="847" w:type="dxa"/>
            <w:shd w:val="clear" w:color="auto" w:fill="auto"/>
            <w:noWrap/>
            <w:vAlign w:val="center"/>
          </w:tcPr>
          <w:p w14:paraId="4040045C">
            <w:pPr>
              <w:widowControl w:val="0"/>
              <w:jc w:val="both"/>
              <w:rPr>
                <w:rFonts w:eastAsia="宋体"/>
                <w:kern w:val="2"/>
                <w:sz w:val="21"/>
                <w:lang w:eastAsia="zh-CN"/>
              </w:rPr>
            </w:pPr>
          </w:p>
        </w:tc>
        <w:tc>
          <w:tcPr>
            <w:tcW w:w="805" w:type="dxa"/>
            <w:vAlign w:val="center"/>
          </w:tcPr>
          <w:p w14:paraId="4133DA98">
            <w:pPr>
              <w:widowControl w:val="0"/>
              <w:jc w:val="both"/>
              <w:rPr>
                <w:rFonts w:eastAsia="宋体"/>
                <w:kern w:val="2"/>
                <w:sz w:val="21"/>
                <w:lang w:eastAsia="zh-CN"/>
              </w:rPr>
            </w:pPr>
          </w:p>
        </w:tc>
        <w:tc>
          <w:tcPr>
            <w:tcW w:w="1100" w:type="dxa"/>
            <w:vAlign w:val="center"/>
          </w:tcPr>
          <w:p w14:paraId="49FE1F36">
            <w:pPr>
              <w:widowControl w:val="0"/>
              <w:jc w:val="both"/>
              <w:rPr>
                <w:rFonts w:eastAsia="宋体"/>
                <w:kern w:val="2"/>
                <w:sz w:val="21"/>
                <w:lang w:eastAsia="zh-CN"/>
              </w:rPr>
            </w:pPr>
          </w:p>
        </w:tc>
        <w:tc>
          <w:tcPr>
            <w:tcW w:w="1263" w:type="dxa"/>
            <w:vAlign w:val="center"/>
          </w:tcPr>
          <w:p w14:paraId="14DD7922">
            <w:pPr>
              <w:widowControl w:val="0"/>
              <w:jc w:val="both"/>
              <w:rPr>
                <w:rFonts w:eastAsia="宋体"/>
                <w:kern w:val="2"/>
                <w:sz w:val="21"/>
                <w:lang w:eastAsia="zh-CN"/>
              </w:rPr>
            </w:pPr>
          </w:p>
        </w:tc>
      </w:tr>
      <w:tr w14:paraId="2C45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3CA7ED15">
            <w:pPr>
              <w:widowControl w:val="0"/>
              <w:jc w:val="both"/>
              <w:rPr>
                <w:rFonts w:eastAsia="宋体"/>
                <w:kern w:val="2"/>
                <w:sz w:val="21"/>
                <w:lang w:eastAsia="zh-CN"/>
              </w:rPr>
            </w:pPr>
          </w:p>
        </w:tc>
        <w:tc>
          <w:tcPr>
            <w:tcW w:w="656" w:type="dxa"/>
            <w:vAlign w:val="center"/>
          </w:tcPr>
          <w:p w14:paraId="4161389B">
            <w:pPr>
              <w:widowControl w:val="0"/>
              <w:jc w:val="both"/>
              <w:rPr>
                <w:rFonts w:eastAsia="宋体"/>
                <w:kern w:val="2"/>
                <w:sz w:val="21"/>
                <w:lang w:eastAsia="zh-CN"/>
              </w:rPr>
            </w:pPr>
          </w:p>
        </w:tc>
        <w:tc>
          <w:tcPr>
            <w:tcW w:w="3261" w:type="dxa"/>
            <w:gridSpan w:val="2"/>
            <w:shd w:val="clear" w:color="auto" w:fill="auto"/>
            <w:noWrap/>
            <w:vAlign w:val="center"/>
          </w:tcPr>
          <w:p w14:paraId="585958EF">
            <w:pPr>
              <w:widowControl w:val="0"/>
              <w:jc w:val="both"/>
              <w:rPr>
                <w:rFonts w:eastAsia="宋体"/>
                <w:kern w:val="2"/>
                <w:sz w:val="21"/>
                <w:lang w:eastAsia="zh-CN"/>
              </w:rPr>
            </w:pPr>
          </w:p>
        </w:tc>
        <w:tc>
          <w:tcPr>
            <w:tcW w:w="1041" w:type="dxa"/>
            <w:shd w:val="clear" w:color="auto" w:fill="auto"/>
            <w:noWrap/>
            <w:vAlign w:val="center"/>
          </w:tcPr>
          <w:p w14:paraId="2EE2FD84">
            <w:pPr>
              <w:widowControl w:val="0"/>
              <w:jc w:val="both"/>
              <w:rPr>
                <w:rFonts w:eastAsia="宋体"/>
                <w:kern w:val="2"/>
                <w:sz w:val="21"/>
                <w:lang w:eastAsia="zh-CN"/>
              </w:rPr>
            </w:pPr>
          </w:p>
        </w:tc>
        <w:tc>
          <w:tcPr>
            <w:tcW w:w="847" w:type="dxa"/>
            <w:shd w:val="clear" w:color="auto" w:fill="auto"/>
            <w:noWrap/>
            <w:vAlign w:val="center"/>
          </w:tcPr>
          <w:p w14:paraId="6EDDE736">
            <w:pPr>
              <w:widowControl w:val="0"/>
              <w:jc w:val="both"/>
              <w:rPr>
                <w:rFonts w:eastAsia="宋体"/>
                <w:kern w:val="2"/>
                <w:sz w:val="21"/>
                <w:lang w:eastAsia="zh-CN"/>
              </w:rPr>
            </w:pPr>
          </w:p>
        </w:tc>
        <w:tc>
          <w:tcPr>
            <w:tcW w:w="805" w:type="dxa"/>
            <w:vAlign w:val="center"/>
          </w:tcPr>
          <w:p w14:paraId="4481EFEE">
            <w:pPr>
              <w:widowControl w:val="0"/>
              <w:jc w:val="both"/>
              <w:rPr>
                <w:rFonts w:eastAsia="宋体"/>
                <w:kern w:val="2"/>
                <w:sz w:val="21"/>
                <w:lang w:eastAsia="zh-CN"/>
              </w:rPr>
            </w:pPr>
          </w:p>
        </w:tc>
        <w:tc>
          <w:tcPr>
            <w:tcW w:w="1100" w:type="dxa"/>
            <w:vAlign w:val="center"/>
          </w:tcPr>
          <w:p w14:paraId="4C02E03A">
            <w:pPr>
              <w:widowControl w:val="0"/>
              <w:jc w:val="both"/>
              <w:rPr>
                <w:rFonts w:eastAsia="宋体"/>
                <w:kern w:val="2"/>
                <w:sz w:val="21"/>
                <w:lang w:eastAsia="zh-CN"/>
              </w:rPr>
            </w:pPr>
          </w:p>
        </w:tc>
        <w:tc>
          <w:tcPr>
            <w:tcW w:w="1263" w:type="dxa"/>
            <w:vAlign w:val="center"/>
          </w:tcPr>
          <w:p w14:paraId="2429C38F">
            <w:pPr>
              <w:widowControl w:val="0"/>
              <w:jc w:val="both"/>
              <w:rPr>
                <w:rFonts w:eastAsia="宋体"/>
                <w:kern w:val="2"/>
                <w:sz w:val="21"/>
                <w:lang w:eastAsia="zh-CN"/>
              </w:rPr>
            </w:pPr>
          </w:p>
        </w:tc>
      </w:tr>
      <w:tr w14:paraId="0DAD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19C58F10">
            <w:pPr>
              <w:widowControl w:val="0"/>
              <w:jc w:val="both"/>
              <w:rPr>
                <w:rFonts w:eastAsia="宋体"/>
                <w:kern w:val="2"/>
                <w:sz w:val="21"/>
                <w:lang w:eastAsia="zh-CN"/>
              </w:rPr>
            </w:pPr>
          </w:p>
        </w:tc>
        <w:tc>
          <w:tcPr>
            <w:tcW w:w="656" w:type="dxa"/>
            <w:vAlign w:val="center"/>
          </w:tcPr>
          <w:p w14:paraId="4A42DE01">
            <w:pPr>
              <w:widowControl w:val="0"/>
              <w:jc w:val="both"/>
              <w:rPr>
                <w:rFonts w:eastAsia="宋体"/>
                <w:kern w:val="2"/>
                <w:sz w:val="21"/>
                <w:lang w:eastAsia="zh-CN"/>
              </w:rPr>
            </w:pPr>
          </w:p>
        </w:tc>
        <w:tc>
          <w:tcPr>
            <w:tcW w:w="3261" w:type="dxa"/>
            <w:gridSpan w:val="2"/>
            <w:shd w:val="clear" w:color="auto" w:fill="auto"/>
            <w:noWrap/>
            <w:vAlign w:val="center"/>
          </w:tcPr>
          <w:p w14:paraId="3E7B725C">
            <w:pPr>
              <w:widowControl w:val="0"/>
              <w:jc w:val="both"/>
              <w:rPr>
                <w:rFonts w:eastAsia="宋体"/>
                <w:kern w:val="2"/>
                <w:sz w:val="21"/>
                <w:lang w:eastAsia="zh-CN"/>
              </w:rPr>
            </w:pPr>
          </w:p>
        </w:tc>
        <w:tc>
          <w:tcPr>
            <w:tcW w:w="1041" w:type="dxa"/>
            <w:shd w:val="clear" w:color="auto" w:fill="auto"/>
            <w:noWrap/>
            <w:vAlign w:val="center"/>
          </w:tcPr>
          <w:p w14:paraId="0CABAB6B">
            <w:pPr>
              <w:widowControl w:val="0"/>
              <w:jc w:val="both"/>
              <w:rPr>
                <w:rFonts w:eastAsia="宋体"/>
                <w:kern w:val="2"/>
                <w:sz w:val="21"/>
                <w:lang w:eastAsia="zh-CN"/>
              </w:rPr>
            </w:pPr>
          </w:p>
        </w:tc>
        <w:tc>
          <w:tcPr>
            <w:tcW w:w="847" w:type="dxa"/>
            <w:shd w:val="clear" w:color="auto" w:fill="auto"/>
            <w:noWrap/>
            <w:vAlign w:val="center"/>
          </w:tcPr>
          <w:p w14:paraId="2480A3FA">
            <w:pPr>
              <w:widowControl w:val="0"/>
              <w:jc w:val="both"/>
              <w:rPr>
                <w:rFonts w:eastAsia="宋体"/>
                <w:kern w:val="2"/>
                <w:sz w:val="21"/>
                <w:lang w:eastAsia="zh-CN"/>
              </w:rPr>
            </w:pPr>
          </w:p>
        </w:tc>
        <w:tc>
          <w:tcPr>
            <w:tcW w:w="805" w:type="dxa"/>
            <w:vAlign w:val="center"/>
          </w:tcPr>
          <w:p w14:paraId="266BC06E">
            <w:pPr>
              <w:widowControl w:val="0"/>
              <w:jc w:val="both"/>
              <w:rPr>
                <w:rFonts w:eastAsia="宋体"/>
                <w:kern w:val="2"/>
                <w:sz w:val="21"/>
                <w:lang w:eastAsia="zh-CN"/>
              </w:rPr>
            </w:pPr>
          </w:p>
        </w:tc>
        <w:tc>
          <w:tcPr>
            <w:tcW w:w="1100" w:type="dxa"/>
            <w:vAlign w:val="center"/>
          </w:tcPr>
          <w:p w14:paraId="54611D00">
            <w:pPr>
              <w:widowControl w:val="0"/>
              <w:jc w:val="both"/>
              <w:rPr>
                <w:rFonts w:eastAsia="宋体"/>
                <w:kern w:val="2"/>
                <w:sz w:val="21"/>
                <w:lang w:eastAsia="zh-CN"/>
              </w:rPr>
            </w:pPr>
          </w:p>
        </w:tc>
        <w:tc>
          <w:tcPr>
            <w:tcW w:w="1263" w:type="dxa"/>
            <w:vAlign w:val="center"/>
          </w:tcPr>
          <w:p w14:paraId="0F01990E">
            <w:pPr>
              <w:widowControl w:val="0"/>
              <w:jc w:val="both"/>
              <w:rPr>
                <w:rFonts w:eastAsia="宋体"/>
                <w:kern w:val="2"/>
                <w:sz w:val="21"/>
                <w:lang w:eastAsia="zh-CN"/>
              </w:rPr>
            </w:pPr>
          </w:p>
        </w:tc>
      </w:tr>
      <w:tr w14:paraId="585C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3675D836">
            <w:pPr>
              <w:widowControl w:val="0"/>
              <w:jc w:val="both"/>
              <w:rPr>
                <w:rFonts w:eastAsia="宋体"/>
                <w:kern w:val="2"/>
                <w:sz w:val="21"/>
                <w:lang w:eastAsia="zh-CN"/>
              </w:rPr>
            </w:pPr>
          </w:p>
        </w:tc>
        <w:tc>
          <w:tcPr>
            <w:tcW w:w="656" w:type="dxa"/>
            <w:vAlign w:val="center"/>
          </w:tcPr>
          <w:p w14:paraId="562DC360">
            <w:pPr>
              <w:widowControl w:val="0"/>
              <w:jc w:val="both"/>
              <w:rPr>
                <w:rFonts w:eastAsia="宋体"/>
                <w:kern w:val="2"/>
                <w:sz w:val="21"/>
                <w:lang w:eastAsia="zh-CN"/>
              </w:rPr>
            </w:pPr>
          </w:p>
        </w:tc>
        <w:tc>
          <w:tcPr>
            <w:tcW w:w="3261" w:type="dxa"/>
            <w:gridSpan w:val="2"/>
            <w:shd w:val="clear" w:color="auto" w:fill="auto"/>
            <w:noWrap/>
            <w:vAlign w:val="center"/>
          </w:tcPr>
          <w:p w14:paraId="43AFC038">
            <w:pPr>
              <w:widowControl w:val="0"/>
              <w:jc w:val="both"/>
              <w:rPr>
                <w:rFonts w:eastAsia="宋体"/>
                <w:kern w:val="2"/>
                <w:sz w:val="21"/>
                <w:lang w:eastAsia="zh-CN"/>
              </w:rPr>
            </w:pPr>
          </w:p>
        </w:tc>
        <w:tc>
          <w:tcPr>
            <w:tcW w:w="1041" w:type="dxa"/>
            <w:shd w:val="clear" w:color="auto" w:fill="auto"/>
            <w:noWrap/>
            <w:vAlign w:val="center"/>
          </w:tcPr>
          <w:p w14:paraId="076FC9AC">
            <w:pPr>
              <w:widowControl w:val="0"/>
              <w:jc w:val="both"/>
              <w:rPr>
                <w:rFonts w:eastAsia="宋体"/>
                <w:kern w:val="2"/>
                <w:sz w:val="21"/>
                <w:lang w:eastAsia="zh-CN"/>
              </w:rPr>
            </w:pPr>
          </w:p>
        </w:tc>
        <w:tc>
          <w:tcPr>
            <w:tcW w:w="847" w:type="dxa"/>
            <w:shd w:val="clear" w:color="auto" w:fill="auto"/>
            <w:noWrap/>
            <w:vAlign w:val="center"/>
          </w:tcPr>
          <w:p w14:paraId="1A2172A3">
            <w:pPr>
              <w:widowControl w:val="0"/>
              <w:jc w:val="both"/>
              <w:rPr>
                <w:rFonts w:eastAsia="宋体"/>
                <w:kern w:val="2"/>
                <w:sz w:val="21"/>
                <w:lang w:eastAsia="zh-CN"/>
              </w:rPr>
            </w:pPr>
          </w:p>
        </w:tc>
        <w:tc>
          <w:tcPr>
            <w:tcW w:w="805" w:type="dxa"/>
            <w:vAlign w:val="center"/>
          </w:tcPr>
          <w:p w14:paraId="77E9FD3B">
            <w:pPr>
              <w:widowControl w:val="0"/>
              <w:jc w:val="both"/>
              <w:rPr>
                <w:rFonts w:eastAsia="宋体"/>
                <w:kern w:val="2"/>
                <w:sz w:val="21"/>
                <w:lang w:eastAsia="zh-CN"/>
              </w:rPr>
            </w:pPr>
          </w:p>
        </w:tc>
        <w:tc>
          <w:tcPr>
            <w:tcW w:w="1100" w:type="dxa"/>
            <w:vAlign w:val="center"/>
          </w:tcPr>
          <w:p w14:paraId="40D49F18">
            <w:pPr>
              <w:widowControl w:val="0"/>
              <w:jc w:val="both"/>
              <w:rPr>
                <w:rFonts w:eastAsia="宋体"/>
                <w:kern w:val="2"/>
                <w:sz w:val="21"/>
                <w:lang w:eastAsia="zh-CN"/>
              </w:rPr>
            </w:pPr>
          </w:p>
        </w:tc>
        <w:tc>
          <w:tcPr>
            <w:tcW w:w="1263" w:type="dxa"/>
            <w:vAlign w:val="center"/>
          </w:tcPr>
          <w:p w14:paraId="53EAD58E">
            <w:pPr>
              <w:widowControl w:val="0"/>
              <w:jc w:val="both"/>
              <w:rPr>
                <w:rFonts w:eastAsia="宋体"/>
                <w:kern w:val="2"/>
                <w:sz w:val="21"/>
                <w:lang w:eastAsia="zh-CN"/>
              </w:rPr>
            </w:pPr>
          </w:p>
        </w:tc>
      </w:tr>
      <w:tr w14:paraId="74D6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restart"/>
            <w:shd w:val="clear" w:color="auto" w:fill="auto"/>
            <w:noWrap/>
            <w:vAlign w:val="center"/>
          </w:tcPr>
          <w:p w14:paraId="6B19F897">
            <w:pPr>
              <w:widowControl w:val="0"/>
              <w:jc w:val="both"/>
              <w:rPr>
                <w:rFonts w:eastAsia="宋体"/>
                <w:kern w:val="2"/>
                <w:sz w:val="21"/>
                <w:lang w:eastAsia="zh-CN"/>
              </w:rPr>
            </w:pPr>
            <w:r>
              <w:rPr>
                <w:rFonts w:hint="eastAsia" w:eastAsia="宋体"/>
                <w:kern w:val="2"/>
                <w:sz w:val="21"/>
                <w:lang w:eastAsia="zh-CN"/>
              </w:rPr>
              <w:t>12</w:t>
            </w:r>
          </w:p>
        </w:tc>
        <w:tc>
          <w:tcPr>
            <w:tcW w:w="656" w:type="dxa"/>
            <w:vAlign w:val="center"/>
          </w:tcPr>
          <w:p w14:paraId="3AA42C10">
            <w:pPr>
              <w:widowControl w:val="0"/>
              <w:jc w:val="both"/>
              <w:rPr>
                <w:rFonts w:eastAsia="宋体"/>
                <w:kern w:val="2"/>
                <w:sz w:val="21"/>
                <w:lang w:eastAsia="zh-CN"/>
              </w:rPr>
            </w:pPr>
          </w:p>
        </w:tc>
        <w:tc>
          <w:tcPr>
            <w:tcW w:w="3261" w:type="dxa"/>
            <w:gridSpan w:val="2"/>
            <w:shd w:val="clear" w:color="auto" w:fill="auto"/>
            <w:noWrap/>
            <w:vAlign w:val="center"/>
          </w:tcPr>
          <w:p w14:paraId="0D39BE00">
            <w:pPr>
              <w:widowControl w:val="0"/>
              <w:jc w:val="both"/>
              <w:rPr>
                <w:rFonts w:eastAsia="宋体"/>
                <w:kern w:val="2"/>
                <w:sz w:val="21"/>
                <w:lang w:eastAsia="zh-CN"/>
              </w:rPr>
            </w:pPr>
          </w:p>
        </w:tc>
        <w:tc>
          <w:tcPr>
            <w:tcW w:w="1041" w:type="dxa"/>
            <w:shd w:val="clear" w:color="auto" w:fill="auto"/>
            <w:noWrap/>
            <w:vAlign w:val="center"/>
          </w:tcPr>
          <w:p w14:paraId="4CFB2EEB">
            <w:pPr>
              <w:widowControl w:val="0"/>
              <w:jc w:val="both"/>
              <w:rPr>
                <w:rFonts w:eastAsia="宋体"/>
                <w:kern w:val="2"/>
                <w:sz w:val="21"/>
                <w:lang w:eastAsia="zh-CN"/>
              </w:rPr>
            </w:pPr>
          </w:p>
        </w:tc>
        <w:tc>
          <w:tcPr>
            <w:tcW w:w="847" w:type="dxa"/>
            <w:shd w:val="clear" w:color="auto" w:fill="auto"/>
            <w:noWrap/>
            <w:vAlign w:val="center"/>
          </w:tcPr>
          <w:p w14:paraId="15B54755">
            <w:pPr>
              <w:widowControl w:val="0"/>
              <w:jc w:val="both"/>
              <w:rPr>
                <w:rFonts w:eastAsia="宋体"/>
                <w:kern w:val="2"/>
                <w:sz w:val="21"/>
                <w:lang w:eastAsia="zh-CN"/>
              </w:rPr>
            </w:pPr>
          </w:p>
        </w:tc>
        <w:tc>
          <w:tcPr>
            <w:tcW w:w="805" w:type="dxa"/>
            <w:vAlign w:val="center"/>
          </w:tcPr>
          <w:p w14:paraId="085CF5F3">
            <w:pPr>
              <w:widowControl w:val="0"/>
              <w:jc w:val="both"/>
              <w:rPr>
                <w:rFonts w:eastAsia="宋体"/>
                <w:kern w:val="2"/>
                <w:sz w:val="21"/>
                <w:lang w:eastAsia="zh-CN"/>
              </w:rPr>
            </w:pPr>
          </w:p>
        </w:tc>
        <w:tc>
          <w:tcPr>
            <w:tcW w:w="1100" w:type="dxa"/>
            <w:vAlign w:val="center"/>
          </w:tcPr>
          <w:p w14:paraId="3788EAE6">
            <w:pPr>
              <w:widowControl w:val="0"/>
              <w:jc w:val="both"/>
              <w:rPr>
                <w:rFonts w:eastAsia="宋体"/>
                <w:kern w:val="2"/>
                <w:sz w:val="21"/>
                <w:lang w:eastAsia="zh-CN"/>
              </w:rPr>
            </w:pPr>
          </w:p>
        </w:tc>
        <w:tc>
          <w:tcPr>
            <w:tcW w:w="1263" w:type="dxa"/>
            <w:vAlign w:val="center"/>
          </w:tcPr>
          <w:p w14:paraId="361C38A5">
            <w:pPr>
              <w:widowControl w:val="0"/>
              <w:jc w:val="both"/>
              <w:rPr>
                <w:rFonts w:eastAsia="宋体"/>
                <w:kern w:val="2"/>
                <w:sz w:val="21"/>
                <w:lang w:eastAsia="zh-CN"/>
              </w:rPr>
            </w:pPr>
          </w:p>
        </w:tc>
      </w:tr>
      <w:tr w14:paraId="35427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49C7801A">
            <w:pPr>
              <w:widowControl w:val="0"/>
              <w:jc w:val="both"/>
              <w:rPr>
                <w:rFonts w:eastAsia="宋体"/>
                <w:kern w:val="2"/>
                <w:sz w:val="21"/>
                <w:lang w:eastAsia="zh-CN"/>
              </w:rPr>
            </w:pPr>
          </w:p>
        </w:tc>
        <w:tc>
          <w:tcPr>
            <w:tcW w:w="656" w:type="dxa"/>
            <w:vAlign w:val="center"/>
          </w:tcPr>
          <w:p w14:paraId="17A20F84">
            <w:pPr>
              <w:widowControl w:val="0"/>
              <w:jc w:val="both"/>
              <w:rPr>
                <w:rFonts w:eastAsia="宋体"/>
                <w:kern w:val="2"/>
                <w:sz w:val="21"/>
                <w:lang w:eastAsia="zh-CN"/>
              </w:rPr>
            </w:pPr>
          </w:p>
        </w:tc>
        <w:tc>
          <w:tcPr>
            <w:tcW w:w="3261" w:type="dxa"/>
            <w:gridSpan w:val="2"/>
            <w:shd w:val="clear" w:color="auto" w:fill="auto"/>
            <w:noWrap/>
            <w:vAlign w:val="center"/>
          </w:tcPr>
          <w:p w14:paraId="26A6B322">
            <w:pPr>
              <w:widowControl w:val="0"/>
              <w:jc w:val="both"/>
              <w:rPr>
                <w:rFonts w:eastAsia="宋体"/>
                <w:kern w:val="2"/>
                <w:sz w:val="21"/>
                <w:lang w:eastAsia="zh-CN"/>
              </w:rPr>
            </w:pPr>
          </w:p>
        </w:tc>
        <w:tc>
          <w:tcPr>
            <w:tcW w:w="1041" w:type="dxa"/>
            <w:shd w:val="clear" w:color="auto" w:fill="auto"/>
            <w:noWrap/>
            <w:vAlign w:val="center"/>
          </w:tcPr>
          <w:p w14:paraId="09F62F6B">
            <w:pPr>
              <w:widowControl w:val="0"/>
              <w:jc w:val="both"/>
              <w:rPr>
                <w:rFonts w:eastAsia="宋体"/>
                <w:kern w:val="2"/>
                <w:sz w:val="21"/>
                <w:lang w:eastAsia="zh-CN"/>
              </w:rPr>
            </w:pPr>
          </w:p>
        </w:tc>
        <w:tc>
          <w:tcPr>
            <w:tcW w:w="847" w:type="dxa"/>
            <w:shd w:val="clear" w:color="auto" w:fill="auto"/>
            <w:noWrap/>
            <w:vAlign w:val="center"/>
          </w:tcPr>
          <w:p w14:paraId="1CD8A35A">
            <w:pPr>
              <w:widowControl w:val="0"/>
              <w:jc w:val="both"/>
              <w:rPr>
                <w:rFonts w:eastAsia="宋体"/>
                <w:kern w:val="2"/>
                <w:sz w:val="21"/>
                <w:lang w:eastAsia="zh-CN"/>
              </w:rPr>
            </w:pPr>
          </w:p>
        </w:tc>
        <w:tc>
          <w:tcPr>
            <w:tcW w:w="805" w:type="dxa"/>
            <w:vAlign w:val="center"/>
          </w:tcPr>
          <w:p w14:paraId="47AA5028">
            <w:pPr>
              <w:widowControl w:val="0"/>
              <w:jc w:val="both"/>
              <w:rPr>
                <w:rFonts w:eastAsia="宋体"/>
                <w:kern w:val="2"/>
                <w:sz w:val="21"/>
                <w:lang w:eastAsia="zh-CN"/>
              </w:rPr>
            </w:pPr>
          </w:p>
        </w:tc>
        <w:tc>
          <w:tcPr>
            <w:tcW w:w="1100" w:type="dxa"/>
            <w:vAlign w:val="center"/>
          </w:tcPr>
          <w:p w14:paraId="170BC700">
            <w:pPr>
              <w:widowControl w:val="0"/>
              <w:jc w:val="both"/>
              <w:rPr>
                <w:rFonts w:eastAsia="宋体"/>
                <w:kern w:val="2"/>
                <w:sz w:val="21"/>
                <w:lang w:eastAsia="zh-CN"/>
              </w:rPr>
            </w:pPr>
          </w:p>
        </w:tc>
        <w:tc>
          <w:tcPr>
            <w:tcW w:w="1263" w:type="dxa"/>
            <w:vAlign w:val="center"/>
          </w:tcPr>
          <w:p w14:paraId="64BA947C">
            <w:pPr>
              <w:widowControl w:val="0"/>
              <w:jc w:val="both"/>
              <w:rPr>
                <w:rFonts w:eastAsia="宋体"/>
                <w:kern w:val="2"/>
                <w:sz w:val="21"/>
                <w:lang w:eastAsia="zh-CN"/>
              </w:rPr>
            </w:pPr>
          </w:p>
        </w:tc>
      </w:tr>
      <w:tr w14:paraId="65708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restart"/>
            <w:shd w:val="clear" w:color="auto" w:fill="auto"/>
            <w:noWrap/>
            <w:vAlign w:val="center"/>
          </w:tcPr>
          <w:p w14:paraId="1CDEB6C8">
            <w:pPr>
              <w:widowControl w:val="0"/>
              <w:jc w:val="both"/>
              <w:rPr>
                <w:rFonts w:eastAsia="宋体"/>
                <w:kern w:val="2"/>
                <w:sz w:val="21"/>
                <w:lang w:eastAsia="zh-CN"/>
              </w:rPr>
            </w:pPr>
            <w:r>
              <w:rPr>
                <w:rFonts w:hint="eastAsia" w:eastAsia="宋体"/>
                <w:kern w:val="2"/>
                <w:sz w:val="21"/>
                <w:lang w:eastAsia="zh-CN"/>
              </w:rPr>
              <w:t>13</w:t>
            </w:r>
          </w:p>
        </w:tc>
        <w:tc>
          <w:tcPr>
            <w:tcW w:w="656" w:type="dxa"/>
            <w:vAlign w:val="center"/>
          </w:tcPr>
          <w:p w14:paraId="2395B485">
            <w:pPr>
              <w:widowControl w:val="0"/>
              <w:jc w:val="both"/>
              <w:rPr>
                <w:rFonts w:eastAsia="宋体"/>
                <w:kern w:val="2"/>
                <w:sz w:val="21"/>
                <w:lang w:eastAsia="zh-CN"/>
              </w:rPr>
            </w:pPr>
          </w:p>
        </w:tc>
        <w:tc>
          <w:tcPr>
            <w:tcW w:w="3261" w:type="dxa"/>
            <w:gridSpan w:val="2"/>
            <w:shd w:val="clear" w:color="auto" w:fill="auto"/>
            <w:noWrap/>
            <w:vAlign w:val="center"/>
          </w:tcPr>
          <w:p w14:paraId="31A72F71">
            <w:pPr>
              <w:widowControl w:val="0"/>
              <w:jc w:val="both"/>
              <w:rPr>
                <w:rFonts w:eastAsia="宋体"/>
                <w:kern w:val="2"/>
                <w:sz w:val="21"/>
                <w:lang w:eastAsia="zh-CN"/>
              </w:rPr>
            </w:pPr>
          </w:p>
        </w:tc>
        <w:tc>
          <w:tcPr>
            <w:tcW w:w="1041" w:type="dxa"/>
            <w:shd w:val="clear" w:color="auto" w:fill="auto"/>
            <w:noWrap/>
            <w:vAlign w:val="center"/>
          </w:tcPr>
          <w:p w14:paraId="461A1ADD">
            <w:pPr>
              <w:widowControl w:val="0"/>
              <w:jc w:val="both"/>
              <w:rPr>
                <w:rFonts w:eastAsia="宋体"/>
                <w:kern w:val="2"/>
                <w:sz w:val="21"/>
                <w:lang w:eastAsia="zh-CN"/>
              </w:rPr>
            </w:pPr>
          </w:p>
        </w:tc>
        <w:tc>
          <w:tcPr>
            <w:tcW w:w="847" w:type="dxa"/>
            <w:shd w:val="clear" w:color="auto" w:fill="auto"/>
            <w:noWrap/>
            <w:vAlign w:val="center"/>
          </w:tcPr>
          <w:p w14:paraId="084FD540">
            <w:pPr>
              <w:widowControl w:val="0"/>
              <w:jc w:val="both"/>
              <w:rPr>
                <w:rFonts w:eastAsia="宋体"/>
                <w:kern w:val="2"/>
                <w:sz w:val="21"/>
                <w:lang w:eastAsia="zh-CN"/>
              </w:rPr>
            </w:pPr>
          </w:p>
        </w:tc>
        <w:tc>
          <w:tcPr>
            <w:tcW w:w="805" w:type="dxa"/>
            <w:vAlign w:val="center"/>
          </w:tcPr>
          <w:p w14:paraId="38236E38">
            <w:pPr>
              <w:widowControl w:val="0"/>
              <w:jc w:val="both"/>
              <w:rPr>
                <w:rFonts w:eastAsia="宋体"/>
                <w:kern w:val="2"/>
                <w:sz w:val="21"/>
                <w:lang w:eastAsia="zh-CN"/>
              </w:rPr>
            </w:pPr>
          </w:p>
        </w:tc>
        <w:tc>
          <w:tcPr>
            <w:tcW w:w="1100" w:type="dxa"/>
            <w:vAlign w:val="center"/>
          </w:tcPr>
          <w:p w14:paraId="1B30C9B3">
            <w:pPr>
              <w:widowControl w:val="0"/>
              <w:jc w:val="both"/>
              <w:rPr>
                <w:rFonts w:eastAsia="宋体"/>
                <w:kern w:val="2"/>
                <w:sz w:val="21"/>
                <w:lang w:eastAsia="zh-CN"/>
              </w:rPr>
            </w:pPr>
          </w:p>
        </w:tc>
        <w:tc>
          <w:tcPr>
            <w:tcW w:w="1263" w:type="dxa"/>
            <w:vAlign w:val="center"/>
          </w:tcPr>
          <w:p w14:paraId="69AFC883">
            <w:pPr>
              <w:widowControl w:val="0"/>
              <w:jc w:val="both"/>
              <w:rPr>
                <w:rFonts w:eastAsia="宋体"/>
                <w:kern w:val="2"/>
                <w:sz w:val="21"/>
                <w:lang w:eastAsia="zh-CN"/>
              </w:rPr>
            </w:pPr>
          </w:p>
        </w:tc>
      </w:tr>
      <w:tr w14:paraId="2775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23757350">
            <w:pPr>
              <w:widowControl w:val="0"/>
              <w:jc w:val="both"/>
              <w:rPr>
                <w:rFonts w:eastAsia="宋体"/>
                <w:kern w:val="2"/>
                <w:sz w:val="21"/>
                <w:lang w:eastAsia="zh-CN"/>
              </w:rPr>
            </w:pPr>
          </w:p>
        </w:tc>
        <w:tc>
          <w:tcPr>
            <w:tcW w:w="656" w:type="dxa"/>
            <w:vAlign w:val="center"/>
          </w:tcPr>
          <w:p w14:paraId="2C5CFD94">
            <w:pPr>
              <w:widowControl w:val="0"/>
              <w:jc w:val="both"/>
              <w:rPr>
                <w:rFonts w:eastAsia="宋体"/>
                <w:kern w:val="2"/>
                <w:sz w:val="21"/>
                <w:lang w:eastAsia="zh-CN"/>
              </w:rPr>
            </w:pPr>
          </w:p>
        </w:tc>
        <w:tc>
          <w:tcPr>
            <w:tcW w:w="3261" w:type="dxa"/>
            <w:gridSpan w:val="2"/>
            <w:shd w:val="clear" w:color="auto" w:fill="auto"/>
            <w:noWrap/>
            <w:vAlign w:val="center"/>
          </w:tcPr>
          <w:p w14:paraId="31E8C6CF">
            <w:pPr>
              <w:widowControl w:val="0"/>
              <w:jc w:val="both"/>
              <w:rPr>
                <w:rFonts w:eastAsia="宋体"/>
                <w:kern w:val="2"/>
                <w:sz w:val="21"/>
                <w:lang w:eastAsia="zh-CN"/>
              </w:rPr>
            </w:pPr>
          </w:p>
        </w:tc>
        <w:tc>
          <w:tcPr>
            <w:tcW w:w="1041" w:type="dxa"/>
            <w:shd w:val="clear" w:color="auto" w:fill="auto"/>
            <w:noWrap/>
            <w:vAlign w:val="center"/>
          </w:tcPr>
          <w:p w14:paraId="7D5F42D8">
            <w:pPr>
              <w:widowControl w:val="0"/>
              <w:jc w:val="both"/>
              <w:rPr>
                <w:rFonts w:eastAsia="宋体"/>
                <w:kern w:val="2"/>
                <w:sz w:val="21"/>
                <w:lang w:eastAsia="zh-CN"/>
              </w:rPr>
            </w:pPr>
          </w:p>
        </w:tc>
        <w:tc>
          <w:tcPr>
            <w:tcW w:w="847" w:type="dxa"/>
            <w:shd w:val="clear" w:color="auto" w:fill="auto"/>
            <w:noWrap/>
            <w:vAlign w:val="center"/>
          </w:tcPr>
          <w:p w14:paraId="0AF73F83">
            <w:pPr>
              <w:widowControl w:val="0"/>
              <w:jc w:val="both"/>
              <w:rPr>
                <w:rFonts w:eastAsia="宋体"/>
                <w:kern w:val="2"/>
                <w:sz w:val="21"/>
                <w:lang w:eastAsia="zh-CN"/>
              </w:rPr>
            </w:pPr>
          </w:p>
        </w:tc>
        <w:tc>
          <w:tcPr>
            <w:tcW w:w="805" w:type="dxa"/>
            <w:vAlign w:val="center"/>
          </w:tcPr>
          <w:p w14:paraId="30D93659">
            <w:pPr>
              <w:widowControl w:val="0"/>
              <w:jc w:val="both"/>
              <w:rPr>
                <w:rFonts w:eastAsia="宋体"/>
                <w:kern w:val="2"/>
                <w:sz w:val="21"/>
                <w:lang w:eastAsia="zh-CN"/>
              </w:rPr>
            </w:pPr>
          </w:p>
        </w:tc>
        <w:tc>
          <w:tcPr>
            <w:tcW w:w="1100" w:type="dxa"/>
            <w:vAlign w:val="center"/>
          </w:tcPr>
          <w:p w14:paraId="195C2D9A">
            <w:pPr>
              <w:widowControl w:val="0"/>
              <w:jc w:val="both"/>
              <w:rPr>
                <w:rFonts w:eastAsia="宋体"/>
                <w:kern w:val="2"/>
                <w:sz w:val="21"/>
                <w:lang w:eastAsia="zh-CN"/>
              </w:rPr>
            </w:pPr>
          </w:p>
        </w:tc>
        <w:tc>
          <w:tcPr>
            <w:tcW w:w="1263" w:type="dxa"/>
            <w:vAlign w:val="center"/>
          </w:tcPr>
          <w:p w14:paraId="61556750">
            <w:pPr>
              <w:widowControl w:val="0"/>
              <w:jc w:val="both"/>
              <w:rPr>
                <w:rFonts w:eastAsia="宋体"/>
                <w:kern w:val="2"/>
                <w:sz w:val="21"/>
                <w:lang w:eastAsia="zh-CN"/>
              </w:rPr>
            </w:pPr>
          </w:p>
        </w:tc>
      </w:tr>
      <w:tr w14:paraId="08F4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27C9AA1D">
            <w:pPr>
              <w:widowControl w:val="0"/>
              <w:jc w:val="both"/>
              <w:rPr>
                <w:rFonts w:eastAsia="宋体"/>
                <w:kern w:val="2"/>
                <w:sz w:val="21"/>
                <w:lang w:eastAsia="zh-CN"/>
              </w:rPr>
            </w:pPr>
          </w:p>
        </w:tc>
        <w:tc>
          <w:tcPr>
            <w:tcW w:w="656" w:type="dxa"/>
            <w:vAlign w:val="center"/>
          </w:tcPr>
          <w:p w14:paraId="10C85E98">
            <w:pPr>
              <w:widowControl w:val="0"/>
              <w:jc w:val="both"/>
              <w:rPr>
                <w:rFonts w:eastAsia="宋体"/>
                <w:kern w:val="2"/>
                <w:sz w:val="21"/>
                <w:lang w:eastAsia="zh-CN"/>
              </w:rPr>
            </w:pPr>
          </w:p>
        </w:tc>
        <w:tc>
          <w:tcPr>
            <w:tcW w:w="3261" w:type="dxa"/>
            <w:gridSpan w:val="2"/>
            <w:shd w:val="clear" w:color="auto" w:fill="auto"/>
            <w:noWrap/>
            <w:vAlign w:val="center"/>
          </w:tcPr>
          <w:p w14:paraId="6295062A">
            <w:pPr>
              <w:widowControl w:val="0"/>
              <w:jc w:val="both"/>
              <w:rPr>
                <w:rFonts w:eastAsia="宋体"/>
                <w:kern w:val="2"/>
                <w:sz w:val="21"/>
                <w:lang w:eastAsia="zh-CN"/>
              </w:rPr>
            </w:pPr>
          </w:p>
        </w:tc>
        <w:tc>
          <w:tcPr>
            <w:tcW w:w="1041" w:type="dxa"/>
            <w:shd w:val="clear" w:color="auto" w:fill="auto"/>
            <w:noWrap/>
            <w:vAlign w:val="center"/>
          </w:tcPr>
          <w:p w14:paraId="27F3149B">
            <w:pPr>
              <w:widowControl w:val="0"/>
              <w:jc w:val="both"/>
              <w:rPr>
                <w:rFonts w:eastAsia="宋体"/>
                <w:kern w:val="2"/>
                <w:sz w:val="21"/>
                <w:lang w:eastAsia="zh-CN"/>
              </w:rPr>
            </w:pPr>
          </w:p>
        </w:tc>
        <w:tc>
          <w:tcPr>
            <w:tcW w:w="847" w:type="dxa"/>
            <w:shd w:val="clear" w:color="auto" w:fill="auto"/>
            <w:noWrap/>
            <w:vAlign w:val="center"/>
          </w:tcPr>
          <w:p w14:paraId="2A38F15C">
            <w:pPr>
              <w:widowControl w:val="0"/>
              <w:jc w:val="both"/>
              <w:rPr>
                <w:rFonts w:eastAsia="宋体"/>
                <w:kern w:val="2"/>
                <w:sz w:val="21"/>
                <w:lang w:eastAsia="zh-CN"/>
              </w:rPr>
            </w:pPr>
          </w:p>
        </w:tc>
        <w:tc>
          <w:tcPr>
            <w:tcW w:w="805" w:type="dxa"/>
            <w:vAlign w:val="center"/>
          </w:tcPr>
          <w:p w14:paraId="5D8A4569">
            <w:pPr>
              <w:widowControl w:val="0"/>
              <w:jc w:val="both"/>
              <w:rPr>
                <w:rFonts w:eastAsia="宋体"/>
                <w:kern w:val="2"/>
                <w:sz w:val="21"/>
                <w:lang w:eastAsia="zh-CN"/>
              </w:rPr>
            </w:pPr>
          </w:p>
        </w:tc>
        <w:tc>
          <w:tcPr>
            <w:tcW w:w="1100" w:type="dxa"/>
            <w:vAlign w:val="center"/>
          </w:tcPr>
          <w:p w14:paraId="5DEF8DA2">
            <w:pPr>
              <w:widowControl w:val="0"/>
              <w:jc w:val="both"/>
              <w:rPr>
                <w:rFonts w:eastAsia="宋体"/>
                <w:kern w:val="2"/>
                <w:sz w:val="21"/>
                <w:lang w:eastAsia="zh-CN"/>
              </w:rPr>
            </w:pPr>
          </w:p>
        </w:tc>
        <w:tc>
          <w:tcPr>
            <w:tcW w:w="1263" w:type="dxa"/>
            <w:vAlign w:val="center"/>
          </w:tcPr>
          <w:p w14:paraId="6F2331C0">
            <w:pPr>
              <w:widowControl w:val="0"/>
              <w:jc w:val="both"/>
              <w:rPr>
                <w:rFonts w:eastAsia="宋体"/>
                <w:kern w:val="2"/>
                <w:sz w:val="21"/>
                <w:lang w:eastAsia="zh-CN"/>
              </w:rPr>
            </w:pPr>
          </w:p>
        </w:tc>
      </w:tr>
      <w:tr w14:paraId="18AC8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7B541C3E">
            <w:pPr>
              <w:widowControl w:val="0"/>
              <w:jc w:val="both"/>
              <w:rPr>
                <w:rFonts w:eastAsia="宋体"/>
                <w:kern w:val="2"/>
                <w:sz w:val="21"/>
                <w:lang w:eastAsia="zh-CN"/>
              </w:rPr>
            </w:pPr>
          </w:p>
        </w:tc>
        <w:tc>
          <w:tcPr>
            <w:tcW w:w="656" w:type="dxa"/>
            <w:vAlign w:val="center"/>
          </w:tcPr>
          <w:p w14:paraId="11C10002">
            <w:pPr>
              <w:widowControl w:val="0"/>
              <w:jc w:val="both"/>
              <w:rPr>
                <w:rFonts w:eastAsia="宋体"/>
                <w:kern w:val="2"/>
                <w:sz w:val="21"/>
                <w:lang w:eastAsia="zh-CN"/>
              </w:rPr>
            </w:pPr>
          </w:p>
        </w:tc>
        <w:tc>
          <w:tcPr>
            <w:tcW w:w="3261" w:type="dxa"/>
            <w:gridSpan w:val="2"/>
            <w:shd w:val="clear" w:color="auto" w:fill="auto"/>
            <w:noWrap/>
            <w:vAlign w:val="center"/>
          </w:tcPr>
          <w:p w14:paraId="3BC654C4">
            <w:pPr>
              <w:widowControl w:val="0"/>
              <w:jc w:val="both"/>
              <w:rPr>
                <w:rFonts w:eastAsia="宋体"/>
                <w:kern w:val="2"/>
                <w:sz w:val="21"/>
                <w:lang w:eastAsia="zh-CN"/>
              </w:rPr>
            </w:pPr>
          </w:p>
        </w:tc>
        <w:tc>
          <w:tcPr>
            <w:tcW w:w="1041" w:type="dxa"/>
            <w:shd w:val="clear" w:color="auto" w:fill="auto"/>
            <w:noWrap/>
            <w:vAlign w:val="center"/>
          </w:tcPr>
          <w:p w14:paraId="651DAE1C">
            <w:pPr>
              <w:widowControl w:val="0"/>
              <w:jc w:val="both"/>
              <w:rPr>
                <w:rFonts w:eastAsia="宋体"/>
                <w:kern w:val="2"/>
                <w:sz w:val="21"/>
                <w:lang w:eastAsia="zh-CN"/>
              </w:rPr>
            </w:pPr>
          </w:p>
        </w:tc>
        <w:tc>
          <w:tcPr>
            <w:tcW w:w="847" w:type="dxa"/>
            <w:shd w:val="clear" w:color="auto" w:fill="auto"/>
            <w:noWrap/>
            <w:vAlign w:val="center"/>
          </w:tcPr>
          <w:p w14:paraId="4CAF4403">
            <w:pPr>
              <w:widowControl w:val="0"/>
              <w:jc w:val="both"/>
              <w:rPr>
                <w:rFonts w:eastAsia="宋体"/>
                <w:kern w:val="2"/>
                <w:sz w:val="21"/>
                <w:lang w:eastAsia="zh-CN"/>
              </w:rPr>
            </w:pPr>
          </w:p>
        </w:tc>
        <w:tc>
          <w:tcPr>
            <w:tcW w:w="805" w:type="dxa"/>
            <w:vAlign w:val="center"/>
          </w:tcPr>
          <w:p w14:paraId="679EF512">
            <w:pPr>
              <w:widowControl w:val="0"/>
              <w:jc w:val="both"/>
              <w:rPr>
                <w:rFonts w:eastAsia="宋体"/>
                <w:kern w:val="2"/>
                <w:sz w:val="21"/>
                <w:lang w:eastAsia="zh-CN"/>
              </w:rPr>
            </w:pPr>
          </w:p>
        </w:tc>
        <w:tc>
          <w:tcPr>
            <w:tcW w:w="1100" w:type="dxa"/>
            <w:vAlign w:val="center"/>
          </w:tcPr>
          <w:p w14:paraId="4243A218">
            <w:pPr>
              <w:widowControl w:val="0"/>
              <w:jc w:val="both"/>
              <w:rPr>
                <w:rFonts w:eastAsia="宋体"/>
                <w:kern w:val="2"/>
                <w:sz w:val="21"/>
                <w:lang w:eastAsia="zh-CN"/>
              </w:rPr>
            </w:pPr>
          </w:p>
        </w:tc>
        <w:tc>
          <w:tcPr>
            <w:tcW w:w="1263" w:type="dxa"/>
            <w:vAlign w:val="center"/>
          </w:tcPr>
          <w:p w14:paraId="0EEC385A">
            <w:pPr>
              <w:widowControl w:val="0"/>
              <w:jc w:val="both"/>
              <w:rPr>
                <w:rFonts w:eastAsia="宋体"/>
                <w:kern w:val="2"/>
                <w:sz w:val="21"/>
                <w:lang w:eastAsia="zh-CN"/>
              </w:rPr>
            </w:pPr>
          </w:p>
        </w:tc>
      </w:tr>
      <w:tr w14:paraId="14F4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1BA50A5B">
            <w:pPr>
              <w:widowControl w:val="0"/>
              <w:jc w:val="both"/>
              <w:rPr>
                <w:rFonts w:eastAsia="宋体"/>
                <w:kern w:val="2"/>
                <w:sz w:val="21"/>
                <w:lang w:eastAsia="zh-CN"/>
              </w:rPr>
            </w:pPr>
          </w:p>
        </w:tc>
        <w:tc>
          <w:tcPr>
            <w:tcW w:w="656" w:type="dxa"/>
            <w:vAlign w:val="center"/>
          </w:tcPr>
          <w:p w14:paraId="21E2D185">
            <w:pPr>
              <w:widowControl w:val="0"/>
              <w:jc w:val="both"/>
              <w:rPr>
                <w:rFonts w:eastAsia="宋体"/>
                <w:kern w:val="2"/>
                <w:sz w:val="21"/>
                <w:lang w:eastAsia="zh-CN"/>
              </w:rPr>
            </w:pPr>
          </w:p>
        </w:tc>
        <w:tc>
          <w:tcPr>
            <w:tcW w:w="3261" w:type="dxa"/>
            <w:gridSpan w:val="2"/>
            <w:shd w:val="clear" w:color="auto" w:fill="auto"/>
            <w:noWrap/>
            <w:vAlign w:val="center"/>
          </w:tcPr>
          <w:p w14:paraId="5D198523">
            <w:pPr>
              <w:widowControl w:val="0"/>
              <w:jc w:val="both"/>
              <w:rPr>
                <w:rFonts w:eastAsia="宋体"/>
                <w:kern w:val="2"/>
                <w:sz w:val="21"/>
                <w:lang w:eastAsia="zh-CN"/>
              </w:rPr>
            </w:pPr>
          </w:p>
        </w:tc>
        <w:tc>
          <w:tcPr>
            <w:tcW w:w="1041" w:type="dxa"/>
            <w:shd w:val="clear" w:color="auto" w:fill="auto"/>
            <w:noWrap/>
            <w:vAlign w:val="center"/>
          </w:tcPr>
          <w:p w14:paraId="2A70A800">
            <w:pPr>
              <w:widowControl w:val="0"/>
              <w:jc w:val="both"/>
              <w:rPr>
                <w:rFonts w:eastAsia="宋体"/>
                <w:kern w:val="2"/>
                <w:sz w:val="21"/>
                <w:lang w:eastAsia="zh-CN"/>
              </w:rPr>
            </w:pPr>
          </w:p>
        </w:tc>
        <w:tc>
          <w:tcPr>
            <w:tcW w:w="847" w:type="dxa"/>
            <w:shd w:val="clear" w:color="auto" w:fill="auto"/>
            <w:noWrap/>
            <w:vAlign w:val="center"/>
          </w:tcPr>
          <w:p w14:paraId="2BA576B8">
            <w:pPr>
              <w:widowControl w:val="0"/>
              <w:jc w:val="both"/>
              <w:rPr>
                <w:rFonts w:eastAsia="宋体"/>
                <w:kern w:val="2"/>
                <w:sz w:val="21"/>
                <w:lang w:eastAsia="zh-CN"/>
              </w:rPr>
            </w:pPr>
          </w:p>
        </w:tc>
        <w:tc>
          <w:tcPr>
            <w:tcW w:w="805" w:type="dxa"/>
            <w:vAlign w:val="center"/>
          </w:tcPr>
          <w:p w14:paraId="5069E7D6">
            <w:pPr>
              <w:widowControl w:val="0"/>
              <w:jc w:val="both"/>
              <w:rPr>
                <w:rFonts w:eastAsia="宋体"/>
                <w:kern w:val="2"/>
                <w:sz w:val="21"/>
                <w:lang w:eastAsia="zh-CN"/>
              </w:rPr>
            </w:pPr>
          </w:p>
        </w:tc>
        <w:tc>
          <w:tcPr>
            <w:tcW w:w="1100" w:type="dxa"/>
            <w:vAlign w:val="center"/>
          </w:tcPr>
          <w:p w14:paraId="4BEE4C6C">
            <w:pPr>
              <w:widowControl w:val="0"/>
              <w:jc w:val="both"/>
              <w:rPr>
                <w:rFonts w:eastAsia="宋体"/>
                <w:kern w:val="2"/>
                <w:sz w:val="21"/>
                <w:lang w:eastAsia="zh-CN"/>
              </w:rPr>
            </w:pPr>
          </w:p>
        </w:tc>
        <w:tc>
          <w:tcPr>
            <w:tcW w:w="1263" w:type="dxa"/>
            <w:vAlign w:val="center"/>
          </w:tcPr>
          <w:p w14:paraId="45217C25">
            <w:pPr>
              <w:widowControl w:val="0"/>
              <w:jc w:val="both"/>
              <w:rPr>
                <w:rFonts w:eastAsia="宋体"/>
                <w:kern w:val="2"/>
                <w:sz w:val="21"/>
                <w:lang w:eastAsia="zh-CN"/>
              </w:rPr>
            </w:pPr>
          </w:p>
        </w:tc>
      </w:tr>
      <w:tr w14:paraId="00666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5144AC08">
            <w:pPr>
              <w:widowControl w:val="0"/>
              <w:jc w:val="both"/>
              <w:rPr>
                <w:rFonts w:eastAsia="宋体"/>
                <w:kern w:val="2"/>
                <w:sz w:val="21"/>
                <w:lang w:eastAsia="zh-CN"/>
              </w:rPr>
            </w:pPr>
          </w:p>
        </w:tc>
        <w:tc>
          <w:tcPr>
            <w:tcW w:w="656" w:type="dxa"/>
            <w:vAlign w:val="center"/>
          </w:tcPr>
          <w:p w14:paraId="034C5A5D">
            <w:pPr>
              <w:widowControl w:val="0"/>
              <w:jc w:val="both"/>
              <w:rPr>
                <w:rFonts w:eastAsia="宋体"/>
                <w:kern w:val="2"/>
                <w:sz w:val="21"/>
                <w:lang w:eastAsia="zh-CN"/>
              </w:rPr>
            </w:pPr>
          </w:p>
        </w:tc>
        <w:tc>
          <w:tcPr>
            <w:tcW w:w="3261" w:type="dxa"/>
            <w:gridSpan w:val="2"/>
            <w:shd w:val="clear" w:color="auto" w:fill="auto"/>
            <w:noWrap/>
            <w:vAlign w:val="center"/>
          </w:tcPr>
          <w:p w14:paraId="73B3E0DA">
            <w:pPr>
              <w:widowControl w:val="0"/>
              <w:jc w:val="both"/>
              <w:rPr>
                <w:rFonts w:eastAsia="宋体"/>
                <w:kern w:val="2"/>
                <w:sz w:val="21"/>
                <w:lang w:eastAsia="zh-CN"/>
              </w:rPr>
            </w:pPr>
          </w:p>
        </w:tc>
        <w:tc>
          <w:tcPr>
            <w:tcW w:w="1041" w:type="dxa"/>
            <w:shd w:val="clear" w:color="auto" w:fill="auto"/>
            <w:noWrap/>
            <w:vAlign w:val="center"/>
          </w:tcPr>
          <w:p w14:paraId="7F319909">
            <w:pPr>
              <w:widowControl w:val="0"/>
              <w:jc w:val="both"/>
              <w:rPr>
                <w:rFonts w:eastAsia="宋体"/>
                <w:kern w:val="2"/>
                <w:sz w:val="21"/>
                <w:lang w:eastAsia="zh-CN"/>
              </w:rPr>
            </w:pPr>
          </w:p>
        </w:tc>
        <w:tc>
          <w:tcPr>
            <w:tcW w:w="847" w:type="dxa"/>
            <w:shd w:val="clear" w:color="auto" w:fill="auto"/>
            <w:noWrap/>
            <w:vAlign w:val="center"/>
          </w:tcPr>
          <w:p w14:paraId="03440339">
            <w:pPr>
              <w:widowControl w:val="0"/>
              <w:jc w:val="both"/>
              <w:rPr>
                <w:rFonts w:eastAsia="宋体"/>
                <w:kern w:val="2"/>
                <w:sz w:val="21"/>
                <w:lang w:eastAsia="zh-CN"/>
              </w:rPr>
            </w:pPr>
          </w:p>
        </w:tc>
        <w:tc>
          <w:tcPr>
            <w:tcW w:w="805" w:type="dxa"/>
            <w:vAlign w:val="center"/>
          </w:tcPr>
          <w:p w14:paraId="11A04C43">
            <w:pPr>
              <w:widowControl w:val="0"/>
              <w:jc w:val="both"/>
              <w:rPr>
                <w:rFonts w:eastAsia="宋体"/>
                <w:kern w:val="2"/>
                <w:sz w:val="21"/>
                <w:lang w:eastAsia="zh-CN"/>
              </w:rPr>
            </w:pPr>
          </w:p>
        </w:tc>
        <w:tc>
          <w:tcPr>
            <w:tcW w:w="1100" w:type="dxa"/>
            <w:vAlign w:val="center"/>
          </w:tcPr>
          <w:p w14:paraId="7F89A260">
            <w:pPr>
              <w:widowControl w:val="0"/>
              <w:jc w:val="both"/>
              <w:rPr>
                <w:rFonts w:eastAsia="宋体"/>
                <w:kern w:val="2"/>
                <w:sz w:val="21"/>
                <w:lang w:eastAsia="zh-CN"/>
              </w:rPr>
            </w:pPr>
          </w:p>
        </w:tc>
        <w:tc>
          <w:tcPr>
            <w:tcW w:w="1263" w:type="dxa"/>
            <w:vAlign w:val="center"/>
          </w:tcPr>
          <w:p w14:paraId="78B596BD">
            <w:pPr>
              <w:widowControl w:val="0"/>
              <w:jc w:val="both"/>
              <w:rPr>
                <w:rFonts w:eastAsia="宋体"/>
                <w:kern w:val="2"/>
                <w:sz w:val="21"/>
                <w:lang w:eastAsia="zh-CN"/>
              </w:rPr>
            </w:pPr>
          </w:p>
        </w:tc>
      </w:tr>
      <w:tr w14:paraId="2A0A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5CDE9FE9">
            <w:pPr>
              <w:widowControl w:val="0"/>
              <w:jc w:val="both"/>
              <w:rPr>
                <w:rFonts w:eastAsia="宋体"/>
                <w:kern w:val="2"/>
                <w:sz w:val="21"/>
                <w:lang w:eastAsia="zh-CN"/>
              </w:rPr>
            </w:pPr>
          </w:p>
        </w:tc>
        <w:tc>
          <w:tcPr>
            <w:tcW w:w="656" w:type="dxa"/>
            <w:vAlign w:val="center"/>
          </w:tcPr>
          <w:p w14:paraId="002C00ED">
            <w:pPr>
              <w:widowControl w:val="0"/>
              <w:jc w:val="both"/>
              <w:rPr>
                <w:rFonts w:eastAsia="宋体"/>
                <w:kern w:val="2"/>
                <w:sz w:val="21"/>
                <w:lang w:eastAsia="zh-CN"/>
              </w:rPr>
            </w:pPr>
          </w:p>
        </w:tc>
        <w:tc>
          <w:tcPr>
            <w:tcW w:w="3261" w:type="dxa"/>
            <w:gridSpan w:val="2"/>
            <w:shd w:val="clear" w:color="auto" w:fill="auto"/>
            <w:noWrap/>
            <w:vAlign w:val="center"/>
          </w:tcPr>
          <w:p w14:paraId="5432651B">
            <w:pPr>
              <w:widowControl w:val="0"/>
              <w:jc w:val="both"/>
              <w:rPr>
                <w:rFonts w:eastAsia="宋体"/>
                <w:kern w:val="2"/>
                <w:sz w:val="21"/>
                <w:lang w:eastAsia="zh-CN"/>
              </w:rPr>
            </w:pPr>
          </w:p>
        </w:tc>
        <w:tc>
          <w:tcPr>
            <w:tcW w:w="1041" w:type="dxa"/>
            <w:shd w:val="clear" w:color="auto" w:fill="auto"/>
            <w:noWrap/>
            <w:vAlign w:val="center"/>
          </w:tcPr>
          <w:p w14:paraId="308DF103">
            <w:pPr>
              <w:widowControl w:val="0"/>
              <w:jc w:val="both"/>
              <w:rPr>
                <w:rFonts w:eastAsia="宋体"/>
                <w:kern w:val="2"/>
                <w:sz w:val="21"/>
                <w:lang w:eastAsia="zh-CN"/>
              </w:rPr>
            </w:pPr>
          </w:p>
        </w:tc>
        <w:tc>
          <w:tcPr>
            <w:tcW w:w="847" w:type="dxa"/>
            <w:shd w:val="clear" w:color="auto" w:fill="auto"/>
            <w:noWrap/>
            <w:vAlign w:val="center"/>
          </w:tcPr>
          <w:p w14:paraId="79A534F3">
            <w:pPr>
              <w:widowControl w:val="0"/>
              <w:jc w:val="both"/>
              <w:rPr>
                <w:rFonts w:eastAsia="宋体"/>
                <w:kern w:val="2"/>
                <w:sz w:val="21"/>
                <w:lang w:eastAsia="zh-CN"/>
              </w:rPr>
            </w:pPr>
          </w:p>
        </w:tc>
        <w:tc>
          <w:tcPr>
            <w:tcW w:w="805" w:type="dxa"/>
            <w:vAlign w:val="center"/>
          </w:tcPr>
          <w:p w14:paraId="41111D52">
            <w:pPr>
              <w:widowControl w:val="0"/>
              <w:jc w:val="both"/>
              <w:rPr>
                <w:rFonts w:eastAsia="宋体"/>
                <w:kern w:val="2"/>
                <w:sz w:val="21"/>
                <w:lang w:eastAsia="zh-CN"/>
              </w:rPr>
            </w:pPr>
          </w:p>
        </w:tc>
        <w:tc>
          <w:tcPr>
            <w:tcW w:w="1100" w:type="dxa"/>
            <w:vAlign w:val="center"/>
          </w:tcPr>
          <w:p w14:paraId="76E66711">
            <w:pPr>
              <w:widowControl w:val="0"/>
              <w:jc w:val="both"/>
              <w:rPr>
                <w:rFonts w:eastAsia="宋体"/>
                <w:kern w:val="2"/>
                <w:sz w:val="21"/>
                <w:lang w:eastAsia="zh-CN"/>
              </w:rPr>
            </w:pPr>
          </w:p>
        </w:tc>
        <w:tc>
          <w:tcPr>
            <w:tcW w:w="1263" w:type="dxa"/>
            <w:vAlign w:val="center"/>
          </w:tcPr>
          <w:p w14:paraId="0B7B6082">
            <w:pPr>
              <w:widowControl w:val="0"/>
              <w:jc w:val="both"/>
              <w:rPr>
                <w:rFonts w:eastAsia="宋体"/>
                <w:kern w:val="2"/>
                <w:sz w:val="21"/>
                <w:lang w:eastAsia="zh-CN"/>
              </w:rPr>
            </w:pPr>
          </w:p>
        </w:tc>
      </w:tr>
      <w:tr w14:paraId="7D7D9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shd w:val="clear" w:color="auto" w:fill="auto"/>
            <w:noWrap/>
            <w:vAlign w:val="center"/>
          </w:tcPr>
          <w:p w14:paraId="2BF7E83A">
            <w:pPr>
              <w:widowControl w:val="0"/>
              <w:jc w:val="both"/>
              <w:rPr>
                <w:rFonts w:eastAsia="宋体"/>
                <w:kern w:val="2"/>
                <w:sz w:val="21"/>
                <w:lang w:eastAsia="zh-CN"/>
              </w:rPr>
            </w:pPr>
            <w:r>
              <w:rPr>
                <w:rFonts w:hint="eastAsia" w:eastAsia="宋体"/>
                <w:kern w:val="2"/>
                <w:sz w:val="21"/>
                <w:lang w:eastAsia="zh-CN"/>
              </w:rPr>
              <w:t>14</w:t>
            </w:r>
          </w:p>
        </w:tc>
        <w:tc>
          <w:tcPr>
            <w:tcW w:w="656" w:type="dxa"/>
            <w:vAlign w:val="center"/>
          </w:tcPr>
          <w:p w14:paraId="77000E34">
            <w:pPr>
              <w:widowControl w:val="0"/>
              <w:jc w:val="both"/>
              <w:rPr>
                <w:rFonts w:eastAsia="宋体"/>
                <w:kern w:val="2"/>
                <w:sz w:val="21"/>
                <w:lang w:eastAsia="zh-CN"/>
              </w:rPr>
            </w:pPr>
          </w:p>
        </w:tc>
        <w:tc>
          <w:tcPr>
            <w:tcW w:w="3261" w:type="dxa"/>
            <w:gridSpan w:val="2"/>
            <w:shd w:val="clear" w:color="auto" w:fill="auto"/>
            <w:noWrap/>
            <w:vAlign w:val="center"/>
          </w:tcPr>
          <w:p w14:paraId="7EAAA4BA">
            <w:pPr>
              <w:widowControl w:val="0"/>
              <w:jc w:val="both"/>
              <w:rPr>
                <w:rFonts w:eastAsia="宋体"/>
                <w:kern w:val="2"/>
                <w:sz w:val="21"/>
                <w:lang w:eastAsia="zh-CN"/>
              </w:rPr>
            </w:pPr>
          </w:p>
        </w:tc>
        <w:tc>
          <w:tcPr>
            <w:tcW w:w="1041" w:type="dxa"/>
            <w:shd w:val="clear" w:color="auto" w:fill="auto"/>
            <w:noWrap/>
            <w:vAlign w:val="center"/>
          </w:tcPr>
          <w:p w14:paraId="3F87397F">
            <w:pPr>
              <w:widowControl w:val="0"/>
              <w:jc w:val="both"/>
              <w:rPr>
                <w:rFonts w:eastAsia="宋体"/>
                <w:kern w:val="2"/>
                <w:sz w:val="21"/>
                <w:lang w:eastAsia="zh-CN"/>
              </w:rPr>
            </w:pPr>
          </w:p>
        </w:tc>
        <w:tc>
          <w:tcPr>
            <w:tcW w:w="847" w:type="dxa"/>
            <w:shd w:val="clear" w:color="auto" w:fill="auto"/>
            <w:noWrap/>
            <w:vAlign w:val="center"/>
          </w:tcPr>
          <w:p w14:paraId="7FB0A858">
            <w:pPr>
              <w:widowControl w:val="0"/>
              <w:jc w:val="both"/>
              <w:rPr>
                <w:rFonts w:eastAsia="宋体"/>
                <w:kern w:val="2"/>
                <w:sz w:val="21"/>
                <w:lang w:eastAsia="zh-CN"/>
              </w:rPr>
            </w:pPr>
          </w:p>
        </w:tc>
        <w:tc>
          <w:tcPr>
            <w:tcW w:w="805" w:type="dxa"/>
            <w:vAlign w:val="center"/>
          </w:tcPr>
          <w:p w14:paraId="5886FAAC">
            <w:pPr>
              <w:widowControl w:val="0"/>
              <w:jc w:val="both"/>
              <w:rPr>
                <w:rFonts w:eastAsia="宋体"/>
                <w:kern w:val="2"/>
                <w:sz w:val="21"/>
                <w:lang w:eastAsia="zh-CN"/>
              </w:rPr>
            </w:pPr>
          </w:p>
        </w:tc>
        <w:tc>
          <w:tcPr>
            <w:tcW w:w="1100" w:type="dxa"/>
            <w:vAlign w:val="center"/>
          </w:tcPr>
          <w:p w14:paraId="2F9D7BE9">
            <w:pPr>
              <w:widowControl w:val="0"/>
              <w:jc w:val="both"/>
              <w:rPr>
                <w:rFonts w:eastAsia="宋体"/>
                <w:kern w:val="2"/>
                <w:sz w:val="21"/>
                <w:lang w:eastAsia="zh-CN"/>
              </w:rPr>
            </w:pPr>
          </w:p>
        </w:tc>
        <w:tc>
          <w:tcPr>
            <w:tcW w:w="1263" w:type="dxa"/>
            <w:vAlign w:val="center"/>
          </w:tcPr>
          <w:p w14:paraId="3EF8FB14">
            <w:pPr>
              <w:widowControl w:val="0"/>
              <w:jc w:val="both"/>
              <w:rPr>
                <w:rFonts w:eastAsia="宋体"/>
                <w:kern w:val="2"/>
                <w:sz w:val="21"/>
                <w:lang w:eastAsia="zh-CN"/>
              </w:rPr>
            </w:pPr>
          </w:p>
        </w:tc>
      </w:tr>
      <w:tr w14:paraId="3EB42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shd w:val="clear" w:color="auto" w:fill="auto"/>
            <w:noWrap/>
            <w:vAlign w:val="center"/>
          </w:tcPr>
          <w:p w14:paraId="4E5739E1">
            <w:pPr>
              <w:widowControl w:val="0"/>
              <w:jc w:val="both"/>
              <w:rPr>
                <w:rFonts w:eastAsia="宋体"/>
                <w:kern w:val="2"/>
                <w:sz w:val="21"/>
                <w:lang w:eastAsia="zh-CN"/>
              </w:rPr>
            </w:pPr>
            <w:r>
              <w:rPr>
                <w:rFonts w:hint="eastAsia" w:eastAsia="宋体"/>
                <w:kern w:val="2"/>
                <w:sz w:val="21"/>
                <w:lang w:eastAsia="zh-CN"/>
              </w:rPr>
              <w:t>15</w:t>
            </w:r>
          </w:p>
        </w:tc>
        <w:tc>
          <w:tcPr>
            <w:tcW w:w="656" w:type="dxa"/>
            <w:vAlign w:val="center"/>
          </w:tcPr>
          <w:p w14:paraId="37C8A79A">
            <w:pPr>
              <w:widowControl w:val="0"/>
              <w:jc w:val="both"/>
              <w:rPr>
                <w:rFonts w:eastAsia="宋体"/>
                <w:kern w:val="2"/>
                <w:sz w:val="21"/>
                <w:lang w:eastAsia="zh-CN"/>
              </w:rPr>
            </w:pPr>
          </w:p>
        </w:tc>
        <w:tc>
          <w:tcPr>
            <w:tcW w:w="3261" w:type="dxa"/>
            <w:gridSpan w:val="2"/>
            <w:shd w:val="clear" w:color="auto" w:fill="auto"/>
            <w:noWrap/>
            <w:vAlign w:val="center"/>
          </w:tcPr>
          <w:p w14:paraId="0B1E0991">
            <w:pPr>
              <w:widowControl w:val="0"/>
              <w:jc w:val="both"/>
              <w:rPr>
                <w:rFonts w:eastAsia="宋体"/>
                <w:kern w:val="2"/>
                <w:sz w:val="21"/>
                <w:lang w:eastAsia="zh-CN"/>
              </w:rPr>
            </w:pPr>
          </w:p>
        </w:tc>
        <w:tc>
          <w:tcPr>
            <w:tcW w:w="1041" w:type="dxa"/>
            <w:shd w:val="clear" w:color="auto" w:fill="auto"/>
            <w:noWrap/>
            <w:vAlign w:val="center"/>
          </w:tcPr>
          <w:p w14:paraId="47506EE0">
            <w:pPr>
              <w:widowControl w:val="0"/>
              <w:jc w:val="both"/>
              <w:rPr>
                <w:rFonts w:eastAsia="宋体"/>
                <w:kern w:val="2"/>
                <w:sz w:val="21"/>
                <w:lang w:eastAsia="zh-CN"/>
              </w:rPr>
            </w:pPr>
          </w:p>
        </w:tc>
        <w:tc>
          <w:tcPr>
            <w:tcW w:w="847" w:type="dxa"/>
            <w:shd w:val="clear" w:color="auto" w:fill="auto"/>
            <w:noWrap/>
            <w:vAlign w:val="center"/>
          </w:tcPr>
          <w:p w14:paraId="2395CF8C">
            <w:pPr>
              <w:widowControl w:val="0"/>
              <w:jc w:val="both"/>
              <w:rPr>
                <w:rFonts w:eastAsia="宋体"/>
                <w:kern w:val="2"/>
                <w:sz w:val="21"/>
                <w:lang w:eastAsia="zh-CN"/>
              </w:rPr>
            </w:pPr>
          </w:p>
        </w:tc>
        <w:tc>
          <w:tcPr>
            <w:tcW w:w="805" w:type="dxa"/>
            <w:vAlign w:val="center"/>
          </w:tcPr>
          <w:p w14:paraId="2D92FE0B">
            <w:pPr>
              <w:widowControl w:val="0"/>
              <w:jc w:val="both"/>
              <w:rPr>
                <w:rFonts w:eastAsia="宋体"/>
                <w:kern w:val="2"/>
                <w:sz w:val="21"/>
                <w:lang w:eastAsia="zh-CN"/>
              </w:rPr>
            </w:pPr>
          </w:p>
        </w:tc>
        <w:tc>
          <w:tcPr>
            <w:tcW w:w="1100" w:type="dxa"/>
            <w:vAlign w:val="center"/>
          </w:tcPr>
          <w:p w14:paraId="12512271">
            <w:pPr>
              <w:widowControl w:val="0"/>
              <w:jc w:val="both"/>
              <w:rPr>
                <w:rFonts w:eastAsia="宋体"/>
                <w:kern w:val="2"/>
                <w:sz w:val="21"/>
                <w:lang w:eastAsia="zh-CN"/>
              </w:rPr>
            </w:pPr>
          </w:p>
        </w:tc>
        <w:tc>
          <w:tcPr>
            <w:tcW w:w="1263" w:type="dxa"/>
            <w:vAlign w:val="center"/>
          </w:tcPr>
          <w:p w14:paraId="3C97A06A">
            <w:pPr>
              <w:widowControl w:val="0"/>
              <w:jc w:val="both"/>
              <w:rPr>
                <w:rFonts w:eastAsia="宋体"/>
                <w:kern w:val="2"/>
                <w:sz w:val="21"/>
                <w:lang w:eastAsia="zh-CN"/>
              </w:rPr>
            </w:pPr>
          </w:p>
        </w:tc>
      </w:tr>
      <w:tr w14:paraId="7564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shd w:val="clear" w:color="auto" w:fill="auto"/>
            <w:noWrap/>
            <w:vAlign w:val="center"/>
          </w:tcPr>
          <w:p w14:paraId="4819B2DA">
            <w:pPr>
              <w:widowControl w:val="0"/>
              <w:jc w:val="both"/>
              <w:rPr>
                <w:rFonts w:eastAsia="宋体"/>
                <w:kern w:val="2"/>
                <w:sz w:val="21"/>
                <w:lang w:eastAsia="zh-CN"/>
              </w:rPr>
            </w:pPr>
            <w:r>
              <w:rPr>
                <w:rFonts w:hint="eastAsia" w:eastAsia="宋体"/>
                <w:kern w:val="2"/>
                <w:sz w:val="21"/>
                <w:lang w:eastAsia="zh-CN"/>
              </w:rPr>
              <w:t>16</w:t>
            </w:r>
          </w:p>
        </w:tc>
        <w:tc>
          <w:tcPr>
            <w:tcW w:w="656" w:type="dxa"/>
            <w:vAlign w:val="center"/>
          </w:tcPr>
          <w:p w14:paraId="1583E292">
            <w:pPr>
              <w:widowControl w:val="0"/>
              <w:jc w:val="both"/>
              <w:rPr>
                <w:rFonts w:eastAsia="宋体"/>
                <w:kern w:val="2"/>
                <w:sz w:val="21"/>
                <w:lang w:eastAsia="zh-CN"/>
              </w:rPr>
            </w:pPr>
          </w:p>
        </w:tc>
        <w:tc>
          <w:tcPr>
            <w:tcW w:w="3261" w:type="dxa"/>
            <w:gridSpan w:val="2"/>
            <w:shd w:val="clear" w:color="auto" w:fill="auto"/>
            <w:noWrap/>
            <w:vAlign w:val="center"/>
          </w:tcPr>
          <w:p w14:paraId="2B1DF3CA">
            <w:pPr>
              <w:widowControl w:val="0"/>
              <w:jc w:val="both"/>
              <w:rPr>
                <w:rFonts w:eastAsia="宋体"/>
                <w:kern w:val="2"/>
                <w:sz w:val="21"/>
                <w:lang w:eastAsia="zh-CN"/>
              </w:rPr>
            </w:pPr>
          </w:p>
        </w:tc>
        <w:tc>
          <w:tcPr>
            <w:tcW w:w="1041" w:type="dxa"/>
            <w:shd w:val="clear" w:color="auto" w:fill="auto"/>
            <w:noWrap/>
            <w:vAlign w:val="center"/>
          </w:tcPr>
          <w:p w14:paraId="1536F6E6">
            <w:pPr>
              <w:widowControl w:val="0"/>
              <w:jc w:val="both"/>
              <w:rPr>
                <w:rFonts w:eastAsia="宋体"/>
                <w:kern w:val="2"/>
                <w:sz w:val="21"/>
                <w:lang w:eastAsia="zh-CN"/>
              </w:rPr>
            </w:pPr>
          </w:p>
        </w:tc>
        <w:tc>
          <w:tcPr>
            <w:tcW w:w="847" w:type="dxa"/>
            <w:shd w:val="clear" w:color="auto" w:fill="auto"/>
            <w:noWrap/>
            <w:vAlign w:val="center"/>
          </w:tcPr>
          <w:p w14:paraId="3D5656B6">
            <w:pPr>
              <w:widowControl w:val="0"/>
              <w:jc w:val="both"/>
              <w:rPr>
                <w:rFonts w:eastAsia="宋体"/>
                <w:kern w:val="2"/>
                <w:sz w:val="21"/>
                <w:lang w:eastAsia="zh-CN"/>
              </w:rPr>
            </w:pPr>
          </w:p>
        </w:tc>
        <w:tc>
          <w:tcPr>
            <w:tcW w:w="805" w:type="dxa"/>
            <w:vAlign w:val="center"/>
          </w:tcPr>
          <w:p w14:paraId="0A01E272">
            <w:pPr>
              <w:widowControl w:val="0"/>
              <w:jc w:val="both"/>
              <w:rPr>
                <w:rFonts w:eastAsia="宋体"/>
                <w:kern w:val="2"/>
                <w:sz w:val="21"/>
                <w:lang w:eastAsia="zh-CN"/>
              </w:rPr>
            </w:pPr>
          </w:p>
        </w:tc>
        <w:tc>
          <w:tcPr>
            <w:tcW w:w="1100" w:type="dxa"/>
            <w:vAlign w:val="center"/>
          </w:tcPr>
          <w:p w14:paraId="3440406D">
            <w:pPr>
              <w:widowControl w:val="0"/>
              <w:jc w:val="both"/>
              <w:rPr>
                <w:rFonts w:eastAsia="宋体"/>
                <w:kern w:val="2"/>
                <w:sz w:val="21"/>
                <w:lang w:eastAsia="zh-CN"/>
              </w:rPr>
            </w:pPr>
          </w:p>
        </w:tc>
        <w:tc>
          <w:tcPr>
            <w:tcW w:w="1263" w:type="dxa"/>
            <w:vAlign w:val="center"/>
          </w:tcPr>
          <w:p w14:paraId="61FADD18">
            <w:pPr>
              <w:widowControl w:val="0"/>
              <w:jc w:val="both"/>
              <w:rPr>
                <w:rFonts w:eastAsia="宋体"/>
                <w:kern w:val="2"/>
                <w:sz w:val="21"/>
                <w:lang w:eastAsia="zh-CN"/>
              </w:rPr>
            </w:pPr>
          </w:p>
        </w:tc>
      </w:tr>
      <w:tr w14:paraId="11EEE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 w:hRule="atLeast"/>
          <w:jc w:val="center"/>
        </w:trPr>
        <w:tc>
          <w:tcPr>
            <w:tcW w:w="473" w:type="dxa"/>
            <w:vMerge w:val="restart"/>
            <w:shd w:val="clear" w:color="auto" w:fill="auto"/>
            <w:noWrap/>
            <w:vAlign w:val="center"/>
          </w:tcPr>
          <w:p w14:paraId="71FE3A0B">
            <w:pPr>
              <w:widowControl w:val="0"/>
              <w:jc w:val="both"/>
              <w:rPr>
                <w:rFonts w:eastAsia="宋体"/>
                <w:kern w:val="2"/>
                <w:sz w:val="21"/>
                <w:lang w:eastAsia="zh-CN"/>
              </w:rPr>
            </w:pPr>
            <w:r>
              <w:rPr>
                <w:rFonts w:hint="eastAsia" w:eastAsia="宋体"/>
                <w:kern w:val="2"/>
                <w:sz w:val="21"/>
                <w:lang w:eastAsia="zh-CN"/>
              </w:rPr>
              <w:t>17</w:t>
            </w:r>
          </w:p>
        </w:tc>
        <w:tc>
          <w:tcPr>
            <w:tcW w:w="656" w:type="dxa"/>
            <w:vAlign w:val="center"/>
          </w:tcPr>
          <w:p w14:paraId="11C52AB3">
            <w:pPr>
              <w:widowControl w:val="0"/>
              <w:jc w:val="both"/>
              <w:rPr>
                <w:rFonts w:eastAsia="宋体"/>
                <w:kern w:val="2"/>
                <w:sz w:val="21"/>
                <w:lang w:eastAsia="zh-CN"/>
              </w:rPr>
            </w:pPr>
          </w:p>
        </w:tc>
        <w:tc>
          <w:tcPr>
            <w:tcW w:w="3261" w:type="dxa"/>
            <w:gridSpan w:val="2"/>
            <w:shd w:val="clear" w:color="auto" w:fill="auto"/>
            <w:noWrap/>
            <w:vAlign w:val="center"/>
          </w:tcPr>
          <w:p w14:paraId="3629B7A8">
            <w:pPr>
              <w:widowControl w:val="0"/>
              <w:jc w:val="both"/>
              <w:rPr>
                <w:rFonts w:eastAsia="宋体"/>
                <w:kern w:val="2"/>
                <w:sz w:val="21"/>
                <w:lang w:eastAsia="zh-CN"/>
              </w:rPr>
            </w:pPr>
          </w:p>
        </w:tc>
        <w:tc>
          <w:tcPr>
            <w:tcW w:w="1041" w:type="dxa"/>
            <w:shd w:val="clear" w:color="auto" w:fill="auto"/>
            <w:noWrap/>
            <w:vAlign w:val="center"/>
          </w:tcPr>
          <w:p w14:paraId="1507F345">
            <w:pPr>
              <w:widowControl w:val="0"/>
              <w:jc w:val="both"/>
              <w:rPr>
                <w:rFonts w:eastAsia="宋体"/>
                <w:kern w:val="2"/>
                <w:sz w:val="21"/>
                <w:lang w:eastAsia="zh-CN"/>
              </w:rPr>
            </w:pPr>
          </w:p>
        </w:tc>
        <w:tc>
          <w:tcPr>
            <w:tcW w:w="847" w:type="dxa"/>
            <w:shd w:val="clear" w:color="auto" w:fill="auto"/>
            <w:noWrap/>
            <w:vAlign w:val="center"/>
          </w:tcPr>
          <w:p w14:paraId="22FB25D3">
            <w:pPr>
              <w:widowControl w:val="0"/>
              <w:jc w:val="both"/>
              <w:rPr>
                <w:rFonts w:eastAsia="宋体"/>
                <w:kern w:val="2"/>
                <w:sz w:val="21"/>
                <w:lang w:eastAsia="zh-CN"/>
              </w:rPr>
            </w:pPr>
          </w:p>
        </w:tc>
        <w:tc>
          <w:tcPr>
            <w:tcW w:w="805" w:type="dxa"/>
            <w:vAlign w:val="center"/>
          </w:tcPr>
          <w:p w14:paraId="3A88FABA">
            <w:pPr>
              <w:widowControl w:val="0"/>
              <w:jc w:val="both"/>
              <w:rPr>
                <w:rFonts w:eastAsia="宋体"/>
                <w:kern w:val="2"/>
                <w:sz w:val="21"/>
                <w:lang w:eastAsia="zh-CN"/>
              </w:rPr>
            </w:pPr>
          </w:p>
        </w:tc>
        <w:tc>
          <w:tcPr>
            <w:tcW w:w="1100" w:type="dxa"/>
            <w:vAlign w:val="center"/>
          </w:tcPr>
          <w:p w14:paraId="0621C014">
            <w:pPr>
              <w:widowControl w:val="0"/>
              <w:jc w:val="both"/>
              <w:rPr>
                <w:rFonts w:eastAsia="宋体"/>
                <w:kern w:val="2"/>
                <w:sz w:val="21"/>
                <w:lang w:eastAsia="zh-CN"/>
              </w:rPr>
            </w:pPr>
          </w:p>
        </w:tc>
        <w:tc>
          <w:tcPr>
            <w:tcW w:w="1263" w:type="dxa"/>
            <w:vAlign w:val="center"/>
          </w:tcPr>
          <w:p w14:paraId="6A1867B0">
            <w:pPr>
              <w:widowControl w:val="0"/>
              <w:jc w:val="both"/>
              <w:rPr>
                <w:rFonts w:eastAsia="宋体"/>
                <w:kern w:val="2"/>
                <w:sz w:val="21"/>
                <w:lang w:eastAsia="zh-CN"/>
              </w:rPr>
            </w:pPr>
          </w:p>
        </w:tc>
      </w:tr>
      <w:tr w14:paraId="32AF6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473" w:type="dxa"/>
            <w:vMerge w:val="continue"/>
            <w:shd w:val="clear" w:color="auto" w:fill="auto"/>
            <w:noWrap/>
            <w:vAlign w:val="center"/>
          </w:tcPr>
          <w:p w14:paraId="7F6DE108">
            <w:pPr>
              <w:widowControl w:val="0"/>
              <w:jc w:val="both"/>
              <w:rPr>
                <w:rFonts w:eastAsia="宋体"/>
                <w:kern w:val="2"/>
                <w:sz w:val="21"/>
                <w:lang w:eastAsia="zh-CN"/>
              </w:rPr>
            </w:pPr>
          </w:p>
        </w:tc>
        <w:tc>
          <w:tcPr>
            <w:tcW w:w="656" w:type="dxa"/>
            <w:vAlign w:val="center"/>
          </w:tcPr>
          <w:p w14:paraId="09FE24B7">
            <w:pPr>
              <w:widowControl w:val="0"/>
              <w:jc w:val="both"/>
              <w:rPr>
                <w:rFonts w:eastAsia="宋体"/>
                <w:kern w:val="2"/>
                <w:sz w:val="21"/>
                <w:lang w:eastAsia="zh-CN"/>
              </w:rPr>
            </w:pPr>
          </w:p>
        </w:tc>
        <w:tc>
          <w:tcPr>
            <w:tcW w:w="3261" w:type="dxa"/>
            <w:gridSpan w:val="2"/>
            <w:shd w:val="clear" w:color="auto" w:fill="auto"/>
            <w:noWrap/>
            <w:vAlign w:val="center"/>
          </w:tcPr>
          <w:p w14:paraId="1909237D">
            <w:pPr>
              <w:widowControl w:val="0"/>
              <w:jc w:val="both"/>
              <w:rPr>
                <w:rFonts w:eastAsia="宋体"/>
                <w:kern w:val="2"/>
                <w:sz w:val="21"/>
                <w:lang w:eastAsia="zh-CN"/>
              </w:rPr>
            </w:pPr>
          </w:p>
        </w:tc>
        <w:tc>
          <w:tcPr>
            <w:tcW w:w="1041" w:type="dxa"/>
            <w:shd w:val="clear" w:color="auto" w:fill="auto"/>
            <w:noWrap/>
            <w:vAlign w:val="center"/>
          </w:tcPr>
          <w:p w14:paraId="02832562">
            <w:pPr>
              <w:widowControl w:val="0"/>
              <w:jc w:val="both"/>
              <w:rPr>
                <w:rFonts w:eastAsia="宋体"/>
                <w:kern w:val="2"/>
                <w:sz w:val="21"/>
                <w:lang w:eastAsia="zh-CN"/>
              </w:rPr>
            </w:pPr>
          </w:p>
        </w:tc>
        <w:tc>
          <w:tcPr>
            <w:tcW w:w="847" w:type="dxa"/>
            <w:shd w:val="clear" w:color="auto" w:fill="auto"/>
            <w:noWrap/>
            <w:vAlign w:val="center"/>
          </w:tcPr>
          <w:p w14:paraId="4B5AB288">
            <w:pPr>
              <w:widowControl w:val="0"/>
              <w:jc w:val="both"/>
              <w:rPr>
                <w:rFonts w:eastAsia="宋体"/>
                <w:kern w:val="2"/>
                <w:sz w:val="21"/>
                <w:lang w:eastAsia="zh-CN"/>
              </w:rPr>
            </w:pPr>
          </w:p>
        </w:tc>
        <w:tc>
          <w:tcPr>
            <w:tcW w:w="805" w:type="dxa"/>
            <w:vAlign w:val="center"/>
          </w:tcPr>
          <w:p w14:paraId="33DE4F83">
            <w:pPr>
              <w:widowControl w:val="0"/>
              <w:jc w:val="both"/>
              <w:rPr>
                <w:rFonts w:eastAsia="宋体"/>
                <w:kern w:val="2"/>
                <w:sz w:val="21"/>
                <w:lang w:eastAsia="zh-CN"/>
              </w:rPr>
            </w:pPr>
          </w:p>
        </w:tc>
        <w:tc>
          <w:tcPr>
            <w:tcW w:w="1100" w:type="dxa"/>
            <w:vAlign w:val="center"/>
          </w:tcPr>
          <w:p w14:paraId="6D340BE4">
            <w:pPr>
              <w:widowControl w:val="0"/>
              <w:jc w:val="both"/>
              <w:rPr>
                <w:rFonts w:eastAsia="宋体"/>
                <w:kern w:val="2"/>
                <w:sz w:val="21"/>
                <w:lang w:eastAsia="zh-CN"/>
              </w:rPr>
            </w:pPr>
          </w:p>
        </w:tc>
        <w:tc>
          <w:tcPr>
            <w:tcW w:w="1263" w:type="dxa"/>
            <w:vAlign w:val="center"/>
          </w:tcPr>
          <w:p w14:paraId="5AEDB76F">
            <w:pPr>
              <w:widowControl w:val="0"/>
              <w:jc w:val="both"/>
              <w:rPr>
                <w:rFonts w:eastAsia="宋体"/>
                <w:kern w:val="2"/>
                <w:sz w:val="21"/>
                <w:lang w:eastAsia="zh-CN"/>
              </w:rPr>
            </w:pPr>
          </w:p>
        </w:tc>
      </w:tr>
      <w:tr w14:paraId="658E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1799" w:type="dxa"/>
            <w:gridSpan w:val="3"/>
          </w:tcPr>
          <w:p w14:paraId="033FC850">
            <w:pPr>
              <w:widowControl w:val="0"/>
              <w:jc w:val="both"/>
              <w:rPr>
                <w:rFonts w:eastAsia="宋体"/>
                <w:kern w:val="2"/>
                <w:sz w:val="21"/>
                <w:lang w:eastAsia="zh-CN"/>
              </w:rPr>
            </w:pPr>
          </w:p>
        </w:tc>
        <w:tc>
          <w:tcPr>
            <w:tcW w:w="7647" w:type="dxa"/>
            <w:gridSpan w:val="6"/>
            <w:shd w:val="clear" w:color="auto" w:fill="auto"/>
            <w:noWrap/>
            <w:vAlign w:val="center"/>
          </w:tcPr>
          <w:p w14:paraId="568A7AC7">
            <w:pPr>
              <w:widowControl w:val="0"/>
              <w:jc w:val="both"/>
              <w:rPr>
                <w:rFonts w:eastAsia="宋体"/>
                <w:bCs/>
                <w:sz w:val="21"/>
                <w:lang w:eastAsia="zh-CN"/>
              </w:rPr>
            </w:pPr>
            <w:r>
              <w:rPr>
                <w:rFonts w:hint="eastAsia" w:eastAsia="宋体"/>
                <w:kern w:val="2"/>
                <w:sz w:val="21"/>
                <w:lang w:eastAsia="zh-CN"/>
              </w:rPr>
              <w:t>总价小写人民币（元）：</w:t>
            </w:r>
          </w:p>
        </w:tc>
      </w:tr>
      <w:tr w14:paraId="27C6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 w:hRule="atLeast"/>
          <w:jc w:val="center"/>
        </w:trPr>
        <w:tc>
          <w:tcPr>
            <w:tcW w:w="1799" w:type="dxa"/>
            <w:gridSpan w:val="3"/>
          </w:tcPr>
          <w:p w14:paraId="2729271F">
            <w:pPr>
              <w:widowControl w:val="0"/>
              <w:jc w:val="both"/>
              <w:rPr>
                <w:rFonts w:eastAsia="宋体"/>
                <w:kern w:val="2"/>
                <w:sz w:val="21"/>
                <w:lang w:eastAsia="zh-CN"/>
              </w:rPr>
            </w:pPr>
          </w:p>
        </w:tc>
        <w:tc>
          <w:tcPr>
            <w:tcW w:w="7647" w:type="dxa"/>
            <w:gridSpan w:val="6"/>
            <w:shd w:val="clear" w:color="auto" w:fill="auto"/>
            <w:noWrap/>
            <w:vAlign w:val="center"/>
          </w:tcPr>
          <w:p w14:paraId="23C0C213">
            <w:pPr>
              <w:widowControl w:val="0"/>
              <w:jc w:val="both"/>
              <w:rPr>
                <w:rFonts w:eastAsia="宋体"/>
                <w:kern w:val="2"/>
                <w:sz w:val="21"/>
                <w:lang w:eastAsia="zh-CN"/>
              </w:rPr>
            </w:pPr>
            <w:r>
              <w:rPr>
                <w:rFonts w:hint="eastAsia" w:eastAsia="宋体"/>
                <w:kern w:val="2"/>
                <w:sz w:val="21"/>
                <w:lang w:eastAsia="zh-CN"/>
              </w:rPr>
              <w:t>备注：本合同项下总价款为</w:t>
            </w:r>
            <w:r>
              <w:rPr>
                <w:rFonts w:hint="eastAsia" w:eastAsia="宋体"/>
                <w:kern w:val="2"/>
                <w:sz w:val="21"/>
                <w:u w:val="single"/>
                <w:lang w:eastAsia="zh-CN"/>
              </w:rPr>
              <w:t xml:space="preserve"> </w:t>
            </w:r>
            <w:r>
              <w:rPr>
                <w:rFonts w:eastAsia="宋体"/>
                <w:kern w:val="2"/>
                <w:sz w:val="21"/>
                <w:u w:val="single"/>
                <w:lang w:eastAsia="zh-CN"/>
              </w:rPr>
              <w:t xml:space="preserve">             </w:t>
            </w:r>
            <w:r>
              <w:rPr>
                <w:rFonts w:hint="eastAsia" w:eastAsia="宋体"/>
                <w:kern w:val="2"/>
                <w:sz w:val="21"/>
                <w:lang w:eastAsia="zh-CN"/>
              </w:rPr>
              <w:t>（大写）人民币，总价款已包括乙方为履行本合同义务所发生的一切费用，包括但不仅限于货物所有的运输、包装、搬运（包括购置时的运入以及解除或终止时的搬离）、安装调试拆除、工程辅料、使用培训、售后服务、发票税点及代理服务费等所有费用，系固定不变价格，且不随通货膨胀的影响而波动。</w:t>
            </w:r>
          </w:p>
        </w:tc>
      </w:tr>
    </w:tbl>
    <w:p w14:paraId="3FC3F144">
      <w:pPr>
        <w:widowControl w:val="0"/>
        <w:spacing w:after="160" w:line="259" w:lineRule="auto"/>
        <w:ind w:firstLine="420" w:firstLineChars="200"/>
        <w:jc w:val="both"/>
        <w:rPr>
          <w:rFonts w:eastAsia="宋体"/>
          <w:kern w:val="2"/>
          <w:sz w:val="21"/>
          <w:lang w:eastAsia="zh-CN"/>
        </w:rPr>
      </w:pPr>
      <w:r>
        <w:rPr>
          <w:rFonts w:hint="eastAsia" w:eastAsia="宋体"/>
          <w:kern w:val="2"/>
          <w:sz w:val="21"/>
          <w:lang w:eastAsia="zh-CN"/>
        </w:rPr>
        <w:t>二、付款</w:t>
      </w:r>
      <w:r>
        <w:rPr>
          <w:rFonts w:eastAsia="宋体"/>
          <w:kern w:val="2"/>
          <w:sz w:val="21"/>
          <w:lang w:eastAsia="zh-CN"/>
        </w:rPr>
        <w:t>方式</w:t>
      </w:r>
    </w:p>
    <w:p w14:paraId="2E5AFB4D">
      <w:pPr>
        <w:widowControl w:val="0"/>
        <w:jc w:val="both"/>
        <w:rPr>
          <w:rFonts w:eastAsia="宋体"/>
          <w:kern w:val="2"/>
          <w:sz w:val="21"/>
          <w:lang w:eastAsia="zh-CN"/>
        </w:rPr>
      </w:pPr>
      <w:r>
        <w:rPr>
          <w:rFonts w:eastAsia="宋体"/>
          <w:kern w:val="2"/>
          <w:sz w:val="21"/>
          <w:lang w:eastAsia="zh-CN"/>
        </w:rPr>
        <w:t>1.</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082"/>
        <w:gridCol w:w="6504"/>
        <w:gridCol w:w="892"/>
      </w:tblGrid>
      <w:tr w14:paraId="4D5A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817" w:type="dxa"/>
            <w:shd w:val="clear" w:color="auto" w:fill="auto"/>
            <w:vAlign w:val="center"/>
          </w:tcPr>
          <w:p w14:paraId="376B6259">
            <w:pPr>
              <w:widowControl w:val="0"/>
              <w:jc w:val="both"/>
              <w:rPr>
                <w:rFonts w:eastAsia="宋体"/>
                <w:kern w:val="2"/>
                <w:sz w:val="21"/>
                <w:lang w:eastAsia="zh-CN"/>
              </w:rPr>
            </w:pPr>
            <w:r>
              <w:rPr>
                <w:rFonts w:eastAsia="宋体"/>
                <w:kern w:val="2"/>
                <w:sz w:val="21"/>
                <w:lang w:eastAsia="zh-CN"/>
              </w:rPr>
              <w:t>编号</w:t>
            </w:r>
          </w:p>
        </w:tc>
        <w:tc>
          <w:tcPr>
            <w:tcW w:w="1091" w:type="dxa"/>
            <w:shd w:val="clear" w:color="auto" w:fill="auto"/>
            <w:vAlign w:val="center"/>
          </w:tcPr>
          <w:p w14:paraId="29B99740">
            <w:pPr>
              <w:widowControl w:val="0"/>
              <w:jc w:val="both"/>
              <w:rPr>
                <w:rFonts w:eastAsia="宋体"/>
                <w:kern w:val="2"/>
                <w:sz w:val="21"/>
                <w:lang w:eastAsia="zh-CN"/>
              </w:rPr>
            </w:pPr>
            <w:r>
              <w:rPr>
                <w:rFonts w:eastAsia="宋体"/>
                <w:kern w:val="2"/>
                <w:sz w:val="21"/>
                <w:lang w:eastAsia="zh-CN"/>
              </w:rPr>
              <w:t>款项</w:t>
            </w:r>
          </w:p>
        </w:tc>
        <w:tc>
          <w:tcPr>
            <w:tcW w:w="6570" w:type="dxa"/>
            <w:shd w:val="clear" w:color="auto" w:fill="auto"/>
            <w:vAlign w:val="center"/>
          </w:tcPr>
          <w:p w14:paraId="76418E8C">
            <w:pPr>
              <w:widowControl w:val="0"/>
              <w:jc w:val="both"/>
              <w:rPr>
                <w:rFonts w:eastAsia="宋体"/>
                <w:kern w:val="2"/>
                <w:sz w:val="21"/>
                <w:lang w:eastAsia="zh-CN"/>
              </w:rPr>
            </w:pPr>
            <w:r>
              <w:rPr>
                <w:rFonts w:eastAsia="宋体"/>
                <w:kern w:val="2"/>
                <w:sz w:val="21"/>
                <w:lang w:eastAsia="zh-CN"/>
              </w:rPr>
              <w:t>时间</w:t>
            </w:r>
          </w:p>
        </w:tc>
        <w:tc>
          <w:tcPr>
            <w:tcW w:w="899" w:type="dxa"/>
            <w:shd w:val="clear" w:color="auto" w:fill="auto"/>
            <w:vAlign w:val="center"/>
          </w:tcPr>
          <w:p w14:paraId="64833250">
            <w:pPr>
              <w:widowControl w:val="0"/>
              <w:jc w:val="both"/>
              <w:rPr>
                <w:rFonts w:eastAsia="宋体"/>
                <w:kern w:val="2"/>
                <w:sz w:val="21"/>
                <w:lang w:eastAsia="zh-CN"/>
              </w:rPr>
            </w:pPr>
            <w:r>
              <w:rPr>
                <w:rFonts w:eastAsia="宋体"/>
                <w:kern w:val="2"/>
                <w:sz w:val="21"/>
                <w:lang w:eastAsia="zh-CN"/>
              </w:rPr>
              <w:t>比例</w:t>
            </w:r>
          </w:p>
        </w:tc>
      </w:tr>
      <w:tr w14:paraId="497B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17" w:type="dxa"/>
            <w:shd w:val="clear" w:color="auto" w:fill="auto"/>
            <w:vAlign w:val="center"/>
          </w:tcPr>
          <w:p w14:paraId="10809ED8">
            <w:pPr>
              <w:widowControl w:val="0"/>
              <w:jc w:val="both"/>
              <w:rPr>
                <w:rFonts w:eastAsia="宋体"/>
                <w:kern w:val="2"/>
                <w:sz w:val="21"/>
                <w:lang w:eastAsia="zh-CN"/>
              </w:rPr>
            </w:pPr>
            <w:r>
              <w:rPr>
                <w:rFonts w:eastAsia="宋体"/>
                <w:kern w:val="2"/>
                <w:sz w:val="21"/>
                <w:lang w:eastAsia="zh-CN"/>
              </w:rPr>
              <w:t>1</w:t>
            </w:r>
          </w:p>
        </w:tc>
        <w:tc>
          <w:tcPr>
            <w:tcW w:w="1091" w:type="dxa"/>
            <w:shd w:val="clear" w:color="auto" w:fill="auto"/>
            <w:vAlign w:val="center"/>
          </w:tcPr>
          <w:p w14:paraId="782FDA4D">
            <w:pPr>
              <w:widowControl w:val="0"/>
              <w:jc w:val="both"/>
              <w:rPr>
                <w:rFonts w:eastAsia="宋体"/>
                <w:kern w:val="2"/>
                <w:sz w:val="21"/>
                <w:lang w:eastAsia="zh-CN"/>
              </w:rPr>
            </w:pPr>
            <w:r>
              <w:rPr>
                <w:rFonts w:hint="eastAsia" w:eastAsia="宋体"/>
                <w:kern w:val="2"/>
                <w:sz w:val="21"/>
                <w:lang w:eastAsia="zh-CN"/>
              </w:rPr>
              <w:t>第1期</w:t>
            </w:r>
          </w:p>
        </w:tc>
        <w:tc>
          <w:tcPr>
            <w:tcW w:w="6570" w:type="dxa"/>
            <w:shd w:val="clear" w:color="auto" w:fill="auto"/>
            <w:vAlign w:val="center"/>
          </w:tcPr>
          <w:p w14:paraId="50225DC8">
            <w:pPr>
              <w:widowControl w:val="0"/>
              <w:jc w:val="both"/>
              <w:rPr>
                <w:rFonts w:eastAsia="宋体"/>
                <w:kern w:val="2"/>
                <w:sz w:val="21"/>
                <w:lang w:eastAsia="zh-CN"/>
              </w:rPr>
            </w:pPr>
          </w:p>
        </w:tc>
        <w:tc>
          <w:tcPr>
            <w:tcW w:w="899" w:type="dxa"/>
            <w:shd w:val="clear" w:color="auto" w:fill="auto"/>
            <w:vAlign w:val="center"/>
          </w:tcPr>
          <w:p w14:paraId="06BA0C44">
            <w:pPr>
              <w:widowControl w:val="0"/>
              <w:jc w:val="both"/>
              <w:rPr>
                <w:rFonts w:eastAsia="宋体"/>
                <w:kern w:val="2"/>
                <w:sz w:val="21"/>
                <w:lang w:eastAsia="zh-CN"/>
              </w:rPr>
            </w:pPr>
          </w:p>
        </w:tc>
      </w:tr>
      <w:tr w14:paraId="3984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817" w:type="dxa"/>
            <w:shd w:val="clear" w:color="auto" w:fill="auto"/>
            <w:vAlign w:val="center"/>
          </w:tcPr>
          <w:p w14:paraId="3E2CAFC2">
            <w:pPr>
              <w:widowControl w:val="0"/>
              <w:jc w:val="both"/>
              <w:rPr>
                <w:rFonts w:eastAsia="宋体"/>
                <w:kern w:val="2"/>
                <w:sz w:val="21"/>
                <w:lang w:eastAsia="zh-CN"/>
              </w:rPr>
            </w:pPr>
            <w:r>
              <w:rPr>
                <w:rFonts w:eastAsia="宋体"/>
                <w:kern w:val="2"/>
                <w:sz w:val="21"/>
                <w:lang w:eastAsia="zh-CN"/>
              </w:rPr>
              <w:t>2</w:t>
            </w:r>
          </w:p>
        </w:tc>
        <w:tc>
          <w:tcPr>
            <w:tcW w:w="1091" w:type="dxa"/>
            <w:shd w:val="clear" w:color="auto" w:fill="auto"/>
            <w:vAlign w:val="center"/>
          </w:tcPr>
          <w:p w14:paraId="12EEC3F2">
            <w:pPr>
              <w:widowControl w:val="0"/>
              <w:jc w:val="both"/>
              <w:rPr>
                <w:rFonts w:eastAsia="宋体"/>
                <w:kern w:val="2"/>
                <w:sz w:val="21"/>
                <w:lang w:eastAsia="zh-CN"/>
              </w:rPr>
            </w:pPr>
            <w:r>
              <w:rPr>
                <w:rFonts w:eastAsia="宋体"/>
                <w:kern w:val="2"/>
                <w:sz w:val="21"/>
                <w:lang w:eastAsia="zh-CN"/>
              </w:rPr>
              <w:t>第</w:t>
            </w:r>
            <w:r>
              <w:rPr>
                <w:rFonts w:hint="eastAsia" w:eastAsia="宋体"/>
                <w:kern w:val="2"/>
                <w:sz w:val="21"/>
                <w:lang w:eastAsia="zh-CN"/>
              </w:rPr>
              <w:t>2</w:t>
            </w:r>
            <w:r>
              <w:rPr>
                <w:rFonts w:eastAsia="宋体"/>
                <w:kern w:val="2"/>
                <w:sz w:val="21"/>
                <w:lang w:eastAsia="zh-CN"/>
              </w:rPr>
              <w:t>期</w:t>
            </w:r>
          </w:p>
        </w:tc>
        <w:tc>
          <w:tcPr>
            <w:tcW w:w="6570" w:type="dxa"/>
            <w:shd w:val="clear" w:color="auto" w:fill="auto"/>
            <w:vAlign w:val="center"/>
          </w:tcPr>
          <w:p w14:paraId="555C4B4F">
            <w:pPr>
              <w:widowControl w:val="0"/>
              <w:jc w:val="both"/>
              <w:rPr>
                <w:rFonts w:eastAsia="宋体"/>
                <w:kern w:val="2"/>
                <w:sz w:val="21"/>
                <w:lang w:eastAsia="zh-CN"/>
              </w:rPr>
            </w:pPr>
          </w:p>
        </w:tc>
        <w:tc>
          <w:tcPr>
            <w:tcW w:w="899" w:type="dxa"/>
            <w:shd w:val="clear" w:color="auto" w:fill="auto"/>
            <w:vAlign w:val="center"/>
          </w:tcPr>
          <w:p w14:paraId="3B77E262">
            <w:pPr>
              <w:widowControl w:val="0"/>
              <w:jc w:val="both"/>
              <w:rPr>
                <w:rFonts w:eastAsia="宋体"/>
                <w:kern w:val="2"/>
                <w:sz w:val="21"/>
                <w:lang w:eastAsia="zh-CN"/>
              </w:rPr>
            </w:pPr>
          </w:p>
        </w:tc>
      </w:tr>
      <w:tr w14:paraId="56D30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17" w:type="dxa"/>
            <w:shd w:val="clear" w:color="auto" w:fill="auto"/>
            <w:vAlign w:val="center"/>
          </w:tcPr>
          <w:p w14:paraId="4BAB7243">
            <w:pPr>
              <w:widowControl w:val="0"/>
              <w:jc w:val="both"/>
              <w:rPr>
                <w:rFonts w:eastAsia="宋体"/>
                <w:kern w:val="2"/>
                <w:sz w:val="21"/>
                <w:lang w:eastAsia="zh-CN"/>
              </w:rPr>
            </w:pPr>
            <w:r>
              <w:rPr>
                <w:rFonts w:eastAsia="宋体"/>
                <w:kern w:val="2"/>
                <w:sz w:val="21"/>
                <w:lang w:eastAsia="zh-CN"/>
              </w:rPr>
              <w:t>3</w:t>
            </w:r>
          </w:p>
        </w:tc>
        <w:tc>
          <w:tcPr>
            <w:tcW w:w="1091" w:type="dxa"/>
            <w:shd w:val="clear" w:color="auto" w:fill="auto"/>
            <w:vAlign w:val="center"/>
          </w:tcPr>
          <w:p w14:paraId="0552304C">
            <w:pPr>
              <w:widowControl w:val="0"/>
              <w:jc w:val="both"/>
              <w:rPr>
                <w:rFonts w:eastAsia="宋体"/>
                <w:kern w:val="2"/>
                <w:sz w:val="21"/>
                <w:lang w:eastAsia="zh-CN"/>
              </w:rPr>
            </w:pPr>
            <w:r>
              <w:rPr>
                <w:rFonts w:eastAsia="宋体"/>
                <w:kern w:val="2"/>
                <w:sz w:val="21"/>
                <w:lang w:eastAsia="zh-CN"/>
              </w:rPr>
              <w:t>第</w:t>
            </w:r>
            <w:r>
              <w:rPr>
                <w:rFonts w:hint="eastAsia" w:eastAsia="宋体"/>
                <w:kern w:val="2"/>
                <w:sz w:val="21"/>
                <w:lang w:eastAsia="zh-CN"/>
              </w:rPr>
              <w:t>3</w:t>
            </w:r>
            <w:r>
              <w:rPr>
                <w:rFonts w:eastAsia="宋体"/>
                <w:kern w:val="2"/>
                <w:sz w:val="21"/>
                <w:lang w:eastAsia="zh-CN"/>
              </w:rPr>
              <w:t>期</w:t>
            </w:r>
          </w:p>
        </w:tc>
        <w:tc>
          <w:tcPr>
            <w:tcW w:w="6570" w:type="dxa"/>
            <w:shd w:val="clear" w:color="auto" w:fill="auto"/>
            <w:vAlign w:val="center"/>
          </w:tcPr>
          <w:p w14:paraId="78843407">
            <w:pPr>
              <w:widowControl w:val="0"/>
              <w:jc w:val="both"/>
              <w:rPr>
                <w:rFonts w:eastAsia="宋体"/>
                <w:kern w:val="2"/>
                <w:sz w:val="21"/>
                <w:lang w:eastAsia="zh-CN"/>
              </w:rPr>
            </w:pPr>
          </w:p>
        </w:tc>
        <w:tc>
          <w:tcPr>
            <w:tcW w:w="899" w:type="dxa"/>
            <w:shd w:val="clear" w:color="auto" w:fill="auto"/>
            <w:vAlign w:val="center"/>
          </w:tcPr>
          <w:p w14:paraId="7F8C833A">
            <w:pPr>
              <w:widowControl w:val="0"/>
              <w:jc w:val="both"/>
              <w:rPr>
                <w:rFonts w:eastAsia="宋体"/>
                <w:kern w:val="2"/>
                <w:sz w:val="21"/>
                <w:lang w:eastAsia="zh-CN"/>
              </w:rPr>
            </w:pPr>
          </w:p>
        </w:tc>
      </w:tr>
    </w:tbl>
    <w:p w14:paraId="034E29EB">
      <w:pPr>
        <w:widowControl w:val="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支付方式：</w:t>
      </w:r>
      <w:r>
        <w:rPr>
          <w:rFonts w:eastAsia="宋体"/>
          <w:kern w:val="2"/>
          <w:sz w:val="21"/>
          <w:lang w:eastAsia="zh-CN"/>
        </w:rPr>
        <w:t>甲方应将货款汇入乙方指定的</w:t>
      </w:r>
      <w:r>
        <w:rPr>
          <w:rFonts w:hint="eastAsia" w:eastAsia="宋体"/>
          <w:kern w:val="2"/>
          <w:sz w:val="21"/>
          <w:lang w:eastAsia="zh-CN"/>
        </w:rPr>
        <w:t>帐户。</w:t>
      </w:r>
    </w:p>
    <w:p w14:paraId="0A176855">
      <w:pPr>
        <w:widowControl w:val="0"/>
        <w:jc w:val="both"/>
        <w:rPr>
          <w:rFonts w:eastAsia="宋体"/>
          <w:kern w:val="2"/>
          <w:sz w:val="21"/>
          <w:lang w:eastAsia="zh-CN"/>
        </w:rPr>
      </w:pPr>
      <w:r>
        <w:rPr>
          <w:rFonts w:eastAsia="宋体"/>
          <w:kern w:val="2"/>
          <w:sz w:val="21"/>
          <w:lang w:eastAsia="zh-CN"/>
        </w:rPr>
        <w:t>单位名称：</w:t>
      </w:r>
      <w:r>
        <w:rPr>
          <w:rFonts w:hint="eastAsia" w:eastAsia="宋体"/>
          <w:kern w:val="2"/>
          <w:sz w:val="21"/>
          <w:lang w:eastAsia="zh-CN"/>
        </w:rPr>
        <w:t>*</w:t>
      </w:r>
      <w:r>
        <w:rPr>
          <w:rFonts w:eastAsia="宋体"/>
          <w:kern w:val="2"/>
          <w:sz w:val="21"/>
          <w:lang w:eastAsia="zh-CN"/>
        </w:rPr>
        <w:t>**</w:t>
      </w:r>
    </w:p>
    <w:p w14:paraId="262B53BF">
      <w:pPr>
        <w:widowControl w:val="0"/>
        <w:jc w:val="both"/>
        <w:rPr>
          <w:rFonts w:eastAsia="宋体"/>
          <w:kern w:val="2"/>
          <w:sz w:val="21"/>
          <w:lang w:eastAsia="zh-CN"/>
        </w:rPr>
      </w:pPr>
      <w:r>
        <w:rPr>
          <w:rFonts w:eastAsia="宋体"/>
          <w:kern w:val="2"/>
          <w:sz w:val="21"/>
          <w:lang w:eastAsia="zh-CN"/>
        </w:rPr>
        <w:t>开 户 行</w:t>
      </w:r>
      <w:r>
        <w:rPr>
          <w:rFonts w:hint="eastAsia" w:eastAsia="宋体"/>
          <w:kern w:val="2"/>
          <w:sz w:val="21"/>
          <w:lang w:eastAsia="zh-CN"/>
        </w:rPr>
        <w:t>：*</w:t>
      </w:r>
      <w:r>
        <w:rPr>
          <w:rFonts w:eastAsia="宋体"/>
          <w:kern w:val="2"/>
          <w:sz w:val="21"/>
          <w:lang w:eastAsia="zh-CN"/>
        </w:rPr>
        <w:t>**</w:t>
      </w:r>
    </w:p>
    <w:p w14:paraId="3FD21C16">
      <w:pPr>
        <w:widowControl w:val="0"/>
        <w:jc w:val="both"/>
        <w:rPr>
          <w:rFonts w:eastAsia="宋体"/>
          <w:kern w:val="2"/>
          <w:sz w:val="21"/>
          <w:lang w:eastAsia="zh-CN"/>
        </w:rPr>
      </w:pPr>
      <w:r>
        <w:rPr>
          <w:rFonts w:hint="eastAsia" w:eastAsia="宋体"/>
          <w:kern w:val="2"/>
          <w:sz w:val="21"/>
          <w:lang w:eastAsia="zh-CN"/>
        </w:rPr>
        <w:t>帐</w:t>
      </w:r>
      <w:r>
        <w:rPr>
          <w:rFonts w:eastAsia="宋体"/>
          <w:kern w:val="2"/>
          <w:sz w:val="21"/>
          <w:lang w:eastAsia="zh-CN"/>
        </w:rPr>
        <w:t xml:space="preserve">    号：</w:t>
      </w:r>
      <w:r>
        <w:rPr>
          <w:rFonts w:hint="eastAsia" w:eastAsia="宋体"/>
          <w:kern w:val="2"/>
          <w:sz w:val="21"/>
          <w:lang w:eastAsia="zh-CN"/>
        </w:rPr>
        <w:t>*</w:t>
      </w:r>
      <w:r>
        <w:rPr>
          <w:rFonts w:eastAsia="宋体"/>
          <w:kern w:val="2"/>
          <w:sz w:val="21"/>
          <w:lang w:eastAsia="zh-CN"/>
        </w:rPr>
        <w:t>**</w:t>
      </w:r>
    </w:p>
    <w:p w14:paraId="7CDC9A3A">
      <w:pPr>
        <w:widowControl w:val="0"/>
        <w:jc w:val="both"/>
        <w:rPr>
          <w:rFonts w:eastAsia="宋体"/>
          <w:kern w:val="2"/>
          <w:sz w:val="21"/>
          <w:lang w:eastAsia="zh-CN"/>
        </w:rPr>
      </w:pPr>
      <w:r>
        <w:rPr>
          <w:rFonts w:hint="eastAsia" w:eastAsia="宋体"/>
          <w:kern w:val="2"/>
          <w:sz w:val="21"/>
          <w:lang w:eastAsia="zh-CN"/>
        </w:rPr>
        <w:t>三、质量保证</w:t>
      </w:r>
    </w:p>
    <w:p w14:paraId="0FE0B5D8">
      <w:pPr>
        <w:widowControl w:val="0"/>
        <w:jc w:val="both"/>
        <w:rPr>
          <w:rFonts w:eastAsia="宋体"/>
          <w:b/>
          <w:bCs/>
          <w:kern w:val="2"/>
          <w:sz w:val="21"/>
          <w:lang w:eastAsia="zh-CN"/>
        </w:rPr>
      </w:pPr>
      <w:r>
        <w:rPr>
          <w:rFonts w:eastAsia="宋体"/>
          <w:kern w:val="2"/>
          <w:sz w:val="21"/>
          <w:lang w:eastAsia="zh-CN"/>
        </w:rPr>
        <w:t>1.</w:t>
      </w:r>
      <w:r>
        <w:rPr>
          <w:rFonts w:hint="eastAsia" w:eastAsia="宋体"/>
          <w:kern w:val="2"/>
          <w:sz w:val="21"/>
          <w:lang w:eastAsia="zh-CN"/>
        </w:rPr>
        <w:t>乙方所提供的货物的技术规格应符合招投标文件规定的技术要求，同时符合中华人民共和国的设计和制造生产标准或行业标准。</w:t>
      </w:r>
    </w:p>
    <w:p w14:paraId="0332E6B6">
      <w:pPr>
        <w:widowControl w:val="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乙方应保证货物是全新、未使用过的原装合格正品（包括零部件），并完全符合甲方要求的质量、规格和性能的要求。如货物安装或配置了软件的，乙方保证相关软件均为正版软件。</w:t>
      </w:r>
    </w:p>
    <w:p w14:paraId="2C6C3160">
      <w:pPr>
        <w:widowControl w:val="0"/>
        <w:jc w:val="both"/>
        <w:rPr>
          <w:rFonts w:eastAsia="宋体"/>
          <w:kern w:val="2"/>
          <w:sz w:val="21"/>
          <w:lang w:eastAsia="zh-CN"/>
        </w:rPr>
      </w:pPr>
      <w:r>
        <w:rPr>
          <w:rFonts w:eastAsia="宋体"/>
          <w:kern w:val="2"/>
          <w:sz w:val="21"/>
          <w:lang w:eastAsia="zh-CN"/>
        </w:rPr>
        <w:t>3.</w:t>
      </w:r>
      <w:r>
        <w:rPr>
          <w:rFonts w:hint="eastAsia" w:eastAsia="宋体"/>
          <w:kern w:val="2"/>
          <w:sz w:val="21"/>
          <w:lang w:eastAsia="zh-CN"/>
        </w:rPr>
        <w:t>乙方保证交货时一并提供货物的质量合格凭证或文件。</w:t>
      </w:r>
    </w:p>
    <w:p w14:paraId="43DEFAE2">
      <w:pPr>
        <w:widowControl w:val="0"/>
        <w:jc w:val="both"/>
        <w:rPr>
          <w:rFonts w:eastAsia="宋体"/>
          <w:kern w:val="2"/>
          <w:sz w:val="21"/>
          <w:lang w:eastAsia="zh-CN"/>
        </w:rPr>
      </w:pPr>
      <w:r>
        <w:rPr>
          <w:rFonts w:eastAsia="宋体"/>
          <w:kern w:val="2"/>
          <w:sz w:val="21"/>
          <w:lang w:eastAsia="zh-CN"/>
        </w:rPr>
        <w:t>4.</w:t>
      </w:r>
      <w:r>
        <w:rPr>
          <w:rFonts w:hint="eastAsia" w:eastAsia="宋体"/>
          <w:kern w:val="2"/>
          <w:sz w:val="21"/>
          <w:lang w:eastAsia="zh-CN"/>
        </w:rPr>
        <w:t>按照标准执行</w:t>
      </w:r>
      <w:r>
        <w:rPr>
          <w:rFonts w:eastAsia="宋体"/>
          <w:kern w:val="2"/>
          <w:sz w:val="21"/>
          <w:lang w:eastAsia="zh-CN"/>
        </w:rPr>
        <w:t>(须注明按国家标准或部颁或企业具体标准，如标准代号、编号和标准名称等)</w:t>
      </w:r>
      <w:r>
        <w:rPr>
          <w:rFonts w:hint="eastAsia" w:eastAsia="宋体"/>
          <w:kern w:val="2"/>
          <w:sz w:val="21"/>
          <w:lang w:eastAsia="zh-CN"/>
        </w:rPr>
        <w:t>（如有）。</w:t>
      </w:r>
    </w:p>
    <w:p w14:paraId="45139353">
      <w:pPr>
        <w:widowControl w:val="0"/>
        <w:jc w:val="both"/>
        <w:rPr>
          <w:rFonts w:eastAsia="宋体"/>
          <w:kern w:val="2"/>
          <w:sz w:val="21"/>
          <w:lang w:eastAsia="zh-CN"/>
        </w:rPr>
      </w:pPr>
      <w:r>
        <w:rPr>
          <w:rFonts w:eastAsia="宋体"/>
          <w:kern w:val="2"/>
          <w:sz w:val="21"/>
          <w:lang w:eastAsia="zh-CN"/>
        </w:rPr>
        <w:t>5.</w:t>
      </w:r>
      <w:r>
        <w:rPr>
          <w:rFonts w:hint="eastAsia" w:eastAsia="宋体"/>
          <w:kern w:val="2"/>
          <w:sz w:val="21"/>
          <w:lang w:eastAsia="zh-CN"/>
        </w:rPr>
        <w:t>按样本</w:t>
      </w:r>
      <w:r>
        <w:rPr>
          <w:rFonts w:eastAsia="宋体"/>
          <w:kern w:val="2"/>
          <w:sz w:val="21"/>
          <w:lang w:eastAsia="zh-CN"/>
        </w:rPr>
        <w:t>为标准</w:t>
      </w:r>
      <w:r>
        <w:rPr>
          <w:rFonts w:hint="eastAsia" w:eastAsia="宋体"/>
          <w:kern w:val="2"/>
          <w:sz w:val="21"/>
          <w:lang w:eastAsia="zh-CN"/>
        </w:rPr>
        <w:t>的，样本应作为合同的附件（如有）。</w:t>
      </w:r>
    </w:p>
    <w:p w14:paraId="75ED320F">
      <w:pPr>
        <w:widowControl w:val="0"/>
        <w:jc w:val="both"/>
        <w:rPr>
          <w:rFonts w:eastAsia="宋体"/>
          <w:kern w:val="2"/>
          <w:sz w:val="21"/>
          <w:lang w:eastAsia="zh-CN"/>
        </w:rPr>
      </w:pPr>
      <w:r>
        <w:rPr>
          <w:rFonts w:eastAsia="宋体"/>
          <w:kern w:val="2"/>
          <w:sz w:val="21"/>
          <w:lang w:eastAsia="zh-CN"/>
        </w:rPr>
        <w:t>6.</w:t>
      </w:r>
      <w:r>
        <w:rPr>
          <w:rFonts w:hint="eastAsia" w:eastAsia="宋体"/>
          <w:kern w:val="2"/>
          <w:sz w:val="21"/>
          <w:lang w:eastAsia="zh-CN"/>
        </w:rPr>
        <w:t>按双方商定要求执行的，具体为：（应具体约定货物质量要求）（如有）。</w:t>
      </w:r>
    </w:p>
    <w:p w14:paraId="7D687976">
      <w:pPr>
        <w:widowControl w:val="0"/>
        <w:jc w:val="both"/>
        <w:rPr>
          <w:rFonts w:eastAsia="宋体"/>
          <w:kern w:val="2"/>
          <w:sz w:val="21"/>
          <w:lang w:eastAsia="zh-CN"/>
        </w:rPr>
      </w:pPr>
      <w:r>
        <w:rPr>
          <w:rFonts w:eastAsia="宋体"/>
          <w:kern w:val="2"/>
          <w:sz w:val="21"/>
          <w:lang w:eastAsia="zh-CN"/>
        </w:rPr>
        <w:t>7.</w:t>
      </w:r>
      <w:r>
        <w:rPr>
          <w:rFonts w:hint="eastAsia" w:eastAsia="宋体"/>
          <w:kern w:val="2"/>
          <w:sz w:val="21"/>
          <w:lang w:eastAsia="zh-CN"/>
        </w:rPr>
        <w:t>如前述标准不一致的，以对于货物较高要求之要求为准。</w:t>
      </w:r>
    </w:p>
    <w:p w14:paraId="17997BE0">
      <w:pPr>
        <w:widowControl w:val="0"/>
        <w:spacing w:after="0" w:line="240" w:lineRule="auto"/>
        <w:ind w:firstLine="0" w:firstLineChars="0"/>
        <w:jc w:val="both"/>
        <w:rPr>
          <w:rFonts w:eastAsia="宋体"/>
          <w:kern w:val="2"/>
          <w:sz w:val="21"/>
          <w:lang w:eastAsia="zh-CN"/>
        </w:rPr>
      </w:pPr>
      <w:r>
        <w:rPr>
          <w:rFonts w:hint="eastAsia" w:eastAsia="宋体"/>
          <w:kern w:val="2"/>
          <w:sz w:val="21"/>
          <w:lang w:eastAsia="zh-CN"/>
        </w:rPr>
        <w:t>四、交货</w:t>
      </w:r>
    </w:p>
    <w:p w14:paraId="5F9B4FFD">
      <w:pPr>
        <w:widowControl w:val="0"/>
        <w:jc w:val="both"/>
        <w:rPr>
          <w:rFonts w:eastAsia="宋体"/>
          <w:kern w:val="2"/>
          <w:sz w:val="21"/>
          <w:lang w:eastAsia="zh-CN"/>
        </w:rPr>
      </w:pPr>
      <w:r>
        <w:rPr>
          <w:rFonts w:eastAsia="宋体"/>
          <w:kern w:val="2"/>
          <w:sz w:val="21"/>
          <w:lang w:eastAsia="zh-CN"/>
        </w:rPr>
        <w:t>1.</w:t>
      </w:r>
      <w:r>
        <w:rPr>
          <w:rFonts w:hint="eastAsia" w:eastAsia="宋体"/>
          <w:kern w:val="2"/>
          <w:sz w:val="21"/>
          <w:lang w:eastAsia="zh-CN"/>
        </w:rPr>
        <w:t>交货时间：合同签订之日起</w:t>
      </w:r>
      <w:r>
        <w:rPr>
          <w:rFonts w:hint="eastAsia" w:ascii="宋体" w:hAnsi="宋体" w:eastAsia="宋体" w:cs="宋体"/>
          <w:kern w:val="2"/>
          <w:sz w:val="21"/>
          <w:lang w:eastAsia="zh-CN"/>
        </w:rPr>
        <w:t>*</w:t>
      </w:r>
      <w:r>
        <w:rPr>
          <w:rFonts w:ascii="宋体" w:hAnsi="宋体" w:eastAsia="宋体" w:cs="宋体"/>
          <w:kern w:val="2"/>
          <w:sz w:val="21"/>
          <w:lang w:eastAsia="zh-CN"/>
        </w:rPr>
        <w:t>**</w:t>
      </w:r>
      <w:r>
        <w:rPr>
          <w:rFonts w:hint="eastAsia" w:eastAsia="宋体"/>
          <w:kern w:val="2"/>
          <w:sz w:val="21"/>
          <w:u w:val="single"/>
          <w:lang w:eastAsia="zh-CN"/>
        </w:rPr>
        <w:t>个日历日</w:t>
      </w:r>
      <w:r>
        <w:rPr>
          <w:rFonts w:hint="eastAsia" w:eastAsia="宋体"/>
          <w:kern w:val="2"/>
          <w:sz w:val="21"/>
          <w:lang w:eastAsia="zh-CN"/>
        </w:rPr>
        <w:t>内完成交货及安装，根据采购人要求可分时间段分批次送货。</w:t>
      </w:r>
    </w:p>
    <w:p w14:paraId="7E6BC24B">
      <w:pPr>
        <w:widowControl w:val="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交货地点：货物由乙方负责免费送货到甲方所在地，并按甲方的要求运输至甲方指定安置地点，根据甲方要求可分时间段分批次送货（如因楼宇交付使用延期，则交货时间顺延，不得额外增加费用）。货物在运到甲方指定交货地点前的一切风险由乙方承担。</w:t>
      </w:r>
    </w:p>
    <w:p w14:paraId="47FF03DB">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3.</w:t>
      </w:r>
      <w:r>
        <w:rPr>
          <w:rFonts w:hint="eastAsia" w:eastAsia="宋体"/>
          <w:kern w:val="2"/>
          <w:sz w:val="21"/>
          <w:lang w:eastAsia="zh-CN"/>
        </w:rPr>
        <w:t>运输及安装过程中，</w:t>
      </w:r>
      <w:r>
        <w:rPr>
          <w:rFonts w:eastAsia="宋体"/>
          <w:kern w:val="2"/>
          <w:sz w:val="21"/>
          <w:lang w:eastAsia="zh-CN"/>
        </w:rPr>
        <w:t>乙方</w:t>
      </w:r>
      <w:r>
        <w:rPr>
          <w:rFonts w:hint="eastAsia" w:eastAsia="宋体"/>
          <w:kern w:val="2"/>
          <w:sz w:val="21"/>
          <w:lang w:eastAsia="zh-CN"/>
        </w:rPr>
        <w:t>应对其</w:t>
      </w:r>
      <w:r>
        <w:rPr>
          <w:rFonts w:eastAsia="宋体"/>
          <w:kern w:val="2"/>
          <w:sz w:val="21"/>
          <w:lang w:eastAsia="zh-CN"/>
        </w:rPr>
        <w:t>运输</w:t>
      </w:r>
      <w:r>
        <w:rPr>
          <w:rFonts w:hint="eastAsia" w:eastAsia="宋体"/>
          <w:kern w:val="2"/>
          <w:sz w:val="21"/>
          <w:lang w:eastAsia="zh-CN"/>
        </w:rPr>
        <w:t>人员、</w:t>
      </w:r>
      <w:r>
        <w:rPr>
          <w:rFonts w:eastAsia="宋体"/>
          <w:kern w:val="2"/>
          <w:sz w:val="21"/>
          <w:lang w:eastAsia="zh-CN"/>
        </w:rPr>
        <w:t>安装人员</w:t>
      </w:r>
      <w:r>
        <w:rPr>
          <w:rFonts w:hint="eastAsia" w:eastAsia="宋体"/>
          <w:kern w:val="2"/>
          <w:sz w:val="21"/>
          <w:lang w:eastAsia="zh-CN"/>
        </w:rPr>
        <w:t>及其他任何第三方的人身和财产安全负责，如在前述过程中，由于乙方</w:t>
      </w:r>
      <w:r>
        <w:rPr>
          <w:rFonts w:eastAsia="宋体"/>
          <w:kern w:val="2"/>
          <w:sz w:val="21"/>
          <w:lang w:eastAsia="zh-CN"/>
        </w:rPr>
        <w:t>运输</w:t>
      </w:r>
      <w:r>
        <w:rPr>
          <w:rFonts w:hint="eastAsia" w:eastAsia="宋体"/>
          <w:kern w:val="2"/>
          <w:sz w:val="21"/>
          <w:lang w:eastAsia="zh-CN"/>
        </w:rPr>
        <w:t>人员</w:t>
      </w:r>
      <w:r>
        <w:rPr>
          <w:rFonts w:eastAsia="宋体"/>
          <w:kern w:val="2"/>
          <w:sz w:val="21"/>
          <w:lang w:eastAsia="zh-CN"/>
        </w:rPr>
        <w:t>或安装人员</w:t>
      </w:r>
      <w:r>
        <w:rPr>
          <w:rFonts w:hint="eastAsia" w:eastAsia="宋体"/>
          <w:kern w:val="2"/>
          <w:sz w:val="21"/>
          <w:lang w:eastAsia="zh-CN"/>
        </w:rPr>
        <w:t>的故意或过失对于</w:t>
      </w:r>
      <w:r>
        <w:rPr>
          <w:rFonts w:eastAsia="宋体"/>
          <w:kern w:val="2"/>
          <w:sz w:val="21"/>
          <w:lang w:eastAsia="zh-CN"/>
        </w:rPr>
        <w:t>货物、</w:t>
      </w:r>
      <w:r>
        <w:rPr>
          <w:rFonts w:hint="eastAsia" w:eastAsia="宋体"/>
          <w:kern w:val="2"/>
          <w:sz w:val="21"/>
          <w:lang w:eastAsia="zh-CN"/>
        </w:rPr>
        <w:t>其自身、</w:t>
      </w:r>
      <w:r>
        <w:rPr>
          <w:rFonts w:eastAsia="宋体"/>
          <w:kern w:val="2"/>
          <w:sz w:val="21"/>
          <w:lang w:eastAsia="zh-CN"/>
        </w:rPr>
        <w:t>甲方</w:t>
      </w:r>
      <w:r>
        <w:rPr>
          <w:rFonts w:hint="eastAsia" w:eastAsia="宋体"/>
          <w:kern w:val="2"/>
          <w:sz w:val="21"/>
          <w:lang w:eastAsia="zh-CN"/>
        </w:rPr>
        <w:t>及其他任何第三方的人身和财产造成损害的，应由</w:t>
      </w:r>
      <w:r>
        <w:rPr>
          <w:rFonts w:eastAsia="宋体"/>
          <w:kern w:val="2"/>
          <w:sz w:val="21"/>
          <w:lang w:eastAsia="zh-CN"/>
        </w:rPr>
        <w:t>乙方</w:t>
      </w:r>
      <w:r>
        <w:rPr>
          <w:rFonts w:hint="eastAsia" w:eastAsia="宋体"/>
          <w:kern w:val="2"/>
          <w:sz w:val="21"/>
          <w:lang w:eastAsia="zh-CN"/>
        </w:rPr>
        <w:t>承担赔偿责任，与甲方无关。甲方质量验收合格前，货物的一切风险（包括但不限于设备的损毁、灭失及可能的侵权等），均由乙方承担。</w:t>
      </w:r>
    </w:p>
    <w:p w14:paraId="2E1DFFB9">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4.</w:t>
      </w:r>
      <w:r>
        <w:rPr>
          <w:rFonts w:hint="eastAsia" w:eastAsia="宋体"/>
          <w:kern w:val="2"/>
          <w:sz w:val="21"/>
          <w:lang w:eastAsia="zh-CN"/>
        </w:rPr>
        <w:t>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14:paraId="6AF5F486">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5.</w:t>
      </w:r>
      <w:r>
        <w:rPr>
          <w:rFonts w:hint="eastAsia" w:eastAsia="宋体"/>
          <w:kern w:val="2"/>
          <w:sz w:val="21"/>
          <w:lang w:eastAsia="zh-CN"/>
        </w:rPr>
        <w:t xml:space="preserve"> 安装调试中发生的一切事故，相关责任全部由中标人承担，采购人对此不承担任何责任及连带责任。</w:t>
      </w:r>
    </w:p>
    <w:p w14:paraId="41FA91C2">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五、验收</w:t>
      </w:r>
    </w:p>
    <w:p w14:paraId="6C87F15B">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1.</w:t>
      </w:r>
      <w:r>
        <w:rPr>
          <w:rFonts w:hint="eastAsia" w:eastAsia="宋体"/>
          <w:kern w:val="2"/>
          <w:sz w:val="21"/>
          <w:lang w:eastAsia="zh-CN"/>
        </w:rPr>
        <w:t>乙方送货到甲方指定地点后，双方应现场进行来货初验，对于货物的型号、外观、数量、配件、包装是否无破损等情况进行查验</w:t>
      </w:r>
      <w:r>
        <w:rPr>
          <w:rFonts w:eastAsia="宋体"/>
          <w:kern w:val="2"/>
          <w:sz w:val="21"/>
          <w:lang w:eastAsia="zh-CN"/>
        </w:rPr>
        <w:t>。</w:t>
      </w:r>
      <w:r>
        <w:rPr>
          <w:rFonts w:hint="eastAsia" w:eastAsia="宋体"/>
          <w:kern w:val="2"/>
          <w:sz w:val="21"/>
          <w:lang w:eastAsia="zh-CN"/>
        </w:rPr>
        <w:t>如前述任何内容不符合合同或招投标文件规定的，甲方有权拒收。如乙方未能达到上述要求的，视为未按合同约定交货，由此引起的风险，由乙方承担，并按照本合同的约定承担相关违约责任。</w:t>
      </w:r>
    </w:p>
    <w:p w14:paraId="68B2A43C">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2.在设备完成安装调试等工作并达到可使用状态</w:t>
      </w:r>
      <w:r>
        <w:rPr>
          <w:rFonts w:hint="eastAsia" w:eastAsia="宋体"/>
          <w:kern w:val="2"/>
          <w:sz w:val="21"/>
          <w:lang w:eastAsia="zh-CN"/>
        </w:rPr>
        <w:t>，</w:t>
      </w:r>
      <w:r>
        <w:rPr>
          <w:rFonts w:eastAsia="宋体"/>
          <w:kern w:val="2"/>
          <w:sz w:val="21"/>
          <w:lang w:eastAsia="zh-CN"/>
        </w:rPr>
        <w:t>由乙方提出书面验收申请，甲方收到乙方申请</w:t>
      </w:r>
      <w:r>
        <w:rPr>
          <w:rFonts w:hint="eastAsia" w:eastAsia="宋体"/>
          <w:kern w:val="2"/>
          <w:sz w:val="21"/>
          <w:lang w:eastAsia="zh-CN"/>
        </w:rPr>
        <w:t>且确认乙方不存在违反甲方相关规定的违约行为</w:t>
      </w:r>
      <w:r>
        <w:rPr>
          <w:rFonts w:eastAsia="宋体"/>
          <w:kern w:val="2"/>
          <w:sz w:val="21"/>
          <w:lang w:eastAsia="zh-CN"/>
        </w:rPr>
        <w:t>后</w:t>
      </w:r>
      <w:r>
        <w:rPr>
          <w:rFonts w:hint="eastAsia" w:eastAsia="宋体"/>
          <w:kern w:val="2"/>
          <w:sz w:val="21"/>
          <w:lang w:eastAsia="zh-CN"/>
        </w:rPr>
        <w:t>，</w:t>
      </w:r>
      <w:r>
        <w:rPr>
          <w:rFonts w:eastAsia="宋体"/>
          <w:kern w:val="2"/>
          <w:sz w:val="21"/>
          <w:lang w:eastAsia="zh-CN"/>
        </w:rPr>
        <w:t>应及时组织相关人员进行验收</w:t>
      </w:r>
      <w:r>
        <w:rPr>
          <w:rFonts w:hint="eastAsia" w:eastAsia="宋体"/>
          <w:kern w:val="2"/>
          <w:sz w:val="21"/>
          <w:lang w:eastAsia="zh-CN"/>
        </w:rPr>
        <w:t>。乙方应根据甲方要求提供质量验收所需的相关资料并参与质量验收，否则甲方有权单方面确认质量验收结果。甲方验收报告签署合格之前，产品的一切风险（包括但不限于产品的损毁、灭失及可能的侵权等），均由乙方承担。甲方质量验收合格后，需按照合同约定安排支付对应款项。</w:t>
      </w:r>
    </w:p>
    <w:p w14:paraId="60F6B588">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3.</w:t>
      </w:r>
      <w:r>
        <w:rPr>
          <w:rFonts w:hint="eastAsia" w:eastAsia="宋体"/>
          <w:kern w:val="2"/>
          <w:sz w:val="21"/>
          <w:lang w:eastAsia="zh-CN"/>
        </w:rPr>
        <w:t>如甲方认为需要聘请第三方对于货物质量或其他与甲方实现本合同目的相关指标进行检测的，该第三方检测机构由甲方指定，由乙方承担相应检测费用，该检测结果作为甲方对于货物进行验收标准之一，乙方不得提出任何异议。</w:t>
      </w:r>
    </w:p>
    <w:p w14:paraId="1F8F1638">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4.</w:t>
      </w:r>
      <w:r>
        <w:rPr>
          <w:rFonts w:hint="eastAsia" w:eastAsia="宋体"/>
          <w:kern w:val="2"/>
          <w:sz w:val="21"/>
          <w:lang w:eastAsia="zh-CN"/>
        </w:rPr>
        <w:t>如为</w:t>
      </w:r>
      <w:r>
        <w:rPr>
          <w:rFonts w:eastAsia="宋体"/>
          <w:kern w:val="2"/>
          <w:sz w:val="21"/>
          <w:lang w:eastAsia="zh-CN"/>
        </w:rPr>
        <w:t>定</w:t>
      </w:r>
      <w:r>
        <w:rPr>
          <w:rFonts w:hint="eastAsia" w:eastAsia="宋体"/>
          <w:kern w:val="2"/>
          <w:sz w:val="21"/>
          <w:lang w:eastAsia="zh-CN"/>
        </w:rPr>
        <w:t>制货物，经双方确认的货物有关功能说明以及具体定制信息需作为本合同附件，并作为验收标准。</w:t>
      </w:r>
    </w:p>
    <w:p w14:paraId="478D05AC">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5</w:t>
      </w:r>
      <w:r>
        <w:rPr>
          <w:rFonts w:eastAsia="宋体"/>
          <w:kern w:val="2"/>
          <w:sz w:val="21"/>
          <w:lang w:eastAsia="zh-CN"/>
        </w:rPr>
        <w:t>.</w:t>
      </w:r>
      <w:r>
        <w:rPr>
          <w:rFonts w:hint="eastAsia" w:eastAsia="宋体"/>
          <w:kern w:val="2"/>
          <w:sz w:val="21"/>
          <w:lang w:eastAsia="zh-CN"/>
        </w:rPr>
        <w:t>验收中如发现有质量不合格或型号规格、数量等与送货清单不符、提交的技术文件和资料不完整等情形，乙方应免费更换或补齐。</w:t>
      </w:r>
    </w:p>
    <w:p w14:paraId="78D93919">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6.</w:t>
      </w:r>
      <w:r>
        <w:rPr>
          <w:rFonts w:hint="eastAsia" w:eastAsia="宋体"/>
          <w:kern w:val="2"/>
          <w:sz w:val="21"/>
          <w:lang w:eastAsia="zh-CN"/>
        </w:rPr>
        <w:t xml:space="preserve"> 验收时，双方按照合同约定及时对交付的货物进行验收，乙方应配合甲方的履约检查及验收。</w:t>
      </w:r>
    </w:p>
    <w:p w14:paraId="450D9F9F">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7</w:t>
      </w:r>
      <w:r>
        <w:rPr>
          <w:rFonts w:eastAsia="宋体"/>
          <w:kern w:val="2"/>
          <w:sz w:val="21"/>
          <w:lang w:eastAsia="zh-CN"/>
        </w:rPr>
        <w:t>.</w:t>
      </w:r>
      <w:r>
        <w:rPr>
          <w:rFonts w:hint="eastAsia" w:eastAsia="宋体"/>
          <w:kern w:val="2"/>
          <w:sz w:val="21"/>
          <w:lang w:eastAsia="zh-CN"/>
        </w:rPr>
        <w:t>乙方验收合格前，除货物已由甲方实际使用的情况外，设备的一切风险（包括但不限于设备的损毁、灭失及可能的侵权等），均由乙方承担。</w:t>
      </w:r>
    </w:p>
    <w:p w14:paraId="67947846">
      <w:pPr>
        <w:widowControl w:val="0"/>
        <w:spacing w:after="0" w:line="240" w:lineRule="auto"/>
        <w:ind w:firstLine="420" w:firstLineChars="200"/>
        <w:jc w:val="both"/>
        <w:rPr>
          <w:rFonts w:eastAsia="宋体"/>
          <w:kern w:val="2"/>
          <w:sz w:val="21"/>
          <w:lang w:eastAsia="zh-CN"/>
        </w:rPr>
      </w:pPr>
    </w:p>
    <w:p w14:paraId="36144ED5">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六、售后及其他服务</w:t>
      </w:r>
    </w:p>
    <w:p w14:paraId="4A104E47">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1.</w:t>
      </w:r>
      <w:r>
        <w:rPr>
          <w:rFonts w:hint="eastAsia" w:eastAsia="宋体"/>
          <w:kern w:val="2"/>
          <w:sz w:val="21"/>
          <w:lang w:eastAsia="zh-CN"/>
        </w:rPr>
        <w:t>货物免费质保期为</w:t>
      </w:r>
      <w:r>
        <w:rPr>
          <w:rFonts w:eastAsia="宋体"/>
          <w:kern w:val="2"/>
          <w:sz w:val="21"/>
          <w:u w:val="single"/>
          <w:lang w:eastAsia="zh-CN"/>
        </w:rPr>
        <w:t xml:space="preserve"> </w:t>
      </w:r>
      <w:r>
        <w:rPr>
          <w:rFonts w:hint="eastAsia" w:ascii="宋体" w:hAnsi="宋体" w:eastAsia="宋体" w:cs="宋体"/>
          <w:kern w:val="2"/>
          <w:sz w:val="21"/>
          <w:lang w:eastAsia="zh-CN"/>
        </w:rPr>
        <w:t>*</w:t>
      </w:r>
      <w:r>
        <w:rPr>
          <w:rFonts w:ascii="宋体" w:hAnsi="宋体" w:eastAsia="宋体" w:cs="宋体"/>
          <w:kern w:val="2"/>
          <w:sz w:val="21"/>
          <w:lang w:eastAsia="zh-CN"/>
        </w:rPr>
        <w:t>**</w:t>
      </w:r>
      <w:r>
        <w:rPr>
          <w:rFonts w:hint="eastAsia" w:eastAsia="宋体"/>
          <w:kern w:val="2"/>
          <w:sz w:val="21"/>
          <w:u w:val="single"/>
          <w:lang w:eastAsia="zh-CN"/>
        </w:rPr>
        <w:t xml:space="preserve"> </w:t>
      </w:r>
      <w:r>
        <w:rPr>
          <w:rFonts w:hint="eastAsia" w:eastAsia="宋体"/>
          <w:kern w:val="2"/>
          <w:sz w:val="21"/>
          <w:lang w:eastAsia="zh-CN"/>
        </w:rPr>
        <w:t>年，原厂保修。自最终验收合格之日起计算（以验收报告合格签字为标准）起计算。</w:t>
      </w:r>
    </w:p>
    <w:p w14:paraId="211D16AC">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在</w:t>
      </w:r>
      <w:r>
        <w:rPr>
          <w:rFonts w:eastAsia="宋体"/>
          <w:kern w:val="2"/>
          <w:sz w:val="21"/>
          <w:lang w:eastAsia="zh-CN"/>
        </w:rPr>
        <w:t>前述</w:t>
      </w:r>
      <w:r>
        <w:rPr>
          <w:rFonts w:hint="eastAsia" w:eastAsia="宋体"/>
          <w:kern w:val="2"/>
          <w:sz w:val="21"/>
          <w:lang w:eastAsia="zh-CN"/>
        </w:rPr>
        <w:t>质保期内，由于货物本身质量问题引起的货物维修及更换等一切费用（含需要返原厂修理的所有费用）由乙方负责；具体包括：包修、包换或者包退等，并承担</w:t>
      </w:r>
      <w:r>
        <w:rPr>
          <w:rFonts w:eastAsia="宋体"/>
          <w:kern w:val="2"/>
          <w:sz w:val="21"/>
          <w:lang w:eastAsia="zh-CN"/>
        </w:rPr>
        <w:t>甲方因此支出的</w:t>
      </w:r>
      <w:r>
        <w:rPr>
          <w:rFonts w:hint="eastAsia" w:eastAsia="宋体"/>
          <w:kern w:val="2"/>
          <w:sz w:val="21"/>
          <w:lang w:eastAsia="zh-CN"/>
        </w:rPr>
        <w:t>修理、调换或退货的实际费用。</w:t>
      </w:r>
      <w:r>
        <w:rPr>
          <w:rFonts w:eastAsia="宋体"/>
          <w:kern w:val="2"/>
          <w:sz w:val="21"/>
          <w:lang w:eastAsia="zh-CN"/>
        </w:rPr>
        <w:t>如乙方无法</w:t>
      </w:r>
      <w:r>
        <w:rPr>
          <w:rFonts w:hint="eastAsia" w:eastAsia="宋体"/>
          <w:kern w:val="2"/>
          <w:sz w:val="21"/>
          <w:lang w:eastAsia="zh-CN"/>
        </w:rPr>
        <w:t>修理或不能调换，</w:t>
      </w:r>
      <w:r>
        <w:rPr>
          <w:rFonts w:eastAsia="宋体"/>
          <w:kern w:val="2"/>
          <w:sz w:val="21"/>
          <w:lang w:eastAsia="zh-CN"/>
        </w:rPr>
        <w:t>则按照无法</w:t>
      </w:r>
      <w:r>
        <w:rPr>
          <w:rFonts w:hint="eastAsia" w:eastAsia="宋体"/>
          <w:kern w:val="2"/>
          <w:sz w:val="21"/>
          <w:lang w:eastAsia="zh-CN"/>
        </w:rPr>
        <w:t>交货处理。</w:t>
      </w:r>
    </w:p>
    <w:p w14:paraId="4DAE292C">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3.</w:t>
      </w:r>
      <w:r>
        <w:rPr>
          <w:rFonts w:hint="eastAsia" w:eastAsia="宋体"/>
          <w:kern w:val="2"/>
          <w:sz w:val="21"/>
          <w:lang w:eastAsia="zh-CN"/>
        </w:rPr>
        <w:t>在质保期内，一旦发生质量问题，乙方保证按照招投标文件的时间要求内赶到现场进行修理或更换。</w:t>
      </w:r>
    </w:p>
    <w:p w14:paraId="228B593B">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4.</w:t>
      </w:r>
      <w:r>
        <w:rPr>
          <w:rFonts w:hint="eastAsia" w:eastAsia="宋体"/>
          <w:kern w:val="2"/>
          <w:sz w:val="21"/>
          <w:lang w:eastAsia="zh-CN"/>
        </w:rPr>
        <w:t>质保期外，乙方继续为甲方提供维修服务，乙方须以</w:t>
      </w:r>
      <w:r>
        <w:rPr>
          <w:rFonts w:hint="eastAsia" w:ascii="宋体" w:hAnsi="宋体" w:eastAsia="宋体" w:cs="宋体"/>
          <w:kern w:val="2"/>
          <w:sz w:val="21"/>
          <w:lang w:eastAsia="zh-CN"/>
        </w:rPr>
        <w:t>*</w:t>
      </w:r>
      <w:r>
        <w:rPr>
          <w:rFonts w:ascii="宋体" w:hAnsi="宋体" w:eastAsia="宋体" w:cs="宋体"/>
          <w:kern w:val="2"/>
          <w:sz w:val="21"/>
          <w:lang w:eastAsia="zh-CN"/>
        </w:rPr>
        <w:t>**</w:t>
      </w:r>
      <w:r>
        <w:rPr>
          <w:rFonts w:hint="eastAsia" w:eastAsia="宋体"/>
          <w:kern w:val="2"/>
          <w:sz w:val="21"/>
          <w:lang w:eastAsia="zh-CN"/>
        </w:rPr>
        <w:t>的配件价格向甲方提供零备件，维护维修费不超过当期市场价格。维修费用的支付应该先维修后付款。零配件的购买应该先交货后付款。</w:t>
      </w:r>
    </w:p>
    <w:p w14:paraId="553D2C38">
      <w:pPr>
        <w:widowControl w:val="0"/>
        <w:spacing w:after="0" w:line="240" w:lineRule="auto"/>
        <w:ind w:firstLine="420" w:firstLineChars="200"/>
        <w:jc w:val="both"/>
        <w:rPr>
          <w:rFonts w:ascii="宋体" w:hAnsi="宋体" w:eastAsia="宋体" w:cs="宋体"/>
          <w:kern w:val="2"/>
          <w:sz w:val="21"/>
          <w:lang w:eastAsia="zh-CN"/>
        </w:rPr>
      </w:pPr>
      <w:r>
        <w:rPr>
          <w:rFonts w:eastAsia="宋体"/>
          <w:kern w:val="2"/>
          <w:sz w:val="21"/>
          <w:lang w:eastAsia="zh-CN"/>
        </w:rPr>
        <w:t>5.售后联系方式：</w:t>
      </w:r>
      <w:r>
        <w:rPr>
          <w:rFonts w:hint="eastAsia" w:eastAsia="宋体"/>
          <w:kern w:val="2"/>
          <w:sz w:val="21"/>
          <w:lang w:eastAsia="zh-CN"/>
        </w:rPr>
        <w:t xml:space="preserve"> </w:t>
      </w:r>
      <w:r>
        <w:rPr>
          <w:rFonts w:hint="eastAsia" w:ascii="宋体" w:hAnsi="宋体" w:eastAsia="宋体" w:cs="宋体"/>
          <w:kern w:val="2"/>
          <w:sz w:val="21"/>
          <w:lang w:eastAsia="zh-CN"/>
        </w:rPr>
        <w:t>*</w:t>
      </w:r>
      <w:r>
        <w:rPr>
          <w:rFonts w:ascii="宋体" w:hAnsi="宋体" w:eastAsia="宋体" w:cs="宋体"/>
          <w:kern w:val="2"/>
          <w:sz w:val="21"/>
          <w:lang w:eastAsia="zh-CN"/>
        </w:rPr>
        <w:t>**</w:t>
      </w:r>
    </w:p>
    <w:p w14:paraId="61F2F973">
      <w:pPr>
        <w:widowControl w:val="0"/>
        <w:spacing w:after="0" w:line="240" w:lineRule="auto"/>
        <w:ind w:firstLine="420" w:firstLineChars="200"/>
        <w:jc w:val="both"/>
        <w:rPr>
          <w:rFonts w:eastAsia="宋体"/>
          <w:kern w:val="2"/>
          <w:sz w:val="21"/>
          <w:lang w:eastAsia="zh-CN"/>
        </w:rPr>
      </w:pPr>
      <w:r>
        <w:rPr>
          <w:rFonts w:ascii="宋体" w:hAnsi="宋体" w:eastAsia="宋体" w:cs="宋体"/>
          <w:kern w:val="2"/>
          <w:sz w:val="21"/>
          <w:lang w:eastAsia="zh-CN"/>
        </w:rPr>
        <w:t>6.</w:t>
      </w:r>
      <w:r>
        <w:rPr>
          <w:rFonts w:hint="eastAsia" w:eastAsia="宋体"/>
          <w:kern w:val="2"/>
          <w:sz w:val="21"/>
          <w:lang w:eastAsia="zh-CN"/>
        </w:rPr>
        <w:t xml:space="preserve"> </w:t>
      </w:r>
      <w:r>
        <w:rPr>
          <w:rFonts w:hint="eastAsia" w:ascii="宋体" w:hAnsi="宋体" w:eastAsia="宋体" w:cs="宋体"/>
          <w:kern w:val="2"/>
          <w:sz w:val="21"/>
          <w:lang w:eastAsia="zh-CN"/>
        </w:rPr>
        <w:t>乙方应按照投标承诺的相关方案执行本项目，如本项目后期甲方需要调整相应方案，双方协商进行调整。最终具体详细方案需经甲方同意。</w:t>
      </w:r>
    </w:p>
    <w:p w14:paraId="5F623710">
      <w:pPr>
        <w:widowControl w:val="0"/>
        <w:spacing w:line="240" w:lineRule="auto"/>
        <w:jc w:val="both"/>
        <w:rPr>
          <w:rFonts w:eastAsia="宋体"/>
          <w:b/>
          <w:bCs/>
          <w:kern w:val="2"/>
          <w:lang w:eastAsia="zh-CN"/>
        </w:rPr>
      </w:pPr>
      <w:r>
        <w:rPr>
          <w:rFonts w:hint="eastAsia" w:eastAsia="宋体"/>
          <w:b/>
          <w:bCs/>
          <w:kern w:val="2"/>
          <w:lang w:eastAsia="zh-CN"/>
        </w:rPr>
        <w:t>公司地址：</w:t>
      </w:r>
      <w:r>
        <w:rPr>
          <w:rFonts w:hint="eastAsia" w:ascii="宋体" w:hAnsi="宋体" w:eastAsia="宋体" w:cs="宋体"/>
          <w:b/>
          <w:bCs/>
          <w:kern w:val="2"/>
          <w:lang w:eastAsia="zh-CN"/>
        </w:rPr>
        <w:t>*</w:t>
      </w:r>
      <w:r>
        <w:rPr>
          <w:rFonts w:ascii="宋体" w:hAnsi="宋体" w:eastAsia="宋体" w:cs="宋体"/>
          <w:b/>
          <w:bCs/>
          <w:kern w:val="2"/>
          <w:lang w:eastAsia="zh-CN"/>
        </w:rPr>
        <w:t>**</w:t>
      </w:r>
    </w:p>
    <w:p w14:paraId="090CD835">
      <w:pPr>
        <w:widowControl w:val="0"/>
        <w:spacing w:after="0" w:line="240" w:lineRule="auto"/>
        <w:ind w:firstLine="420" w:firstLineChars="200"/>
        <w:jc w:val="both"/>
        <w:rPr>
          <w:rFonts w:ascii="宋体" w:hAnsi="宋体" w:eastAsia="宋体" w:cs="宋体"/>
          <w:kern w:val="2"/>
          <w:sz w:val="21"/>
          <w:lang w:eastAsia="zh-CN"/>
        </w:rPr>
      </w:pPr>
      <w:r>
        <w:rPr>
          <w:rFonts w:hint="eastAsia" w:eastAsia="宋体"/>
          <w:kern w:val="2"/>
          <w:sz w:val="21"/>
          <w:lang w:eastAsia="zh-CN"/>
        </w:rPr>
        <w:t>联系人及电话：</w:t>
      </w:r>
      <w:r>
        <w:rPr>
          <w:rFonts w:hint="eastAsia" w:ascii="宋体" w:hAnsi="宋体" w:eastAsia="宋体" w:cs="宋体"/>
          <w:kern w:val="2"/>
          <w:sz w:val="21"/>
          <w:lang w:eastAsia="zh-CN"/>
        </w:rPr>
        <w:t>*</w:t>
      </w:r>
      <w:r>
        <w:rPr>
          <w:rFonts w:ascii="宋体" w:hAnsi="宋体" w:eastAsia="宋体" w:cs="宋体"/>
          <w:kern w:val="2"/>
          <w:sz w:val="21"/>
          <w:lang w:eastAsia="zh-CN"/>
        </w:rPr>
        <w:t>**.</w:t>
      </w:r>
    </w:p>
    <w:p w14:paraId="1277D53B">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如乙方前述信息有变更的，应在变更当天以书面方式告知甲方并保证继续可正常履行售后服务。</w:t>
      </w:r>
    </w:p>
    <w:p w14:paraId="535D5395">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6</w:t>
      </w:r>
      <w:r>
        <w:rPr>
          <w:rFonts w:hint="eastAsia" w:eastAsia="宋体"/>
          <w:kern w:val="2"/>
          <w:sz w:val="21"/>
          <w:lang w:eastAsia="zh-CN"/>
        </w:rPr>
        <w:t>.乙方负责为本项目所有人员购买人身意外伤害险。如在其施工过程中施工人员给其自身、甲方或其他任何第三方的人身或财产造成损失的，乙方应承担全部赔偿责任。乙方应遵守甲方相关施工管理条例及进场相关规定。为保证现场工作的有序进行，乙方应指定专人负责管理及规范现场人员，现场人员工作期间佩戴工作证，每日清理施工垃圾和生活垃圾，不得进入非工作区域，不得影响甲方正常教学工作及其他校园事项的开展，保证施工作业符合甲方校园现场管理的各项要求。</w:t>
      </w:r>
    </w:p>
    <w:p w14:paraId="346C9B64">
      <w:pPr>
        <w:widowControl w:val="0"/>
        <w:spacing w:after="160" w:line="259" w:lineRule="auto"/>
        <w:ind w:firstLine="420" w:firstLineChars="200"/>
        <w:jc w:val="both"/>
        <w:rPr>
          <w:rFonts w:eastAsia="宋体"/>
          <w:kern w:val="2"/>
          <w:sz w:val="21"/>
          <w:lang w:eastAsia="zh-CN"/>
        </w:rPr>
      </w:pPr>
      <w:r>
        <w:rPr>
          <w:rFonts w:hint="eastAsia" w:eastAsia="宋体"/>
          <w:kern w:val="2"/>
          <w:sz w:val="21"/>
          <w:lang w:eastAsia="zh-CN"/>
        </w:rPr>
        <w:t>七</w:t>
      </w:r>
      <w:r>
        <w:rPr>
          <w:rFonts w:eastAsia="宋体"/>
          <w:kern w:val="2"/>
          <w:sz w:val="21"/>
          <w:lang w:eastAsia="zh-CN"/>
        </w:rPr>
        <w:t>、</w:t>
      </w:r>
      <w:r>
        <w:rPr>
          <w:rFonts w:hint="eastAsia" w:eastAsia="宋体"/>
          <w:kern w:val="2"/>
          <w:sz w:val="21"/>
          <w:lang w:eastAsia="zh-CN"/>
        </w:rPr>
        <w:t>保守秘密和知识产权</w:t>
      </w:r>
    </w:p>
    <w:p w14:paraId="7E7F590A">
      <w:pPr>
        <w:widowControl w:val="0"/>
        <w:jc w:val="both"/>
        <w:rPr>
          <w:rFonts w:eastAsia="宋体"/>
          <w:kern w:val="2"/>
          <w:sz w:val="21"/>
          <w:lang w:eastAsia="zh-CN"/>
        </w:rPr>
      </w:pPr>
      <w:r>
        <w:rPr>
          <w:rFonts w:hint="eastAsia" w:eastAsia="宋体"/>
          <w:kern w:val="2"/>
          <w:sz w:val="21"/>
          <w:lang w:eastAsia="zh-CN"/>
        </w:rPr>
        <w:t>双方在洽谈和履行本合同过程中，获悉对方的任何经营、技术、价格等信息，不得向任何第三方公开；但该信息已经为公众所知晓或信息所有方明示可以公开的除外。</w:t>
      </w:r>
    </w:p>
    <w:p w14:paraId="5A9C3661">
      <w:pPr>
        <w:widowControl w:val="0"/>
        <w:jc w:val="both"/>
        <w:rPr>
          <w:rFonts w:eastAsia="宋体"/>
          <w:kern w:val="2"/>
          <w:sz w:val="21"/>
          <w:lang w:eastAsia="zh-CN"/>
        </w:rPr>
      </w:pPr>
      <w:r>
        <w:rPr>
          <w:rFonts w:hint="eastAsia" w:eastAsia="宋体"/>
          <w:kern w:val="2"/>
          <w:sz w:val="21"/>
          <w:lang w:eastAsia="zh-CN"/>
        </w:rPr>
        <w:t>乙方承诺其</w:t>
      </w:r>
      <w:r>
        <w:rPr>
          <w:rFonts w:eastAsia="宋体"/>
          <w:kern w:val="2"/>
          <w:sz w:val="21"/>
          <w:lang w:eastAsia="zh-CN"/>
        </w:rPr>
        <w:t>货物</w:t>
      </w:r>
      <w:r>
        <w:rPr>
          <w:rFonts w:hint="eastAsia" w:eastAsia="宋体"/>
          <w:kern w:val="2"/>
          <w:sz w:val="21"/>
          <w:lang w:eastAsia="zh-CN"/>
        </w:rPr>
        <w:t>不涉及对于任何第三方合法权益的侵犯（包括但不限于知识产权），否则由此造成第三方向甲方进行索赔或使得甲方受到任何损失的，由乙方承担责任。</w:t>
      </w:r>
    </w:p>
    <w:p w14:paraId="7F5E1BDB">
      <w:pPr>
        <w:widowControl w:val="0"/>
        <w:spacing w:after="160" w:line="259" w:lineRule="auto"/>
        <w:ind w:firstLine="420" w:firstLineChars="200"/>
        <w:jc w:val="both"/>
        <w:rPr>
          <w:rFonts w:eastAsia="宋体"/>
          <w:kern w:val="2"/>
          <w:sz w:val="21"/>
          <w:lang w:eastAsia="zh-CN"/>
        </w:rPr>
      </w:pPr>
      <w:r>
        <w:rPr>
          <w:rFonts w:hint="eastAsia" w:eastAsia="宋体"/>
          <w:kern w:val="2"/>
          <w:sz w:val="21"/>
          <w:lang w:eastAsia="zh-CN"/>
        </w:rPr>
        <w:t>八</w:t>
      </w:r>
      <w:r>
        <w:rPr>
          <w:rFonts w:eastAsia="宋体"/>
          <w:kern w:val="2"/>
          <w:sz w:val="21"/>
          <w:lang w:eastAsia="zh-CN"/>
        </w:rPr>
        <w:t>、</w:t>
      </w:r>
      <w:r>
        <w:rPr>
          <w:rFonts w:hint="eastAsia" w:eastAsia="宋体"/>
          <w:kern w:val="2"/>
          <w:sz w:val="21"/>
          <w:lang w:eastAsia="zh-CN"/>
        </w:rPr>
        <w:t>履约保证金</w:t>
      </w:r>
    </w:p>
    <w:p w14:paraId="37EBB09A">
      <w:pPr>
        <w:widowControl w:val="0"/>
        <w:jc w:val="both"/>
        <w:rPr>
          <w:rFonts w:eastAsia="宋体"/>
          <w:kern w:val="2"/>
          <w:sz w:val="21"/>
          <w:lang w:eastAsia="zh-CN"/>
        </w:rPr>
      </w:pPr>
      <w:r>
        <w:rPr>
          <w:rFonts w:hint="eastAsia" w:eastAsia="宋体"/>
          <w:kern w:val="2"/>
          <w:sz w:val="21"/>
          <w:lang w:eastAsia="zh-CN"/>
        </w:rPr>
        <w:t>1.甲方要求乙方在签订合同前提交履约保函，保函金额</w:t>
      </w:r>
      <w:r>
        <w:rPr>
          <w:rFonts w:eastAsia="宋体"/>
          <w:kern w:val="2"/>
          <w:sz w:val="21"/>
          <w:u w:val="single"/>
          <w:lang w:eastAsia="zh-CN"/>
        </w:rPr>
        <w:t xml:space="preserve"> </w:t>
      </w:r>
      <w:r>
        <w:rPr>
          <w:rFonts w:hint="eastAsia" w:eastAsia="宋体"/>
          <w:kern w:val="2"/>
          <w:sz w:val="21"/>
          <w:lang w:eastAsia="zh-CN"/>
        </w:rPr>
        <w:t>*</w:t>
      </w:r>
      <w:r>
        <w:rPr>
          <w:rFonts w:eastAsia="宋体"/>
          <w:kern w:val="2"/>
          <w:sz w:val="21"/>
          <w:lang w:eastAsia="zh-CN"/>
        </w:rPr>
        <w:t>**</w:t>
      </w:r>
      <w:r>
        <w:rPr>
          <w:rFonts w:hint="eastAsia" w:ascii="宋体" w:hAnsi="宋体" w:eastAsia="宋体" w:cs="宋体"/>
          <w:kern w:val="2"/>
          <w:szCs w:val="21"/>
          <w:lang w:eastAsia="zh-CN"/>
        </w:rPr>
        <w:t>元</w:t>
      </w:r>
      <w:r>
        <w:rPr>
          <w:rFonts w:hint="eastAsia" w:eastAsia="宋体"/>
          <w:kern w:val="2"/>
          <w:sz w:val="21"/>
          <w:lang w:eastAsia="zh-CN"/>
        </w:rPr>
        <w:t>，按照下述第</w:t>
      </w:r>
      <w:r>
        <w:rPr>
          <w:rFonts w:hint="eastAsia" w:eastAsia="宋体"/>
          <w:kern w:val="2"/>
          <w:sz w:val="21"/>
          <w:u w:val="single"/>
          <w:lang w:eastAsia="zh-CN"/>
        </w:rPr>
        <w:t>_</w:t>
      </w:r>
      <w:r>
        <w:rPr>
          <w:rFonts w:hint="eastAsia" w:eastAsia="宋体"/>
          <w:kern w:val="2"/>
          <w:sz w:val="21"/>
          <w:lang w:eastAsia="zh-CN"/>
        </w:rPr>
        <w:t>*</w:t>
      </w:r>
      <w:r>
        <w:rPr>
          <w:rFonts w:eastAsia="宋体"/>
          <w:kern w:val="2"/>
          <w:sz w:val="21"/>
          <w:lang w:eastAsia="zh-CN"/>
        </w:rPr>
        <w:t>**</w:t>
      </w:r>
      <w:r>
        <w:rPr>
          <w:rFonts w:hint="eastAsia" w:eastAsia="宋体"/>
          <w:kern w:val="2"/>
          <w:sz w:val="21"/>
          <w:lang w:eastAsia="zh-CN"/>
        </w:rPr>
        <w:t>_种方式进行退还：</w:t>
      </w:r>
    </w:p>
    <w:p w14:paraId="5ECA98F1">
      <w:pPr>
        <w:widowControl w:val="0"/>
        <w:jc w:val="both"/>
        <w:rPr>
          <w:rFonts w:eastAsia="宋体"/>
          <w:kern w:val="2"/>
          <w:sz w:val="21"/>
          <w:lang w:eastAsia="zh-CN"/>
        </w:rPr>
      </w:pPr>
      <w:r>
        <w:rPr>
          <w:rFonts w:hint="eastAsia" w:eastAsia="宋体"/>
          <w:kern w:val="2"/>
          <w:sz w:val="21"/>
          <w:lang w:eastAsia="zh-CN"/>
        </w:rPr>
        <w:t>A．履约保证金在乙方履行完成合同约定权利义务事项并通过甲方验收且不存在任何违约行为在合同期满之日起*</w:t>
      </w:r>
      <w:r>
        <w:rPr>
          <w:rFonts w:eastAsia="宋体"/>
          <w:kern w:val="2"/>
          <w:sz w:val="21"/>
          <w:lang w:eastAsia="zh-CN"/>
        </w:rPr>
        <w:t>**</w:t>
      </w:r>
      <w:r>
        <w:rPr>
          <w:rFonts w:hint="eastAsia" w:eastAsia="宋体"/>
          <w:kern w:val="2"/>
          <w:sz w:val="21"/>
          <w:lang w:eastAsia="zh-CN"/>
        </w:rPr>
        <w:t>个工作日内按原方式退还，不计利息。因乙方原因而未能达到本项目验收标准或验收不通过的，履约保证金不予退还。</w:t>
      </w:r>
    </w:p>
    <w:p w14:paraId="0A018274">
      <w:pPr>
        <w:widowControl w:val="0"/>
        <w:jc w:val="both"/>
        <w:rPr>
          <w:rFonts w:eastAsia="宋体"/>
          <w:kern w:val="2"/>
          <w:sz w:val="21"/>
          <w:lang w:eastAsia="zh-CN"/>
        </w:rPr>
      </w:pPr>
      <w:r>
        <w:rPr>
          <w:rFonts w:hint="eastAsia" w:eastAsia="宋体"/>
          <w:kern w:val="2"/>
          <w:sz w:val="21"/>
          <w:lang w:eastAsia="zh-CN"/>
        </w:rPr>
        <w:t>B．如本合同未约定质保金的，乙方同意自质保期起算之日，质保期</w:t>
      </w:r>
      <w:r>
        <w:rPr>
          <w:rFonts w:ascii="仿宋" w:hAnsi="仿宋" w:eastAsia="仿宋" w:cs="等线"/>
          <w:kern w:val="2"/>
          <w:sz w:val="21"/>
          <w:u w:val="single"/>
          <w:lang w:eastAsia="zh-CN"/>
        </w:rPr>
        <w:t xml:space="preserve">    </w:t>
      </w:r>
      <w:r>
        <w:rPr>
          <w:rFonts w:hint="eastAsia" w:eastAsia="宋体"/>
          <w:kern w:val="2"/>
          <w:sz w:val="21"/>
          <w:lang w:eastAsia="zh-CN"/>
        </w:rPr>
        <w:t>年后由乙方申请以无息退还履约保证金，甲方在3</w:t>
      </w:r>
      <w:r>
        <w:rPr>
          <w:rFonts w:eastAsia="宋体"/>
          <w:kern w:val="2"/>
          <w:sz w:val="21"/>
          <w:lang w:eastAsia="zh-CN"/>
        </w:rPr>
        <w:t>0</w:t>
      </w:r>
      <w:r>
        <w:rPr>
          <w:rFonts w:hint="eastAsia" w:eastAsia="宋体"/>
          <w:kern w:val="2"/>
          <w:sz w:val="21"/>
          <w:lang w:eastAsia="zh-CN"/>
        </w:rPr>
        <w:t>个工作日内无息退还乙方。</w:t>
      </w:r>
    </w:p>
    <w:p w14:paraId="6D10AA92">
      <w:pPr>
        <w:widowControl w:val="0"/>
        <w:jc w:val="both"/>
        <w:rPr>
          <w:rFonts w:eastAsia="宋体"/>
          <w:kern w:val="2"/>
          <w:sz w:val="21"/>
          <w:lang w:eastAsia="zh-CN"/>
        </w:rPr>
      </w:pPr>
      <w:r>
        <w:rPr>
          <w:rFonts w:eastAsia="宋体"/>
          <w:kern w:val="2"/>
          <w:sz w:val="21"/>
          <w:lang w:eastAsia="zh-CN"/>
        </w:rPr>
        <w:t>C.</w:t>
      </w:r>
      <w:r>
        <w:rPr>
          <w:rFonts w:hint="eastAsia" w:eastAsia="宋体"/>
          <w:kern w:val="2"/>
          <w:sz w:val="21"/>
          <w:lang w:eastAsia="zh-CN"/>
        </w:rPr>
        <w:t>如本合同未约定质保金的，乙方同意自质保期起算之日，质保期满后由乙方申请以无息退还履约保证金，甲方在确认乙方履行完毕本合同项下全部义务后十个工作日内无息退还乙方。</w:t>
      </w:r>
    </w:p>
    <w:p w14:paraId="0A740402">
      <w:pPr>
        <w:widowControl w:val="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如乙方未能履行合同规定的义务（包括但不限于未能妥善履行售后质保义务的），甲方有权从履约保证金中取得补偿。</w:t>
      </w:r>
    </w:p>
    <w:p w14:paraId="5B23EA04">
      <w:pPr>
        <w:widowControl w:val="0"/>
        <w:jc w:val="both"/>
        <w:rPr>
          <w:rFonts w:eastAsia="宋体"/>
          <w:kern w:val="2"/>
          <w:sz w:val="21"/>
          <w:lang w:eastAsia="zh-CN"/>
        </w:rPr>
      </w:pPr>
      <w:r>
        <w:rPr>
          <w:rFonts w:eastAsia="宋体"/>
          <w:kern w:val="2"/>
          <w:sz w:val="21"/>
          <w:lang w:eastAsia="zh-CN"/>
        </w:rPr>
        <w:t>3</w:t>
      </w:r>
      <w:r>
        <w:rPr>
          <w:rFonts w:hint="eastAsia" w:eastAsia="宋体"/>
          <w:kern w:val="2"/>
          <w:sz w:val="21"/>
          <w:lang w:eastAsia="zh-CN"/>
        </w:rPr>
        <w:t>.招标文件及投标文件为本合同的重要组成部分，乙方在甲方项目中曾出现围标、串标，转包、分包等违反投标函中承诺等事项，甲方有权单方面中止或终止履行合同，并扣除乙方的履约保证金不再退还，且乙方须承担由此给甲方造成的损失。</w:t>
      </w:r>
    </w:p>
    <w:p w14:paraId="041C10FC">
      <w:pPr>
        <w:widowControl w:val="0"/>
        <w:spacing w:after="160" w:line="259" w:lineRule="auto"/>
        <w:ind w:firstLine="420" w:firstLineChars="200"/>
        <w:jc w:val="both"/>
        <w:rPr>
          <w:rFonts w:eastAsia="宋体"/>
          <w:kern w:val="2"/>
          <w:sz w:val="21"/>
          <w:lang w:eastAsia="zh-CN"/>
        </w:rPr>
      </w:pPr>
      <w:r>
        <w:rPr>
          <w:rFonts w:hint="eastAsia" w:eastAsia="宋体"/>
          <w:kern w:val="2"/>
          <w:sz w:val="21"/>
          <w:lang w:eastAsia="zh-CN"/>
        </w:rPr>
        <w:t>九</w:t>
      </w:r>
      <w:r>
        <w:rPr>
          <w:rFonts w:eastAsia="宋体"/>
          <w:kern w:val="2"/>
          <w:sz w:val="21"/>
          <w:lang w:eastAsia="zh-CN"/>
        </w:rPr>
        <w:t>、</w:t>
      </w:r>
      <w:r>
        <w:rPr>
          <w:rFonts w:hint="eastAsia" w:eastAsia="宋体"/>
          <w:kern w:val="2"/>
          <w:sz w:val="21"/>
          <w:lang w:eastAsia="zh-CN"/>
        </w:rPr>
        <w:t>违约责任和免责条款</w:t>
      </w:r>
    </w:p>
    <w:p w14:paraId="75AE41A7">
      <w:pPr>
        <w:widowControl w:val="0"/>
        <w:jc w:val="both"/>
        <w:rPr>
          <w:rFonts w:eastAsia="宋体"/>
          <w:kern w:val="2"/>
          <w:sz w:val="21"/>
          <w:lang w:eastAsia="zh-CN"/>
        </w:rPr>
      </w:pPr>
      <w:r>
        <w:rPr>
          <w:rFonts w:eastAsia="宋体"/>
          <w:kern w:val="2"/>
          <w:sz w:val="21"/>
          <w:lang w:eastAsia="zh-CN"/>
        </w:rPr>
        <w:t>1.甲方违约责任</w:t>
      </w:r>
    </w:p>
    <w:p w14:paraId="08188285">
      <w:pPr>
        <w:widowControl w:val="0"/>
        <w:jc w:val="both"/>
        <w:rPr>
          <w:rFonts w:eastAsia="宋体"/>
          <w:kern w:val="2"/>
          <w:sz w:val="21"/>
          <w:lang w:eastAsia="zh-CN"/>
        </w:rPr>
      </w:pPr>
      <w:r>
        <w:rPr>
          <w:rFonts w:hint="eastAsia" w:eastAsia="宋体"/>
          <w:kern w:val="2"/>
          <w:sz w:val="21"/>
          <w:lang w:eastAsia="zh-CN"/>
        </w:rPr>
        <w:t>若甲方逾期付款的，除因政府财政划拨迟延、乙方未能提供正式足额发票、乙方违约等甲方免责的情况外，乙方可向甲方发出书面催收函，甲方在收到催收函</w:t>
      </w:r>
      <w:r>
        <w:rPr>
          <w:rFonts w:hint="eastAsia" w:ascii="宋体" w:hAnsi="宋体" w:eastAsia="宋体" w:cs="宋体"/>
          <w:kern w:val="2"/>
          <w:sz w:val="21"/>
          <w:u w:val="single"/>
          <w:lang w:eastAsia="zh-CN"/>
        </w:rPr>
        <w:t>*</w:t>
      </w:r>
      <w:r>
        <w:rPr>
          <w:rFonts w:ascii="宋体" w:hAnsi="宋体" w:eastAsia="宋体" w:cs="宋体"/>
          <w:kern w:val="2"/>
          <w:sz w:val="21"/>
          <w:u w:val="single"/>
          <w:lang w:eastAsia="zh-CN"/>
        </w:rPr>
        <w:t>**</w:t>
      </w:r>
      <w:r>
        <w:rPr>
          <w:rFonts w:hint="eastAsia" w:eastAsia="宋体"/>
          <w:kern w:val="2"/>
          <w:sz w:val="21"/>
          <w:lang w:eastAsia="zh-CN"/>
        </w:rPr>
        <w:t>个工作日内（“宽限期”），应按时足额支付应付款项，如无任何本合同约定或其他法定事由，甲方在前述</w:t>
      </w:r>
      <w:r>
        <w:rPr>
          <w:rFonts w:eastAsia="宋体"/>
          <w:kern w:val="2"/>
          <w:sz w:val="21"/>
          <w:lang w:eastAsia="zh-CN"/>
        </w:rPr>
        <w:t>宽限期</w:t>
      </w:r>
      <w:r>
        <w:rPr>
          <w:rFonts w:hint="eastAsia" w:eastAsia="宋体"/>
          <w:kern w:val="2"/>
          <w:sz w:val="21"/>
          <w:lang w:eastAsia="zh-CN"/>
        </w:rPr>
        <w:t>届满后仍无故拒不付款也未主张要求解除本合同的，乙方有权自该日起要求甲方以应付款项为基数，承担日</w:t>
      </w:r>
      <w:r>
        <w:rPr>
          <w:rFonts w:hint="eastAsia" w:ascii="宋体" w:hAnsi="宋体" w:eastAsia="宋体" w:cs="宋体"/>
          <w:kern w:val="2"/>
          <w:sz w:val="21"/>
          <w:lang w:eastAsia="zh-CN"/>
        </w:rPr>
        <w:t>*</w:t>
      </w:r>
      <w:r>
        <w:rPr>
          <w:rFonts w:ascii="宋体" w:hAnsi="宋体" w:eastAsia="宋体" w:cs="宋体"/>
          <w:kern w:val="2"/>
          <w:sz w:val="21"/>
          <w:lang w:eastAsia="zh-CN"/>
        </w:rPr>
        <w:t>**</w:t>
      </w:r>
      <w:r>
        <w:rPr>
          <w:rFonts w:hint="eastAsia" w:eastAsia="宋体"/>
          <w:kern w:val="2"/>
          <w:sz w:val="21"/>
          <w:lang w:eastAsia="zh-CN"/>
        </w:rPr>
        <w:t>的违约金，该违约金上限不超过本合同总金额的2</w:t>
      </w:r>
      <w:r>
        <w:rPr>
          <w:rFonts w:eastAsia="宋体"/>
          <w:kern w:val="2"/>
          <w:sz w:val="21"/>
          <w:lang w:eastAsia="zh-CN"/>
        </w:rPr>
        <w:t>0%</w:t>
      </w:r>
      <w:r>
        <w:rPr>
          <w:rFonts w:hint="eastAsia" w:eastAsia="宋体"/>
          <w:kern w:val="2"/>
          <w:sz w:val="21"/>
          <w:lang w:eastAsia="zh-CN"/>
        </w:rPr>
        <w:t>。</w:t>
      </w:r>
    </w:p>
    <w:p w14:paraId="73687EA3">
      <w:pPr>
        <w:widowControl w:val="0"/>
        <w:jc w:val="both"/>
        <w:rPr>
          <w:rFonts w:eastAsia="宋体"/>
          <w:kern w:val="2"/>
          <w:sz w:val="21"/>
          <w:lang w:eastAsia="zh-CN"/>
        </w:rPr>
      </w:pPr>
      <w:r>
        <w:rPr>
          <w:rFonts w:eastAsia="宋体"/>
          <w:kern w:val="2"/>
          <w:sz w:val="21"/>
          <w:lang w:eastAsia="zh-CN"/>
        </w:rPr>
        <w:t>2.乙方违约责任</w:t>
      </w:r>
    </w:p>
    <w:p w14:paraId="6C9F1B6D">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.1合同生效后，乙方应当按照甲方的时间要求完成交货，如不能在规定时间完成交货，甲方将发出书面或口头催告，乙方应在接到催告当日明确回复逾期交货原因以及确定的逾期后交货时间。</w:t>
      </w:r>
    </w:p>
    <w:p w14:paraId="6D095580">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甲方在接到乙方回复后，如接受其逾期原因的，则视为双方延期至乙方再次确定的交货时间；如在前述催告发出后当日乙方未做出任何回复的，或乙方回复内容缺乏事实依据或缺乏合理性或项目期限客观不允许延期的，则在原定交货时间基础上最长给予乙方5个日历日的顺延。</w:t>
      </w:r>
    </w:p>
    <w:p w14:paraId="33049E91">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如乙方在5个日历日或再次确定的交货时间届满后（以先到期的时间为准），仍无法按照合同约定逾期交付产品的，视为乙方已构成严重逾期交货违约，乙方应自原约定交货时间之日起算，每日支付逾期交货部分金额</w:t>
      </w:r>
      <w:r>
        <w:rPr>
          <w:rFonts w:hint="eastAsia" w:ascii="宋体" w:hAnsi="宋体" w:eastAsia="宋体" w:cs="宋体"/>
          <w:kern w:val="2"/>
          <w:sz w:val="21"/>
          <w:u w:val="single"/>
          <w:lang w:eastAsia="zh-CN"/>
        </w:rPr>
        <w:t>*</w:t>
      </w:r>
      <w:r>
        <w:rPr>
          <w:rFonts w:ascii="宋体" w:hAnsi="宋体" w:eastAsia="宋体" w:cs="宋体"/>
          <w:kern w:val="2"/>
          <w:sz w:val="21"/>
          <w:u w:val="single"/>
          <w:lang w:eastAsia="zh-CN"/>
        </w:rPr>
        <w:t>**</w:t>
      </w:r>
      <w:r>
        <w:rPr>
          <w:rFonts w:hint="eastAsia" w:eastAsia="宋体"/>
          <w:kern w:val="2"/>
          <w:sz w:val="21"/>
          <w:lang w:eastAsia="zh-CN"/>
        </w:rPr>
        <w:t>的违约金，并按合同约定承担相应违约责任或法律后果。</w:t>
      </w:r>
    </w:p>
    <w:p w14:paraId="1990B2CB">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在乙方构成严重逾期交货违约的情况下，除继续计算逾期交付违约金外，甲方有权选择采取以下措施向乙方主张违约责任，或选择直接解除合同：</w:t>
      </w:r>
    </w:p>
    <w:p w14:paraId="5AF3E41B">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1）甲方选择主张违约责任的，合同终止履行，但保留已交付且通过甲方验收对应部分产品的，将在合同总价中扣除乙方未交付产品金额，未交付的产品无需再交付，乙方不得再向甲方主张任何与未交付产品相关的任何费用，且乙方须向甲方支付未交付产品</w:t>
      </w:r>
      <w:r>
        <w:rPr>
          <w:rFonts w:hint="eastAsia" w:ascii="宋体" w:hAnsi="宋体" w:eastAsia="宋体" w:cs="宋体"/>
          <w:kern w:val="2"/>
          <w:sz w:val="21"/>
          <w:u w:val="single"/>
          <w:lang w:eastAsia="zh-CN"/>
        </w:rPr>
        <w:t>*</w:t>
      </w:r>
      <w:r>
        <w:rPr>
          <w:rFonts w:ascii="宋体" w:hAnsi="宋体" w:eastAsia="宋体" w:cs="宋体"/>
          <w:kern w:val="2"/>
          <w:sz w:val="21"/>
          <w:u w:val="single"/>
          <w:lang w:eastAsia="zh-CN"/>
        </w:rPr>
        <w:t>**</w:t>
      </w:r>
      <w:r>
        <w:rPr>
          <w:rFonts w:hint="eastAsia" w:eastAsia="宋体"/>
          <w:kern w:val="2"/>
          <w:sz w:val="21"/>
          <w:lang w:eastAsia="zh-CN"/>
        </w:rPr>
        <w:t>的违约金，同时须支付甲方重新采购该项未交付产品的采购差价（即重新采购后价格高于乙方未交付产品价格的差额），并按甲方主管部门相关规定处理。</w:t>
      </w:r>
    </w:p>
    <w:p w14:paraId="12C8D44D">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2）如甲方选择解除合同，全部退还产品的，甲方有权要求乙方退还已支付所有款项，不再支付任何剩余款项，没收履约保证金，并退还所有乙方已提供的产品（由乙方自行在甲方指定的时间内拆除搬离），未交付的产品无需再交付，乙方不得再向甲方主张任何与本次采购产品相关的任何费用，解除合同后</w:t>
      </w:r>
      <w:r>
        <w:rPr>
          <w:rFonts w:hint="eastAsia" w:ascii="宋体" w:hAnsi="宋体" w:eastAsia="宋体" w:cs="宋体"/>
          <w:kern w:val="2"/>
          <w:sz w:val="21"/>
          <w:u w:val="single"/>
          <w:lang w:eastAsia="zh-CN"/>
        </w:rPr>
        <w:t>*</w:t>
      </w:r>
      <w:r>
        <w:rPr>
          <w:rFonts w:ascii="宋体" w:hAnsi="宋体" w:eastAsia="宋体" w:cs="宋体"/>
          <w:kern w:val="2"/>
          <w:sz w:val="21"/>
          <w:u w:val="single"/>
          <w:lang w:eastAsia="zh-CN"/>
        </w:rPr>
        <w:t>**</w:t>
      </w:r>
      <w:r>
        <w:rPr>
          <w:rFonts w:hint="eastAsia" w:eastAsia="宋体"/>
          <w:kern w:val="2"/>
          <w:sz w:val="21"/>
          <w:lang w:eastAsia="zh-CN"/>
        </w:rPr>
        <w:t>个日历日内，乙方须向甲方支付合同总价</w:t>
      </w:r>
      <w:r>
        <w:rPr>
          <w:rFonts w:hint="eastAsia" w:ascii="宋体" w:hAnsi="宋体" w:eastAsia="宋体" w:cs="宋体"/>
          <w:kern w:val="2"/>
          <w:sz w:val="21"/>
          <w:u w:val="single"/>
          <w:lang w:eastAsia="zh-CN"/>
        </w:rPr>
        <w:t>*</w:t>
      </w:r>
      <w:r>
        <w:rPr>
          <w:rFonts w:ascii="宋体" w:hAnsi="宋体" w:eastAsia="宋体" w:cs="宋体"/>
          <w:kern w:val="2"/>
          <w:sz w:val="21"/>
          <w:u w:val="single"/>
          <w:lang w:eastAsia="zh-CN"/>
        </w:rPr>
        <w:t>**</w:t>
      </w:r>
      <w:r>
        <w:rPr>
          <w:rFonts w:hint="eastAsia" w:eastAsia="宋体"/>
          <w:kern w:val="2"/>
          <w:sz w:val="21"/>
          <w:lang w:eastAsia="zh-CN"/>
        </w:rPr>
        <w:t>的违约金，并按甲方主管部门相关规定处理。</w:t>
      </w:r>
    </w:p>
    <w:p w14:paraId="00D98CA9">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.2有以下情况之一的，</w:t>
      </w:r>
    </w:p>
    <w:p w14:paraId="4F079987">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（1）乙方所交付的产品品种、型号、规格、质量不符合同规定标准的，供货的材料不是招标文件中约定的相同材料的；</w:t>
      </w:r>
    </w:p>
    <w:p w14:paraId="0830CCFB">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（2）乙方不能依约提供技术服务或单方终止合同；</w:t>
      </w:r>
    </w:p>
    <w:p w14:paraId="064AFBB8">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甲方有权按照</w:t>
      </w:r>
      <w:r>
        <w:rPr>
          <w:rFonts w:eastAsia="宋体"/>
          <w:kern w:val="2"/>
          <w:sz w:val="21"/>
          <w:lang w:eastAsia="zh-CN"/>
        </w:rPr>
        <w:t>2</w:t>
      </w:r>
      <w:r>
        <w:rPr>
          <w:rFonts w:hint="eastAsia" w:eastAsia="宋体"/>
          <w:kern w:val="2"/>
          <w:sz w:val="21"/>
          <w:lang w:eastAsia="zh-CN"/>
        </w:rPr>
        <w:t xml:space="preserve">.1的第（2）条约定行使解除合同，拒收或退还全部货物，并追究乙方违约责任，同时按将按甲方主管部门相关规定处理。 </w:t>
      </w:r>
    </w:p>
    <w:p w14:paraId="723406BD">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3乙方交付的产品存在甲方验收人员在验收时无法肉眼现场发现的质量问题，包括但不限于产品技术质量问题、使用后才能发现的问题、专业仪器检测才能发现的问题、假冒产品经原厂或专业部门检测后发现的问题等，甲方有权要求乙方在免费保修期内免费换货或退货。出现以下情况之一，乙方须向甲方支付由于乙方行为给甲方造成的损失，并按甲方主管部门相关规定处理：</w:t>
      </w:r>
    </w:p>
    <w:p w14:paraId="504FBE90">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（1）若为换货处理，乙方根据《整改通知书》进行整改，整改不合格或未在规定时间内完成整改达一次的。</w:t>
      </w:r>
    </w:p>
    <w:p w14:paraId="1AC7E13C">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（2）若为退货处理，乙方同时还需退还该项产品的金额，原有产品需等甲方重新采购产品后，才可以搬走，且因退货、换货产生的相关费用均由乙方负责。</w:t>
      </w:r>
    </w:p>
    <w:p w14:paraId="5B9BBE6F">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（3）甲方损失至少包括但不限于其自行或委托第三方进行整改维修所支付之全部费用，或/和另行采购第三方替代产品之支出，以及由于产品质量问题给甲方或任何第三方造成之人身或财产损失的赔偿责任。</w:t>
      </w:r>
    </w:p>
    <w:p w14:paraId="521DF933">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4乙方必须严格按照招标文件中约定的技术要求完成供货，若货品自交付使用之日起的2年期间里，出现大规模质量问题（瑕疵品占总数的3%及以上），则乙方需承担瑕疵品同等比例的货款总价的3倍（计算公式为：货款总价*瑕疵品占比*3），作为违约金，同时就质量有问题的产品进行免费退换服务。</w:t>
      </w:r>
    </w:p>
    <w:p w14:paraId="45929E89">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如对于瑕疵品进行更换后仍出现质量问题的，甲方有权按照本合同</w:t>
      </w:r>
      <w:r>
        <w:rPr>
          <w:rFonts w:eastAsia="宋体"/>
          <w:kern w:val="2"/>
          <w:sz w:val="21"/>
          <w:lang w:eastAsia="zh-CN"/>
        </w:rPr>
        <w:t>2</w:t>
      </w:r>
      <w:r>
        <w:rPr>
          <w:rFonts w:hint="eastAsia" w:eastAsia="宋体"/>
          <w:kern w:val="2"/>
          <w:sz w:val="21"/>
          <w:lang w:eastAsia="zh-CN"/>
        </w:rPr>
        <w:t>.3条（2）约定之方式进行退货处理，并要求乙方按照本合同</w:t>
      </w:r>
      <w:r>
        <w:rPr>
          <w:rFonts w:eastAsia="宋体"/>
          <w:kern w:val="2"/>
          <w:sz w:val="21"/>
          <w:lang w:eastAsia="zh-CN"/>
        </w:rPr>
        <w:t>2</w:t>
      </w:r>
      <w:r>
        <w:rPr>
          <w:rFonts w:hint="eastAsia" w:eastAsia="宋体"/>
          <w:kern w:val="2"/>
          <w:sz w:val="21"/>
          <w:lang w:eastAsia="zh-CN"/>
        </w:rPr>
        <w:t>.3条（3）承担甲方之损失，该损失赔偿金额与</w:t>
      </w:r>
      <w:r>
        <w:rPr>
          <w:rFonts w:eastAsia="宋体"/>
          <w:kern w:val="2"/>
          <w:sz w:val="21"/>
          <w:lang w:eastAsia="zh-CN"/>
        </w:rPr>
        <w:t>2</w:t>
      </w:r>
      <w:r>
        <w:rPr>
          <w:rFonts w:hint="eastAsia" w:eastAsia="宋体"/>
          <w:kern w:val="2"/>
          <w:sz w:val="21"/>
          <w:lang w:eastAsia="zh-CN"/>
        </w:rPr>
        <w:t>.4第一段约定不进行冲抵。</w:t>
      </w:r>
    </w:p>
    <w:p w14:paraId="7DC1A5AF">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.5货品的正常使用期间，因货品自身瑕疵导致使用人或其他任何第三方遭受损失（人身损失、财产损失、精神损失等），由乙方承担完全赔偿责任。</w:t>
      </w:r>
    </w:p>
    <w:p w14:paraId="175E4074">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.6自甲方书面或email通知乙方解除合同之日起，甲方有权就该项目重新进行招投标。</w:t>
      </w:r>
    </w:p>
    <w:p w14:paraId="4F4DE27E">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.7瑕疵品。包括但不限于坍塌、出现裂纹、严重变形等影响使用的，或产品本身存在设计缺陷的，定义为瑕疵品。</w:t>
      </w:r>
    </w:p>
    <w:p w14:paraId="135CA66D">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8乙方如果未能按照招投标文件的规定履行相关服务，须按照招投标文件相关规定进行赔偿。如乙方不及时接受处理或支付违约金，甲方可直接从履约保证金中扣除相应金额，如果履约保证金不足以扣除违约金，乙方须弥补违约金的不足。</w:t>
      </w:r>
    </w:p>
    <w:p w14:paraId="5183C689">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.9如乙方之违约行为发生在已退还履约担保金后，乙方同意所有对应之违约责任之违约金均按照合同金额的5%进行上调，以敦促乙方在免费保修期内妥善履约。</w:t>
      </w:r>
    </w:p>
    <w:p w14:paraId="21E3B793">
      <w:pPr>
        <w:widowControl w:val="0"/>
        <w:spacing w:after="0" w:line="240" w:lineRule="auto"/>
        <w:ind w:firstLine="420" w:firstLineChars="200"/>
        <w:jc w:val="both"/>
        <w:rPr>
          <w:rFonts w:eastAsia="宋体"/>
          <w:b/>
          <w:kern w:val="2"/>
          <w:sz w:val="21"/>
          <w:lang w:eastAsia="zh-CN"/>
        </w:rPr>
      </w:pPr>
      <w:r>
        <w:rPr>
          <w:rFonts w:hint="eastAsia" w:eastAsia="宋体"/>
          <w:kern w:val="2"/>
          <w:sz w:val="21"/>
          <w:lang w:eastAsia="zh-CN"/>
        </w:rPr>
        <w:t>2</w:t>
      </w:r>
      <w:r>
        <w:rPr>
          <w:rFonts w:eastAsia="宋体"/>
          <w:kern w:val="2"/>
          <w:sz w:val="21"/>
          <w:lang w:eastAsia="zh-CN"/>
        </w:rPr>
        <w:t>.10</w:t>
      </w:r>
      <w:r>
        <w:rPr>
          <w:rFonts w:hint="eastAsia" w:eastAsia="宋体"/>
          <w:kern w:val="2"/>
          <w:sz w:val="21"/>
          <w:lang w:eastAsia="zh-CN"/>
        </w:rPr>
        <w:t>乙方须根据甲方要求定时汇报项目进度情况。在规定时间内没有反馈项目进度的，甲方有权扣除合同总金额的万分之一作为违约金。</w:t>
      </w:r>
    </w:p>
    <w:p w14:paraId="1B54F20A">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3</w:t>
      </w:r>
      <w:r>
        <w:rPr>
          <w:rFonts w:eastAsia="宋体"/>
          <w:kern w:val="2"/>
          <w:sz w:val="21"/>
          <w:lang w:eastAsia="zh-CN"/>
        </w:rPr>
        <w:t>.</w:t>
      </w:r>
      <w:r>
        <w:rPr>
          <w:rFonts w:hint="eastAsia" w:eastAsia="宋体"/>
          <w:kern w:val="2"/>
          <w:sz w:val="21"/>
          <w:lang w:eastAsia="zh-CN"/>
        </w:rPr>
        <w:t>考虑工期较紧，乙方同意，甲方可按照实际工期需求要求乙方增加人员，乙方应无条件根据甲方要求增加响应的人员，以确保如期交付。乙方服务人员应遵守乙方在本协议约定之义务，且如出现一旦发现不符合的情况则甲方可要求换人，乙方应在收到通知当天安排人员替换。乙方超过3次不响应甲方要求将视为违约，甲方有权评估造成的影响直接从履约保证金中扣除违约金。</w:t>
      </w:r>
    </w:p>
    <w:p w14:paraId="46ADE716">
      <w:pPr>
        <w:widowControl w:val="0"/>
        <w:spacing w:after="0" w:line="240" w:lineRule="auto"/>
        <w:ind w:firstLine="420" w:firstLineChars="200"/>
        <w:jc w:val="both"/>
        <w:rPr>
          <w:rFonts w:eastAsia="宋体"/>
          <w:kern w:val="2"/>
          <w:sz w:val="21"/>
          <w:lang w:eastAsia="zh-CN"/>
        </w:rPr>
      </w:pPr>
      <w:r>
        <w:rPr>
          <w:rFonts w:hint="eastAsia" w:eastAsia="宋体"/>
          <w:kern w:val="2"/>
          <w:sz w:val="21"/>
          <w:lang w:eastAsia="zh-CN"/>
        </w:rPr>
        <w:t>4</w:t>
      </w:r>
      <w:r>
        <w:rPr>
          <w:rFonts w:eastAsia="宋体"/>
          <w:kern w:val="2"/>
          <w:sz w:val="21"/>
          <w:lang w:eastAsia="zh-CN"/>
        </w:rPr>
        <w:t>.</w:t>
      </w:r>
      <w:r>
        <w:rPr>
          <w:rFonts w:hint="eastAsia" w:eastAsia="宋体"/>
          <w:kern w:val="2"/>
          <w:sz w:val="21"/>
          <w:lang w:eastAsia="zh-CN"/>
        </w:rPr>
        <w:t>乙方若违反甲方相关规定须缴纳相应的罚款，如造成甲方现场损坏或损失，须承担维修款。甲方根据相关证明/证据通知乙方在规定时限期内缴纳罚款或维修费用，如果乙方不及时接受处理或支付甲方规定的罚款或维修款将视为违约，甲方有权直接在履约保证金中扣除相应金额，如果履约保证金不足以扣除违约金，乙方须弥补违约金的不足。</w:t>
      </w:r>
    </w:p>
    <w:p w14:paraId="757884E3">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5.</w:t>
      </w:r>
      <w:r>
        <w:rPr>
          <w:rFonts w:hint="eastAsia" w:eastAsia="宋体"/>
          <w:kern w:val="2"/>
          <w:sz w:val="21"/>
          <w:lang w:eastAsia="zh-CN"/>
        </w:rPr>
        <w:t>若完全或部分地由于不可抗拒的因素，使某一方无法履行合约下所负担的义务可以延搁。不可抗拒力包括工潮、重大自然灾害（如地震、台风、火灾等）、任何国家（无论是本国或外国，城市或其他政府机关包括海关和商检）所颁布或执行的法律、法令、条例和命令、战争行动（宣战或不宣而战）由战争而引起的状态以及超越一方能合理控制的原因，任何一方受到上述影响时，应迅速地以书面通知对方并附同合理的详情，并着手致力于消除此不可抗拒的原因及其影响。</w:t>
      </w:r>
    </w:p>
    <w:p w14:paraId="0A67EBA6">
      <w:pPr>
        <w:widowControl w:val="0"/>
        <w:jc w:val="both"/>
        <w:rPr>
          <w:rFonts w:eastAsia="宋体"/>
          <w:kern w:val="2"/>
          <w:sz w:val="21"/>
          <w:lang w:eastAsia="zh-CN"/>
        </w:rPr>
      </w:pPr>
      <w:r>
        <w:rPr>
          <w:rFonts w:hint="eastAsia" w:eastAsia="宋体"/>
          <w:kern w:val="2"/>
          <w:sz w:val="21"/>
          <w:lang w:eastAsia="zh-CN"/>
        </w:rPr>
        <w:t>十</w:t>
      </w:r>
      <w:r>
        <w:rPr>
          <w:rFonts w:eastAsia="宋体"/>
          <w:kern w:val="2"/>
          <w:sz w:val="21"/>
          <w:lang w:eastAsia="zh-CN"/>
        </w:rPr>
        <w:t>、</w:t>
      </w:r>
      <w:r>
        <w:rPr>
          <w:rFonts w:hint="eastAsia" w:eastAsia="宋体"/>
          <w:kern w:val="2"/>
          <w:sz w:val="21"/>
          <w:lang w:eastAsia="zh-CN"/>
        </w:rPr>
        <w:t>争议解决方式</w:t>
      </w:r>
    </w:p>
    <w:p w14:paraId="5998EE16">
      <w:pPr>
        <w:widowControl w:val="0"/>
        <w:jc w:val="both"/>
        <w:rPr>
          <w:rFonts w:eastAsia="宋体"/>
          <w:kern w:val="2"/>
          <w:sz w:val="21"/>
          <w:lang w:eastAsia="zh-CN"/>
        </w:rPr>
      </w:pPr>
      <w:r>
        <w:rPr>
          <w:rFonts w:hint="eastAsia" w:eastAsia="宋体"/>
          <w:kern w:val="2"/>
          <w:sz w:val="21"/>
          <w:lang w:eastAsia="zh-CN"/>
        </w:rPr>
        <w:t>凡因本合同的效力、履行、解释等发生的一切争议，双方应首先友好协商解决，协商不成时，</w:t>
      </w:r>
      <w:r>
        <w:rPr>
          <w:rFonts w:eastAsia="宋体"/>
          <w:kern w:val="2"/>
          <w:sz w:val="21"/>
          <w:lang w:eastAsia="zh-CN"/>
        </w:rPr>
        <w:t>任何一方</w:t>
      </w:r>
      <w:r>
        <w:rPr>
          <w:rFonts w:hint="eastAsia" w:eastAsia="宋体"/>
          <w:kern w:val="2"/>
          <w:sz w:val="21"/>
          <w:lang w:eastAsia="zh-CN"/>
        </w:rPr>
        <w:t>均可向甲方所在地人民法院起诉。甲、乙双方确认，本合同中所列地址为双方认可的可送达地址，适用于合同双方、法院及公证机关等相关机构各类文件的送达。如发生变更，应提前30个工作日以书面方式通知对方，并列明新的地址，否则视为该方已收妥相关文件并自愿放弃对通知方的抗辩权。</w:t>
      </w:r>
    </w:p>
    <w:p w14:paraId="0893E151">
      <w:pPr>
        <w:widowControl w:val="0"/>
        <w:spacing w:after="0" w:line="240" w:lineRule="auto"/>
        <w:ind w:firstLine="420" w:firstLineChars="200"/>
        <w:jc w:val="both"/>
        <w:rPr>
          <w:rFonts w:eastAsia="宋体"/>
          <w:kern w:val="2"/>
          <w:sz w:val="21"/>
          <w:lang w:eastAsia="zh-CN"/>
        </w:rPr>
      </w:pPr>
      <w:r>
        <w:rPr>
          <w:rFonts w:eastAsia="宋体"/>
          <w:kern w:val="2"/>
          <w:sz w:val="21"/>
          <w:lang w:eastAsia="zh-CN"/>
        </w:rPr>
        <w:t>十</w:t>
      </w:r>
      <w:r>
        <w:rPr>
          <w:rFonts w:hint="eastAsia" w:eastAsia="宋体"/>
          <w:kern w:val="2"/>
          <w:sz w:val="21"/>
          <w:lang w:eastAsia="zh-CN"/>
        </w:rPr>
        <w:t>一</w:t>
      </w:r>
      <w:r>
        <w:rPr>
          <w:rFonts w:eastAsia="宋体"/>
          <w:kern w:val="2"/>
          <w:sz w:val="21"/>
          <w:lang w:eastAsia="zh-CN"/>
        </w:rPr>
        <w:t>、</w:t>
      </w:r>
      <w:r>
        <w:rPr>
          <w:rFonts w:hint="eastAsia" w:eastAsia="宋体"/>
          <w:kern w:val="2"/>
          <w:sz w:val="21"/>
          <w:lang w:eastAsia="zh-CN"/>
        </w:rPr>
        <w:t>合同生效及其他</w:t>
      </w:r>
    </w:p>
    <w:p w14:paraId="5A9D582B">
      <w:pPr>
        <w:widowControl w:val="0"/>
        <w:jc w:val="both"/>
        <w:rPr>
          <w:rFonts w:eastAsia="宋体"/>
          <w:kern w:val="2"/>
          <w:sz w:val="21"/>
          <w:lang w:eastAsia="zh-CN"/>
        </w:rPr>
      </w:pPr>
      <w:r>
        <w:rPr>
          <w:rFonts w:eastAsia="宋体"/>
          <w:kern w:val="2"/>
          <w:sz w:val="21"/>
          <w:lang w:eastAsia="zh-CN"/>
        </w:rPr>
        <w:t>1.</w:t>
      </w:r>
      <w:r>
        <w:rPr>
          <w:rFonts w:hint="eastAsia" w:eastAsia="宋体"/>
          <w:kern w:val="2"/>
          <w:sz w:val="21"/>
          <w:lang w:eastAsia="zh-CN"/>
        </w:rPr>
        <w:t>下列文件均为本合同的组成部分：</w:t>
      </w:r>
    </w:p>
    <w:p w14:paraId="1BA265F0">
      <w:pPr>
        <w:widowControl w:val="0"/>
        <w:jc w:val="both"/>
        <w:rPr>
          <w:rFonts w:eastAsia="宋体"/>
          <w:kern w:val="2"/>
          <w:sz w:val="21"/>
          <w:lang w:eastAsia="zh-CN"/>
        </w:rPr>
      </w:pPr>
      <w:r>
        <w:rPr>
          <w:rFonts w:hint="eastAsia" w:eastAsia="宋体"/>
          <w:kern w:val="2"/>
          <w:sz w:val="21"/>
          <w:lang w:eastAsia="zh-CN"/>
        </w:rPr>
        <w:t>（</w:t>
      </w:r>
      <w:r>
        <w:rPr>
          <w:rFonts w:eastAsia="宋体"/>
          <w:kern w:val="2"/>
          <w:sz w:val="21"/>
          <w:lang w:eastAsia="zh-CN"/>
        </w:rPr>
        <w:t>1）项目编号为</w:t>
      </w:r>
      <w:r>
        <w:rPr>
          <w:rFonts w:ascii="仿宋" w:hAnsi="仿宋" w:eastAsia="仿宋" w:cs="宋体"/>
          <w:kern w:val="2"/>
          <w:sz w:val="21"/>
          <w:u w:val="single"/>
          <w:lang w:eastAsia="zh-CN"/>
        </w:rPr>
        <w:t xml:space="preserve"> </w:t>
      </w:r>
      <w:r>
        <w:rPr>
          <w:rFonts w:hint="eastAsia" w:eastAsia="宋体"/>
          <w:kern w:val="2"/>
          <w:sz w:val="21"/>
          <w:u w:val="single"/>
          <w:lang w:eastAsia="zh-CN"/>
        </w:rPr>
        <w:t>*</w:t>
      </w:r>
      <w:r>
        <w:rPr>
          <w:rFonts w:eastAsia="宋体"/>
          <w:kern w:val="2"/>
          <w:sz w:val="21"/>
          <w:u w:val="single"/>
          <w:lang w:eastAsia="zh-CN"/>
        </w:rPr>
        <w:t>**</w:t>
      </w:r>
      <w:r>
        <w:rPr>
          <w:rFonts w:hint="eastAsia" w:eastAsia="宋体"/>
          <w:kern w:val="2"/>
          <w:sz w:val="21"/>
          <w:lang w:eastAsia="zh-CN"/>
        </w:rPr>
        <w:t>的招标文件、答疑及补充通知；</w:t>
      </w:r>
    </w:p>
    <w:p w14:paraId="00DBD0B5">
      <w:pPr>
        <w:widowControl w:val="0"/>
        <w:jc w:val="both"/>
        <w:rPr>
          <w:rFonts w:eastAsia="宋体"/>
          <w:kern w:val="2"/>
          <w:sz w:val="21"/>
          <w:lang w:eastAsia="zh-CN"/>
        </w:rPr>
      </w:pPr>
      <w:r>
        <w:rPr>
          <w:rFonts w:hint="eastAsia" w:eastAsia="宋体"/>
          <w:kern w:val="2"/>
          <w:sz w:val="21"/>
          <w:lang w:eastAsia="zh-CN"/>
        </w:rPr>
        <w:t>（</w:t>
      </w:r>
      <w:r>
        <w:rPr>
          <w:rFonts w:eastAsia="宋体"/>
          <w:kern w:val="2"/>
          <w:sz w:val="21"/>
          <w:lang w:eastAsia="zh-CN"/>
        </w:rPr>
        <w:t>2）乙方对应以上项目编号的投标文件；</w:t>
      </w:r>
    </w:p>
    <w:p w14:paraId="01DFCB97">
      <w:pPr>
        <w:widowControl w:val="0"/>
        <w:jc w:val="both"/>
        <w:rPr>
          <w:rFonts w:eastAsia="宋体"/>
          <w:kern w:val="2"/>
          <w:sz w:val="21"/>
          <w:lang w:eastAsia="zh-CN"/>
        </w:rPr>
      </w:pPr>
      <w:r>
        <w:rPr>
          <w:rFonts w:hint="eastAsia" w:eastAsia="宋体"/>
          <w:kern w:val="2"/>
          <w:sz w:val="21"/>
          <w:lang w:eastAsia="zh-CN"/>
        </w:rPr>
        <w:t>（</w:t>
      </w:r>
      <w:r>
        <w:rPr>
          <w:rFonts w:eastAsia="宋体"/>
          <w:kern w:val="2"/>
          <w:sz w:val="21"/>
          <w:lang w:eastAsia="zh-CN"/>
        </w:rPr>
        <w:t>3）</w:t>
      </w:r>
      <w:r>
        <w:rPr>
          <w:rFonts w:hint="eastAsia" w:eastAsia="宋体"/>
          <w:kern w:val="2"/>
          <w:sz w:val="21"/>
          <w:lang w:eastAsia="zh-CN"/>
        </w:rPr>
        <w:t>甲乙双方均应严格信守本合同，不得变更或解除合同</w:t>
      </w:r>
      <w:r>
        <w:rPr>
          <w:rFonts w:eastAsia="宋体"/>
          <w:kern w:val="2"/>
          <w:sz w:val="21"/>
          <w:lang w:eastAsia="zh-CN"/>
        </w:rPr>
        <w:t>。如需变更或增加条款，经双方协商一致后可签署补充协议，其效力与本合同相同</w:t>
      </w:r>
      <w:r>
        <w:rPr>
          <w:rFonts w:hint="eastAsia" w:eastAsia="宋体"/>
          <w:kern w:val="2"/>
          <w:sz w:val="21"/>
          <w:lang w:eastAsia="zh-CN"/>
        </w:rPr>
        <w:t>。</w:t>
      </w:r>
    </w:p>
    <w:p w14:paraId="13E35711">
      <w:pPr>
        <w:widowControl w:val="0"/>
        <w:jc w:val="both"/>
        <w:rPr>
          <w:rFonts w:eastAsia="宋体"/>
          <w:kern w:val="2"/>
          <w:sz w:val="21"/>
          <w:lang w:eastAsia="zh-CN"/>
        </w:rPr>
      </w:pPr>
      <w:r>
        <w:rPr>
          <w:rFonts w:hint="eastAsia" w:eastAsia="宋体"/>
          <w:kern w:val="2"/>
          <w:sz w:val="21"/>
          <w:lang w:eastAsia="zh-CN"/>
        </w:rPr>
        <w:t>（</w:t>
      </w:r>
      <w:r>
        <w:rPr>
          <w:rFonts w:eastAsia="宋体"/>
          <w:kern w:val="2"/>
          <w:sz w:val="21"/>
          <w:lang w:eastAsia="zh-CN"/>
        </w:rPr>
        <w:t>4</w:t>
      </w:r>
      <w:r>
        <w:rPr>
          <w:rFonts w:hint="eastAsia" w:eastAsia="宋体"/>
          <w:kern w:val="2"/>
          <w:sz w:val="21"/>
          <w:lang w:eastAsia="zh-CN"/>
        </w:rPr>
        <w:t>）前述文件均适用于本合同约定内容，如其中对于乙方应履行合同义务或验收标准等存在约定不一致的，以较高者为准。</w:t>
      </w:r>
    </w:p>
    <w:p w14:paraId="270E16D4">
      <w:pPr>
        <w:widowControl w:val="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若乙方</w:t>
      </w:r>
      <w:r>
        <w:rPr>
          <w:rFonts w:eastAsia="宋体"/>
          <w:kern w:val="2"/>
          <w:sz w:val="21"/>
          <w:lang w:eastAsia="zh-CN"/>
        </w:rPr>
        <w:t>需要在甲方场地</w:t>
      </w:r>
      <w:r>
        <w:rPr>
          <w:rFonts w:hint="eastAsia" w:eastAsia="宋体"/>
          <w:kern w:val="2"/>
          <w:sz w:val="21"/>
          <w:lang w:eastAsia="zh-CN"/>
        </w:rPr>
        <w:t>安装</w:t>
      </w:r>
      <w:r>
        <w:rPr>
          <w:rFonts w:eastAsia="宋体"/>
          <w:kern w:val="2"/>
          <w:sz w:val="21"/>
          <w:lang w:eastAsia="zh-CN"/>
        </w:rPr>
        <w:t>施工</w:t>
      </w:r>
      <w:r>
        <w:rPr>
          <w:rFonts w:hint="eastAsia" w:eastAsia="宋体"/>
          <w:kern w:val="2"/>
          <w:sz w:val="21"/>
          <w:lang w:eastAsia="zh-CN"/>
        </w:rPr>
        <w:t>的，乙方应遵守甲方《校园施工管理条例（暂行）》及进场相关规定，并做好地面、电梯、走廊墙壁、门、门框等关键区域的场地施工保护措施。为保证现场工作的有序进行，乙方应指定专人负责管理及规范现场人员，现场人员工作期间佩戴工作证，每日清理施工垃圾和生活垃圾，不得进入非工作区域，不得影响采购人正常教学工作及其他校园事项的开展，保证施工作业符合甲方校园现场管理的各项要求。其中针对乙方的违约处罚，甲方可从履约保证金或合同款项中扣除相应违约金。乙方应遵守甲方安全施工的规定，自行购买</w:t>
      </w:r>
      <w:r>
        <w:rPr>
          <w:rFonts w:eastAsia="宋体"/>
          <w:kern w:val="2"/>
          <w:sz w:val="21"/>
          <w:lang w:eastAsia="zh-CN"/>
        </w:rPr>
        <w:t>建筑工程一切险和人身意外伤害险。</w:t>
      </w:r>
      <w:r>
        <w:rPr>
          <w:rFonts w:hint="eastAsia" w:eastAsia="宋体"/>
          <w:kern w:val="2"/>
          <w:sz w:val="21"/>
          <w:lang w:eastAsia="zh-CN"/>
        </w:rPr>
        <w:t>如在其施工过程中施工人员给其自身、甲方或其他任何第三方的人身或财产造成损失的，乙方应承担全部赔偿责任。</w:t>
      </w:r>
    </w:p>
    <w:p w14:paraId="32577C02">
      <w:pPr>
        <w:widowControl w:val="0"/>
        <w:jc w:val="both"/>
        <w:rPr>
          <w:rFonts w:eastAsia="宋体"/>
          <w:kern w:val="2"/>
          <w:sz w:val="21"/>
          <w:lang w:eastAsia="zh-CN"/>
        </w:rPr>
      </w:pPr>
      <w:r>
        <w:rPr>
          <w:rFonts w:eastAsia="宋体"/>
          <w:kern w:val="2"/>
          <w:sz w:val="21"/>
          <w:lang w:eastAsia="zh-CN"/>
        </w:rPr>
        <w:t>3.</w:t>
      </w:r>
      <w:r>
        <w:rPr>
          <w:rFonts w:hint="eastAsia" w:eastAsia="宋体"/>
          <w:kern w:val="2"/>
          <w:sz w:val="21"/>
          <w:lang w:eastAsia="zh-CN"/>
        </w:rPr>
        <w:t>本合同壹式肆份，甲乙双方签章后即时生效，双方各持贰份，每份均具有同等法律效力。自</w:t>
      </w:r>
      <w:r>
        <w:rPr>
          <w:rFonts w:eastAsia="宋体"/>
          <w:kern w:val="2"/>
          <w:sz w:val="21"/>
          <w:lang w:eastAsia="zh-CN"/>
        </w:rPr>
        <w:t>生效之日</w:t>
      </w:r>
      <w:r>
        <w:rPr>
          <w:rFonts w:hint="eastAsia" w:eastAsia="宋体"/>
          <w:kern w:val="2"/>
          <w:sz w:val="21"/>
          <w:lang w:eastAsia="zh-CN"/>
        </w:rPr>
        <w:t>起</w:t>
      </w:r>
      <w:r>
        <w:rPr>
          <w:rFonts w:eastAsia="宋体"/>
          <w:kern w:val="2"/>
          <w:sz w:val="21"/>
          <w:lang w:eastAsia="zh-CN"/>
        </w:rPr>
        <w:t>一年内，</w:t>
      </w:r>
      <w:r>
        <w:rPr>
          <w:rFonts w:hint="eastAsia" w:eastAsia="宋体"/>
          <w:kern w:val="2"/>
          <w:sz w:val="21"/>
          <w:lang w:eastAsia="zh-CN"/>
        </w:rPr>
        <w:t>甲方如</w:t>
      </w:r>
      <w:r>
        <w:rPr>
          <w:rFonts w:eastAsia="宋体"/>
          <w:kern w:val="2"/>
          <w:sz w:val="21"/>
          <w:lang w:eastAsia="zh-CN"/>
        </w:rPr>
        <w:t>追加</w:t>
      </w:r>
      <w:r>
        <w:rPr>
          <w:rFonts w:hint="eastAsia" w:eastAsia="宋体"/>
          <w:kern w:val="2"/>
          <w:sz w:val="21"/>
          <w:lang w:eastAsia="zh-CN"/>
        </w:rPr>
        <w:t>同类货物</w:t>
      </w:r>
      <w:r>
        <w:rPr>
          <w:rFonts w:eastAsia="宋体"/>
          <w:kern w:val="2"/>
          <w:sz w:val="21"/>
          <w:lang w:eastAsia="zh-CN"/>
        </w:rPr>
        <w:t>，</w:t>
      </w:r>
      <w:r>
        <w:rPr>
          <w:rFonts w:hint="eastAsia" w:eastAsia="宋体"/>
          <w:kern w:val="2"/>
          <w:sz w:val="21"/>
          <w:lang w:eastAsia="zh-CN"/>
        </w:rPr>
        <w:t>单价</w:t>
      </w:r>
      <w:r>
        <w:rPr>
          <w:rFonts w:eastAsia="宋体"/>
          <w:kern w:val="2"/>
          <w:sz w:val="21"/>
          <w:lang w:eastAsia="zh-CN"/>
        </w:rPr>
        <w:t>不得高于本合同</w:t>
      </w:r>
      <w:r>
        <w:rPr>
          <w:rFonts w:hint="eastAsia" w:eastAsia="宋体"/>
          <w:kern w:val="2"/>
          <w:sz w:val="21"/>
          <w:lang w:eastAsia="zh-CN"/>
        </w:rPr>
        <w:t>约定</w:t>
      </w:r>
      <w:r>
        <w:rPr>
          <w:rFonts w:eastAsia="宋体"/>
          <w:kern w:val="2"/>
          <w:sz w:val="21"/>
          <w:lang w:eastAsia="zh-CN"/>
        </w:rPr>
        <w:t>的单价</w:t>
      </w:r>
      <w:r>
        <w:rPr>
          <w:rFonts w:hint="eastAsia" w:eastAsia="宋体"/>
          <w:kern w:val="2"/>
          <w:sz w:val="21"/>
          <w:lang w:eastAsia="zh-CN"/>
        </w:rPr>
        <w:t>。</w:t>
      </w:r>
    </w:p>
    <w:p w14:paraId="7A975062">
      <w:pPr>
        <w:widowControl w:val="0"/>
        <w:jc w:val="both"/>
        <w:rPr>
          <w:rFonts w:eastAsia="宋体"/>
          <w:kern w:val="2"/>
          <w:sz w:val="21"/>
          <w:lang w:eastAsia="zh-CN"/>
        </w:rPr>
      </w:pPr>
    </w:p>
    <w:p w14:paraId="3FD65FF2">
      <w:pPr>
        <w:widowControl w:val="0"/>
        <w:jc w:val="both"/>
        <w:rPr>
          <w:rFonts w:eastAsia="宋体"/>
          <w:kern w:val="2"/>
          <w:sz w:val="21"/>
          <w:lang w:eastAsia="zh-CN"/>
        </w:rPr>
      </w:pPr>
      <w:r>
        <w:rPr>
          <w:rFonts w:hint="eastAsia" w:eastAsia="宋体"/>
          <w:kern w:val="2"/>
          <w:sz w:val="21"/>
          <w:lang w:eastAsia="zh-CN"/>
        </w:rPr>
        <w:t>附件：</w:t>
      </w:r>
    </w:p>
    <w:p w14:paraId="70DE8B50">
      <w:pPr>
        <w:widowControl w:val="0"/>
        <w:jc w:val="both"/>
        <w:rPr>
          <w:rFonts w:eastAsia="宋体"/>
          <w:kern w:val="2"/>
          <w:sz w:val="21"/>
          <w:lang w:eastAsia="zh-CN"/>
        </w:rPr>
      </w:pPr>
      <w:r>
        <w:rPr>
          <w:rFonts w:hint="eastAsia" w:eastAsia="宋体"/>
          <w:kern w:val="2"/>
          <w:sz w:val="21"/>
          <w:lang w:eastAsia="zh-CN"/>
        </w:rPr>
        <w:t>1</w:t>
      </w:r>
      <w:r>
        <w:rPr>
          <w:rFonts w:eastAsia="宋体"/>
          <w:kern w:val="2"/>
          <w:sz w:val="21"/>
          <w:lang w:eastAsia="zh-CN"/>
        </w:rPr>
        <w:t>.</w:t>
      </w:r>
      <w:r>
        <w:rPr>
          <w:rFonts w:hint="eastAsia" w:eastAsia="宋体"/>
          <w:kern w:val="2"/>
          <w:sz w:val="21"/>
          <w:lang w:eastAsia="zh-CN"/>
        </w:rPr>
        <w:t>校园施工管理条例（暂行）</w:t>
      </w:r>
    </w:p>
    <w:p w14:paraId="66021AB6">
      <w:pPr>
        <w:widowControl w:val="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技术偏离表</w:t>
      </w:r>
    </w:p>
    <w:p w14:paraId="3F4BEDF2">
      <w:pPr>
        <w:widowControl w:val="0"/>
        <w:jc w:val="both"/>
        <w:rPr>
          <w:rFonts w:eastAsia="宋体"/>
          <w:kern w:val="2"/>
          <w:sz w:val="21"/>
          <w:lang w:eastAsia="zh-CN"/>
        </w:rPr>
      </w:pPr>
      <w:r>
        <w:rPr>
          <w:rFonts w:eastAsia="宋体"/>
          <w:kern w:val="2"/>
          <w:sz w:val="21"/>
          <w:lang w:eastAsia="zh-CN"/>
        </w:rPr>
        <w:t>3.</w:t>
      </w:r>
      <w:r>
        <w:rPr>
          <w:rFonts w:hint="eastAsia" w:eastAsia="宋体"/>
          <w:kern w:val="2"/>
          <w:sz w:val="21"/>
          <w:lang w:eastAsia="zh-CN"/>
        </w:rPr>
        <w:t>商务偏离表</w:t>
      </w:r>
    </w:p>
    <w:p w14:paraId="01BC206B">
      <w:pPr>
        <w:widowControl w:val="0"/>
        <w:jc w:val="both"/>
        <w:rPr>
          <w:rFonts w:eastAsia="宋体"/>
          <w:kern w:val="2"/>
          <w:sz w:val="21"/>
          <w:lang w:eastAsia="zh-CN"/>
        </w:rPr>
      </w:pPr>
      <w:r>
        <w:rPr>
          <w:rFonts w:hint="eastAsia" w:eastAsia="宋体"/>
          <w:kern w:val="2"/>
          <w:sz w:val="21"/>
          <w:lang w:eastAsia="zh-CN"/>
        </w:rPr>
        <w:t>4</w:t>
      </w:r>
      <w:r>
        <w:rPr>
          <w:rFonts w:eastAsia="宋体"/>
          <w:kern w:val="2"/>
          <w:sz w:val="21"/>
          <w:lang w:eastAsia="zh-CN"/>
        </w:rPr>
        <w:t>.</w:t>
      </w:r>
      <w:r>
        <w:rPr>
          <w:rFonts w:hint="eastAsia" w:eastAsia="宋体"/>
          <w:kern w:val="2"/>
          <w:sz w:val="21"/>
          <w:lang w:eastAsia="zh-CN"/>
        </w:rPr>
        <w:t>分项报价表</w:t>
      </w:r>
    </w:p>
    <w:p w14:paraId="172A58AD">
      <w:pPr>
        <w:widowControl w:val="0"/>
        <w:spacing w:line="360" w:lineRule="auto"/>
        <w:jc w:val="both"/>
        <w:rPr>
          <w:rFonts w:eastAsia="宋体"/>
          <w:b/>
          <w:bCs/>
          <w:kern w:val="2"/>
          <w:lang w:eastAsia="zh-CN"/>
        </w:rPr>
      </w:pPr>
    </w:p>
    <w:p w14:paraId="0EF05804">
      <w:pPr>
        <w:widowControl w:val="0"/>
        <w:jc w:val="both"/>
        <w:rPr>
          <w:rFonts w:eastAsia="宋体"/>
          <w:kern w:val="2"/>
          <w:sz w:val="21"/>
          <w:lang w:eastAsia="zh-CN"/>
        </w:rPr>
      </w:pPr>
    </w:p>
    <w:p w14:paraId="5FAA8E71">
      <w:pPr>
        <w:widowControl w:val="0"/>
        <w:jc w:val="both"/>
        <w:rPr>
          <w:rFonts w:eastAsia="宋体"/>
          <w:kern w:val="2"/>
          <w:sz w:val="21"/>
          <w:lang w:eastAsia="zh-CN"/>
        </w:rPr>
      </w:pPr>
      <w:r>
        <w:rPr>
          <w:rFonts w:hint="eastAsia" w:eastAsia="宋体"/>
          <w:kern w:val="2"/>
          <w:sz w:val="21"/>
          <w:lang w:eastAsia="zh-CN"/>
        </w:rPr>
        <w:t>甲方：*</w:t>
      </w:r>
      <w:r>
        <w:rPr>
          <w:rFonts w:eastAsia="宋体"/>
          <w:kern w:val="2"/>
          <w:sz w:val="21"/>
          <w:lang w:eastAsia="zh-CN"/>
        </w:rPr>
        <w:t>**</w:t>
      </w:r>
      <w:r>
        <w:rPr>
          <w:rFonts w:hint="eastAsia" w:eastAsia="宋体"/>
          <w:kern w:val="2"/>
          <w:sz w:val="21"/>
          <w:lang w:eastAsia="zh-CN"/>
        </w:rPr>
        <w:t>（盖章）</w:t>
      </w:r>
    </w:p>
    <w:p w14:paraId="1ED0EF84">
      <w:pPr>
        <w:widowControl w:val="0"/>
        <w:jc w:val="both"/>
        <w:rPr>
          <w:rFonts w:eastAsia="宋体"/>
          <w:kern w:val="2"/>
          <w:sz w:val="21"/>
          <w:lang w:eastAsia="zh-CN"/>
        </w:rPr>
      </w:pPr>
      <w:r>
        <w:rPr>
          <w:rFonts w:hint="eastAsia" w:eastAsia="宋体"/>
          <w:kern w:val="2"/>
          <w:sz w:val="21"/>
          <w:lang w:eastAsia="zh-CN"/>
        </w:rPr>
        <w:t>授权代表签字：</w:t>
      </w:r>
    </w:p>
    <w:p w14:paraId="79BB8636">
      <w:pPr>
        <w:widowControl w:val="0"/>
        <w:jc w:val="both"/>
        <w:rPr>
          <w:rFonts w:eastAsia="宋体"/>
          <w:kern w:val="2"/>
          <w:sz w:val="21"/>
          <w:lang w:eastAsia="zh-CN"/>
        </w:rPr>
      </w:pPr>
      <w:r>
        <w:rPr>
          <w:rFonts w:hint="eastAsia" w:eastAsia="宋体"/>
          <w:kern w:val="2"/>
          <w:sz w:val="21"/>
          <w:lang w:eastAsia="zh-CN"/>
        </w:rPr>
        <w:t>经办人：</w:t>
      </w:r>
    </w:p>
    <w:p w14:paraId="58BF95AE">
      <w:pPr>
        <w:widowControl w:val="0"/>
        <w:jc w:val="both"/>
        <w:rPr>
          <w:rFonts w:eastAsia="宋体"/>
          <w:kern w:val="2"/>
          <w:sz w:val="21"/>
          <w:lang w:eastAsia="zh-CN"/>
        </w:rPr>
      </w:pPr>
      <w:r>
        <w:rPr>
          <w:rFonts w:hint="eastAsia" w:eastAsia="宋体"/>
          <w:kern w:val="2"/>
          <w:sz w:val="21"/>
          <w:lang w:eastAsia="zh-CN"/>
        </w:rPr>
        <w:t>日期：</w:t>
      </w:r>
    </w:p>
    <w:p w14:paraId="11B5AF54">
      <w:pPr>
        <w:widowControl w:val="0"/>
        <w:jc w:val="both"/>
        <w:rPr>
          <w:rFonts w:eastAsia="宋体"/>
          <w:kern w:val="2"/>
          <w:sz w:val="21"/>
          <w:lang w:eastAsia="zh-CN"/>
        </w:rPr>
      </w:pPr>
    </w:p>
    <w:p w14:paraId="30019C92">
      <w:pPr>
        <w:widowControl w:val="0"/>
        <w:jc w:val="both"/>
        <w:rPr>
          <w:rFonts w:eastAsia="宋体"/>
          <w:kern w:val="2"/>
          <w:sz w:val="21"/>
          <w:lang w:eastAsia="zh-CN"/>
        </w:rPr>
      </w:pPr>
      <w:r>
        <w:rPr>
          <w:rFonts w:hint="eastAsia" w:eastAsia="宋体"/>
          <w:kern w:val="2"/>
          <w:sz w:val="21"/>
          <w:lang w:eastAsia="zh-CN"/>
        </w:rPr>
        <w:t>乙方：</w:t>
      </w:r>
      <w:r>
        <w:rPr>
          <w:rFonts w:hint="eastAsia" w:eastAsia="宋体"/>
          <w:kern w:val="2"/>
          <w:sz w:val="21"/>
          <w:u w:val="single"/>
          <w:lang w:eastAsia="zh-CN"/>
        </w:rPr>
        <w:t>*</w:t>
      </w:r>
      <w:r>
        <w:rPr>
          <w:rFonts w:eastAsia="宋体"/>
          <w:kern w:val="2"/>
          <w:sz w:val="21"/>
          <w:u w:val="single"/>
          <w:lang w:eastAsia="zh-CN"/>
        </w:rPr>
        <w:t>**</w:t>
      </w:r>
      <w:r>
        <w:rPr>
          <w:rFonts w:hint="eastAsia" w:eastAsia="宋体"/>
          <w:kern w:val="2"/>
          <w:sz w:val="21"/>
          <w:lang w:eastAsia="zh-CN"/>
        </w:rPr>
        <w:t>（盖章）</w:t>
      </w:r>
    </w:p>
    <w:p w14:paraId="6445AD6D">
      <w:pPr>
        <w:widowControl w:val="0"/>
        <w:jc w:val="both"/>
        <w:rPr>
          <w:rFonts w:eastAsia="宋体"/>
          <w:kern w:val="2"/>
          <w:sz w:val="21"/>
          <w:lang w:eastAsia="zh-CN"/>
        </w:rPr>
      </w:pPr>
      <w:r>
        <w:rPr>
          <w:rFonts w:hint="eastAsia" w:eastAsia="宋体"/>
          <w:kern w:val="2"/>
          <w:sz w:val="21"/>
          <w:lang w:eastAsia="zh-CN"/>
        </w:rPr>
        <w:t xml:space="preserve">授权代表签字：    </w:t>
      </w:r>
    </w:p>
    <w:p w14:paraId="47A72F61">
      <w:pPr>
        <w:widowControl w:val="0"/>
        <w:jc w:val="both"/>
        <w:rPr>
          <w:rFonts w:eastAsia="宋体"/>
          <w:kern w:val="2"/>
          <w:sz w:val="21"/>
          <w:lang w:eastAsia="zh-CN"/>
        </w:rPr>
      </w:pPr>
      <w:r>
        <w:rPr>
          <w:rFonts w:hint="eastAsia" w:eastAsia="宋体"/>
          <w:kern w:val="2"/>
          <w:sz w:val="21"/>
          <w:lang w:eastAsia="zh-CN"/>
        </w:rPr>
        <w:t xml:space="preserve">经办人：   </w:t>
      </w:r>
    </w:p>
    <w:p w14:paraId="3BA67D4B">
      <w:pPr>
        <w:widowControl w:val="0"/>
        <w:jc w:val="both"/>
        <w:rPr>
          <w:rFonts w:eastAsia="宋体"/>
          <w:kern w:val="2"/>
          <w:sz w:val="21"/>
          <w:lang w:eastAsia="zh-CN"/>
        </w:rPr>
      </w:pPr>
      <w:r>
        <w:rPr>
          <w:rFonts w:hint="eastAsia" w:eastAsia="宋体"/>
          <w:kern w:val="2"/>
          <w:sz w:val="21"/>
          <w:lang w:eastAsia="zh-CN"/>
        </w:rPr>
        <w:t>日期：</w:t>
      </w:r>
    </w:p>
    <w:p w14:paraId="75409842">
      <w:pPr>
        <w:widowControl w:val="0"/>
        <w:jc w:val="both"/>
        <w:rPr>
          <w:rFonts w:eastAsia="宋体"/>
          <w:kern w:val="2"/>
          <w:sz w:val="21"/>
          <w:lang w:eastAsia="zh-CN"/>
        </w:rPr>
      </w:pPr>
      <w:r>
        <w:rPr>
          <w:rFonts w:eastAsia="宋体"/>
          <w:kern w:val="2"/>
          <w:sz w:val="21"/>
          <w:lang w:eastAsia="zh-CN"/>
        </w:rPr>
        <w:br w:type="page"/>
      </w:r>
    </w:p>
    <w:p w14:paraId="7ED16FBF">
      <w:pPr>
        <w:keepNext/>
        <w:keepLines/>
        <w:widowControl w:val="0"/>
        <w:adjustRightInd w:val="0"/>
        <w:spacing w:before="120" w:beforeLines="50" w:after="120" w:afterLines="50" w:line="240" w:lineRule="auto"/>
        <w:ind w:left="562"/>
        <w:jc w:val="center"/>
        <w:textAlignment w:val="baseline"/>
        <w:outlineLvl w:val="1"/>
        <w:rPr>
          <w:rFonts w:ascii="宋体" w:hAnsi="宋体" w:eastAsia="宋体"/>
          <w:b/>
          <w:bCs/>
          <w:sz w:val="28"/>
          <w:szCs w:val="28"/>
          <w:lang w:eastAsia="zh-CN"/>
        </w:rPr>
      </w:pPr>
      <w:r>
        <w:rPr>
          <w:rFonts w:hint="eastAsia" w:ascii="宋体" w:hAnsi="宋体" w:eastAsia="宋体"/>
          <w:b/>
          <w:bCs/>
          <w:sz w:val="28"/>
          <w:szCs w:val="28"/>
          <w:lang w:eastAsia="zh-CN"/>
        </w:rPr>
        <w:t>第二册  通用条款（公开招标）</w:t>
      </w:r>
    </w:p>
    <w:p w14:paraId="7461B8D5">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bookmarkStart w:id="48" w:name="_Hlk72399513"/>
      <w:bookmarkStart w:id="49" w:name="_Hlk72439706"/>
      <w:r>
        <w:rPr>
          <w:rFonts w:hint="eastAsia" w:ascii="Cambria" w:hAnsi="Cambria" w:eastAsia="宋体" w:cs="宋体"/>
          <w:b/>
          <w:bCs/>
          <w:kern w:val="2"/>
          <w:sz w:val="28"/>
          <w:szCs w:val="28"/>
          <w:lang w:eastAsia="zh-CN"/>
        </w:rPr>
        <w:t>总则</w:t>
      </w:r>
    </w:p>
    <w:bookmarkEnd w:id="48"/>
    <w:p w14:paraId="712D691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 通用条款说明</w:t>
      </w:r>
    </w:p>
    <w:p w14:paraId="40D35E9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1.1采购代理机构发出招标文件通用条款版本，列出深圳市自行采购项目进行招标采购所适用的通用条款内容。</w:t>
      </w:r>
      <w:bookmarkStart w:id="50" w:name="_Hlk72399729"/>
      <w:r>
        <w:rPr>
          <w:rFonts w:hint="eastAsia" w:ascii="宋体" w:hAnsi="宋体" w:eastAsia="宋体"/>
          <w:kern w:val="2"/>
          <w:sz w:val="21"/>
          <w:szCs w:val="21"/>
          <w:lang w:eastAsia="zh-CN"/>
        </w:rPr>
        <w:t>如有需要，采购代理机构可以对通用条款的内容进行补充。</w:t>
      </w:r>
      <w:bookmarkEnd w:id="50"/>
    </w:p>
    <w:p w14:paraId="4DB6C57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1.2招标文件分为第一册“专用条款”和第二册“通用条款”。</w:t>
      </w:r>
    </w:p>
    <w:p w14:paraId="147AE54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1.3“专用条款”是对本次采购项目的具体要求，包含招标公告、对通用条款的补充内容及其他关键信息、用户需求书、投标文件格式及附件、合同条款及格式等内容。</w:t>
      </w:r>
    </w:p>
    <w:p w14:paraId="5FF0AD9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1.4“通用条款”是适用于自行采购公开招标项目的基础性条款，具有普遍性和通用性。</w:t>
      </w:r>
    </w:p>
    <w:p w14:paraId="583FCB5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1.5 “专用条款”和“通用条款”表述不一致或有冲突时，以“专用条款”为准。</w:t>
      </w:r>
    </w:p>
    <w:p w14:paraId="3D59C61E">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2．招标说明</w:t>
      </w:r>
    </w:p>
    <w:p w14:paraId="5BC3179C">
      <w:pPr>
        <w:widowControl w:val="0"/>
        <w:ind w:firstLine="422" w:firstLineChars="200"/>
        <w:jc w:val="both"/>
        <w:rPr>
          <w:rFonts w:ascii="宋体" w:hAnsi="宋体" w:eastAsia="宋体"/>
          <w:b/>
          <w:bCs/>
          <w:color w:val="FF0000"/>
          <w:kern w:val="2"/>
          <w:sz w:val="21"/>
          <w:szCs w:val="21"/>
          <w:lang w:eastAsia="zh-CN"/>
        </w:rPr>
      </w:pPr>
      <w:r>
        <w:rPr>
          <w:rFonts w:hint="eastAsia" w:ascii="宋体" w:hAnsi="宋体" w:eastAsia="宋体"/>
          <w:b/>
          <w:bCs/>
          <w:color w:val="FF0000"/>
          <w:kern w:val="2"/>
          <w:sz w:val="21"/>
          <w:szCs w:val="21"/>
          <w:lang w:eastAsia="zh-CN"/>
        </w:rPr>
        <w:t>本项目为自行采购项目，参照《深圳经济特区政府采购条例》、《深圳经济特区政府采购条例实施细则》及政府采购其他法律法规，通过公开招标方式确定中标供应商。</w:t>
      </w:r>
    </w:p>
    <w:p w14:paraId="1E3C1A0E">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3．定义</w:t>
      </w:r>
    </w:p>
    <w:p w14:paraId="2C442B2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招标文件中下列术语应解释为：</w:t>
      </w:r>
    </w:p>
    <w:p w14:paraId="583C5D2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3.1“采购人”：指依法进行</w:t>
      </w:r>
      <w:r>
        <w:rPr>
          <w:rFonts w:hint="eastAsia" w:ascii="宋体" w:hAnsi="宋体" w:eastAsia="宋体"/>
          <w:b/>
          <w:bCs/>
          <w:color w:val="FF0000"/>
          <w:kern w:val="2"/>
          <w:sz w:val="21"/>
          <w:szCs w:val="21"/>
          <w:lang w:eastAsia="zh-CN"/>
        </w:rPr>
        <w:t>自行采购</w:t>
      </w:r>
      <w:r>
        <w:rPr>
          <w:rFonts w:hint="eastAsia" w:ascii="宋体" w:hAnsi="宋体" w:eastAsia="宋体"/>
          <w:kern w:val="2"/>
          <w:sz w:val="21"/>
          <w:szCs w:val="21"/>
          <w:lang w:eastAsia="zh-CN"/>
        </w:rPr>
        <w:t xml:space="preserve">的国家机关、事业单位、团体组织； </w:t>
      </w:r>
    </w:p>
    <w:p w14:paraId="74931A7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 “政府集中采购机构”</w:t>
      </w:r>
      <w:r>
        <w:rPr>
          <w:rFonts w:hint="eastAsia" w:ascii="Arial" w:hAnsi="Arial" w:eastAsia="宋体" w:cs="Arial"/>
          <w:kern w:val="2"/>
          <w:sz w:val="21"/>
          <w:szCs w:val="21"/>
          <w:shd w:val="clear" w:color="auto" w:fill="FFFFFF"/>
          <w:lang w:eastAsia="zh-CN"/>
        </w:rPr>
        <w:t>是指市政府设立的，组织实施采购项目，并对采购活动提供服务的专门机构；</w:t>
      </w:r>
      <w:r>
        <w:rPr>
          <w:rFonts w:hint="eastAsia" w:ascii="宋体" w:hAnsi="宋体" w:eastAsia="宋体"/>
          <w:kern w:val="2"/>
          <w:sz w:val="21"/>
          <w:szCs w:val="21"/>
          <w:lang w:eastAsia="zh-CN"/>
        </w:rPr>
        <w:t>本文件所述的“采购代理机构”指</w:t>
      </w:r>
      <w:r>
        <w:rPr>
          <w:rFonts w:hint="eastAsia" w:ascii="宋体" w:hAnsi="宋体" w:eastAsia="宋体"/>
          <w:b/>
          <w:bCs/>
          <w:kern w:val="2"/>
          <w:sz w:val="21"/>
          <w:szCs w:val="21"/>
          <w:lang w:eastAsia="zh-CN"/>
        </w:rPr>
        <w:t>深圳公共资源交易中心（</w:t>
      </w:r>
      <w:r>
        <w:rPr>
          <w:rFonts w:hint="eastAsia" w:ascii="宋体" w:hAnsi="宋体" w:eastAsia="宋体"/>
          <w:b/>
          <w:bCs/>
          <w:kern w:val="2"/>
          <w:sz w:val="21"/>
          <w:lang w:eastAsia="zh-CN"/>
        </w:rPr>
        <w:t>深圳交易集团有限公司政府采购业务分公司）</w:t>
      </w:r>
      <w:r>
        <w:rPr>
          <w:rFonts w:hint="eastAsia" w:ascii="宋体" w:hAnsi="宋体" w:eastAsia="宋体"/>
          <w:kern w:val="2"/>
          <w:sz w:val="21"/>
          <w:szCs w:val="21"/>
          <w:lang w:eastAsia="zh-CN"/>
        </w:rPr>
        <w:t>；</w:t>
      </w:r>
    </w:p>
    <w:p w14:paraId="0E49DBD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3.3“投标人”，即供应商，指参加投标竞争并愿意按照招标文件要求向采购人提供货物、工程或者服务的依法成立的法人、其他组织或者自然人；</w:t>
      </w:r>
    </w:p>
    <w:p w14:paraId="347E7A5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3.4“评审委员会”是依据《深圳经济特区政府采购条例》、《深圳经济特区政府采购条例实施细则》等有关规定组建的专门负责本次招标其评审工作的临时性机构；</w:t>
      </w:r>
    </w:p>
    <w:p w14:paraId="2B06E52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3.5“日期”指公历日；</w:t>
      </w:r>
    </w:p>
    <w:p w14:paraId="06FAE10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3.6“合同”指由本次招标所产生的合同或合约文件；</w:t>
      </w:r>
    </w:p>
    <w:p w14:paraId="39C9369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3.7“电子投标文件”指利用</w:t>
      </w:r>
      <w:r>
        <w:rPr>
          <w:rFonts w:hint="eastAsia" w:ascii="宋体" w:hAnsi="宋体" w:eastAsia="宋体"/>
          <w:b/>
          <w:bCs/>
          <w:kern w:val="2"/>
          <w:sz w:val="21"/>
          <w:szCs w:val="21"/>
          <w:lang w:eastAsia="zh-CN"/>
        </w:rPr>
        <w:t>深圳公共资源交易中心（深圳交易集团有限公司政府采购业务分公司）</w:t>
      </w:r>
      <w:r>
        <w:rPr>
          <w:rFonts w:hint="eastAsia" w:ascii="宋体" w:hAnsi="宋体" w:eastAsia="宋体"/>
          <w:kern w:val="2"/>
          <w:sz w:val="21"/>
          <w:szCs w:val="21"/>
          <w:lang w:eastAsia="zh-CN"/>
        </w:rPr>
        <w:t>网站提供的深圳市自行采购系统投标文件制作专用软件（以下简称：投标文件制作软件）制作的投标文件,适用于网上投标；（投标文件制作软件可从“下载地址：https://www.szggzy.com/jyfw/details.html?contentId=2053275深圳市自行采购系统投标文件编制工具”下载）</w:t>
      </w:r>
    </w:p>
    <w:p w14:paraId="7858B01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3.8“网上投标”指通过</w:t>
      </w:r>
      <w:r>
        <w:rPr>
          <w:rFonts w:hint="eastAsia" w:ascii="宋体" w:hAnsi="宋体" w:eastAsia="宋体"/>
          <w:b/>
          <w:bCs/>
          <w:color w:val="FF0000"/>
          <w:kern w:val="2"/>
          <w:sz w:val="21"/>
          <w:szCs w:val="21"/>
          <w:lang w:eastAsia="zh-CN"/>
        </w:rPr>
        <w:t>深圳市自行采购系统</w:t>
      </w:r>
      <w:r>
        <w:rPr>
          <w:rFonts w:hint="eastAsia" w:ascii="宋体" w:hAnsi="宋体" w:eastAsia="宋体"/>
          <w:kern w:val="2"/>
          <w:sz w:val="21"/>
          <w:szCs w:val="21"/>
          <w:lang w:eastAsia="zh-CN"/>
        </w:rPr>
        <w:t>网站上传电子投标文件；</w:t>
      </w:r>
    </w:p>
    <w:p w14:paraId="723A628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3.9招标文件中的标题或题名仅起引导作用，而不应视为对招标文件内容的理解和解释。</w:t>
      </w:r>
    </w:p>
    <w:p w14:paraId="78A81B52">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 xml:space="preserve">4. </w:t>
      </w:r>
      <w:bookmarkStart w:id="51" w:name="_Hlk72398643"/>
      <w:r>
        <w:rPr>
          <w:rFonts w:hint="eastAsia" w:ascii="黑体" w:hAnsi="宋体" w:eastAsia="黑体"/>
          <w:kern w:val="2"/>
          <w:sz w:val="21"/>
          <w:szCs w:val="21"/>
          <w:lang w:eastAsia="zh-CN"/>
        </w:rPr>
        <w:t>自行采购供应商责任</w:t>
      </w:r>
    </w:p>
    <w:p w14:paraId="5796F31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4.1欢迎诚信、有实力和有社会责任心的供应商参与自行采购事业。</w:t>
      </w:r>
    </w:p>
    <w:p w14:paraId="46F8A23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4.2投标人应当遵循公平竞争的原则，不得恶意串通，不得妨碍其他投标人的竞争行为，不得损害采购人或者其他投标人的合法权益。如违反上述要求，经核实后，供应商的投标无效。</w:t>
      </w:r>
    </w:p>
    <w:p w14:paraId="2FFEA3D5">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5．投标人参加自行采购的条件</w:t>
      </w:r>
    </w:p>
    <w:p w14:paraId="147CB419">
      <w:pPr>
        <w:widowControl w:val="0"/>
        <w:ind w:firstLine="420" w:firstLineChars="200"/>
        <w:jc w:val="left"/>
        <w:rPr>
          <w:rFonts w:ascii="宋体" w:hAnsi="宋体" w:eastAsia="宋体"/>
          <w:kern w:val="2"/>
          <w:sz w:val="21"/>
          <w:szCs w:val="21"/>
          <w:lang w:eastAsia="zh-CN"/>
        </w:rPr>
      </w:pPr>
      <w:r>
        <w:rPr>
          <w:rFonts w:hint="eastAsia" w:ascii="宋体" w:hAnsi="宋体" w:eastAsia="宋体"/>
          <w:kern w:val="2"/>
          <w:sz w:val="21"/>
          <w:szCs w:val="21"/>
          <w:lang w:eastAsia="zh-CN"/>
        </w:rPr>
        <w:t>5.1投标人应在投标前到</w:t>
      </w:r>
      <w:r>
        <w:rPr>
          <w:rFonts w:hint="eastAsia" w:ascii="宋体" w:hAnsi="宋体" w:eastAsia="宋体"/>
          <w:b/>
          <w:bCs/>
          <w:kern w:val="2"/>
          <w:sz w:val="21"/>
          <w:szCs w:val="21"/>
          <w:lang w:eastAsia="zh-CN"/>
        </w:rPr>
        <w:t>深圳市自行采购系统（具体在深圳交易集团有限公司政府采购业务分公司进行办理）</w:t>
      </w:r>
      <w:r>
        <w:rPr>
          <w:rFonts w:hint="eastAsia" w:ascii="宋体" w:hAnsi="宋体" w:eastAsia="宋体"/>
          <w:kern w:val="2"/>
          <w:sz w:val="21"/>
          <w:szCs w:val="21"/>
          <w:lang w:eastAsia="zh-CN"/>
        </w:rPr>
        <w:t>进行注册并办理电子密钥。《深圳政府采购自行采购系统用户操作指引（供应商）》详见www.szggzy.com网站“交易服务指南-政府采购-资料下载”。</w:t>
      </w:r>
    </w:p>
    <w:p w14:paraId="18B60B2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5.2投标人资格要求</w:t>
      </w:r>
    </w:p>
    <w:p w14:paraId="4C5B574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参加本项目的投标人应具备的资格条件详见本项目招标公告中 “投标人资格要求”的内容。</w:t>
      </w:r>
    </w:p>
    <w:p w14:paraId="690296E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5.3联合体投标</w:t>
      </w:r>
    </w:p>
    <w:p w14:paraId="523A781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5.3.1以下有关联合体投标的条款仅适用于允许投标人组成联合体投标的项目。</w:t>
      </w:r>
    </w:p>
    <w:p w14:paraId="2242186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5.3.2  由两个或两个以上的自然人、法人或者其他组织可以组成一个联合体，以一个供应商的身份共同投标时，应符合以下原则：</w:t>
      </w:r>
    </w:p>
    <w:p w14:paraId="218CA6F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（1）投标联合体各方参加采购活动应当具备下列条件： </w:t>
      </w:r>
    </w:p>
    <w:p w14:paraId="04B1779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1、具有独立承担民事责任的能力； </w:t>
      </w:r>
    </w:p>
    <w:p w14:paraId="624FF47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2、有良好的商业信誉和健全的财务会计制度； </w:t>
      </w:r>
    </w:p>
    <w:p w14:paraId="4C62CCA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3、具有履行合同所必需的设备和专业技术能力； </w:t>
      </w:r>
    </w:p>
    <w:p w14:paraId="0D8573B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4、有依法缴纳税收和社会保障资金的良好记录； </w:t>
      </w:r>
    </w:p>
    <w:p w14:paraId="08340C9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5、参加采购活动前三年内，在经营活动中没有重大违法记录； </w:t>
      </w:r>
    </w:p>
    <w:p w14:paraId="5BF6320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6、法律、行政法规规定的其他条件。 </w:t>
      </w:r>
    </w:p>
    <w:p w14:paraId="1BF7CDB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（2）在投标截止前，投标联合体各方均应注册成</w:t>
      </w:r>
      <w:r>
        <w:rPr>
          <w:rFonts w:hint="eastAsia" w:ascii="宋体" w:hAnsi="宋体" w:eastAsia="宋体"/>
          <w:b/>
          <w:bCs/>
          <w:color w:val="FF0000"/>
          <w:kern w:val="2"/>
          <w:sz w:val="21"/>
          <w:szCs w:val="21"/>
          <w:lang w:eastAsia="zh-CN"/>
        </w:rPr>
        <w:t>深圳市自行采购系统</w:t>
      </w:r>
      <w:r>
        <w:rPr>
          <w:rFonts w:hint="eastAsia" w:ascii="宋体" w:hAnsi="宋体" w:eastAsia="宋体"/>
          <w:kern w:val="2"/>
          <w:sz w:val="21"/>
          <w:szCs w:val="21"/>
          <w:lang w:eastAsia="zh-CN"/>
        </w:rPr>
        <w:t>供应商；</w:t>
      </w:r>
    </w:p>
    <w:p w14:paraId="2681B72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（3）联合体中有同类资质的供应商按照联合体分工承担相同工作的，应当按照资质等级较低的供应商确定资质等级；</w:t>
      </w:r>
    </w:p>
    <w:p w14:paraId="62B9ABE3">
      <w:pPr>
        <w:widowControl w:val="0"/>
        <w:ind w:firstLine="420" w:firstLineChars="200"/>
        <w:jc w:val="both"/>
        <w:rPr>
          <w:rFonts w:eastAsia="宋体"/>
          <w:kern w:val="2"/>
          <w:sz w:val="21"/>
          <w:szCs w:val="21"/>
          <w:lang w:eastAsia="zh-CN"/>
        </w:rPr>
      </w:pPr>
      <w:r>
        <w:rPr>
          <w:rFonts w:hint="eastAsia" w:eastAsia="宋体"/>
          <w:kern w:val="2"/>
          <w:sz w:val="21"/>
          <w:szCs w:val="21"/>
          <w:lang w:eastAsia="zh-CN"/>
        </w:rPr>
        <w:t>（</w:t>
      </w:r>
      <w:r>
        <w:rPr>
          <w:rFonts w:eastAsia="宋体"/>
          <w:kern w:val="2"/>
          <w:sz w:val="21"/>
          <w:szCs w:val="21"/>
          <w:lang w:eastAsia="zh-CN"/>
        </w:rPr>
        <w:t>4</w:t>
      </w:r>
      <w:r>
        <w:rPr>
          <w:rFonts w:hint="eastAsia" w:eastAsia="宋体"/>
          <w:kern w:val="2"/>
          <w:sz w:val="21"/>
          <w:szCs w:val="21"/>
          <w:lang w:eastAsia="zh-CN"/>
        </w:rPr>
        <w:t>）是否允许联合体参加投标，应当由采购人和采购代理机构根据项目的实际情况和潜在供应商的数量自主决定，如果决定接受联合体投标则应当在招标公告中明示；</w:t>
      </w:r>
    </w:p>
    <w:p w14:paraId="7483EAA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（5）投标人的投标文件及中标后签署的合同协议对联合体各方均具法律约束力；</w:t>
      </w:r>
    </w:p>
    <w:p w14:paraId="6894A98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（6）联合体各方应当签订联合体投标协议，明确约定各方拟承担的工作和责任，并将该协议随投标文件一并递交给采购代理机构；</w:t>
      </w:r>
    </w:p>
    <w:p w14:paraId="15CA291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（7）联合体中标后，联合体各方应当共同与采购人签订合同，就中标项目向采购人承担连带责任；</w:t>
      </w:r>
    </w:p>
    <w:p w14:paraId="1F175BD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（8）以联合体形式参加采购活动的，联合体各方不得再单独参加或者与其他供应商另外组成联合体参加同一合同项下的采购活动，出现上述情况者，其投标和与此有关联合体、总包单位的投标将被拒绝；</w:t>
      </w:r>
    </w:p>
    <w:p w14:paraId="08C9282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（9）本通用条款中“投标人”一词亦指联合体各方，专用条款另有规定或说明的除外。</w:t>
      </w:r>
    </w:p>
    <w:p w14:paraId="531002BC">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6．政策导向</w:t>
      </w:r>
    </w:p>
    <w:p w14:paraId="1301CBDD">
      <w:pPr>
        <w:widowControl w:val="0"/>
        <w:ind w:firstLine="411" w:firstLineChars="196"/>
        <w:jc w:val="both"/>
        <w:rPr>
          <w:rFonts w:ascii="宋体" w:hAnsi="宋体" w:eastAsia="宋体"/>
          <w:kern w:val="2"/>
          <w:sz w:val="21"/>
          <w:szCs w:val="21"/>
          <w:lang w:eastAsia="zh-CN"/>
        </w:rPr>
      </w:pPr>
      <w:r>
        <w:rPr>
          <w:rFonts w:hint="eastAsia" w:ascii="宋体" w:hAnsi="宋体" w:eastAsia="宋体"/>
          <w:kern w:val="2"/>
          <w:sz w:val="21"/>
          <w:szCs w:val="21"/>
          <w:lang w:eastAsia="zh-CN"/>
        </w:rPr>
        <w:t>6.1</w:t>
      </w:r>
      <w:r>
        <w:rPr>
          <w:rFonts w:ascii="宋体" w:hAnsi="宋体" w:eastAsia="宋体"/>
          <w:kern w:val="2"/>
          <w:sz w:val="21"/>
          <w:lang w:eastAsia="zh-CN"/>
        </w:rPr>
        <w:t xml:space="preserve"> </w:t>
      </w:r>
      <w:r>
        <w:rPr>
          <w:rFonts w:hint="eastAsia" w:ascii="宋体" w:hAnsi="宋体" w:eastAsia="宋体"/>
          <w:kern w:val="2"/>
          <w:sz w:val="21"/>
          <w:lang w:eastAsia="zh-CN"/>
        </w:rPr>
        <w:t>支持本国产品、支持中小企业、监狱企业和残疾人福利性单位发展，支持乡村产业振兴，支持创新、节能减排、绿色环保等。</w:t>
      </w:r>
    </w:p>
    <w:p w14:paraId="346AC030">
      <w:pPr>
        <w:widowControl w:val="0"/>
        <w:ind w:firstLine="420" w:firstLineChars="200"/>
        <w:jc w:val="both"/>
        <w:rPr>
          <w:rFonts w:eastAsia="宋体"/>
          <w:kern w:val="2"/>
          <w:sz w:val="21"/>
          <w:szCs w:val="21"/>
          <w:shd w:val="clear" w:color="auto" w:fill="FFFFFF"/>
          <w:lang w:eastAsia="zh-CN"/>
        </w:rPr>
      </w:pPr>
      <w:r>
        <w:rPr>
          <w:rFonts w:hint="eastAsia" w:ascii="宋体" w:hAnsi="宋体" w:eastAsia="宋体"/>
          <w:kern w:val="2"/>
          <w:sz w:val="21"/>
          <w:szCs w:val="21"/>
          <w:lang w:eastAsia="zh-CN"/>
        </w:rPr>
        <w:t>6.2  本项目落实深圳市政府采购供应商诚信管理政策要求。</w:t>
      </w:r>
    </w:p>
    <w:p w14:paraId="1C48043C">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7. 本项目若涉及采购货物，则合格的货物及相应服务应满足以下要求：</w:t>
      </w:r>
    </w:p>
    <w:p w14:paraId="58BF4F3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7.1  必须是全新、未使用过的原装合格正品（包括零部件），如安装或配置了软件的，须为正版软件。</w:t>
      </w:r>
    </w:p>
    <w:p w14:paraId="298B48B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7.2  国产的货物及其有关服务必须符合中华人民共和国的设计、制造生产标准及行业标准。招标公告有其他要求的，亦应符合其要求。</w:t>
      </w:r>
    </w:p>
    <w:p w14:paraId="33368AE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7.3  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6E6B71D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7.4  投标人</w:t>
      </w:r>
      <w:bookmarkStart w:id="52" w:name="_Hlk72152753"/>
      <w:r>
        <w:rPr>
          <w:rFonts w:hint="eastAsia" w:ascii="宋体" w:hAnsi="宋体" w:eastAsia="宋体"/>
          <w:kern w:val="2"/>
          <w:sz w:val="21"/>
          <w:szCs w:val="21"/>
          <w:lang w:eastAsia="zh-CN"/>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52"/>
    </w:p>
    <w:p w14:paraId="314C43A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038652A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7.6  工期要求：投标人在投标时对其所投项目应提交交货进度、交货计划等，在合同规定的时间内完成项目实施工作。</w:t>
      </w:r>
    </w:p>
    <w:p w14:paraId="6C166FE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7.7  投标人必须承担的设备运输、安装调试、验收检测和提供设备操作说明书、图纸等其他相关及类似的义务。</w:t>
      </w:r>
    </w:p>
    <w:p w14:paraId="4F3F021B">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8．投标费用</w:t>
      </w:r>
    </w:p>
    <w:p w14:paraId="281482A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不论投标结果如何，投标人应承担其编制投标文件与递交投标文件所涉及的一切费用。</w:t>
      </w:r>
    </w:p>
    <w:p w14:paraId="681BAF94">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9．踏勘现场</w:t>
      </w:r>
    </w:p>
    <w:p w14:paraId="44F21EE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49AF4D4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9.2投标人及其人员经过采购人的允许，可以进入采购人的项目现场踏勘。若招标文件要求投标人于统一时间地点踏勘现场的，投标人应当按时前往。</w:t>
      </w:r>
    </w:p>
    <w:p w14:paraId="418EC57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9.3采购人应当通过采购代理机构向投标人提供有关现场的书面资料和数据。</w:t>
      </w:r>
    </w:p>
    <w:p w14:paraId="042607F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9.4任何人或任何组织在踏勘现场时向投标人提供的任何书面资料或口头承诺，未经采购代理机构在网上发布或书面通知，均作无效处理。</w:t>
      </w:r>
    </w:p>
    <w:p w14:paraId="1D89A45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9.5未参与踏勘现场不作为否定投标人资格的理由。</w:t>
      </w:r>
    </w:p>
    <w:p w14:paraId="24EC1707">
      <w:pPr>
        <w:widowControl w:val="0"/>
        <w:ind w:firstLine="420" w:firstLineChars="200"/>
        <w:jc w:val="both"/>
        <w:rPr>
          <w:rFonts w:ascii="宋体" w:hAnsi="宋体" w:eastAsia="宋体"/>
          <w:kern w:val="2"/>
          <w:sz w:val="21"/>
          <w:szCs w:val="21"/>
          <w:lang w:eastAsia="zh-CN"/>
        </w:rPr>
      </w:pPr>
      <w:r>
        <w:rPr>
          <w:rFonts w:hint="eastAsia" w:ascii="黑体" w:hAnsi="宋体" w:eastAsia="黑体"/>
          <w:kern w:val="2"/>
          <w:sz w:val="21"/>
          <w:szCs w:val="21"/>
          <w:lang w:eastAsia="zh-CN"/>
        </w:rPr>
        <w:t>10．标前会议</w:t>
      </w:r>
    </w:p>
    <w:p w14:paraId="5B9563F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10.1如采购人或采购代理机构认为有必要组织标前会议，投标人应按照招标文件规定的时间或采购代理机构另行书面通知（包括采购代理机构网站发布方式，如更正公告等）的时间和地点，参与标前会议。</w:t>
      </w:r>
    </w:p>
    <w:p w14:paraId="630A7BE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10.2任何人或任何组织在标前会议时向投标人提供的任何书面资料或口头承诺，未经采购代理机构在网上发布或书面通知，均作无效处理。</w:t>
      </w:r>
    </w:p>
    <w:p w14:paraId="32109EC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10.3未参与标前会议不作为否定投标人资格的理由。</w:t>
      </w:r>
    </w:p>
    <w:bookmarkEnd w:id="51"/>
    <w:p w14:paraId="4F5CA9A4">
      <w:pPr>
        <w:widowControl w:val="0"/>
        <w:ind w:firstLine="411" w:firstLineChars="196"/>
        <w:jc w:val="both"/>
        <w:rPr>
          <w:rFonts w:ascii="宋体" w:hAnsi="宋体" w:eastAsia="宋体"/>
          <w:kern w:val="2"/>
          <w:sz w:val="21"/>
          <w:lang w:eastAsia="zh-CN"/>
        </w:rPr>
      </w:pPr>
    </w:p>
    <w:p w14:paraId="5C1E211D">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招标文件</w:t>
      </w:r>
    </w:p>
    <w:p w14:paraId="169EF855">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11．</w:t>
      </w:r>
      <w:bookmarkStart w:id="53" w:name="_Hlk72399819"/>
      <w:r>
        <w:rPr>
          <w:rFonts w:hint="eastAsia" w:ascii="黑体" w:hAnsi="宋体" w:eastAsia="黑体"/>
          <w:kern w:val="2"/>
          <w:sz w:val="21"/>
          <w:szCs w:val="21"/>
          <w:lang w:eastAsia="zh-CN"/>
        </w:rPr>
        <w:t>招标文件的编制与组成</w:t>
      </w:r>
    </w:p>
    <w:p w14:paraId="082E93AF">
      <w:pPr>
        <w:widowControl w:val="0"/>
        <w:snapToGrid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11.1招标文件除以下内容外，采购代理机构在招标期间发出的澄清或修改等相关公告或通知内容，均是招标文件的组成部分，对投标人起约束作用；</w:t>
      </w:r>
    </w:p>
    <w:p w14:paraId="7BA6109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招标文件包括下列内容：</w:t>
      </w:r>
    </w:p>
    <w:p w14:paraId="2951AC42">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第一册  专用条款</w:t>
      </w:r>
    </w:p>
    <w:p w14:paraId="759AB3D0">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关键信息</w:t>
      </w:r>
    </w:p>
    <w:p w14:paraId="7BCD5F1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招标公告</w:t>
      </w:r>
    </w:p>
    <w:p w14:paraId="6FB78A7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第二章  对通用条款的补充内容及其他关键信息</w:t>
      </w:r>
    </w:p>
    <w:p w14:paraId="01F7D87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第三章  用户需求书</w:t>
      </w:r>
    </w:p>
    <w:p w14:paraId="41046494">
      <w:pPr>
        <w:widowControl w:val="0"/>
        <w:ind w:firstLine="420" w:firstLineChars="200"/>
        <w:jc w:val="both"/>
        <w:rPr>
          <w:rFonts w:ascii="宋体" w:hAnsi="宋体" w:eastAsia="宋体"/>
          <w:kern w:val="2"/>
          <w:sz w:val="21"/>
          <w:szCs w:val="21"/>
          <w:lang w:eastAsia="zh-CN"/>
        </w:rPr>
      </w:pPr>
      <w:r>
        <w:rPr>
          <w:rFonts w:hint="eastAsia" w:eastAsia="宋体"/>
          <w:kern w:val="2"/>
          <w:sz w:val="21"/>
          <w:szCs w:val="21"/>
          <w:lang w:eastAsia="zh-CN"/>
        </w:rPr>
        <w:t>第四章</w:t>
      </w:r>
      <w:r>
        <w:rPr>
          <w:rFonts w:eastAsia="宋体"/>
          <w:kern w:val="2"/>
          <w:sz w:val="21"/>
          <w:szCs w:val="21"/>
          <w:lang w:eastAsia="zh-CN"/>
        </w:rPr>
        <w:t xml:space="preserve">  </w:t>
      </w:r>
      <w:r>
        <w:rPr>
          <w:rFonts w:hint="eastAsia" w:eastAsia="宋体"/>
          <w:kern w:val="2"/>
          <w:sz w:val="21"/>
          <w:szCs w:val="21"/>
          <w:lang w:eastAsia="zh-CN"/>
        </w:rPr>
        <w:t>投标文件格式及附件</w:t>
      </w:r>
    </w:p>
    <w:p w14:paraId="508D5AE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第五章  合同条款及格式</w:t>
      </w:r>
    </w:p>
    <w:p w14:paraId="6F7722B2">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第二册  通用条款</w:t>
      </w:r>
    </w:p>
    <w:p w14:paraId="26D0E28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总则</w:t>
      </w:r>
    </w:p>
    <w:p w14:paraId="2D43B0E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第二章  招标文件</w:t>
      </w:r>
    </w:p>
    <w:p w14:paraId="04B1E0E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第三章  投标文件的编制</w:t>
      </w:r>
    </w:p>
    <w:p w14:paraId="7E051BE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第四章  投标文件的递交</w:t>
      </w:r>
    </w:p>
    <w:p w14:paraId="564F149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第五章  开标</w:t>
      </w:r>
    </w:p>
    <w:p w14:paraId="4D4E1B5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第六章  评审要求</w:t>
      </w:r>
    </w:p>
    <w:p w14:paraId="18B56BB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第七章  评审程序及评审方法</w:t>
      </w:r>
    </w:p>
    <w:p w14:paraId="73738F2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第八章  定标及公示</w:t>
      </w:r>
    </w:p>
    <w:p w14:paraId="48A8D07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第九章  公开招标失败的后续处理</w:t>
      </w:r>
    </w:p>
    <w:p w14:paraId="1BF3731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第十章  合同的授予与备案</w:t>
      </w:r>
    </w:p>
    <w:p w14:paraId="63A3DEB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第十一章  质疑处理</w:t>
      </w:r>
    </w:p>
    <w:p w14:paraId="15948E4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9E1313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201396C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11.4在项目产生质疑、投诉等阶段，主管部门、采购人、代理机构、评审委员会等可以要求供应商提供原件进行核查。</w:t>
      </w:r>
    </w:p>
    <w:p w14:paraId="0664B09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12．招标文件的澄清</w:t>
      </w:r>
    </w:p>
    <w:p w14:paraId="0445336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12.1招标文件澄清的目的是澄清、解答投标人在查阅招标文件后或现场踏勘中可能提出的与投标有关的疑问或询问。</w:t>
      </w:r>
    </w:p>
    <w:p w14:paraId="57846CA3">
      <w:pPr>
        <w:widowControl w:val="0"/>
        <w:ind w:firstLine="420" w:firstLineChars="200"/>
        <w:jc w:val="both"/>
        <w:rPr>
          <w:rFonts w:ascii="宋体" w:hAnsi="宋体" w:eastAsia="宋体"/>
          <w:color w:val="FF0000"/>
          <w:kern w:val="2"/>
          <w:sz w:val="21"/>
          <w:szCs w:val="21"/>
          <w:lang w:eastAsia="zh-CN"/>
        </w:rPr>
      </w:pPr>
      <w:r>
        <w:rPr>
          <w:rFonts w:hint="eastAsia" w:ascii="宋体" w:hAnsi="宋体" w:eastAsia="宋体"/>
          <w:color w:val="FF0000"/>
          <w:kern w:val="2"/>
          <w:sz w:val="21"/>
          <w:szCs w:val="21"/>
          <w:lang w:eastAsia="zh-CN"/>
        </w:rPr>
        <w:t>12.2投标人如对招标文件内容有疑问，应当在招标公告规定的澄清（提问）截止时间前将疑问内容加盖公章书面提交至采购代理机构。</w:t>
      </w:r>
    </w:p>
    <w:p w14:paraId="220472B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12.3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13.3、13.4款规定执行。</w:t>
      </w:r>
    </w:p>
    <w:p w14:paraId="6D860D21">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13．招标文件的修改</w:t>
      </w:r>
    </w:p>
    <w:p w14:paraId="0199F61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13.1招标文件发出后，在投标截止日期前任何时候，确需要变更招标文件内容的，采购代理机构可主动或在解答投标人提出的澄清问题时对招标文件进行修改。</w:t>
      </w:r>
    </w:p>
    <w:p w14:paraId="2E95CDD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13.2招标文件的修改以书面形式（包括采购代理机构网站发布方式，如更正公告等）发送给所有投标人，招标文件的修改内容作为招标文件的组成部分，并具有约束力。</w:t>
      </w:r>
    </w:p>
    <w:p w14:paraId="551BD0F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7548BAE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53"/>
    </w:p>
    <w:p w14:paraId="6EF8620F">
      <w:pPr>
        <w:widowControl w:val="0"/>
        <w:jc w:val="both"/>
        <w:rPr>
          <w:rFonts w:ascii="宋体" w:hAnsi="宋体" w:eastAsia="宋体"/>
          <w:kern w:val="2"/>
          <w:sz w:val="21"/>
          <w:szCs w:val="21"/>
          <w:lang w:eastAsia="zh-CN"/>
        </w:rPr>
      </w:pPr>
    </w:p>
    <w:p w14:paraId="2DEF622A">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投标文件的编制</w:t>
      </w:r>
    </w:p>
    <w:p w14:paraId="4B9D7348">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14．</w:t>
      </w:r>
      <w:bookmarkStart w:id="54" w:name="_Hlk72400236"/>
      <w:r>
        <w:rPr>
          <w:rFonts w:hint="eastAsia" w:ascii="黑体" w:hAnsi="宋体" w:eastAsia="黑体"/>
          <w:kern w:val="2"/>
          <w:sz w:val="21"/>
          <w:szCs w:val="21"/>
          <w:lang w:eastAsia="zh-CN"/>
        </w:rPr>
        <w:t>投标文件的语言及度量单位</w:t>
      </w:r>
    </w:p>
    <w:p w14:paraId="459C135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A433C3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14.2 除技术规范另有规定外，投标文件使用的度量单位，均采用中华人民共和国法定计量单位。</w:t>
      </w:r>
    </w:p>
    <w:bookmarkEnd w:id="54"/>
    <w:p w14:paraId="1D1A07FA">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15．</w:t>
      </w:r>
      <w:bookmarkStart w:id="55" w:name="_Hlk72401567"/>
      <w:r>
        <w:rPr>
          <w:rFonts w:hint="eastAsia" w:ascii="黑体" w:hAnsi="宋体" w:eastAsia="黑体"/>
          <w:kern w:val="2"/>
          <w:sz w:val="21"/>
          <w:szCs w:val="21"/>
          <w:lang w:eastAsia="zh-CN"/>
        </w:rPr>
        <w:t>投标文件的组成</w:t>
      </w:r>
    </w:p>
    <w:p w14:paraId="4E2A636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具体内容在招标文件专用条款中进行规定。</w:t>
      </w:r>
    </w:p>
    <w:p w14:paraId="60FD219C">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16．投标文件格式</w:t>
      </w:r>
    </w:p>
    <w:p w14:paraId="5239F41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投标文件包括本通用条款第15条中规定的内容。如招标文件提供了投标文件格式，则</w:t>
      </w:r>
      <w:r>
        <w:rPr>
          <w:rFonts w:hint="eastAsia" w:ascii="宋体" w:hAnsi="宋体" w:eastAsia="宋体"/>
          <w:b/>
          <w:bCs/>
          <w:kern w:val="2"/>
          <w:sz w:val="21"/>
          <w:szCs w:val="21"/>
          <w:lang w:eastAsia="zh-CN"/>
        </w:rPr>
        <w:t>投标人提交的投标文件应毫无例外地使用招标文件所提供的相应格式</w:t>
      </w:r>
      <w:r>
        <w:rPr>
          <w:rFonts w:hint="eastAsia" w:ascii="宋体" w:hAnsi="宋体" w:eastAsia="宋体"/>
          <w:kern w:val="2"/>
          <w:sz w:val="21"/>
          <w:szCs w:val="21"/>
          <w:lang w:eastAsia="zh-CN"/>
        </w:rPr>
        <w:t>（表格均可按同样格式扩展）。</w:t>
      </w:r>
    </w:p>
    <w:p w14:paraId="1EAA39A6">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17．投标货币</w:t>
      </w:r>
    </w:p>
    <w:p w14:paraId="5997233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本项目的投标报价应以人民币计。</w:t>
      </w:r>
    </w:p>
    <w:bookmarkEnd w:id="55"/>
    <w:p w14:paraId="189FC6B2">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18．</w:t>
      </w:r>
      <w:bookmarkStart w:id="56" w:name="_Hlk72401735"/>
      <w:r>
        <w:rPr>
          <w:rFonts w:hint="eastAsia" w:ascii="黑体" w:hAnsi="宋体" w:eastAsia="黑体"/>
          <w:kern w:val="2"/>
          <w:sz w:val="21"/>
          <w:szCs w:val="21"/>
          <w:lang w:eastAsia="zh-CN"/>
        </w:rPr>
        <w:t>证明投标文件投标技术方案的合格性和符合招标文件规定的文件要求</w:t>
      </w:r>
    </w:p>
    <w:p w14:paraId="3C040E0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18.1 投标人应提交证明文件，证明其投标技术方案项下的货物和服务的合格性符合招标文件规定。该投标技术方案及其证明文件均作为投标文件组成部分。</w:t>
      </w:r>
    </w:p>
    <w:p w14:paraId="488EA7F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766C26D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18.2.1主要技术指标和性能的详细说明。</w:t>
      </w:r>
    </w:p>
    <w:p w14:paraId="0BF0344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18.2.2投标产品从采购人开始使用至招标文件中规定的周期内正常、连续地使用所必须的备件和专用工具清单，包括备件和专用工具的货源及现行价格。</w:t>
      </w:r>
    </w:p>
    <w:p w14:paraId="54389E6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18.2.3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556B36D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eastAsia="宋体"/>
          <w:kern w:val="2"/>
          <w:sz w:val="21"/>
          <w:szCs w:val="21"/>
          <w:lang w:eastAsia="zh-CN"/>
        </w:rPr>
        <w:t>清晰度要求能够使用电脑阅读、识别和判断</w:t>
      </w:r>
      <w:r>
        <w:rPr>
          <w:rFonts w:hint="eastAsia" w:ascii="宋体" w:hAnsi="宋体" w:eastAsia="宋体"/>
          <w:kern w:val="2"/>
          <w:sz w:val="21"/>
          <w:szCs w:val="21"/>
          <w:lang w:eastAsia="zh-CN"/>
        </w:rPr>
        <w:t>；</w:t>
      </w:r>
    </w:p>
    <w:p w14:paraId="38E7ECA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18.2.5我国政府机构出具的产品检验和核准证件应为证件正面、背面和附件标注的全部具体内容；产品检验和核准证件的尺寸和清晰度应该能够在电脑上被阅读、识别和判断，提供原件扫描件。</w:t>
      </w:r>
    </w:p>
    <w:p w14:paraId="404BE75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18.3相关资料不符合18.2款要求的，评审委员会有权认定为投标技术方案不合格响应，其相关分数予以扣减或作投标无效处理。</w:t>
      </w:r>
    </w:p>
    <w:p w14:paraId="65ACA0A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eastAsia="宋体"/>
          <w:kern w:val="2"/>
          <w:sz w:val="21"/>
          <w:szCs w:val="21"/>
          <w:lang w:eastAsia="zh-CN"/>
        </w:rPr>
        <w:t>满足要求</w:t>
      </w:r>
      <w:r>
        <w:rPr>
          <w:rFonts w:hint="eastAsia" w:ascii="宋体" w:hAnsi="宋体" w:eastAsia="宋体"/>
          <w:kern w:val="2"/>
          <w:sz w:val="21"/>
          <w:szCs w:val="21"/>
          <w:lang w:eastAsia="zh-CN"/>
        </w:rPr>
        <w:t>，由评审委员会来评判。</w:t>
      </w:r>
    </w:p>
    <w:p w14:paraId="4E0E4D2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18.5除非另有规定或说明，投标人对同一项目投标时，不得同时提供两套或两套以上的投标方案。</w:t>
      </w:r>
    </w:p>
    <w:bookmarkEnd w:id="56"/>
    <w:p w14:paraId="06D88C0B">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19．</w:t>
      </w:r>
      <w:bookmarkStart w:id="57" w:name="_Hlk72402034"/>
      <w:r>
        <w:rPr>
          <w:rFonts w:hint="eastAsia" w:ascii="黑体" w:hAnsi="宋体" w:eastAsia="黑体"/>
          <w:kern w:val="2"/>
          <w:sz w:val="21"/>
          <w:szCs w:val="21"/>
          <w:lang w:eastAsia="zh-CN"/>
        </w:rPr>
        <w:t>投标文件其他证明文件的要求</w:t>
      </w:r>
    </w:p>
    <w:p w14:paraId="50247D02">
      <w:pPr>
        <w:widowControl w:val="0"/>
        <w:ind w:firstLine="420" w:firstLineChars="200"/>
        <w:jc w:val="both"/>
        <w:rPr>
          <w:rFonts w:ascii="宋体" w:hAnsi="宋体" w:eastAsia="宋体"/>
          <w:color w:val="FF0000"/>
          <w:kern w:val="2"/>
          <w:sz w:val="21"/>
          <w:szCs w:val="21"/>
          <w:lang w:eastAsia="zh-CN"/>
        </w:rPr>
      </w:pPr>
      <w:r>
        <w:rPr>
          <w:rFonts w:hint="eastAsia" w:ascii="宋体" w:hAnsi="宋体" w:eastAsia="宋体"/>
          <w:kern w:val="2"/>
          <w:sz w:val="21"/>
          <w:szCs w:val="21"/>
          <w:lang w:eastAsia="zh-CN"/>
        </w:rPr>
        <w:t>19.1采用综合评分法的项目，对项目招标文件《评标信息》评分项中涉及的相关业绩、社保情况等内容以及《资格性审查表》和《符合性审查表》中涉及的证明材料，投标人应提供相关部门出具的证明材料扫描件或照片。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58" w:name="_Hlk71407299"/>
    </w:p>
    <w:bookmarkEnd w:id="58"/>
    <w:p w14:paraId="383E293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10CBE86C">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20．投标有效期</w:t>
      </w:r>
    </w:p>
    <w:bookmarkEnd w:id="57"/>
    <w:p w14:paraId="5F3DD8CC">
      <w:pPr>
        <w:widowControl w:val="0"/>
        <w:ind w:firstLine="420" w:firstLineChars="200"/>
        <w:jc w:val="both"/>
        <w:rPr>
          <w:rFonts w:ascii="宋体" w:hAnsi="宋体" w:eastAsia="宋体"/>
          <w:kern w:val="2"/>
          <w:sz w:val="21"/>
          <w:szCs w:val="21"/>
          <w:lang w:eastAsia="zh-CN"/>
        </w:rPr>
      </w:pPr>
      <w:bookmarkStart w:id="59" w:name="_Hlk72402214"/>
      <w:r>
        <w:rPr>
          <w:rFonts w:hint="eastAsia" w:ascii="宋体" w:hAnsi="宋体" w:eastAsia="宋体"/>
          <w:kern w:val="2"/>
          <w:sz w:val="21"/>
          <w:szCs w:val="21"/>
          <w:lang w:eastAsia="zh-CN"/>
        </w:rPr>
        <w:t>20.1 投标有效期为</w:t>
      </w:r>
      <w:r>
        <w:rPr>
          <w:rFonts w:hint="eastAsia" w:ascii="Arial" w:hAnsi="Arial" w:eastAsia="宋体" w:cs="Arial"/>
          <w:kern w:val="2"/>
          <w:sz w:val="21"/>
          <w:szCs w:val="21"/>
          <w:lang w:eastAsia="zh-CN"/>
        </w:rPr>
        <w:t>从投标截止之日算起的日历天数。</w:t>
      </w:r>
      <w:r>
        <w:rPr>
          <w:rFonts w:hint="eastAsia" w:ascii="宋体" w:hAnsi="宋体" w:eastAsia="宋体"/>
          <w:kern w:val="2"/>
          <w:sz w:val="21"/>
          <w:szCs w:val="21"/>
          <w:lang w:eastAsia="zh-CN"/>
        </w:rPr>
        <w:t>在此期限内，所有投标文件均保持有效。</w:t>
      </w:r>
    </w:p>
    <w:p w14:paraId="6148E45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20.2 在特殊情况下，采购代理机构在原定的投标有效期满之前，采购代理机构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2D846A5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20.3 中标供应商的投标文件有效期，截止于完成本招标文件规定的全部项目内容，并通过竣工验收及保修期结束。</w:t>
      </w:r>
    </w:p>
    <w:bookmarkEnd w:id="59"/>
    <w:p w14:paraId="737FD471">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21．</w:t>
      </w:r>
      <w:bookmarkStart w:id="60" w:name="_Hlk72402325"/>
      <w:r>
        <w:rPr>
          <w:rFonts w:hint="eastAsia" w:ascii="黑体" w:hAnsi="宋体" w:eastAsia="黑体"/>
          <w:kern w:val="2"/>
          <w:sz w:val="21"/>
          <w:szCs w:val="21"/>
          <w:lang w:eastAsia="zh-CN"/>
        </w:rPr>
        <w:t xml:space="preserve">关于投标保证金 </w:t>
      </w:r>
    </w:p>
    <w:p w14:paraId="3EA6858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21.1</w:t>
      </w:r>
      <w:r>
        <w:rPr>
          <w:rFonts w:hint="eastAsia" w:eastAsia="宋体"/>
          <w:kern w:val="2"/>
          <w:sz w:val="21"/>
          <w:szCs w:val="21"/>
          <w:lang w:eastAsia="zh-CN"/>
        </w:rPr>
        <w:t>根据《深圳市财政局关于调整政府采购投标（响应）保证金管理政策的通知》（深财购〔</w:t>
      </w:r>
      <w:r>
        <w:rPr>
          <w:rFonts w:eastAsia="宋体"/>
          <w:kern w:val="2"/>
          <w:sz w:val="21"/>
          <w:szCs w:val="21"/>
          <w:lang w:eastAsia="zh-CN"/>
        </w:rPr>
        <w:t>2021</w:t>
      </w:r>
      <w:r>
        <w:rPr>
          <w:rFonts w:hint="eastAsia" w:eastAsia="宋体"/>
          <w:kern w:val="2"/>
          <w:sz w:val="21"/>
          <w:szCs w:val="21"/>
          <w:lang w:eastAsia="zh-CN"/>
        </w:rPr>
        <w:t>〕</w:t>
      </w:r>
      <w:r>
        <w:rPr>
          <w:rFonts w:eastAsia="宋体"/>
          <w:kern w:val="2"/>
          <w:sz w:val="21"/>
          <w:szCs w:val="21"/>
          <w:lang w:eastAsia="zh-CN"/>
        </w:rPr>
        <w:t>51</w:t>
      </w:r>
      <w:r>
        <w:rPr>
          <w:rFonts w:hint="eastAsia" w:eastAsia="宋体"/>
          <w:kern w:val="2"/>
          <w:sz w:val="21"/>
          <w:szCs w:val="21"/>
          <w:lang w:eastAsia="zh-CN"/>
        </w:rPr>
        <w:t>号）文的规定，本项目不收取投标保证金。</w:t>
      </w:r>
    </w:p>
    <w:p w14:paraId="5615CA57">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22．投标人的替代方案</w:t>
      </w:r>
    </w:p>
    <w:p w14:paraId="0A74D08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1DEB78A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60"/>
    <w:p w14:paraId="4EE7649E">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23．</w:t>
      </w:r>
      <w:bookmarkStart w:id="61" w:name="_Hlk72402860"/>
      <w:r>
        <w:rPr>
          <w:rFonts w:hint="eastAsia" w:ascii="黑体" w:hAnsi="宋体" w:eastAsia="黑体"/>
          <w:kern w:val="2"/>
          <w:sz w:val="21"/>
          <w:szCs w:val="21"/>
          <w:lang w:eastAsia="zh-CN"/>
        </w:rPr>
        <w:t>投标文件的制作要求</w:t>
      </w:r>
    </w:p>
    <w:p w14:paraId="2DCFEB7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23.1投标人应准备所投项目的电子投标文件一份。</w:t>
      </w:r>
    </w:p>
    <w:p w14:paraId="665F9AC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23.2投标人在使用《投标书编制软件》编制投标书时须注意：</w:t>
      </w:r>
    </w:p>
    <w:p w14:paraId="23DD1C4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23.2.1导入《投标书编制软件》的招标文件项目编号、包号应与以此制作的投标文件项目编号、包号一致。例如，不能将甲项目A包的招标书导入《投标书编制软件》，制作乙项目B包的投标书。</w:t>
      </w:r>
    </w:p>
    <w:p w14:paraId="5898F8D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23.2.2不能用非本公司的电子密钥加密本公司的投标文件，或者用其它公司的登录用户上传本公司的投标文件。</w:t>
      </w:r>
    </w:p>
    <w:p w14:paraId="3F6303E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23.2.3要求用《投标书编制软件》编制投标书的包，不能用其它方式编制投标书。编制投标文件时，电脑须连通互联网。</w:t>
      </w:r>
    </w:p>
    <w:p w14:paraId="014A07B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23.2.4投标文件不能带病毒。采购代理机构将用专业杀毒软件对投标文件进行病毒检测，如果这两种软件均报告发现病毒，则采购代理机构认为该投标文件带病毒。</w:t>
      </w:r>
    </w:p>
    <w:p w14:paraId="2666CE4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23.2.5投标人在编辑投标文件时，在投标文件目录中属于本节点内容的需在对应节点中填写，填写到其他节点后果由供应商自行承担。</w:t>
      </w:r>
    </w:p>
    <w:p w14:paraId="6D24C2A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23.2.6采购代理机构不接受投标截止时间后递交的纸质、电子、传真等所有形式的投标文件。由于对网上自行采购系统操作不熟悉或自身电脑、网络等原因导致不能在投标截止时间之前上传投标文件，采购代理机构概不负责。建议于开标前一个工作日完成投标文件的制作与上传，如上传确有困难，请及时咨询。</w:t>
      </w:r>
    </w:p>
    <w:p w14:paraId="6EB48F8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23.2.7如果开标时出现网络故障、技术故障，影响了采购活动，采购代理机构有权采取措施如延期、接受无法从网上上传的投标书等，以保障采购活动的公开、公平和公正。</w:t>
      </w:r>
    </w:p>
    <w:p w14:paraId="2C27B7F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23.3电报、电话、传真形式的投标概不接受。</w:t>
      </w:r>
    </w:p>
    <w:p w14:paraId="4A70F8DA">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23.4经投标人电子密钥加密的投标文件无须盖章或签字，</w:t>
      </w:r>
      <w:r>
        <w:rPr>
          <w:rFonts w:hint="eastAsia" w:ascii="宋体" w:hAnsi="宋体" w:eastAsia="宋体"/>
          <w:kern w:val="2"/>
          <w:sz w:val="21"/>
          <w:szCs w:val="21"/>
          <w:lang w:eastAsia="zh-CN"/>
        </w:rPr>
        <w:t>专用条款另有要求的除外。</w:t>
      </w:r>
    </w:p>
    <w:p w14:paraId="7931A512">
      <w:pPr>
        <w:widowControl w:val="0"/>
        <w:ind w:firstLine="422" w:firstLineChars="200"/>
        <w:jc w:val="both"/>
        <w:rPr>
          <w:rFonts w:ascii="宋体" w:hAnsi="宋体" w:eastAsia="宋体"/>
          <w:kern w:val="2"/>
          <w:sz w:val="21"/>
          <w:lang w:eastAsia="zh-CN"/>
        </w:rPr>
      </w:pPr>
      <w:r>
        <w:rPr>
          <w:rFonts w:hint="eastAsia" w:ascii="宋体" w:hAnsi="宋体" w:eastAsia="宋体"/>
          <w:b/>
          <w:kern w:val="2"/>
          <w:sz w:val="21"/>
          <w:szCs w:val="21"/>
          <w:lang w:eastAsia="zh-CN"/>
        </w:rPr>
        <w:t>23.5</w:t>
      </w:r>
      <w:r>
        <w:rPr>
          <w:rFonts w:hint="eastAsia" w:ascii="宋体" w:hAnsi="宋体" w:eastAsia="宋体"/>
          <w:kern w:val="2"/>
          <w:sz w:val="21"/>
          <w:szCs w:val="21"/>
          <w:lang w:eastAsia="zh-CN"/>
        </w:rPr>
        <w:t xml:space="preserve"> 各类资格（资质）文件提供扫描件，专用条款另有要求的除外。</w:t>
      </w:r>
      <w:bookmarkEnd w:id="61"/>
    </w:p>
    <w:p w14:paraId="21DB1BE1">
      <w:pPr>
        <w:widowControl w:val="0"/>
        <w:ind w:firstLine="411" w:firstLineChars="196"/>
        <w:jc w:val="both"/>
        <w:rPr>
          <w:rFonts w:ascii="宋体" w:hAnsi="宋体" w:eastAsia="宋体"/>
          <w:kern w:val="2"/>
          <w:sz w:val="21"/>
          <w:szCs w:val="21"/>
          <w:lang w:eastAsia="zh-CN"/>
        </w:rPr>
      </w:pPr>
    </w:p>
    <w:p w14:paraId="50159B8E">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投标文件的递交</w:t>
      </w:r>
    </w:p>
    <w:p w14:paraId="78CF30BC">
      <w:pPr>
        <w:widowControl w:val="0"/>
        <w:ind w:firstLine="420" w:firstLineChars="200"/>
        <w:jc w:val="both"/>
        <w:rPr>
          <w:rFonts w:ascii="黑体" w:hAnsi="宋体" w:eastAsia="黑体"/>
          <w:kern w:val="2"/>
          <w:sz w:val="21"/>
          <w:szCs w:val="21"/>
          <w:lang w:eastAsia="zh-CN"/>
        </w:rPr>
      </w:pPr>
      <w:bookmarkStart w:id="62" w:name="_Hlk72405459"/>
      <w:r>
        <w:rPr>
          <w:rFonts w:hint="eastAsia" w:ascii="黑体" w:hAnsi="宋体" w:eastAsia="黑体"/>
          <w:kern w:val="2"/>
          <w:sz w:val="21"/>
          <w:szCs w:val="21"/>
          <w:lang w:eastAsia="zh-CN"/>
        </w:rPr>
        <w:t>24．投标文件的保密</w:t>
      </w:r>
    </w:p>
    <w:p w14:paraId="779CA5C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24.1在投标文件制作完成后，生成后会选择是否加密投标文件，如不加密则直接点击生成文件即可，如需加密请插入CA锁，点击加密后生成文件，需输入CA锁密码即可加密成功。加密后会提示文件生成成功！(注意：如对投标文件加密的，则投标人必须在开标当日用加密文件时使用的锁在项目规定时间内解密！逾期未解密的作投标无效处理。)</w:t>
      </w:r>
    </w:p>
    <w:p w14:paraId="0A19850F">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24.2若采购项目出现延期情况：</w:t>
      </w:r>
    </w:p>
    <w:p w14:paraId="78C83E25">
      <w:pPr>
        <w:widowControl w:val="0"/>
        <w:ind w:firstLine="422" w:firstLineChars="200"/>
        <w:jc w:val="both"/>
        <w:rPr>
          <w:rFonts w:ascii="黑体" w:hAnsi="宋体" w:eastAsia="黑体"/>
          <w:b/>
          <w:kern w:val="2"/>
          <w:sz w:val="21"/>
          <w:szCs w:val="21"/>
          <w:lang w:eastAsia="zh-CN"/>
        </w:rPr>
      </w:pPr>
      <w:r>
        <w:rPr>
          <w:rFonts w:hint="eastAsia" w:ascii="宋体" w:hAnsi="宋体" w:eastAsia="宋体"/>
          <w:b/>
          <w:kern w:val="2"/>
          <w:sz w:val="21"/>
          <w:szCs w:val="21"/>
          <w:lang w:eastAsia="zh-CN"/>
        </w:rPr>
        <w:t>如果供下载的招标文件有更新，投标人必须重新下载招标文件、重新制作投标文件、重新上传投标文件。</w:t>
      </w:r>
    </w:p>
    <w:p w14:paraId="02A7A1AB">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25．上传投标文件及投标截止日期</w:t>
      </w:r>
    </w:p>
    <w:p w14:paraId="73BF031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25.1实行网上投标，投标人必须在招标文件规定的投标截止时间前用电子密钥登录“深圳市自行采购系统（https://trade.szggzy.com/ggzy/center/#/login）”上传投标文件。如上传过程中遇到问题，可拨打采购公告中的技术支持电话。如多次上传均告失败，请在投标截止时间之前携带电子投标文件送达至</w:t>
      </w:r>
      <w:r>
        <w:rPr>
          <w:rFonts w:hint="eastAsia" w:ascii="宋体" w:hAnsi="宋体" w:eastAsia="宋体"/>
          <w:b/>
          <w:bCs/>
          <w:kern w:val="2"/>
          <w:sz w:val="21"/>
          <w:szCs w:val="21"/>
          <w:lang w:eastAsia="zh-CN"/>
        </w:rPr>
        <w:t>深圳公共资源交易中心（深圳交易集团有限公司政府采购业务分公司）3楼服务大厅（地址：深圳市南山区沙河西路3185号南山智谷A座深圳交易集团总部大楼）协助上传，但上传过程中投标截止时间到达仍无法上传成功的，由投标人自行负责</w:t>
      </w:r>
      <w:r>
        <w:rPr>
          <w:rFonts w:hint="eastAsia" w:ascii="宋体" w:hAnsi="宋体" w:eastAsia="宋体"/>
          <w:kern w:val="2"/>
          <w:sz w:val="21"/>
          <w:szCs w:val="21"/>
          <w:lang w:eastAsia="zh-CN"/>
        </w:rPr>
        <w:t>。</w:t>
      </w:r>
    </w:p>
    <w:p w14:paraId="669A656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1178D7D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25.3投标截止时间以后不得上传投标文件。</w:t>
      </w:r>
    </w:p>
    <w:bookmarkEnd w:id="62"/>
    <w:p w14:paraId="49C38BFD">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26. 样品、现场演示、方案讲解</w:t>
      </w:r>
    </w:p>
    <w:p w14:paraId="5FF3978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26.1 样品、现场演示、方案讲解等事项在招标文件专用条款中进行规定。</w:t>
      </w:r>
    </w:p>
    <w:p w14:paraId="6B452388">
      <w:pPr>
        <w:widowControl w:val="0"/>
        <w:ind w:firstLine="420" w:firstLineChars="200"/>
        <w:jc w:val="both"/>
        <w:rPr>
          <w:rFonts w:ascii="黑体" w:hAnsi="宋体" w:eastAsia="黑体"/>
          <w:kern w:val="2"/>
          <w:sz w:val="21"/>
          <w:szCs w:val="21"/>
          <w:lang w:eastAsia="zh-CN"/>
        </w:rPr>
      </w:pPr>
      <w:bookmarkStart w:id="63" w:name="_Hlk72428346"/>
      <w:r>
        <w:rPr>
          <w:rFonts w:hint="eastAsia" w:ascii="黑体" w:hAnsi="宋体" w:eastAsia="黑体"/>
          <w:kern w:val="2"/>
          <w:sz w:val="21"/>
          <w:szCs w:val="21"/>
          <w:lang w:eastAsia="zh-CN"/>
        </w:rPr>
        <w:t>27．投标文件的修改和撤销</w:t>
      </w:r>
    </w:p>
    <w:p w14:paraId="6D2A9BE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27.1投标方在提交投标文件后可对其投标文件进行修改并重新上传投标文件或在网上进行撤销投标的操作。</w:t>
      </w:r>
    </w:p>
    <w:p w14:paraId="096F445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27.2投标截止时间以后不得修改投标文件。</w:t>
      </w:r>
    </w:p>
    <w:p w14:paraId="63A0DCC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27.3从投标截止期至投标人在投标文件中确定的投标有效期之间的这段时间内，投标人不得撤回其投标。</w:t>
      </w:r>
    </w:p>
    <w:p w14:paraId="420D191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27.4采购代理机构不退还投标文件，专用条款另有规定的除外。</w:t>
      </w:r>
    </w:p>
    <w:bookmarkEnd w:id="63"/>
    <w:p w14:paraId="71C6A4C1">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开标</w:t>
      </w:r>
    </w:p>
    <w:p w14:paraId="7611B228">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28．开标</w:t>
      </w:r>
    </w:p>
    <w:p w14:paraId="5372922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28.1如对投标文件加密的，则投标人须在开标当日的开标时间至解密截止时间内进行解密，逾期未解密的作投标无效处理。解密方法：登录“深圳市自行采购系统（https://trade.szggzy.com/ggzy/center/#/login）”，使用本单位制作电子投标文件同一个电子密钥进行在线解密、查询开标情况。</w:t>
      </w:r>
    </w:p>
    <w:p w14:paraId="3C71369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28.2采购代理机构将在满足开标条件【解密时间结束，未对投标文件加密的供应商（未加密的投标文件无需解密）及对投标文件加密并在解密时间结束前成功解密的投标供应商数量满足开标条件后】对投标文件进行开标，并在网上公布开标结果。</w:t>
      </w:r>
    </w:p>
    <w:p w14:paraId="35DEC515">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评审要求</w:t>
      </w:r>
    </w:p>
    <w:p w14:paraId="04B3135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29．评审委员会组成</w:t>
      </w:r>
    </w:p>
    <w:p w14:paraId="45E0487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29.1网上开标结束后召开评审会议，评审委员会由采购代理机构依法组建，负责评审活动。</w:t>
      </w:r>
    </w:p>
    <w:p w14:paraId="64F3030F">
      <w:pPr>
        <w:widowControl w:val="0"/>
        <w:ind w:firstLine="420" w:firstLineChars="200"/>
        <w:jc w:val="both"/>
        <w:rPr>
          <w:rFonts w:ascii="宋体" w:hAnsi="宋体" w:eastAsia="宋体"/>
          <w:color w:val="FF0000"/>
          <w:kern w:val="2"/>
          <w:sz w:val="21"/>
          <w:szCs w:val="21"/>
          <w:lang w:eastAsia="zh-CN"/>
        </w:rPr>
      </w:pPr>
      <w:bookmarkStart w:id="64" w:name="_Hlk72436580"/>
      <w:r>
        <w:rPr>
          <w:rFonts w:hint="eastAsia" w:ascii="宋体" w:hAnsi="宋体" w:eastAsia="宋体"/>
          <w:kern w:val="2"/>
          <w:sz w:val="21"/>
          <w:szCs w:val="21"/>
          <w:lang w:eastAsia="zh-CN"/>
        </w:rPr>
        <w:t>评审委员会由采购人代表和评审专家组成，成员人数应当为5人以上单数（部分条件下为7人以上单数），其中评审专家不得少于成员总数的三分之二。</w:t>
      </w:r>
      <w:bookmarkEnd w:id="64"/>
      <w:r>
        <w:rPr>
          <w:rFonts w:hint="eastAsia" w:ascii="宋体" w:hAnsi="宋体" w:eastAsia="宋体"/>
          <w:kern w:val="2"/>
          <w:sz w:val="21"/>
          <w:szCs w:val="21"/>
          <w:lang w:eastAsia="zh-CN"/>
        </w:rPr>
        <w:t>评定</w:t>
      </w:r>
      <w:r>
        <w:rPr>
          <w:rFonts w:hint="eastAsia" w:eastAsia="宋体"/>
          <w:kern w:val="2"/>
          <w:sz w:val="21"/>
          <w:szCs w:val="21"/>
          <w:lang w:eastAsia="zh-CN"/>
        </w:rPr>
        <w:t>分离项目评审专家均由评审专家组成。</w:t>
      </w:r>
      <w:r>
        <w:rPr>
          <w:rFonts w:hint="eastAsia" w:ascii="宋体" w:hAnsi="宋体" w:eastAsia="宋体"/>
          <w:kern w:val="2"/>
          <w:sz w:val="21"/>
          <w:szCs w:val="21"/>
          <w:lang w:eastAsia="zh-CN"/>
        </w:rPr>
        <w:t>评审专家一般是从深圳市政府采购评审专家库中随机抽取。采购人代表须持本单位签发的《评审授权书》参加评审。</w:t>
      </w:r>
      <w:r>
        <w:rPr>
          <w:rFonts w:hint="eastAsia" w:ascii="宋体" w:hAnsi="宋体" w:eastAsia="宋体"/>
          <w:color w:val="FF0000"/>
          <w:kern w:val="2"/>
          <w:sz w:val="21"/>
          <w:szCs w:val="21"/>
          <w:lang w:eastAsia="zh-CN"/>
        </w:rPr>
        <w:t>根据财政部门要求，将食材、物业管理、清扫保洁、保安服务、家具、窗帘、园林绿化、社工服务、“城市管家”九类采购项目作为严管项目，实行“通用品目+专业品目”组合抽取制。严管项目的范围由市财政部门根据监管需要适时调整。上述所称专业品目是指，与项目采购标的相对应的品目，具体由采购人商采购代理机构根据项目需求自主确定。通用品目具体由会计、审计、法律、人力资源管理、资产评估、金融服务品目下的所有专家合并组成。专业品目下产生的专家人数占抽取总人数的比例不得超过50%（含本数），除此之外的专家均从通用品目库中随机抽取。注：论证专家抽取规则无需按此要求执行，具体严管项目的范围由市财政部门根据监管需要适时调整。</w:t>
      </w:r>
    </w:p>
    <w:p w14:paraId="2CEF4D0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29.2评审定标应当遵循公平、公正、科学、择优的原则。</w:t>
      </w:r>
    </w:p>
    <w:p w14:paraId="44FDDFC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29.3评审活动依法进行，任何单位和个人不得非法干预评标过程和结果。</w:t>
      </w:r>
    </w:p>
    <w:p w14:paraId="6FE472C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29.4评审过程中不允许违背评标程序或采用招标文件未载明的评标方法或评标因素进行评标。</w:t>
      </w:r>
    </w:p>
    <w:p w14:paraId="23141EBF">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29.5 开标后，直到签订合同为止，凡属于对投标文件的审查、澄清、评价和比较的有关资料以及中标候选人的推荐情况、与评审有关的其他任何情况均严格保密（</w:t>
      </w:r>
      <w:r>
        <w:rPr>
          <w:rFonts w:hint="eastAsia" w:eastAsia="宋体"/>
          <w:kern w:val="2"/>
          <w:sz w:val="21"/>
          <w:szCs w:val="21"/>
          <w:lang w:eastAsia="zh-CN"/>
        </w:rPr>
        <w:t>信息公开的内容除外</w:t>
      </w:r>
      <w:r>
        <w:rPr>
          <w:rFonts w:hint="eastAsia" w:ascii="宋体" w:hAnsi="宋体" w:eastAsia="宋体"/>
          <w:bCs/>
          <w:kern w:val="2"/>
          <w:sz w:val="21"/>
          <w:szCs w:val="21"/>
          <w:lang w:eastAsia="zh-CN"/>
        </w:rPr>
        <w:t>）。</w:t>
      </w:r>
    </w:p>
    <w:p w14:paraId="7D2DCD72">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30．向评审委员会提供的资料</w:t>
      </w:r>
    </w:p>
    <w:p w14:paraId="369E8E3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30.1公开发布的招标文件，包括图纸、服务清单、答疑文件等；</w:t>
      </w:r>
    </w:p>
    <w:p w14:paraId="406BB9B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30.2其他评标必须的资料。</w:t>
      </w:r>
    </w:p>
    <w:p w14:paraId="73AA92D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30.3评审委员会应当认真研究招标文件，至少应了解熟悉以下内容：</w:t>
      </w:r>
    </w:p>
    <w:p w14:paraId="17147FB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（1）招标的目的；</w:t>
      </w:r>
    </w:p>
    <w:p w14:paraId="4EA6F65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（2）招标项目需求的范围和性质；</w:t>
      </w:r>
    </w:p>
    <w:p w14:paraId="7FB643D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（3）招标文件规定的投标人的资格、财政预算限额、商务条款；</w:t>
      </w:r>
    </w:p>
    <w:p w14:paraId="161C329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（4）招标文件规定的评标程序、评标方法和评标因素；</w:t>
      </w:r>
    </w:p>
    <w:p w14:paraId="23C17E7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（5）招标文件所列示的资格性审查表及符合性审查表。</w:t>
      </w:r>
    </w:p>
    <w:p w14:paraId="43867528">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31．独立评审</w:t>
      </w:r>
    </w:p>
    <w:p w14:paraId="1B4494A6">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31.1</w:t>
      </w:r>
      <w:r>
        <w:rPr>
          <w:rFonts w:hint="eastAsia" w:ascii="宋体" w:hAnsi="宋体" w:eastAsia="宋体"/>
          <w:kern w:val="2"/>
          <w:sz w:val="21"/>
          <w:szCs w:val="21"/>
          <w:lang w:eastAsia="zh-CN"/>
        </w:rPr>
        <w:t>评审委员会</w:t>
      </w:r>
      <w:r>
        <w:rPr>
          <w:rFonts w:hint="eastAsia" w:ascii="宋体" w:hAnsi="宋体" w:eastAsia="宋体"/>
          <w:bCs/>
          <w:kern w:val="2"/>
          <w:sz w:val="21"/>
          <w:szCs w:val="21"/>
          <w:lang w:eastAsia="zh-CN"/>
        </w:rPr>
        <w:t>成员的评标活动应当独立进行，并应遵循投标文件初审、澄清有关问题、比较与评价、确定中标供应商、编写评审报告的工作程序。</w:t>
      </w:r>
    </w:p>
    <w:p w14:paraId="255FDC9D">
      <w:pPr>
        <w:widowControl w:val="0"/>
        <w:ind w:firstLine="411" w:firstLineChars="196"/>
        <w:jc w:val="both"/>
        <w:rPr>
          <w:rFonts w:ascii="宋体" w:hAnsi="宋体" w:eastAsia="宋体"/>
          <w:bCs/>
          <w:kern w:val="2"/>
          <w:sz w:val="21"/>
          <w:szCs w:val="21"/>
          <w:lang w:eastAsia="zh-CN"/>
        </w:rPr>
      </w:pPr>
    </w:p>
    <w:p w14:paraId="2C94C6C1">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评审程序及评审方法</w:t>
      </w:r>
    </w:p>
    <w:p w14:paraId="268B7A37">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32．投标文件初审</w:t>
      </w:r>
    </w:p>
    <w:p w14:paraId="23CC286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32.1投标文件初审包括资格性审查和符合性审查。</w:t>
      </w:r>
    </w:p>
    <w:p w14:paraId="2CE8DC7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资格性审查：依据法律法规和招标文件的规定，对投标文件中的资格证明等进行审查，以确定投标供应商是否具备投标资格。</w:t>
      </w:r>
    </w:p>
    <w:p w14:paraId="7F29928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符合性审查：依据招标文件的规定，对投标文件的有效性、完整性和对招标文件的响应程度进行审查，以确定是否满足符合性审查的要求。</w:t>
      </w:r>
    </w:p>
    <w:p w14:paraId="62F3209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32.2 投标文件初审内容请详见《资格性审查表》和《符合性审查表》部分。投标人若有一条审查不通过则按投标无效处理。</w:t>
      </w:r>
    </w:p>
    <w:p w14:paraId="27A53108">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 投标文件初审中关于供应商家数的计算:</w:t>
      </w:r>
    </w:p>
    <w:p w14:paraId="38A4E759">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2338F94C">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0138588A">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32.3.3非单一产品采购项目，采购人应当根据采购项目技术构成、产品价格比重等合理确定核心产品，并在招标文件中载明。多家投标人提供的核心产品品牌相同的，按前两款规定处理。</w:t>
      </w:r>
    </w:p>
    <w:p w14:paraId="63F5649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32.4投标人投标文件作无效处理的情形，具体包括但不限于以下：</w:t>
      </w:r>
    </w:p>
    <w:p w14:paraId="79D9FF94">
      <w:pPr>
        <w:widowControl w:val="0"/>
        <w:ind w:firstLine="420" w:firstLineChars="200"/>
        <w:jc w:val="both"/>
        <w:rPr>
          <w:rFonts w:eastAsia="宋体"/>
          <w:kern w:val="2"/>
          <w:sz w:val="21"/>
          <w:szCs w:val="21"/>
          <w:lang w:eastAsia="zh-CN"/>
        </w:rPr>
      </w:pPr>
      <w:r>
        <w:rPr>
          <w:rFonts w:hint="eastAsia" w:ascii="宋体" w:hAnsi="宋体" w:eastAsia="宋体"/>
          <w:kern w:val="2"/>
          <w:sz w:val="21"/>
          <w:szCs w:val="21"/>
          <w:lang w:eastAsia="zh-CN"/>
        </w:rPr>
        <w:t>32.4.1</w:t>
      </w:r>
      <w:r>
        <w:rPr>
          <w:rFonts w:hint="eastAsia" w:eastAsia="宋体"/>
          <w:kern w:val="2"/>
          <w:sz w:val="21"/>
          <w:szCs w:val="21"/>
          <w:lang w:eastAsia="zh-CN"/>
        </w:rPr>
        <w:t>不同投标人的投标文件由同一单位或者同一个人编制，或者由同一个人分阶段参与编制；</w:t>
      </w:r>
    </w:p>
    <w:p w14:paraId="40BE305A">
      <w:pPr>
        <w:widowControl w:val="0"/>
        <w:ind w:firstLine="420" w:firstLineChars="200"/>
        <w:jc w:val="both"/>
        <w:rPr>
          <w:rFonts w:eastAsia="宋体"/>
          <w:kern w:val="2"/>
          <w:sz w:val="21"/>
          <w:szCs w:val="21"/>
          <w:lang w:eastAsia="zh-CN"/>
        </w:rPr>
      </w:pPr>
      <w:r>
        <w:rPr>
          <w:rFonts w:hint="eastAsia" w:ascii="宋体" w:hAnsi="宋体" w:eastAsia="宋体"/>
          <w:kern w:val="2"/>
          <w:sz w:val="21"/>
          <w:szCs w:val="21"/>
          <w:lang w:eastAsia="zh-CN"/>
        </w:rPr>
        <w:t>32.4.2</w:t>
      </w:r>
      <w:r>
        <w:rPr>
          <w:rFonts w:hint="eastAsia" w:eastAsia="宋体"/>
          <w:kern w:val="2"/>
          <w:sz w:val="21"/>
          <w:szCs w:val="21"/>
          <w:lang w:eastAsia="zh-CN"/>
        </w:rPr>
        <w:t>不同投标人委托同一单位或者个人办理投标事宜；</w:t>
      </w:r>
    </w:p>
    <w:p w14:paraId="240AA90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32.4.3不同投标人的投标文件载明的项目管理成员或者联系人员为同一人；</w:t>
      </w:r>
    </w:p>
    <w:p w14:paraId="6EEC7A5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32.4.4不同投标人的投标文件异常一致或者投标报价呈规律性差异；</w:t>
      </w:r>
    </w:p>
    <w:p w14:paraId="3DCA1C0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32.4.5不同投标供应商的投标文件或部分投标文件相互混装；</w:t>
      </w:r>
    </w:p>
    <w:p w14:paraId="4295612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32.4.6投标供应商之间相互约定给予未中标的供应商利益补偿；</w:t>
      </w:r>
    </w:p>
    <w:p w14:paraId="1B77558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32.4.7不同投标供应商的法定代表人、主要经营负责人、项目投标授权代表人、项目负责人、主要技术人员为同一人、属同一单位或者同一单位缴纳社会保险；</w:t>
      </w:r>
    </w:p>
    <w:p w14:paraId="32D8935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32.4.8不同投标供应商的投标文件内容存在非正常一致；</w:t>
      </w:r>
    </w:p>
    <w:p w14:paraId="637A8E2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32.4.9在同一单位工作人员为两家以上（含两家）供应商进行同一项投标活动；</w:t>
      </w:r>
    </w:p>
    <w:p w14:paraId="2C88EFF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32.4.10主管部门依照法律、法规认定的其他情形。</w:t>
      </w:r>
    </w:p>
    <w:p w14:paraId="4FDD47B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32.5对不属于《资格性审查表》和《符合性审查表》所列的其他情形，除专用条款另有规定和32.4条款所列情形外，不得作为投标无效的理由。</w:t>
      </w:r>
    </w:p>
    <w:p w14:paraId="4A2504B7">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33．澄清有关问题</w:t>
      </w:r>
    </w:p>
    <w:p w14:paraId="3AA8E5DD">
      <w:pPr>
        <w:widowControl w:val="0"/>
        <w:ind w:firstLine="420" w:firstLineChars="200"/>
        <w:jc w:val="both"/>
        <w:rPr>
          <w:rFonts w:ascii="宋体" w:hAnsi="宋体" w:eastAsia="宋体"/>
          <w:kern w:val="2"/>
          <w:sz w:val="21"/>
          <w:szCs w:val="21"/>
          <w:lang w:eastAsia="zh-CN"/>
        </w:rPr>
      </w:pPr>
      <w:bookmarkStart w:id="65" w:name="_Hlk71407321"/>
      <w:r>
        <w:rPr>
          <w:rFonts w:hint="eastAsia" w:ascii="宋体" w:hAnsi="宋体" w:eastAsia="宋体"/>
          <w:kern w:val="2"/>
          <w:sz w:val="21"/>
          <w:szCs w:val="21"/>
          <w:lang w:eastAsia="zh-CN"/>
        </w:rPr>
        <w:t>33.1对招标文件中描述有歧义或前后不一致的地方（不含</w:t>
      </w:r>
      <w:r>
        <w:rPr>
          <w:rFonts w:hint="eastAsia" w:eastAsia="宋体"/>
          <w:kern w:val="2"/>
          <w:sz w:val="21"/>
          <w:szCs w:val="21"/>
          <w:lang w:eastAsia="zh-CN"/>
        </w:rPr>
        <w:t>招标文件存在歧义、重大缺陷导致评审工作无法进行的情况）</w:t>
      </w:r>
      <w:r>
        <w:rPr>
          <w:rFonts w:hint="eastAsia" w:ascii="宋体" w:hAnsi="宋体" w:eastAsia="宋体"/>
          <w:kern w:val="2"/>
          <w:sz w:val="21"/>
          <w:szCs w:val="21"/>
          <w:lang w:eastAsia="zh-CN"/>
        </w:rPr>
        <w:t>，评审委员会有权进行评判，但对同一条款的评判应适用于每个投标人。</w:t>
      </w:r>
      <w:bookmarkEnd w:id="65"/>
    </w:p>
    <w:p w14:paraId="770A7F8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33.2</w:t>
      </w:r>
      <w:r>
        <w:rPr>
          <w:rFonts w:hint="eastAsia" w:eastAsia="宋体"/>
          <w:kern w:val="2"/>
          <w:sz w:val="21"/>
          <w:szCs w:val="21"/>
          <w:lang w:eastAsia="zh-CN"/>
        </w:rPr>
        <w:t>评审委员会发现招标文件存在歧义、重大缺陷导致评审工作无法进行，或者招标文件内容违反国家有关强制性规定的，应当停止评审工作，与</w:t>
      </w:r>
      <w:r>
        <w:rPr>
          <w:rFonts w:hint="eastAsia" w:ascii="宋体" w:hAnsi="宋体" w:eastAsia="宋体"/>
          <w:kern w:val="2"/>
          <w:sz w:val="21"/>
          <w:szCs w:val="21"/>
          <w:lang w:eastAsia="zh-CN"/>
        </w:rPr>
        <w:t>采购代理机构</w:t>
      </w:r>
      <w:r>
        <w:rPr>
          <w:rFonts w:hint="eastAsia" w:eastAsia="宋体"/>
          <w:kern w:val="2"/>
          <w:sz w:val="21"/>
          <w:szCs w:val="21"/>
          <w:lang w:eastAsia="zh-CN"/>
        </w:rPr>
        <w:t>沟通并作书面记录。经确认后，项目应当修改招标文件，重新组织采购活动。</w:t>
      </w:r>
    </w:p>
    <w:p w14:paraId="0DF4AD3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33.3对于投标文件中含义不明确、同类问题表述不一致或者有明显文字和计算错误的内容，评审委员会应当以书面形式要求投标人作出必要的澄清、说明或者补正。</w:t>
      </w:r>
    </w:p>
    <w:p w14:paraId="00C59BA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4754428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根据本通用条款第34条，凡属于评审委员会在评审中发现的算术错误进行核实的修改不在此列。</w:t>
      </w:r>
    </w:p>
    <w:p w14:paraId="3F9D65AD">
      <w:pPr>
        <w:widowControl w:val="0"/>
        <w:ind w:firstLine="420" w:firstLineChars="200"/>
        <w:jc w:val="both"/>
        <w:rPr>
          <w:rFonts w:ascii="黑体" w:hAnsi="宋体" w:eastAsia="黑体"/>
          <w:kern w:val="2"/>
          <w:sz w:val="21"/>
          <w:szCs w:val="21"/>
          <w:lang w:eastAsia="zh-CN"/>
        </w:rPr>
      </w:pPr>
      <w:bookmarkStart w:id="66" w:name="_Toc73521669"/>
      <w:bookmarkStart w:id="67" w:name="_Toc73521581"/>
      <w:bookmarkStart w:id="68" w:name="_Toc100052400"/>
      <w:bookmarkStart w:id="69" w:name="_Toc73518151"/>
      <w:bookmarkStart w:id="70" w:name="_Toc73517673"/>
      <w:r>
        <w:rPr>
          <w:rFonts w:hint="eastAsia" w:ascii="黑体" w:hAnsi="宋体" w:eastAsia="黑体"/>
          <w:kern w:val="2"/>
          <w:sz w:val="21"/>
          <w:szCs w:val="21"/>
          <w:lang w:eastAsia="zh-CN"/>
        </w:rPr>
        <w:t>34．错误的修正</w:t>
      </w:r>
      <w:bookmarkEnd w:id="66"/>
      <w:bookmarkEnd w:id="67"/>
      <w:bookmarkEnd w:id="68"/>
      <w:bookmarkEnd w:id="69"/>
      <w:bookmarkEnd w:id="70"/>
    </w:p>
    <w:p w14:paraId="718A781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投标文件报价出现前后不一致的，除专用条款另有规定外，按照下列规定修正：</w:t>
      </w:r>
    </w:p>
    <w:p w14:paraId="69180AA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34.1投标文件中开标一览表投标报价内容与投标文件中投标报价相应内容不一致的，以开标一览表为准；</w:t>
      </w:r>
    </w:p>
    <w:p w14:paraId="6C1A839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34.2大写金额和小写金额不一致的，以大写金额为准；</w:t>
      </w:r>
    </w:p>
    <w:p w14:paraId="36B6041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34.3单价金额小数点或者百分比有明显错位，以开标一览表的总价为准，并修改单价；</w:t>
      </w:r>
    </w:p>
    <w:p w14:paraId="2AFF515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34.4总价金额与按单价汇总金额不一致的，以单价金额计算结果为准。</w:t>
      </w:r>
    </w:p>
    <w:p w14:paraId="2CFE729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34.5同时出现两种以上不一致的，按照前款规定的顺序修正。修正后的报价按照本通用条款33条的规定，经投标人确认后产生约束力，投标人不确认的，其投标无效。</w:t>
      </w:r>
    </w:p>
    <w:p w14:paraId="4DB5DF94">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35．投标文件的比较与评价</w:t>
      </w:r>
    </w:p>
    <w:p w14:paraId="6445709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72BF000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评审委员会成员对需要共同认定的事项存在争议的，应当按照少数服从多数的原则作出结论。持不同意见的评审委员会成员应当书面作出说明，否则视为无异议。</w:t>
      </w:r>
    </w:p>
    <w:p w14:paraId="11D4ABCC">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36. 实地考察或资料查验</w:t>
      </w:r>
    </w:p>
    <w:p w14:paraId="567BC85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36.1在评审过程中，评审委员会有权决定是否对本项目投标人进行实地考察或资料查验（原件）。投标人应随时做好接受实地考察或资料查验的准备。</w:t>
      </w:r>
    </w:p>
    <w:p w14:paraId="0E888377">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37．评审方法</w:t>
      </w:r>
    </w:p>
    <w:p w14:paraId="295567C1">
      <w:pPr>
        <w:widowControl w:val="0"/>
        <w:ind w:firstLine="413" w:firstLineChars="196"/>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37.1.1最低价法</w:t>
      </w:r>
    </w:p>
    <w:p w14:paraId="2A4F6055">
      <w:pPr>
        <w:widowControl w:val="0"/>
        <w:ind w:firstLine="411" w:firstLineChars="196"/>
        <w:jc w:val="both"/>
        <w:rPr>
          <w:rFonts w:ascii="ˎ̥" w:hAnsi="ˎ̥" w:eastAsia="宋体"/>
          <w:kern w:val="2"/>
          <w:sz w:val="21"/>
          <w:lang w:eastAsia="zh-CN"/>
        </w:rPr>
      </w:pPr>
      <w:r>
        <w:rPr>
          <w:rFonts w:ascii="ˎ̥" w:hAnsi="ˎ̥" w:eastAsia="宋体"/>
          <w:kern w:val="2"/>
          <w:sz w:val="21"/>
          <w:lang w:eastAsia="zh-CN"/>
        </w:rPr>
        <w:t>最低价法，</w:t>
      </w:r>
      <w:r>
        <w:rPr>
          <w:rFonts w:hint="eastAsia" w:ascii="ˎ̥" w:hAnsi="ˎ̥" w:eastAsia="宋体"/>
          <w:kern w:val="2"/>
          <w:sz w:val="21"/>
          <w:lang w:eastAsia="zh-CN"/>
        </w:rPr>
        <w:t>是指投标文件满足招标文件全部实质性要求，且投标报价最低的投标人为中标候选人的评标方法。</w:t>
      </w:r>
    </w:p>
    <w:p w14:paraId="74003F88">
      <w:pPr>
        <w:widowControl w:val="0"/>
        <w:ind w:firstLine="411" w:firstLineChars="196"/>
        <w:jc w:val="both"/>
        <w:rPr>
          <w:rFonts w:ascii="ˎ̥" w:hAnsi="ˎ̥" w:eastAsia="宋体"/>
          <w:kern w:val="2"/>
          <w:sz w:val="21"/>
          <w:lang w:eastAsia="zh-CN"/>
        </w:rPr>
      </w:pPr>
      <w:r>
        <w:rPr>
          <w:rFonts w:hint="eastAsia" w:ascii="ˎ̥" w:hAnsi="ˎ̥" w:eastAsia="宋体"/>
          <w:kern w:val="2"/>
          <w:sz w:val="21"/>
          <w:lang w:eastAsia="zh-CN"/>
        </w:rPr>
        <w:t>采用最低价法的，评标结果按投标报价由低到高顺序排列。投标报价相同的并列。投标文件满足招标文件全部实质性要求且投标报价最低的投标人为排名第一的中标候选人。中标候选人并列的，由采购人或者采购人委托评标委员会按照招标文件规定的方式确定中标人；招标文件未规定的，采取随机抽取的方式确定。</w:t>
      </w:r>
    </w:p>
    <w:p w14:paraId="50C539AA">
      <w:pPr>
        <w:widowControl w:val="0"/>
        <w:ind w:firstLine="413" w:firstLineChars="196"/>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37.1.2综合评分法</w:t>
      </w:r>
    </w:p>
    <w:p w14:paraId="4B65391C">
      <w:pPr>
        <w:widowControl w:val="0"/>
        <w:ind w:firstLine="411" w:firstLineChars="196"/>
        <w:jc w:val="both"/>
        <w:rPr>
          <w:rFonts w:ascii="ˎ̥" w:hAnsi="ˎ̥" w:eastAsia="宋体"/>
          <w:kern w:val="2"/>
          <w:sz w:val="21"/>
          <w:lang w:eastAsia="zh-CN"/>
        </w:rPr>
      </w:pPr>
      <w:r>
        <w:rPr>
          <w:rFonts w:ascii="ˎ̥" w:hAnsi="ˎ̥" w:eastAsia="宋体"/>
          <w:kern w:val="2"/>
          <w:sz w:val="21"/>
          <w:lang w:eastAsia="zh-CN"/>
        </w:rPr>
        <w:t>综合评分法，是指</w:t>
      </w:r>
      <w:r>
        <w:rPr>
          <w:rFonts w:hint="eastAsia" w:ascii="ˎ̥" w:hAnsi="ˎ̥" w:eastAsia="宋体"/>
          <w:kern w:val="2"/>
          <w:sz w:val="21"/>
          <w:lang w:eastAsia="zh-CN"/>
        </w:rPr>
        <w:t>在</w:t>
      </w:r>
      <w:r>
        <w:rPr>
          <w:rFonts w:ascii="ˎ̥" w:hAnsi="ˎ̥" w:eastAsia="宋体"/>
          <w:kern w:val="2"/>
          <w:sz w:val="21"/>
          <w:lang w:eastAsia="zh-CN"/>
        </w:rPr>
        <w:t>满足招标文件全部实质性要求</w:t>
      </w:r>
      <w:r>
        <w:rPr>
          <w:rFonts w:hint="eastAsia" w:ascii="ˎ̥" w:hAnsi="ˎ̥" w:eastAsia="宋体"/>
          <w:kern w:val="2"/>
          <w:sz w:val="21"/>
          <w:lang w:eastAsia="zh-CN"/>
        </w:rPr>
        <w:t>的前提下</w:t>
      </w:r>
      <w:r>
        <w:rPr>
          <w:rFonts w:ascii="ˎ̥" w:hAnsi="ˎ̥" w:eastAsia="宋体"/>
          <w:kern w:val="2"/>
          <w:sz w:val="21"/>
          <w:lang w:eastAsia="zh-CN"/>
        </w:rPr>
        <w:t>，</w:t>
      </w:r>
      <w:r>
        <w:rPr>
          <w:rFonts w:hint="eastAsia" w:ascii="ˎ̥" w:hAnsi="ˎ̥" w:eastAsia="宋体"/>
          <w:kern w:val="2"/>
          <w:sz w:val="21"/>
          <w:lang w:eastAsia="zh-CN"/>
        </w:rPr>
        <w:t>按照招标文件中规定的各项因素进行综合评审，评审总得分排名前列的投标人，作为推荐的候选中标供应商。</w:t>
      </w:r>
    </w:p>
    <w:p w14:paraId="35DE8043">
      <w:pPr>
        <w:widowControl w:val="0"/>
        <w:ind w:firstLine="420" w:firstLineChars="200"/>
        <w:jc w:val="both"/>
        <w:rPr>
          <w:rFonts w:ascii="ˎ̥" w:hAnsi="ˎ̥" w:eastAsia="宋体"/>
          <w:kern w:val="2"/>
          <w:sz w:val="21"/>
          <w:lang w:eastAsia="zh-CN"/>
        </w:rPr>
      </w:pPr>
      <w:r>
        <w:rPr>
          <w:rFonts w:hint="eastAsia" w:ascii="ˎ̥" w:hAnsi="ˎ̥" w:eastAsia="宋体"/>
          <w:kern w:val="2"/>
          <w:sz w:val="21"/>
          <w:lang w:eastAsia="zh-CN"/>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中标候选人并列的，由采购人或者采购人委托评标委员会按照招标文件规定的方式确定中标人；招标文件未规定的，采取随机抽取的方式确定。</w:t>
      </w:r>
    </w:p>
    <w:p w14:paraId="3D1D2379">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37.2 本项目采用的评审方法见本项目招标文件第一册“专用条款”的相关内容。</w:t>
      </w:r>
    </w:p>
    <w:p w14:paraId="6F9EAA8A">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37.3重新评审的情形</w:t>
      </w:r>
    </w:p>
    <w:p w14:paraId="2AA386A1">
      <w:pPr>
        <w:widowControl w:val="0"/>
        <w:ind w:firstLine="420" w:firstLineChars="200"/>
        <w:jc w:val="both"/>
        <w:rPr>
          <w:rFonts w:ascii="宋体" w:hAnsi="宋体" w:eastAsia="宋体"/>
          <w:b/>
          <w:bCs/>
          <w:kern w:val="2"/>
          <w:sz w:val="21"/>
          <w:szCs w:val="21"/>
          <w:lang w:eastAsia="zh-CN"/>
        </w:rPr>
      </w:pPr>
      <w:r>
        <w:rPr>
          <w:rFonts w:hint="eastAsia" w:ascii="宋体" w:hAnsi="宋体" w:eastAsia="宋体" w:cs="宋体"/>
          <w:sz w:val="21"/>
          <w:szCs w:val="21"/>
          <w:lang w:eastAsia="zh-CN"/>
        </w:rPr>
        <w:t>评审结果汇总完成后，除下列情形外，任何人不得修改评审结果：</w:t>
      </w:r>
    </w:p>
    <w:p w14:paraId="40E14B08">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37.3.1分值汇总计算错误的；</w:t>
      </w:r>
    </w:p>
    <w:p w14:paraId="449A5094">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37.3.2分项评分超出评分标准范围的；</w:t>
      </w:r>
    </w:p>
    <w:p w14:paraId="4A59BE1E">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37.3.3评审委员会成员对客观评审因素评分不一致的；</w:t>
      </w:r>
    </w:p>
    <w:p w14:paraId="1BF3DCFF">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37.3.4经评审委员会认定评分畸高、畸低的。</w:t>
      </w:r>
    </w:p>
    <w:p w14:paraId="3C25FC9D">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E24797E">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投标人对本条第一款情形提出质疑的，采购人或者采购代理机构可以组织原评审委员会进行重新评审，重新评审改变评审结果的，应当书面报告本级财政部门。</w:t>
      </w:r>
    </w:p>
    <w:p w14:paraId="3BA7AA8E">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 xml:space="preserve"> 37.4重新组建评审委员会的情形</w:t>
      </w:r>
    </w:p>
    <w:p w14:paraId="3B348415">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评审委员会或者其成员存在下列情形导致评审结果无效的，重新组建评审委员会进行评标，并书面报告本级财政部门：</w:t>
      </w:r>
    </w:p>
    <w:p w14:paraId="537C85CB">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37.4.1评审委员会组成不符合《政府采购货物和服务招标投标管理办法》规定的；</w:t>
      </w:r>
    </w:p>
    <w:p w14:paraId="4432CB2F">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37.4.2有《政府采购货物和服务招标投标管理办法》第六十二条第一至五项情形的；</w:t>
      </w:r>
    </w:p>
    <w:p w14:paraId="04950FCA">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37.4.3评审委员会及其成员独立评标受到非法干预的；</w:t>
      </w:r>
    </w:p>
    <w:p w14:paraId="299CC0A8">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37.4.4有政府采购法实施条例第七十五条规定的违法行为的。</w:t>
      </w:r>
    </w:p>
    <w:p w14:paraId="7F38C3D5">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有违法违规行为的原评审委员会成员不得参加重新组建的评审委员会。</w:t>
      </w:r>
    </w:p>
    <w:p w14:paraId="28812661">
      <w:pPr>
        <w:widowControl w:val="0"/>
        <w:ind w:firstLine="411" w:firstLineChars="196"/>
        <w:jc w:val="both"/>
        <w:rPr>
          <w:rFonts w:ascii="宋体" w:hAnsi="宋体" w:eastAsia="宋体"/>
          <w:kern w:val="2"/>
          <w:sz w:val="21"/>
          <w:szCs w:val="21"/>
          <w:lang w:eastAsia="zh-CN"/>
        </w:rPr>
      </w:pPr>
    </w:p>
    <w:p w14:paraId="603345DD">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定标及公示</w:t>
      </w:r>
    </w:p>
    <w:p w14:paraId="78A808B1">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38．定标方法</w:t>
      </w:r>
    </w:p>
    <w:p w14:paraId="2AE1F0D9">
      <w:pPr>
        <w:widowControl w:val="0"/>
        <w:ind w:firstLine="420" w:firstLineChars="200"/>
        <w:jc w:val="both"/>
        <w:rPr>
          <w:rFonts w:ascii="宋体" w:hAnsi="宋体" w:eastAsia="宋体"/>
          <w:kern w:val="2"/>
          <w:sz w:val="21"/>
          <w:szCs w:val="21"/>
          <w:lang w:eastAsia="zh-CN"/>
        </w:rPr>
      </w:pPr>
      <w:bookmarkStart w:id="71" w:name="_Hlk73782795"/>
      <w:r>
        <w:rPr>
          <w:rFonts w:hint="eastAsia" w:ascii="宋体" w:hAnsi="宋体" w:eastAsia="宋体"/>
          <w:kern w:val="2"/>
          <w:sz w:val="21"/>
          <w:szCs w:val="21"/>
          <w:lang w:eastAsia="zh-CN"/>
        </w:rPr>
        <w:t>38.1非评定分离项目定标方法</w:t>
      </w:r>
    </w:p>
    <w:p w14:paraId="6D323F7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38.1.1评审委员会依据本项目招标文件所约定的评审方法进行评审和比较，向采购代理机构提交书面评审报告，并根据评审方法比较评价结果从优到劣进行排序，确定候选中标供应商。</w:t>
      </w:r>
    </w:p>
    <w:p w14:paraId="5DCC59E7">
      <w:pPr>
        <w:widowControl w:val="0"/>
        <w:ind w:firstLine="420" w:firstLineChars="200"/>
        <w:jc w:val="both"/>
        <w:rPr>
          <w:rFonts w:ascii="ˎ̥" w:hAnsi="ˎ̥" w:eastAsia="宋体"/>
          <w:kern w:val="2"/>
          <w:sz w:val="21"/>
          <w:szCs w:val="21"/>
          <w:lang w:eastAsia="zh-CN"/>
        </w:rPr>
      </w:pPr>
      <w:r>
        <w:rPr>
          <w:rFonts w:hint="eastAsia" w:ascii="宋体" w:hAnsi="宋体" w:eastAsia="宋体"/>
          <w:kern w:val="2"/>
          <w:sz w:val="21"/>
          <w:szCs w:val="21"/>
          <w:lang w:eastAsia="zh-CN"/>
        </w:rPr>
        <w:t>38.1.2</w:t>
      </w:r>
      <w:r>
        <w:rPr>
          <w:rFonts w:ascii="ˎ̥" w:hAnsi="ˎ̥" w:eastAsia="宋体"/>
          <w:kern w:val="2"/>
          <w:sz w:val="21"/>
          <w:lang w:eastAsia="zh-CN"/>
        </w:rPr>
        <w:t>采用最低价法的，评</w:t>
      </w:r>
      <w:r>
        <w:rPr>
          <w:rFonts w:hint="eastAsia" w:ascii="ˎ̥" w:hAnsi="ˎ̥" w:eastAsia="宋体"/>
          <w:kern w:val="2"/>
          <w:sz w:val="21"/>
          <w:lang w:eastAsia="zh-CN"/>
        </w:rPr>
        <w:t>审</w:t>
      </w:r>
      <w:r>
        <w:rPr>
          <w:rFonts w:ascii="ˎ̥" w:hAnsi="ˎ̥" w:eastAsia="宋体"/>
          <w:kern w:val="2"/>
          <w:sz w:val="21"/>
          <w:lang w:eastAsia="zh-CN"/>
        </w:rPr>
        <w:t>结果按投标报价由低到高顺序排列。投标报价相同的并列。投标文件满足招标文件全部实质性要求且投标报价最低的</w:t>
      </w:r>
      <w:r>
        <w:rPr>
          <w:rFonts w:hint="eastAsia" w:ascii="ˎ̥" w:hAnsi="ˎ̥" w:eastAsia="宋体"/>
          <w:kern w:val="2"/>
          <w:sz w:val="21"/>
          <w:lang w:eastAsia="zh-CN"/>
        </w:rPr>
        <w:t>投标人为中标供应商</w:t>
      </w:r>
      <w:r>
        <w:rPr>
          <w:rFonts w:hint="eastAsia" w:ascii="ˎ̥" w:hAnsi="ˎ̥" w:eastAsia="宋体"/>
          <w:kern w:val="2"/>
          <w:sz w:val="21"/>
          <w:szCs w:val="21"/>
          <w:lang w:eastAsia="zh-CN"/>
        </w:rPr>
        <w:t>。</w:t>
      </w:r>
    </w:p>
    <w:p w14:paraId="0E0D5977">
      <w:pPr>
        <w:widowControl w:val="0"/>
        <w:ind w:firstLine="420" w:firstLineChars="200"/>
        <w:jc w:val="both"/>
        <w:rPr>
          <w:rFonts w:ascii="ˎ̥" w:hAnsi="ˎ̥" w:eastAsia="宋体"/>
          <w:kern w:val="2"/>
          <w:sz w:val="21"/>
          <w:szCs w:val="21"/>
          <w:lang w:eastAsia="zh-CN"/>
        </w:rPr>
      </w:pPr>
      <w:r>
        <w:rPr>
          <w:rFonts w:hint="eastAsia" w:ascii="宋体" w:hAnsi="宋体" w:eastAsia="宋体"/>
          <w:kern w:val="2"/>
          <w:sz w:val="21"/>
          <w:szCs w:val="21"/>
          <w:lang w:eastAsia="zh-CN"/>
        </w:rPr>
        <w:t>38.1.3采</w:t>
      </w:r>
      <w:r>
        <w:rPr>
          <w:rFonts w:hint="eastAsia" w:ascii="ˎ̥" w:hAnsi="ˎ̥" w:eastAsia="宋体"/>
          <w:kern w:val="2"/>
          <w:sz w:val="21"/>
          <w:szCs w:val="21"/>
          <w:lang w:eastAsia="zh-CN"/>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中标供应商。出现得分且投标报价相同的并列情况时，采取随机抽取的方式确定，具体操作办法及流程由评审委员会确定（如“专用条款”中另有规定的以“专用条款”相关规定内容为准）。</w:t>
      </w:r>
    </w:p>
    <w:p w14:paraId="3030807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38.2评定分离项目定标方法</w:t>
      </w:r>
    </w:p>
    <w:p w14:paraId="4B4EE9C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38.2.1评定分离是指在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03C5E591">
      <w:pPr>
        <w:widowControl w:val="0"/>
        <w:ind w:firstLine="420" w:firstLineChars="200"/>
        <w:jc w:val="both"/>
        <w:rPr>
          <w:rFonts w:eastAsia="宋体"/>
          <w:kern w:val="2"/>
          <w:sz w:val="21"/>
          <w:szCs w:val="21"/>
          <w:lang w:eastAsia="zh-CN"/>
        </w:rPr>
      </w:pPr>
      <w:r>
        <w:rPr>
          <w:rFonts w:hint="eastAsia" w:ascii="宋体" w:hAnsi="宋体" w:eastAsia="宋体"/>
          <w:kern w:val="2"/>
          <w:sz w:val="21"/>
          <w:szCs w:val="21"/>
          <w:lang w:eastAsia="zh-CN"/>
        </w:rPr>
        <w:t xml:space="preserve">38.2.2 </w:t>
      </w:r>
      <w:bookmarkStart w:id="72" w:name="_Hlk71469733"/>
      <w:r>
        <w:rPr>
          <w:rFonts w:hint="eastAsia" w:eastAsia="宋体"/>
          <w:kern w:val="2"/>
          <w:sz w:val="21"/>
          <w:szCs w:val="21"/>
          <w:lang w:eastAsia="zh-CN"/>
        </w:rPr>
        <w:t>适用评定分离的采购项目，采用综合评分法评审。</w:t>
      </w:r>
      <w:r>
        <w:rPr>
          <w:rFonts w:hint="eastAsia" w:ascii="宋体" w:hAnsi="宋体" w:eastAsia="宋体"/>
          <w:kern w:val="2"/>
          <w:sz w:val="21"/>
          <w:szCs w:val="21"/>
          <w:lang w:eastAsia="zh-CN"/>
        </w:rPr>
        <w:t>评审委员会按照评审结果，推荐</w:t>
      </w:r>
      <w:r>
        <w:rPr>
          <w:rFonts w:hint="eastAsia" w:eastAsia="宋体"/>
          <w:kern w:val="2"/>
          <w:sz w:val="21"/>
          <w:szCs w:val="21"/>
          <w:lang w:eastAsia="zh-CN"/>
        </w:rPr>
        <w:t>三个合格的候选中标供应商。</w:t>
      </w:r>
    </w:p>
    <w:p w14:paraId="0AD1312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38.2.3</w:t>
      </w:r>
      <w:bookmarkStart w:id="73" w:name="_Hlk71469688"/>
      <w:r>
        <w:rPr>
          <w:rFonts w:hint="eastAsia" w:eastAsia="宋体"/>
          <w:kern w:val="2"/>
          <w:sz w:val="21"/>
          <w:szCs w:val="21"/>
          <w:lang w:eastAsia="zh-CN"/>
        </w:rPr>
        <w:t>适用评定分离的采购项目，</w:t>
      </w:r>
      <w:r>
        <w:rPr>
          <w:rFonts w:hint="eastAsia" w:ascii="宋体" w:hAnsi="宋体" w:eastAsia="宋体"/>
          <w:kern w:val="2"/>
          <w:sz w:val="21"/>
          <w:szCs w:val="21"/>
          <w:lang w:eastAsia="zh-CN"/>
        </w:rPr>
        <w:t>按照自定法确定中标供应商：自定法是指采购人组织定标委员会，由定标委员会在三家候选中标供应商中确定中标供应商。</w:t>
      </w:r>
      <w:bookmarkEnd w:id="72"/>
      <w:bookmarkEnd w:id="73"/>
    </w:p>
    <w:p w14:paraId="64898C9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38.2.4采购代理机构</w:t>
      </w:r>
      <w:r>
        <w:rPr>
          <w:rFonts w:hint="eastAsia" w:eastAsia="宋体"/>
          <w:kern w:val="2"/>
          <w:sz w:val="21"/>
          <w:szCs w:val="21"/>
          <w:lang w:eastAsia="zh-CN"/>
        </w:rPr>
        <w:t>应当自评审结束之日起两个工作日内将候选中标供应商名单及其投标文件、评审报告送交采购人</w:t>
      </w:r>
      <w:r>
        <w:rPr>
          <w:rFonts w:hint="eastAsia" w:ascii="宋体" w:hAnsi="宋体" w:eastAsia="宋体"/>
          <w:kern w:val="2"/>
          <w:sz w:val="21"/>
          <w:szCs w:val="21"/>
          <w:lang w:eastAsia="zh-CN"/>
        </w:rPr>
        <w:t>。</w:t>
      </w:r>
      <w:r>
        <w:rPr>
          <w:rFonts w:hint="eastAsia" w:eastAsia="宋体"/>
          <w:kern w:val="2"/>
          <w:sz w:val="21"/>
          <w:szCs w:val="21"/>
          <w:lang w:eastAsia="zh-CN"/>
        </w:rPr>
        <w:t>采购人应当安排专人对定标过程进行书面记录，形成定标报告，作为采购文件的组成部分存档，并及时将定标结果反馈</w:t>
      </w:r>
      <w:r>
        <w:rPr>
          <w:rFonts w:hint="eastAsia" w:ascii="宋体" w:hAnsi="宋体" w:eastAsia="宋体"/>
          <w:kern w:val="2"/>
          <w:sz w:val="21"/>
          <w:szCs w:val="21"/>
          <w:lang w:eastAsia="zh-CN"/>
        </w:rPr>
        <w:t>采购代理机构</w:t>
      </w:r>
      <w:r>
        <w:rPr>
          <w:rFonts w:hint="eastAsia" w:eastAsia="宋体"/>
          <w:kern w:val="2"/>
          <w:sz w:val="21"/>
          <w:szCs w:val="21"/>
          <w:lang w:eastAsia="zh-CN"/>
        </w:rPr>
        <w:t>。具体定标程序及相关要求以参照《深圳市财政局关于印发</w:t>
      </w:r>
      <w:r>
        <w:rPr>
          <w:rFonts w:hint="eastAsia" w:ascii="宋体" w:hAnsi="宋体" w:eastAsia="宋体"/>
          <w:kern w:val="2"/>
          <w:sz w:val="21"/>
          <w:szCs w:val="21"/>
          <w:lang w:eastAsia="zh-CN"/>
        </w:rPr>
        <w:t>〈</w:t>
      </w:r>
      <w:r>
        <w:rPr>
          <w:rFonts w:hint="eastAsia" w:eastAsia="宋体"/>
          <w:kern w:val="2"/>
          <w:sz w:val="21"/>
          <w:szCs w:val="21"/>
          <w:lang w:eastAsia="zh-CN"/>
        </w:rPr>
        <w:t>深圳市政府采购评标定标分离管理办法</w:t>
      </w:r>
      <w:r>
        <w:rPr>
          <w:rFonts w:hint="eastAsia" w:ascii="宋体" w:hAnsi="宋体" w:eastAsia="宋体"/>
          <w:kern w:val="2"/>
          <w:sz w:val="21"/>
          <w:szCs w:val="21"/>
          <w:lang w:eastAsia="zh-CN"/>
        </w:rPr>
        <w:t>〉</w:t>
      </w:r>
      <w:r>
        <w:rPr>
          <w:rFonts w:hint="eastAsia" w:eastAsia="宋体"/>
          <w:kern w:val="2"/>
          <w:sz w:val="21"/>
          <w:szCs w:val="21"/>
          <w:lang w:eastAsia="zh-CN"/>
        </w:rPr>
        <w:t>的通知》（深财规【</w:t>
      </w:r>
      <w:r>
        <w:rPr>
          <w:rFonts w:eastAsia="宋体"/>
          <w:kern w:val="2"/>
          <w:sz w:val="21"/>
          <w:szCs w:val="21"/>
          <w:lang w:eastAsia="zh-CN"/>
        </w:rPr>
        <w:t>2020</w:t>
      </w:r>
      <w:r>
        <w:rPr>
          <w:rFonts w:hint="eastAsia" w:eastAsia="宋体"/>
          <w:kern w:val="2"/>
          <w:sz w:val="21"/>
          <w:szCs w:val="21"/>
          <w:lang w:eastAsia="zh-CN"/>
        </w:rPr>
        <w:t>】</w:t>
      </w:r>
      <w:r>
        <w:rPr>
          <w:rFonts w:eastAsia="宋体"/>
          <w:kern w:val="2"/>
          <w:sz w:val="21"/>
          <w:szCs w:val="21"/>
          <w:lang w:eastAsia="zh-CN"/>
        </w:rPr>
        <w:t>1</w:t>
      </w:r>
      <w:r>
        <w:rPr>
          <w:rFonts w:hint="eastAsia" w:eastAsia="宋体"/>
          <w:kern w:val="2"/>
          <w:sz w:val="21"/>
          <w:szCs w:val="21"/>
          <w:lang w:eastAsia="zh-CN"/>
        </w:rPr>
        <w:t>号）执行。</w:t>
      </w:r>
    </w:p>
    <w:p w14:paraId="3517AF6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说明：采购人及投标供应商应按照上述方法提前做好相关准备。</w:t>
      </w:r>
    </w:p>
    <w:p w14:paraId="586CB93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38.3专用条款另有规定的，按专用条款相关要求定标。</w:t>
      </w:r>
      <w:bookmarkEnd w:id="71"/>
    </w:p>
    <w:p w14:paraId="5DEB41E2">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39．编写评审报告</w:t>
      </w:r>
    </w:p>
    <w:p w14:paraId="3EAAC0E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64E773AB">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40．中标公告</w:t>
      </w:r>
    </w:p>
    <w:p w14:paraId="6D45D12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40.1</w:t>
      </w:r>
      <w:bookmarkStart w:id="74" w:name="_Hlk72438709"/>
      <w:r>
        <w:rPr>
          <w:rFonts w:hint="eastAsia" w:ascii="宋体" w:hAnsi="宋体" w:eastAsia="宋体"/>
          <w:kern w:val="2"/>
          <w:sz w:val="21"/>
          <w:szCs w:val="21"/>
          <w:lang w:eastAsia="zh-CN"/>
        </w:rPr>
        <w:t>为体现“公开、公平、公正”的原则，评审结束后经采购人确认（确定）评审结果，采购代理机构将在深圳交易集团（深圳公共资源交易中心）官网</w:t>
      </w:r>
      <w:r>
        <w:rPr>
          <w:rFonts w:hint="eastAsia" w:ascii="宋体" w:hAnsi="宋体" w:eastAsia="宋体"/>
          <w:b/>
          <w:bCs/>
          <w:kern w:val="2"/>
          <w:sz w:val="21"/>
          <w:szCs w:val="21"/>
          <w:lang w:eastAsia="zh-CN"/>
        </w:rPr>
        <w:t>https://www.szexgrp.com/jyfw/zfcg-view.html?id=zfcg</w:t>
      </w:r>
      <w:r>
        <w:rPr>
          <w:rFonts w:hint="eastAsia" w:ascii="宋体" w:hAnsi="宋体" w:eastAsia="宋体"/>
          <w:kern w:val="2"/>
          <w:sz w:val="21"/>
          <w:szCs w:val="21"/>
          <w:lang w:eastAsia="zh-CN"/>
        </w:rPr>
        <w:t>上发布中标结果公告。</w:t>
      </w:r>
      <w:bookmarkEnd w:id="74"/>
      <w:bookmarkStart w:id="75" w:name="_Hlk72438751"/>
      <w:r>
        <w:rPr>
          <w:rFonts w:hint="eastAsia" w:ascii="宋体" w:hAnsi="宋体" w:eastAsia="宋体"/>
          <w:kern w:val="2"/>
          <w:sz w:val="21"/>
          <w:szCs w:val="21"/>
          <w:lang w:eastAsia="zh-CN"/>
        </w:rPr>
        <w:t>供应商如对评审结果有异议，可在发布公示日期起七个工作日内向采购代理机构提出。监督电话：0755-86500050。若在公示期内未提出质疑，则视为认同该评审结果。</w:t>
      </w:r>
    </w:p>
    <w:bookmarkEnd w:id="75"/>
    <w:p w14:paraId="0C3AB1E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40.2质疑、投诉供应商应保证质疑、投诉内容的真实性和可靠性，并承担相应的法律责任。</w:t>
      </w:r>
    </w:p>
    <w:p w14:paraId="319383EE">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41．中标通知书</w:t>
      </w:r>
    </w:p>
    <w:p w14:paraId="55994DA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41.1</w:t>
      </w:r>
      <w:bookmarkStart w:id="76" w:name="_Hlk72438863"/>
      <w:r>
        <w:rPr>
          <w:rFonts w:hint="eastAsia" w:ascii="宋体" w:hAnsi="宋体" w:eastAsia="宋体"/>
          <w:kern w:val="2"/>
          <w:sz w:val="21"/>
          <w:szCs w:val="21"/>
          <w:lang w:eastAsia="zh-CN"/>
        </w:rPr>
        <w:t>中标公告公布以后无异常的情况下,中标供应商和采购人可自行在</w:t>
      </w:r>
      <w:r>
        <w:rPr>
          <w:rFonts w:hint="eastAsia" w:ascii="宋体" w:hAnsi="宋体" w:eastAsia="宋体"/>
          <w:b/>
          <w:bCs/>
          <w:kern w:val="2"/>
          <w:sz w:val="21"/>
          <w:szCs w:val="21"/>
          <w:lang w:eastAsia="zh-CN"/>
        </w:rPr>
        <w:t>“</w:t>
      </w:r>
      <w:r>
        <w:rPr>
          <w:rFonts w:hint="eastAsia" w:ascii="宋体" w:hAnsi="宋体" w:eastAsia="宋体"/>
          <w:kern w:val="2"/>
          <w:sz w:val="21"/>
          <w:szCs w:val="21"/>
          <w:lang w:eastAsia="zh-CN"/>
        </w:rPr>
        <w:t>深圳市自行采购系统（https://trade.szggzy.com/ggzy/center/#/login）</w:t>
      </w:r>
      <w:r>
        <w:rPr>
          <w:rFonts w:hint="eastAsia" w:ascii="宋体" w:hAnsi="宋体" w:eastAsia="宋体"/>
          <w:b/>
          <w:bCs/>
          <w:kern w:val="2"/>
          <w:sz w:val="21"/>
          <w:szCs w:val="21"/>
          <w:lang w:eastAsia="zh-CN"/>
        </w:rPr>
        <w:t>”</w:t>
      </w:r>
      <w:r>
        <w:rPr>
          <w:rFonts w:hint="eastAsia" w:ascii="宋体" w:hAnsi="宋体" w:eastAsia="宋体"/>
          <w:kern w:val="2"/>
          <w:sz w:val="21"/>
          <w:szCs w:val="21"/>
          <w:lang w:eastAsia="zh-CN"/>
        </w:rPr>
        <w:t>上打印</w:t>
      </w:r>
      <w:r>
        <w:rPr>
          <w:rFonts w:hint="eastAsia" w:ascii="宋体" w:hAnsi="宋体" w:eastAsia="宋体"/>
          <w:b/>
          <w:kern w:val="2"/>
          <w:sz w:val="21"/>
          <w:szCs w:val="21"/>
          <w:lang w:eastAsia="zh-CN"/>
        </w:rPr>
        <w:t>《数字中标通知书》</w:t>
      </w:r>
      <w:r>
        <w:rPr>
          <w:rFonts w:hint="eastAsia" w:ascii="宋体" w:hAnsi="宋体" w:eastAsia="宋体"/>
          <w:kern w:val="2"/>
          <w:sz w:val="21"/>
          <w:szCs w:val="21"/>
          <w:lang w:eastAsia="zh-CN"/>
        </w:rPr>
        <w:t>。</w:t>
      </w:r>
      <w:bookmarkEnd w:id="76"/>
    </w:p>
    <w:p w14:paraId="18A2F30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41.2中标通知书是合同的重要组成部分。</w:t>
      </w:r>
    </w:p>
    <w:p w14:paraId="21269620">
      <w:pPr>
        <w:widowControl w:val="0"/>
        <w:ind w:firstLine="420" w:firstLineChars="200"/>
        <w:jc w:val="both"/>
        <w:rPr>
          <w:rFonts w:ascii="宋体" w:hAnsi="宋体" w:eastAsia="宋体"/>
          <w:kern w:val="2"/>
          <w:sz w:val="21"/>
          <w:szCs w:val="21"/>
          <w:lang w:eastAsia="zh-CN"/>
        </w:rPr>
      </w:pPr>
      <w:bookmarkStart w:id="77" w:name="_Hlk71407340"/>
      <w:r>
        <w:rPr>
          <w:rFonts w:hint="eastAsia" w:ascii="宋体" w:hAnsi="宋体" w:eastAsia="宋体"/>
          <w:kern w:val="2"/>
          <w:sz w:val="21"/>
          <w:szCs w:val="21"/>
          <w:lang w:eastAsia="zh-CN"/>
        </w:rPr>
        <w:t>41.3因质疑投诉或其它原因导致项目结果变更或采购终止的，采购代理机构有权吊销中标通知书。</w:t>
      </w:r>
      <w:bookmarkEnd w:id="77"/>
    </w:p>
    <w:p w14:paraId="3056B6D0">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公开招标失败的后续处理</w:t>
      </w:r>
    </w:p>
    <w:p w14:paraId="7D283158">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42．公开招标失败的处理</w:t>
      </w:r>
    </w:p>
    <w:p w14:paraId="33A3DB69">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szCs w:val="21"/>
          <w:lang w:eastAsia="zh-CN"/>
        </w:rPr>
        <w:t>42.1本项目公开招标过程中若由于投标截止后</w:t>
      </w:r>
      <w:r>
        <w:rPr>
          <w:rFonts w:hint="eastAsia" w:ascii="宋体" w:hAnsi="宋体" w:eastAsia="宋体"/>
          <w:kern w:val="2"/>
          <w:sz w:val="21"/>
          <w:lang w:eastAsia="zh-CN"/>
        </w:rPr>
        <w:t>实际递交投标文件的供应商数量不足、经</w:t>
      </w:r>
      <w:r>
        <w:rPr>
          <w:rFonts w:hint="eastAsia" w:ascii="宋体" w:hAnsi="宋体" w:eastAsia="宋体"/>
          <w:kern w:val="2"/>
          <w:sz w:val="21"/>
          <w:szCs w:val="21"/>
          <w:lang w:eastAsia="zh-CN"/>
        </w:rPr>
        <w:t>评审委员会</w:t>
      </w:r>
      <w:r>
        <w:rPr>
          <w:rFonts w:hint="eastAsia" w:ascii="宋体" w:hAnsi="宋体" w:eastAsia="宋体"/>
          <w:kern w:val="2"/>
          <w:sz w:val="21"/>
          <w:lang w:eastAsia="zh-CN"/>
        </w:rPr>
        <w:t>评审对招标文件作实质响应的供应商不足等原因造成公开招标失败，可由</w:t>
      </w:r>
      <w:r>
        <w:rPr>
          <w:rFonts w:hint="eastAsia" w:ascii="宋体" w:hAnsi="宋体" w:eastAsia="宋体"/>
          <w:kern w:val="2"/>
          <w:sz w:val="21"/>
          <w:szCs w:val="21"/>
          <w:lang w:eastAsia="zh-CN"/>
        </w:rPr>
        <w:t>采购代理机构</w:t>
      </w:r>
      <w:r>
        <w:rPr>
          <w:rFonts w:hint="eastAsia" w:ascii="宋体" w:hAnsi="宋体" w:eastAsia="宋体"/>
          <w:kern w:val="2"/>
          <w:sz w:val="21"/>
          <w:lang w:eastAsia="zh-CN"/>
        </w:rPr>
        <w:t>重新组织采购。</w:t>
      </w:r>
    </w:p>
    <w:p w14:paraId="431E6457">
      <w:pPr>
        <w:widowControl w:val="0"/>
        <w:ind w:firstLine="411" w:firstLineChars="196"/>
        <w:jc w:val="both"/>
        <w:rPr>
          <w:rFonts w:ascii="宋体" w:hAnsi="宋体" w:eastAsia="宋体"/>
          <w:kern w:val="2"/>
          <w:sz w:val="21"/>
          <w:szCs w:val="21"/>
          <w:lang w:eastAsia="zh-CN"/>
        </w:rPr>
      </w:pPr>
      <w:r>
        <w:rPr>
          <w:rFonts w:hint="eastAsia" w:ascii="宋体" w:hAnsi="宋体" w:eastAsia="宋体"/>
          <w:kern w:val="2"/>
          <w:sz w:val="21"/>
          <w:szCs w:val="21"/>
          <w:lang w:eastAsia="zh-CN"/>
        </w:rPr>
        <w:t>42.2对公开招标失败的项目，评审委员会在出具该项目招标失败结论的同时，可以提出重新采购组织形式的建议，以及进一步完善招标文件的资格、技术、商务要求的修改建议。</w:t>
      </w:r>
    </w:p>
    <w:p w14:paraId="33512D39">
      <w:pPr>
        <w:widowControl w:val="0"/>
        <w:ind w:firstLine="411" w:firstLineChars="196"/>
        <w:jc w:val="both"/>
        <w:rPr>
          <w:rFonts w:ascii="宋体" w:hAnsi="宋体" w:eastAsia="宋体"/>
          <w:kern w:val="2"/>
          <w:sz w:val="21"/>
          <w:szCs w:val="21"/>
          <w:lang w:eastAsia="zh-CN"/>
        </w:rPr>
      </w:pPr>
      <w:r>
        <w:rPr>
          <w:rFonts w:hint="eastAsia" w:ascii="宋体" w:hAnsi="宋体" w:eastAsia="宋体"/>
          <w:kern w:val="2"/>
          <w:sz w:val="21"/>
          <w:szCs w:val="21"/>
          <w:lang w:eastAsia="zh-CN"/>
        </w:rPr>
        <w:t>42.3重新组织采购有以下两种组织形式：</w:t>
      </w:r>
    </w:p>
    <w:p w14:paraId="3AB3DDAE">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lang w:eastAsia="zh-CN"/>
        </w:rPr>
        <w:t>（1）由</w:t>
      </w:r>
      <w:r>
        <w:rPr>
          <w:rFonts w:hint="eastAsia" w:ascii="宋体" w:hAnsi="宋体" w:eastAsia="宋体"/>
          <w:kern w:val="2"/>
          <w:sz w:val="21"/>
          <w:szCs w:val="21"/>
          <w:lang w:eastAsia="zh-CN"/>
        </w:rPr>
        <w:t>采购代理机构</w:t>
      </w:r>
      <w:r>
        <w:rPr>
          <w:rFonts w:hint="eastAsia" w:ascii="宋体" w:hAnsi="宋体" w:eastAsia="宋体"/>
          <w:kern w:val="2"/>
          <w:sz w:val="21"/>
          <w:lang w:eastAsia="zh-CN"/>
        </w:rPr>
        <w:t>重新组织公开招标；</w:t>
      </w:r>
    </w:p>
    <w:p w14:paraId="52E46D1E">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lang w:eastAsia="zh-CN"/>
        </w:rPr>
        <w:t>（2）如需要根据实际情况向采购人主管部门提出非公开招标方式申请的，经采购人主管部门批准，公开招标失败采购项目可转为竞争性谈判或单一来源谈判方式采购。</w:t>
      </w:r>
    </w:p>
    <w:p w14:paraId="54CA3CAE">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lang w:eastAsia="zh-CN"/>
        </w:rPr>
        <w:t>42.4公开招标失败的采购项目重新组织公开招标，由</w:t>
      </w:r>
      <w:r>
        <w:rPr>
          <w:rFonts w:hint="eastAsia" w:ascii="宋体" w:hAnsi="宋体" w:eastAsia="宋体"/>
          <w:kern w:val="2"/>
          <w:sz w:val="21"/>
          <w:szCs w:val="21"/>
          <w:lang w:eastAsia="zh-CN"/>
        </w:rPr>
        <w:t>采购代理机构</w:t>
      </w:r>
      <w:r>
        <w:rPr>
          <w:rFonts w:hint="eastAsia" w:ascii="宋体" w:hAnsi="宋体" w:eastAsia="宋体"/>
          <w:kern w:val="2"/>
          <w:sz w:val="21"/>
          <w:lang w:eastAsia="zh-CN"/>
        </w:rPr>
        <w:t>重新按公开招标流程组织采购活动。</w:t>
      </w:r>
    </w:p>
    <w:p w14:paraId="5480ECD6">
      <w:pPr>
        <w:widowControl w:val="0"/>
        <w:ind w:firstLine="420" w:firstLineChars="200"/>
        <w:jc w:val="both"/>
        <w:rPr>
          <w:rFonts w:ascii="黑体" w:hAnsi="宋体" w:eastAsia="黑体"/>
          <w:kern w:val="2"/>
          <w:lang w:eastAsia="zh-CN"/>
        </w:rPr>
      </w:pPr>
      <w:r>
        <w:rPr>
          <w:rFonts w:hint="eastAsia" w:ascii="宋体" w:hAnsi="宋体" w:eastAsia="宋体"/>
          <w:kern w:val="2"/>
          <w:sz w:val="21"/>
          <w:lang w:eastAsia="zh-CN"/>
        </w:rPr>
        <w:t>42.5公开招标失败的采购项目转为竞争性谈判或单一来源谈判方式采购的，按规定要求组织自行采购工作。</w:t>
      </w:r>
    </w:p>
    <w:p w14:paraId="415767CA">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bookmarkStart w:id="78" w:name="_Hlk72439043"/>
      <w:r>
        <w:rPr>
          <w:rFonts w:hint="eastAsia" w:ascii="Cambria" w:hAnsi="Cambria" w:eastAsia="宋体" w:cs="宋体"/>
          <w:b/>
          <w:bCs/>
          <w:kern w:val="2"/>
          <w:sz w:val="28"/>
          <w:szCs w:val="28"/>
          <w:lang w:eastAsia="zh-CN"/>
        </w:rPr>
        <w:t>合同的授予与备案</w:t>
      </w:r>
      <w:bookmarkEnd w:id="78"/>
    </w:p>
    <w:p w14:paraId="12F9676C">
      <w:pPr>
        <w:widowControl w:val="0"/>
        <w:ind w:firstLine="420" w:firstLineChars="200"/>
        <w:jc w:val="both"/>
        <w:rPr>
          <w:rFonts w:ascii="黑体" w:hAnsi="宋体" w:eastAsia="黑体"/>
          <w:kern w:val="2"/>
          <w:sz w:val="21"/>
          <w:szCs w:val="21"/>
          <w:lang w:eastAsia="zh-CN"/>
        </w:rPr>
      </w:pPr>
      <w:bookmarkStart w:id="79" w:name="_Toc73517679"/>
      <w:bookmarkStart w:id="80" w:name="_Toc73521586"/>
      <w:bookmarkStart w:id="81" w:name="_Toc100052408"/>
      <w:bookmarkStart w:id="82" w:name="_Toc73521674"/>
      <w:bookmarkStart w:id="83" w:name="_Toc73518157"/>
      <w:bookmarkStart w:id="84" w:name="_Hlk72439088"/>
      <w:r>
        <w:rPr>
          <w:rFonts w:hint="eastAsia" w:ascii="黑体" w:hAnsi="宋体" w:eastAsia="黑体"/>
          <w:kern w:val="2"/>
          <w:sz w:val="21"/>
          <w:szCs w:val="21"/>
          <w:lang w:eastAsia="zh-CN"/>
        </w:rPr>
        <w:t>43．合同授予标准</w:t>
      </w:r>
      <w:bookmarkEnd w:id="79"/>
      <w:bookmarkEnd w:id="80"/>
      <w:bookmarkEnd w:id="81"/>
      <w:bookmarkEnd w:id="82"/>
      <w:bookmarkEnd w:id="83"/>
    </w:p>
    <w:p w14:paraId="0144115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本项目的合同将授予经本招标文件规定评审确定的中标供应商。</w:t>
      </w:r>
    </w:p>
    <w:p w14:paraId="42B9F206">
      <w:pPr>
        <w:widowControl w:val="0"/>
        <w:ind w:firstLine="420" w:firstLineChars="200"/>
        <w:jc w:val="both"/>
        <w:rPr>
          <w:rFonts w:ascii="黑体" w:hAnsi="宋体" w:eastAsia="黑体"/>
          <w:kern w:val="2"/>
          <w:sz w:val="21"/>
          <w:szCs w:val="21"/>
          <w:lang w:eastAsia="zh-CN"/>
        </w:rPr>
      </w:pPr>
      <w:bookmarkStart w:id="85" w:name="_Toc73517680"/>
      <w:bookmarkStart w:id="86" w:name="_Toc73518158"/>
      <w:bookmarkStart w:id="87" w:name="_Toc73521675"/>
      <w:bookmarkStart w:id="88" w:name="_Toc73521587"/>
      <w:bookmarkStart w:id="89" w:name="_Toc100052409"/>
      <w:r>
        <w:rPr>
          <w:rFonts w:hint="eastAsia" w:ascii="黑体" w:hAnsi="宋体" w:eastAsia="黑体"/>
          <w:kern w:val="2"/>
          <w:sz w:val="21"/>
          <w:szCs w:val="21"/>
          <w:lang w:eastAsia="zh-CN"/>
        </w:rPr>
        <w:t>44．</w:t>
      </w:r>
      <w:bookmarkEnd w:id="85"/>
      <w:bookmarkEnd w:id="86"/>
      <w:bookmarkEnd w:id="87"/>
      <w:bookmarkEnd w:id="88"/>
      <w:bookmarkEnd w:id="89"/>
      <w:r>
        <w:rPr>
          <w:rFonts w:hint="eastAsia" w:ascii="黑体" w:hAnsi="宋体" w:eastAsia="黑体"/>
          <w:kern w:val="2"/>
          <w:sz w:val="21"/>
          <w:szCs w:val="21"/>
          <w:lang w:eastAsia="zh-CN"/>
        </w:rPr>
        <w:t>接受和拒绝任何或所有投标的权力</w:t>
      </w:r>
    </w:p>
    <w:p w14:paraId="5B9E433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12C4178C">
      <w:pPr>
        <w:widowControl w:val="0"/>
        <w:ind w:firstLine="420" w:firstLineChars="200"/>
        <w:jc w:val="both"/>
        <w:rPr>
          <w:rFonts w:ascii="黑体" w:hAnsi="宋体" w:eastAsia="黑体"/>
          <w:kern w:val="2"/>
          <w:sz w:val="21"/>
          <w:szCs w:val="21"/>
          <w:lang w:eastAsia="zh-CN"/>
        </w:rPr>
      </w:pPr>
      <w:bookmarkStart w:id="90" w:name="_Toc73521589"/>
      <w:bookmarkStart w:id="91" w:name="_Toc73521677"/>
      <w:bookmarkStart w:id="92" w:name="_Toc73518160"/>
      <w:bookmarkStart w:id="93" w:name="_Toc73517682"/>
      <w:bookmarkStart w:id="94" w:name="_Toc100052410"/>
      <w:r>
        <w:rPr>
          <w:rFonts w:hint="eastAsia" w:ascii="黑体" w:hAnsi="宋体" w:eastAsia="黑体"/>
          <w:kern w:val="2"/>
          <w:sz w:val="21"/>
          <w:szCs w:val="21"/>
          <w:lang w:eastAsia="zh-CN"/>
        </w:rPr>
        <w:t>45．合同的签订</w:t>
      </w:r>
      <w:bookmarkEnd w:id="90"/>
      <w:bookmarkEnd w:id="91"/>
      <w:bookmarkEnd w:id="92"/>
      <w:bookmarkEnd w:id="93"/>
      <w:bookmarkEnd w:id="94"/>
    </w:p>
    <w:p w14:paraId="739190F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45.1中标人将于中标通知书发出之日起十个工作日内，按照采购文件（招标文件和投标文件等）内容与采购人签订采购合同；合同的实质性内容应当符合招标文件的规定；</w:t>
      </w:r>
    </w:p>
    <w:p w14:paraId="60704F9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45.2中标人如不按本通用条款第45.1款的规定与采购人签订合同，</w:t>
      </w:r>
      <w:r>
        <w:rPr>
          <w:rFonts w:hint="eastAsia" w:ascii="宋体" w:hAnsi="宋体" w:eastAsia="宋体" w:cs="宋体"/>
          <w:sz w:val="21"/>
          <w:szCs w:val="21"/>
          <w:lang w:eastAsia="zh-CN"/>
        </w:rPr>
        <w:t>情节严重的，由同级财政部门记入供应商诚信档案，予以通报</w:t>
      </w:r>
      <w:r>
        <w:rPr>
          <w:rFonts w:hint="eastAsia" w:ascii="宋体" w:hAnsi="宋体" w:eastAsia="宋体"/>
          <w:kern w:val="2"/>
          <w:sz w:val="21"/>
          <w:szCs w:val="21"/>
          <w:lang w:eastAsia="zh-CN"/>
        </w:rPr>
        <w:t>；</w:t>
      </w:r>
    </w:p>
    <w:p w14:paraId="3D82FB5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45.3中标人应当按照合同约定履行义务，完成中标项目，不得将中标项目转让（转包）给他人。</w:t>
      </w:r>
    </w:p>
    <w:p w14:paraId="54A6231E">
      <w:pPr>
        <w:widowControl w:val="0"/>
        <w:ind w:firstLine="420" w:firstLineChars="200"/>
        <w:jc w:val="both"/>
        <w:rPr>
          <w:rFonts w:ascii="宋体" w:hAnsi="宋体" w:eastAsia="宋体"/>
          <w:kern w:val="2"/>
          <w:sz w:val="21"/>
          <w:szCs w:val="21"/>
          <w:lang w:eastAsia="zh-CN"/>
        </w:rPr>
      </w:pPr>
      <w:bookmarkStart w:id="95" w:name="_Toc73521590"/>
      <w:bookmarkStart w:id="96" w:name="_Toc100052411"/>
      <w:bookmarkStart w:id="97" w:name="_Toc73517683"/>
      <w:bookmarkStart w:id="98" w:name="_Toc73521678"/>
      <w:bookmarkStart w:id="99" w:name="_Toc73518161"/>
      <w:r>
        <w:rPr>
          <w:rFonts w:hint="eastAsia" w:ascii="宋体" w:hAnsi="宋体" w:eastAsia="宋体"/>
          <w:kern w:val="2"/>
          <w:sz w:val="21"/>
          <w:szCs w:val="21"/>
          <w:lang w:eastAsia="zh-CN"/>
        </w:rPr>
        <w:t>46．履约担保</w:t>
      </w:r>
      <w:bookmarkEnd w:id="95"/>
      <w:bookmarkEnd w:id="96"/>
      <w:bookmarkEnd w:id="97"/>
      <w:bookmarkEnd w:id="98"/>
      <w:bookmarkEnd w:id="99"/>
    </w:p>
    <w:p w14:paraId="605A26F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46.1在签订项目合同的同时，中标人应按“对通用条款的补充内容”中规定的金额向采购人提交履约担保；</w:t>
      </w:r>
    </w:p>
    <w:p w14:paraId="1016969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46.2，允许供应商自主选择以支票、汇票、本票、保函等非现金方式提交履约担保；中标人提交履约担保不是合同签订的前提条件，不要求中标人提供除法律、法规明确规定外的其他担保。</w:t>
      </w:r>
    </w:p>
    <w:p w14:paraId="09B3C99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47. 合同备案</w:t>
      </w:r>
    </w:p>
    <w:p w14:paraId="1B6617A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自行采购项目，无需办理政府采购合同备案。</w:t>
      </w:r>
    </w:p>
    <w:p w14:paraId="2DA622D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48. 合同变更</w:t>
      </w:r>
    </w:p>
    <w:p w14:paraId="2745E83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合同变更事宜参照《深圳市财政局关于优化政府采购合同备案的通知》（深财发保〔2022〕2号）相关规定，按采购人内控制度执行。</w:t>
      </w:r>
    </w:p>
    <w:p w14:paraId="43FBCC5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49. 项目验收</w:t>
      </w:r>
    </w:p>
    <w:p w14:paraId="2F65F97F">
      <w:pPr>
        <w:widowControl/>
        <w:ind w:firstLine="420" w:firstLineChars="200"/>
        <w:jc w:val="left"/>
        <w:rPr>
          <w:rFonts w:ascii="宋体" w:hAnsi="宋体" w:eastAsia="宋体"/>
          <w:kern w:val="2"/>
          <w:sz w:val="21"/>
          <w:szCs w:val="21"/>
          <w:lang w:eastAsia="zh-CN"/>
        </w:rPr>
      </w:pPr>
      <w:r>
        <w:rPr>
          <w:rFonts w:hint="eastAsia" w:ascii="宋体" w:hAnsi="宋体" w:eastAsia="宋体"/>
          <w:kern w:val="2"/>
          <w:sz w:val="21"/>
          <w:szCs w:val="21"/>
          <w:lang w:eastAsia="zh-CN"/>
        </w:rPr>
        <w:t xml:space="preserve">49.1采购人应当按照招标文件和合同规定的标准和方法，及时组织验收。 </w:t>
      </w:r>
    </w:p>
    <w:p w14:paraId="4FEFEA7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50. 宣传</w:t>
      </w:r>
    </w:p>
    <w:p w14:paraId="5F86CC7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凡与采购活动有关的宣传或广告，若当中提及本项目采购，必须事先将具体对外宣传方案报采购人预算主管部门，并征得其同意。对外市场宣传包括但不限于以下形式：</w:t>
      </w:r>
    </w:p>
    <w:p w14:paraId="7E71A32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a.名片、宣传册、广告标语等；</w:t>
      </w:r>
    </w:p>
    <w:p w14:paraId="6299CAD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b.案例介绍、推广等；</w:t>
      </w:r>
    </w:p>
    <w:p w14:paraId="482406A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c.工作人员向其他消费群体宣传。</w:t>
      </w:r>
    </w:p>
    <w:p w14:paraId="72E6507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51. 供应商违法责任</w:t>
      </w:r>
    </w:p>
    <w:p w14:paraId="798B534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51.1《深圳经济特区政府采购条例》第五十七条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48F4FF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（1）在采购活动中应当回避而未回避的；</w:t>
      </w:r>
    </w:p>
    <w:p w14:paraId="427926F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（2）未按本条例规定签订、履行采购合同，造成严重后果的；</w:t>
      </w:r>
    </w:p>
    <w:p w14:paraId="71856FB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（3）隐瞒真实情况，提供虚假资料的；</w:t>
      </w:r>
    </w:p>
    <w:p w14:paraId="1B707E6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（4）以非法手段排斥其他供应商参与竞争的；</w:t>
      </w:r>
    </w:p>
    <w:p w14:paraId="17A2C5C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（5）与其他采购参加人串通投标的；</w:t>
      </w:r>
    </w:p>
    <w:p w14:paraId="5150976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（6）恶意投诉的；</w:t>
      </w:r>
    </w:p>
    <w:p w14:paraId="3754A47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（7）向采购项目相关人行贿或者提供其他不当利益的；</w:t>
      </w:r>
    </w:p>
    <w:p w14:paraId="6D60671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（8）阻碍、抗拒主管部门监督检查的；</w:t>
      </w:r>
    </w:p>
    <w:p w14:paraId="0DC54B0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（9）其他违反本条例规定的行为。</w:t>
      </w:r>
    </w:p>
    <w:p w14:paraId="6AC5C61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51.2 根据《深圳市财政局关于调整政府采购投标（响应）保证金管理政策的通知 》（深财购〔2021〕51 号）的要求，供应商在采购活动中出现《深圳经济特区政府采购条例实施细则》第八十条所列情形的，</w:t>
      </w:r>
      <w:bookmarkStart w:id="100" w:name="_Hlk72440769"/>
      <w:r>
        <w:rPr>
          <w:rFonts w:hint="eastAsia" w:ascii="宋体" w:hAnsi="宋体" w:eastAsia="宋体"/>
          <w:kern w:val="2"/>
          <w:sz w:val="21"/>
          <w:szCs w:val="21"/>
          <w:lang w:eastAsia="zh-CN"/>
        </w:rPr>
        <w:t>采购代理机构或采购人不予退还其交纳的谈判保证金，情节严重的，并由主管部门</w:t>
      </w:r>
      <w:bookmarkEnd w:id="100"/>
      <w:r>
        <w:rPr>
          <w:rFonts w:hint="eastAsia" w:ascii="宋体" w:hAnsi="宋体" w:eastAsia="宋体"/>
          <w:kern w:val="2"/>
          <w:sz w:val="21"/>
          <w:szCs w:val="21"/>
          <w:lang w:eastAsia="zh-CN"/>
        </w:rPr>
        <w:t>记入供应商诚信档案，予以通报：</w:t>
      </w:r>
    </w:p>
    <w:p w14:paraId="5E95010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（1）投标截止后，撤销投标的；</w:t>
      </w:r>
    </w:p>
    <w:p w14:paraId="73978D9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（2）中标后无正当理由未在规定期限内签订合同的；</w:t>
      </w:r>
    </w:p>
    <w:p w14:paraId="0F55CF2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（3）将中标项目转让给他人、或者在投标文件中未说明且未经采购人、采购招标机构同意，将中标项目分包给他人的；</w:t>
      </w:r>
    </w:p>
    <w:p w14:paraId="2A30CE1E">
      <w:pPr>
        <w:widowControl w:val="0"/>
        <w:ind w:firstLine="420" w:firstLineChars="200"/>
        <w:jc w:val="both"/>
        <w:rPr>
          <w:rFonts w:eastAsia="宋体"/>
          <w:kern w:val="2"/>
          <w:sz w:val="21"/>
          <w:lang w:eastAsia="zh-CN"/>
        </w:rPr>
      </w:pPr>
      <w:r>
        <w:rPr>
          <w:rFonts w:hint="eastAsia" w:ascii="宋体" w:hAnsi="宋体" w:eastAsia="宋体"/>
          <w:kern w:val="2"/>
          <w:sz w:val="21"/>
          <w:szCs w:val="21"/>
          <w:lang w:eastAsia="zh-CN"/>
        </w:rPr>
        <w:t>（4）拒绝履行合同义务的。</w:t>
      </w:r>
    </w:p>
    <w:bookmarkEnd w:id="84"/>
    <w:p w14:paraId="7DED3AB4">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质疑处理</w:t>
      </w:r>
    </w:p>
    <w:p w14:paraId="229AC9AB">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52.质疑提出与答复</w:t>
      </w:r>
    </w:p>
    <w:p w14:paraId="3CA01CD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52.1提出质疑</w:t>
      </w:r>
    </w:p>
    <w:p w14:paraId="5E06BAE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参与采购活动的供应商认为自己的权益在采购活动中受到损害的，应当自知道或者应当知道其权益受到损害之日起七个工作日内向采购人、采购代理机构以书面形式提出质疑。</w:t>
      </w:r>
    </w:p>
    <w:p w14:paraId="18332C9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52.2法律依据</w:t>
      </w:r>
    </w:p>
    <w:p w14:paraId="03AF220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643E569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52.3质疑条件</w:t>
      </w:r>
    </w:p>
    <w:p w14:paraId="0B039FF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52.3.1提出质疑的供应商应当是参与所质疑项目采购活动的供应商；</w:t>
      </w:r>
      <w:bookmarkStart w:id="101" w:name="_Hlk75374941"/>
      <w:r>
        <w:rPr>
          <w:rFonts w:hint="eastAsia" w:ascii="宋体" w:hAnsi="宋体" w:eastAsia="宋体"/>
          <w:kern w:val="2"/>
          <w:sz w:val="21"/>
          <w:szCs w:val="21"/>
          <w:lang w:eastAsia="zh-CN"/>
        </w:rPr>
        <w:t>以联合体形式参与的，质疑应当由组成联合体的所有成员共同提出</w:t>
      </w:r>
      <w:bookmarkEnd w:id="101"/>
      <w:r>
        <w:rPr>
          <w:rFonts w:hint="eastAsia" w:ascii="宋体" w:hAnsi="宋体" w:eastAsia="宋体"/>
          <w:kern w:val="2"/>
          <w:sz w:val="21"/>
          <w:szCs w:val="21"/>
          <w:lang w:eastAsia="zh-CN"/>
        </w:rPr>
        <w:t>；</w:t>
      </w:r>
    </w:p>
    <w:p w14:paraId="1446F3C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成交）结果以及评审委员会组成人员的质疑，为中标（成交）结果公示之日；</w:t>
      </w:r>
    </w:p>
    <w:p w14:paraId="19620A0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52.3.3应提交书面质疑函，质疑函应当包括以下内容： </w:t>
      </w:r>
    </w:p>
    <w:p w14:paraId="3EA143F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（1）供应商的名称（或者姓名）、地址、邮编、邮箱、联系人及联系电话；</w:t>
      </w:r>
    </w:p>
    <w:p w14:paraId="16E0964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（2）质疑项目的名称、编号；</w:t>
      </w:r>
    </w:p>
    <w:p w14:paraId="23BA50B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（3）具体、明确的质疑对象、质疑事项和质疑请求；</w:t>
      </w:r>
    </w:p>
    <w:p w14:paraId="0B57208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（4）因质疑事项而受损害的权益；</w:t>
      </w:r>
    </w:p>
    <w:p w14:paraId="7CC5C48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（5）事实依据；</w:t>
      </w:r>
    </w:p>
    <w:p w14:paraId="56EF799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（6）必要的法律依据；</w:t>
      </w:r>
    </w:p>
    <w:p w14:paraId="7538F28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（7）提出质疑的日期。</w:t>
      </w:r>
    </w:p>
    <w:p w14:paraId="6DBEF98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供应商为自然人的，应当由本人签字；供应商为法人或者其他组织的，应当由法定代表人（负责人），或者其授权代理人签字或者盖章，并加盖公章。</w:t>
      </w:r>
    </w:p>
    <w:p w14:paraId="19C01DE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52.4提交材料</w:t>
      </w:r>
    </w:p>
    <w:p w14:paraId="7E3A4E5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供应商质疑实行实名制。供应商为自然人的，应当提交本人身份证复印件；供应商为法人或者其他组织的，应当根据自身性质提交营业执照复印件或者其他证明文件（如事业单位法人证书等）复印件。</w:t>
      </w:r>
    </w:p>
    <w:p w14:paraId="656F980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16B918A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52.5收文地点</w:t>
      </w:r>
    </w:p>
    <w:p w14:paraId="08359916">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地址：深圳公共资源交易中心（深圳交易集团有限公司政府采购业务分公司）深圳市南山区沙河西路3185号南山智谷A座（深圳交易集团总部大楼）27楼，质疑咨询电话：0755-</w:t>
      </w:r>
      <w:r>
        <w:rPr>
          <w:rFonts w:hint="eastAsia" w:ascii="宋体" w:hAnsi="宋体" w:eastAsia="宋体"/>
          <w:b/>
          <w:kern w:val="2"/>
          <w:sz w:val="21"/>
          <w:lang w:eastAsia="zh-CN"/>
        </w:rPr>
        <w:t>86500050</w:t>
      </w:r>
      <w:r>
        <w:rPr>
          <w:rFonts w:hint="eastAsia" w:ascii="宋体" w:hAnsi="宋体" w:eastAsia="宋体"/>
          <w:b/>
          <w:bCs/>
          <w:kern w:val="2"/>
          <w:sz w:val="21"/>
          <w:szCs w:val="21"/>
          <w:lang w:eastAsia="zh-CN"/>
        </w:rPr>
        <w:t>。</w:t>
      </w:r>
    </w:p>
    <w:p w14:paraId="615AE28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52.6收文办理程序</w:t>
      </w:r>
    </w:p>
    <w:p w14:paraId="520E4C3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07489580">
      <w:pPr>
        <w:widowControl w:val="0"/>
        <w:ind w:firstLine="420" w:firstLineChars="200"/>
        <w:jc w:val="both"/>
        <w:rPr>
          <w:rFonts w:ascii="仿宋" w:hAnsi="仿宋" w:eastAsia="仿宋"/>
          <w:kern w:val="2"/>
          <w:sz w:val="21"/>
          <w:szCs w:val="21"/>
          <w:lang w:eastAsia="zh-CN"/>
        </w:rPr>
      </w:pPr>
      <w:r>
        <w:rPr>
          <w:rFonts w:hint="eastAsia" w:ascii="宋体" w:hAnsi="宋体" w:eastAsia="宋体"/>
          <w:kern w:val="2"/>
          <w:sz w:val="21"/>
          <w:szCs w:val="21"/>
          <w:lang w:eastAsia="zh-CN"/>
        </w:rPr>
        <w:t>52.6.2供应商提交的质疑材料不符合质疑条件的，视情况处理：</w:t>
      </w:r>
    </w:p>
    <w:p w14:paraId="25092DA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供应商提交的质疑材料不全或者未按要求签字或者盖章的，采购代理机构应当一次性告知供应商需补正的内容和补正期限。</w:t>
      </w:r>
    </w:p>
    <w:p w14:paraId="19BDCAA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供应商提交的质疑存在下列情形之一的，不予受理：</w:t>
      </w:r>
    </w:p>
    <w:p w14:paraId="7989C03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（1）质疑主体不满足要求的；</w:t>
      </w:r>
    </w:p>
    <w:p w14:paraId="7AD3034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（2）供应商自身权益未受到损害的；</w:t>
      </w:r>
    </w:p>
    <w:p w14:paraId="28E27D3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（3）供应商未在法定质疑期限内提出质疑的；</w:t>
      </w:r>
    </w:p>
    <w:p w14:paraId="164B7DF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（4）质疑材料不全或者未按要求签字或者盖章的情况下，要求补正后，逾期未补正或者补正后仍不符合规定的；</w:t>
      </w:r>
    </w:p>
    <w:p w14:paraId="1271830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（5）其他不符合受理条件情形的。</w:t>
      </w:r>
    </w:p>
    <w:p w14:paraId="6E688C4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质疑事项不予受理的，采购代理机构应当向供应商出具不符合质疑条件告知书。</w:t>
      </w:r>
    </w:p>
    <w:p w14:paraId="59BE1E6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52.7质疑答复时限</w:t>
      </w:r>
    </w:p>
    <w:p w14:paraId="23AF65F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自收文之日起七个工作日内。</w:t>
      </w:r>
    </w:p>
    <w:p w14:paraId="4DF7928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52.8投诉</w:t>
      </w:r>
    </w:p>
    <w:p w14:paraId="4962C80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对质疑答复不满意或者未在规定时间内答复的，提出质疑的供应商可以在答复期满后15个工作日内向采购文件第一册专用条款，第二章 对通用条款的补充内容及其他关键信息，一、对通用条款的补充内容中规定的单位投诉。</w:t>
      </w:r>
    </w:p>
    <w:p w14:paraId="0DEB1FED">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53.质疑后续处理</w:t>
      </w:r>
    </w:p>
    <w:p w14:paraId="1F64384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53.1供应商质疑不成立，或者成立但未对中标、成交结果构成影响的，继续开展采购活动。</w:t>
      </w:r>
    </w:p>
    <w:p w14:paraId="624153FF">
      <w:pPr>
        <w:widowControl w:val="0"/>
        <w:ind w:firstLine="420" w:firstLineChars="200"/>
        <w:jc w:val="left"/>
        <w:rPr>
          <w:rFonts w:ascii="宋体" w:hAnsi="宋体" w:eastAsia="宋体"/>
          <w:kern w:val="2"/>
          <w:sz w:val="21"/>
          <w:szCs w:val="21"/>
          <w:lang w:eastAsia="zh-CN"/>
        </w:rPr>
      </w:pPr>
      <w:r>
        <w:rPr>
          <w:rFonts w:hint="eastAsia" w:ascii="宋体" w:hAnsi="宋体" w:eastAsia="宋体"/>
          <w:kern w:val="2"/>
          <w:sz w:val="21"/>
          <w:szCs w:val="21"/>
          <w:lang w:eastAsia="zh-CN"/>
        </w:rPr>
        <w:t>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p>
    <w:p w14:paraId="697A2E89">
      <w:pPr>
        <w:widowControl w:val="0"/>
        <w:ind w:firstLine="420" w:firstLineChars="200"/>
        <w:jc w:val="left"/>
        <w:rPr>
          <w:rFonts w:eastAsia="宋体"/>
          <w:kern w:val="2"/>
          <w:sz w:val="21"/>
          <w:szCs w:val="21"/>
          <w:lang w:eastAsia="zh-CN"/>
        </w:rPr>
      </w:pPr>
      <w:r>
        <w:rPr>
          <w:rFonts w:hint="eastAsia" w:ascii="宋体" w:hAnsi="宋体" w:eastAsia="宋体"/>
          <w:kern w:val="2"/>
          <w:sz w:val="21"/>
          <w:szCs w:val="21"/>
          <w:lang w:eastAsia="zh-CN"/>
        </w:rPr>
        <w:t>53.3被质疑供应商应配合提供质疑答辩意见,并提供相关证据材料,逾期不作书面答辩的,视同放弃答辩权利,依法承担由此可能产生的不利法律后果。</w:t>
      </w:r>
    </w:p>
    <w:p w14:paraId="10A6CED1">
      <w:pPr>
        <w:widowControl w:val="0"/>
        <w:jc w:val="center"/>
        <w:rPr>
          <w:rFonts w:eastAsia="宋体"/>
          <w:kern w:val="2"/>
          <w:sz w:val="21"/>
          <w:lang w:eastAsia="zh-CN"/>
        </w:rPr>
      </w:pPr>
      <w:r>
        <w:rPr>
          <w:rFonts w:eastAsia="宋体"/>
          <w:kern w:val="2"/>
          <w:sz w:val="21"/>
          <w:lang w:eastAsia="zh-CN"/>
        </w:rPr>
        <w:t>---- END ----</w:t>
      </w:r>
      <w:bookmarkEnd w:id="49"/>
    </w:p>
    <w:p w14:paraId="38609006">
      <w:pPr>
        <w:widowControl w:val="0"/>
        <w:jc w:val="both"/>
        <w:rPr>
          <w:rFonts w:ascii="宋体" w:hAnsi="宋体" w:eastAsia="宋体"/>
          <w:kern w:val="2"/>
          <w:sz w:val="21"/>
          <w:szCs w:val="21"/>
          <w:lang w:eastAsia="zh-CN"/>
        </w:rPr>
      </w:pPr>
    </w:p>
    <w:p w14:paraId="19A2F7F2">
      <w:pPr>
        <w:keepNext/>
        <w:keepLines/>
        <w:widowControl w:val="0"/>
        <w:adjustRightInd w:val="0"/>
        <w:spacing w:before="260" w:after="260" w:line="240" w:lineRule="auto"/>
        <w:jc w:val="center"/>
        <w:textAlignment w:val="baseline"/>
        <w:outlineLvl w:val="1"/>
        <w:rPr>
          <w:rFonts w:ascii="宋体" w:hAnsi="宋体" w:eastAsia="宋体"/>
          <w:b/>
          <w:bCs/>
          <w:szCs w:val="21"/>
          <w:lang w:eastAsia="zh-CN"/>
        </w:rPr>
        <w:sectPr>
          <w:headerReference r:id="rId4" w:type="first"/>
          <w:headerReference r:id="rId3" w:type="default"/>
          <w:footerReference r:id="rId5" w:type="default"/>
          <w:footerReference r:id="rId6" w:type="even"/>
          <w:pgSz w:w="11907" w:h="16840"/>
          <w:pgMar w:top="1361" w:right="1417" w:bottom="1417" w:left="1417" w:header="851" w:footer="992" w:gutter="0"/>
          <w:cols w:space="425" w:num="1"/>
          <w:titlePg/>
          <w:docGrid w:linePitch="462" w:charSpace="0"/>
        </w:sectPr>
      </w:pPr>
    </w:p>
    <w:p w14:paraId="377F9F3A">
      <w:pPr>
        <w:pBdr>
          <w:top w:val="none" w:color="auto" w:sz="0" w:space="0"/>
          <w:left w:val="single" w:color="DDDDDD" w:sz="6" w:space="0"/>
          <w:bottom w:val="none" w:color="auto" w:sz="0" w:space="0"/>
          <w:right w:val="single" w:color="DDDDDD" w:sz="6" w:space="0"/>
        </w:pBdr>
        <w:spacing w:before="0" w:after="0" w:line="648" w:lineRule="atLeast"/>
        <w:ind w:left="15" w:right="15"/>
        <w:jc w:val="center"/>
        <w:outlineLvl w:val="0"/>
        <w:rPr>
          <w:rFonts w:ascii="仿宋" w:hAnsi="仿宋" w:eastAsia="仿宋" w:cs="仿宋"/>
          <w:b/>
          <w:bCs/>
          <w:color w:val="000000"/>
          <w:sz w:val="48"/>
          <w:szCs w:val="48"/>
          <w:lang w:val="en" w:eastAsia="en"/>
        </w:rPr>
      </w:pPr>
      <w:r>
        <w:rPr>
          <w:rFonts w:ascii="仿宋" w:hAnsi="仿宋" w:eastAsia="仿宋" w:cs="仿宋"/>
          <w:b/>
          <w:bCs/>
          <w:color w:val="000000"/>
          <w:sz w:val="48"/>
          <w:szCs w:val="48"/>
          <w:lang w:val="en" w:eastAsia="en"/>
        </w:rPr>
        <w:t>投标文件格式</w:t>
      </w:r>
    </w:p>
    <w:p w14:paraId="36B61EA9">
      <w:pPr>
        <w:pBdr>
          <w:top w:val="none" w:color="auto" w:sz="0" w:space="0"/>
          <w:left w:val="none" w:color="auto" w:sz="0" w:space="0"/>
          <w:bottom w:val="none" w:color="auto" w:sz="0" w:space="0"/>
          <w:right w:val="none" w:color="auto" w:sz="0" w:space="0"/>
        </w:pBdr>
        <w:spacing w:before="0" w:after="0" w:line="504" w:lineRule="atLeast"/>
        <w:ind w:left="15" w:right="15"/>
        <w:jc w:val="center"/>
        <w:rPr>
          <w:rFonts w:ascii="仿宋" w:hAnsi="仿宋" w:eastAsia="仿宋" w:cs="仿宋"/>
          <w:b/>
          <w:bCs/>
          <w:color w:val="333333"/>
          <w:sz w:val="28"/>
          <w:szCs w:val="28"/>
          <w:lang w:val="en" w:eastAsia="en"/>
        </w:rPr>
      </w:pPr>
      <w:r>
        <w:rPr>
          <w:rFonts w:ascii="仿宋" w:hAnsi="仿宋" w:eastAsia="仿宋" w:cs="仿宋"/>
          <w:b/>
          <w:bCs/>
          <w:color w:val="333333"/>
          <w:sz w:val="28"/>
          <w:szCs w:val="28"/>
          <w:lang w:val="en" w:eastAsia="en"/>
        </w:rPr>
        <w:t>香港中文大学（深圳）书院家具项目</w:t>
      </w:r>
    </w:p>
    <w:tbl>
      <w:tblPr>
        <w:tblStyle w:val="11"/>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44"/>
        <w:gridCol w:w="7492"/>
      </w:tblGrid>
      <w:tr w14:paraId="1F44166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tblHeader/>
        </w:trPr>
        <w:tc>
          <w:tcPr>
            <w:tcW w:w="9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D8D4D9E">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41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614BC244">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文件夹/文件名称</w:t>
            </w:r>
          </w:p>
        </w:tc>
      </w:tr>
      <w:tr w14:paraId="3CBE834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D69FD1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2310F2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投标函</w:t>
            </w:r>
          </w:p>
        </w:tc>
      </w:tr>
      <w:tr w14:paraId="2C2A1DE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A0DAC2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1461A8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采购投标及履约承诺函</w:t>
            </w:r>
          </w:p>
        </w:tc>
      </w:tr>
      <w:tr w14:paraId="2E37981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21C37E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485510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投标人情况及资格证明文件</w:t>
            </w:r>
          </w:p>
        </w:tc>
      </w:tr>
      <w:tr w14:paraId="676D32C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8B9F06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0E9B43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项目详细报价</w:t>
            </w:r>
          </w:p>
        </w:tc>
      </w:tr>
      <w:tr w14:paraId="04B6B87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D4B55E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4C186D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供应商基本情况表（须加盖投标单位公章）</w:t>
            </w:r>
          </w:p>
        </w:tc>
      </w:tr>
      <w:tr w14:paraId="5C0BFD7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6B069C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3F0616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法定代表人（负责人）证明书</w:t>
            </w:r>
          </w:p>
        </w:tc>
      </w:tr>
      <w:tr w14:paraId="000C946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036135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559622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投标文件签署授权委托书</w:t>
            </w:r>
          </w:p>
        </w:tc>
      </w:tr>
      <w:tr w14:paraId="0138DA8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D5A149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2D7F49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实质性条款响应情况表</w:t>
            </w:r>
          </w:p>
        </w:tc>
      </w:tr>
      <w:tr w14:paraId="20BA933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3A4AFC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7E8A6D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技术要求偏离表</w:t>
            </w:r>
          </w:p>
        </w:tc>
      </w:tr>
      <w:tr w14:paraId="17C2E7A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71C45B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1036E1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商务要求偏离表</w:t>
            </w:r>
          </w:p>
        </w:tc>
      </w:tr>
      <w:tr w14:paraId="70AD9E4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4C7E8B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9FC88F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技术保障措施（格式自定）</w:t>
            </w:r>
          </w:p>
        </w:tc>
      </w:tr>
      <w:tr w14:paraId="038A68A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792FD4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835AE3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项目实施方案（格式自定）</w:t>
            </w:r>
          </w:p>
        </w:tc>
      </w:tr>
      <w:tr w14:paraId="24739B1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8A250E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3ADF00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投标人认证情况（格式自定）</w:t>
            </w:r>
          </w:p>
        </w:tc>
      </w:tr>
      <w:tr w14:paraId="0E00863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621F73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6EECB1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投标人同类业绩</w:t>
            </w:r>
          </w:p>
        </w:tc>
      </w:tr>
      <w:tr w14:paraId="2FE7001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E47FCE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81A23A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投标人认为需要加以说明的其他内容</w:t>
            </w:r>
          </w:p>
        </w:tc>
      </w:tr>
    </w:tbl>
    <w:p w14:paraId="3AF1D870">
      <w:pPr>
        <w:pBdr>
          <w:top w:val="none" w:color="auto" w:sz="0" w:space="0"/>
          <w:left w:val="none" w:color="auto" w:sz="0" w:space="0"/>
          <w:bottom w:val="none" w:color="auto" w:sz="0" w:space="0"/>
          <w:right w:val="none" w:color="auto" w:sz="0" w:space="0"/>
        </w:pBdr>
        <w:spacing w:line="432" w:lineRule="atLeast"/>
        <w:rPr>
          <w:rFonts w:ascii="仿宋" w:hAnsi="仿宋" w:eastAsia="仿宋" w:cs="仿宋"/>
          <w:b/>
          <w:bCs/>
          <w:color w:val="333333"/>
          <w:lang w:val="en" w:eastAsia="en"/>
        </w:rPr>
        <w:sectPr>
          <w:pgMar w:top="1440" w:right="1800" w:bottom="1440" w:left="1800" w:header="708" w:footer="708" w:gutter="0"/>
          <w:cols w:space="708" w:num="1"/>
        </w:sectPr>
      </w:pPr>
    </w:p>
    <w:p w14:paraId="409708F4">
      <w:pPr>
        <w:pBdr>
          <w:top w:val="none" w:color="auto" w:sz="0" w:space="0"/>
          <w:left w:val="single" w:color="DDDDDD" w:sz="6" w:space="0"/>
          <w:bottom w:val="none" w:color="auto" w:sz="0" w:space="0"/>
          <w:right w:val="single" w:color="DDDDDD" w:sz="6" w:space="0"/>
        </w:pBdr>
        <w:spacing w:before="0" w:after="0" w:line="648" w:lineRule="atLeast"/>
        <w:ind w:left="15" w:right="15"/>
        <w:jc w:val="center"/>
        <w:outlineLvl w:val="0"/>
        <w:rPr>
          <w:rFonts w:ascii="仿宋" w:hAnsi="仿宋" w:eastAsia="仿宋" w:cs="仿宋"/>
          <w:b/>
          <w:bCs/>
          <w:color w:val="000000"/>
          <w:sz w:val="48"/>
          <w:szCs w:val="48"/>
          <w:lang w:val="en" w:eastAsia="en"/>
        </w:rPr>
      </w:pPr>
      <w:r>
        <w:rPr>
          <w:rFonts w:ascii="仿宋" w:hAnsi="仿宋" w:eastAsia="仿宋" w:cs="仿宋"/>
          <w:b/>
          <w:bCs/>
          <w:color w:val="000000"/>
          <w:sz w:val="48"/>
          <w:szCs w:val="48"/>
          <w:lang w:val="en" w:eastAsia="en"/>
        </w:rPr>
        <w:t>评标办法附表</w:t>
      </w:r>
    </w:p>
    <w:p w14:paraId="4FA0E4B8">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1.标段基本信息</w:t>
      </w:r>
    </w:p>
    <w:p w14:paraId="216CEADF">
      <w:pPr>
        <w:pBdr>
          <w:top w:val="none" w:color="auto" w:sz="0" w:space="0"/>
          <w:left w:val="none" w:color="auto" w:sz="0" w:space="0"/>
          <w:bottom w:val="none" w:color="auto" w:sz="0" w:space="0"/>
          <w:right w:val="none" w:color="auto" w:sz="0" w:space="0"/>
        </w:pBdr>
        <w:spacing w:after="0" w:line="432" w:lineRule="atLeast"/>
        <w:ind w:left="15" w:right="15"/>
        <w:rPr>
          <w:rFonts w:ascii="仿宋" w:hAnsi="仿宋" w:eastAsia="仿宋" w:cs="仿宋"/>
          <w:color w:val="333333"/>
          <w:lang w:val="en" w:eastAsia="en"/>
        </w:rPr>
      </w:pPr>
      <w:r>
        <w:rPr>
          <w:rFonts w:ascii="仿宋" w:hAnsi="仿宋" w:eastAsia="仿宋" w:cs="仿宋"/>
          <w:color w:val="333333"/>
          <w:lang w:val="en" w:eastAsia="en"/>
        </w:rPr>
        <w:t>标段编号：</w:t>
      </w:r>
      <w:r>
        <w:rPr>
          <w:rFonts w:ascii="微软雅黑" w:hAnsi="微软雅黑" w:eastAsia="微软雅黑" w:cs="微软雅黑"/>
          <w:color w:val="333333"/>
          <w:lang w:val="en" w:eastAsia="en"/>
        </w:rPr>
        <w:t xml:space="preserve"> </w:t>
      </w:r>
      <w:r>
        <w:rPr>
          <w:rFonts w:ascii="仿宋" w:hAnsi="仿宋" w:eastAsia="仿宋" w:cs="仿宋"/>
          <w:color w:val="333333"/>
          <w:u w:val="single" w:color="333333"/>
          <w:lang w:val="en" w:eastAsia="en"/>
        </w:rPr>
        <w:t>SZZXCG-2025-00417-001</w:t>
      </w:r>
      <w:r>
        <w:rPr>
          <w:rFonts w:ascii="仿宋" w:hAnsi="仿宋" w:eastAsia="仿宋" w:cs="仿宋"/>
          <w:color w:val="333333"/>
          <w:u w:val="single" w:color="333333"/>
          <w:lang w:val="en" w:eastAsia="en"/>
        </w:rPr>
        <w:br w:type="textWrapping"/>
      </w:r>
      <w:r>
        <w:rPr>
          <w:rFonts w:ascii="仿宋" w:hAnsi="仿宋" w:eastAsia="仿宋" w:cs="仿宋"/>
          <w:color w:val="333333"/>
          <w:lang w:val="en" w:eastAsia="en"/>
        </w:rPr>
        <w:t>标段名称：</w:t>
      </w:r>
      <w:r>
        <w:rPr>
          <w:rFonts w:ascii="微软雅黑" w:hAnsi="微软雅黑" w:eastAsia="微软雅黑" w:cs="微软雅黑"/>
          <w:color w:val="333333"/>
          <w:lang w:val="en" w:eastAsia="en"/>
        </w:rPr>
        <w:t xml:space="preserve"> </w:t>
      </w:r>
      <w:r>
        <w:rPr>
          <w:rFonts w:ascii="仿宋" w:hAnsi="仿宋" w:eastAsia="仿宋" w:cs="仿宋"/>
          <w:color w:val="333333"/>
          <w:u w:val="single" w:color="333333"/>
          <w:lang w:val="en" w:eastAsia="en"/>
        </w:rPr>
        <w:t>香港中文大学（深圳）书院家具项目</w:t>
      </w:r>
      <w:r>
        <w:rPr>
          <w:rFonts w:ascii="仿宋" w:hAnsi="仿宋" w:eastAsia="仿宋" w:cs="仿宋"/>
          <w:color w:val="333333"/>
          <w:u w:val="single" w:color="333333"/>
          <w:lang w:val="en" w:eastAsia="en"/>
        </w:rPr>
        <w:br w:type="textWrapping"/>
      </w:r>
    </w:p>
    <w:p w14:paraId="68DEA33D">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pPr>
    </w:p>
    <w:p w14:paraId="23DB2316">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2.入围参数</w:t>
      </w:r>
    </w:p>
    <w:p w14:paraId="4768EA33">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pPr>
      <w:r>
        <w:rPr>
          <w:rFonts w:ascii="仿宋" w:hAnsi="仿宋" w:eastAsia="仿宋" w:cs="仿宋"/>
          <w:color w:val="333333"/>
          <w:lang w:val="en" w:eastAsia="en"/>
        </w:rPr>
        <w:t>是否过多投标人淘汰：</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否</w:t>
      </w:r>
    </w:p>
    <w:p w14:paraId="5BCA05A7">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3.评审步骤</w:t>
      </w:r>
    </w:p>
    <w:tbl>
      <w:tblPr>
        <w:tblStyle w:val="12"/>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142"/>
        <w:gridCol w:w="6852"/>
        <w:gridCol w:w="1142"/>
      </w:tblGrid>
      <w:tr w14:paraId="46BA72D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539C1551">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30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E463142">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评审步骤</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0888D6E1">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分值</w:t>
            </w:r>
          </w:p>
        </w:tc>
      </w:tr>
      <w:tr w14:paraId="3BAAB2D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AD0B386">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7CD7A8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资格性审查</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036957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24409DD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CC5C47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3BCCDC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符合性审查</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5DC486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054CB10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F995E2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A8C328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详细评审</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2A60E7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60</w:t>
            </w:r>
          </w:p>
        </w:tc>
      </w:tr>
      <w:tr w14:paraId="42EAAB3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66E1F6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4E9E36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报价修正</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5115B5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4DB6861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998C71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A8A863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价格评审</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65478B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40</w:t>
            </w:r>
          </w:p>
        </w:tc>
      </w:tr>
      <w:tr w14:paraId="3A5866A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31D9C3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E67E00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综合评分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37FD41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64C0E8E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FA0167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45FE14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推荐中标候选人</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57FF9F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bl>
    <w:p w14:paraId="12962AD9">
      <w:pPr>
        <w:pBdr>
          <w:top w:val="none" w:color="auto" w:sz="0" w:space="0"/>
          <w:left w:val="none" w:color="auto" w:sz="0" w:space="0"/>
          <w:bottom w:val="none" w:color="auto" w:sz="0" w:space="0"/>
          <w:right w:val="none" w:color="auto" w:sz="0" w:space="0"/>
        </w:pBdr>
        <w:spacing w:after="0" w:line="432" w:lineRule="atLeast"/>
        <w:ind w:left="15" w:right="15"/>
        <w:rPr>
          <w:rFonts w:ascii="微软雅黑" w:hAnsi="微软雅黑" w:eastAsia="微软雅黑" w:cs="微软雅黑"/>
          <w:color w:val="333333"/>
          <w:lang w:val="en" w:eastAsia="en"/>
        </w:rPr>
      </w:pPr>
    </w:p>
    <w:p w14:paraId="7273B300">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4.评审条款</w:t>
      </w:r>
    </w:p>
    <w:p w14:paraId="191DC97F">
      <w:pPr>
        <w:pBdr>
          <w:top w:val="none" w:color="auto" w:sz="0" w:space="0"/>
          <w:left w:val="none" w:color="auto" w:sz="0" w:space="0"/>
          <w:bottom w:val="none" w:color="auto" w:sz="0" w:space="0"/>
          <w:right w:val="none" w:color="auto" w:sz="0" w:space="0"/>
        </w:pBdr>
        <w:spacing w:line="432" w:lineRule="atLeast"/>
        <w:ind w:left="15" w:right="15"/>
        <w:rPr>
          <w:rFonts w:ascii="仿宋" w:hAnsi="仿宋" w:eastAsia="仿宋" w:cs="仿宋"/>
          <w:color w:val="333333"/>
          <w:lang w:val="en" w:eastAsia="en"/>
        </w:rPr>
      </w:pPr>
      <w:r>
        <w:rPr>
          <w:rFonts w:ascii="仿宋" w:hAnsi="仿宋" w:eastAsia="仿宋" w:cs="仿宋"/>
          <w:color w:val="333333"/>
          <w:lang w:val="en" w:eastAsia="en"/>
        </w:rPr>
        <w:t>中标候选人：</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委托评标委员会直接定标</w:t>
      </w:r>
      <w:r>
        <w:rPr>
          <w:rFonts w:ascii="仿宋" w:hAnsi="仿宋" w:eastAsia="仿宋" w:cs="仿宋"/>
          <w:color w:val="333333"/>
          <w:lang w:val="en" w:eastAsia="en"/>
        </w:rPr>
        <w:br w:type="textWrapping"/>
      </w:r>
      <w:r>
        <w:rPr>
          <w:rFonts w:ascii="仿宋" w:hAnsi="仿宋" w:eastAsia="仿宋" w:cs="仿宋"/>
          <w:color w:val="333333"/>
          <w:lang w:val="en" w:eastAsia="en"/>
        </w:rPr>
        <w:br w:type="textWrapping"/>
      </w:r>
      <w:r>
        <w:rPr>
          <w:rFonts w:ascii="仿宋" w:hAnsi="仿宋" w:eastAsia="仿宋" w:cs="仿宋"/>
          <w:b/>
          <w:bCs/>
          <w:color w:val="000000"/>
          <w:lang w:val="en" w:eastAsia="en"/>
        </w:rPr>
        <w:t>4.1 资格性审查</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按分项自动汇总并发起否决投标</w:t>
      </w:r>
      <w:r>
        <w:rPr>
          <w:rFonts w:ascii="微软雅黑" w:hAnsi="微软雅黑" w:eastAsia="微软雅黑" w:cs="微软雅黑"/>
          <w:color w:val="333333"/>
          <w:lang w:val="en" w:eastAsia="en"/>
        </w:rPr>
        <w:t xml:space="preserve"> </w:t>
      </w:r>
    </w:p>
    <w:tbl>
      <w:tblPr>
        <w:tblStyle w:val="12"/>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12"/>
        <w:gridCol w:w="3762"/>
        <w:gridCol w:w="3762"/>
      </w:tblGrid>
      <w:tr w14:paraId="2EACDEB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72F7F591">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C778546">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0631511B">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r>
      <w:tr w14:paraId="01D3E91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F96CF7D">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81089A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资质要求</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0DE3BD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1.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r>
              <w:rPr>
                <w:rFonts w:ascii="仿宋" w:hAnsi="仿宋" w:eastAsia="仿宋" w:cs="仿宋"/>
                <w:color w:val="666666"/>
                <w:lang w:val="en" w:eastAsia="en"/>
              </w:rPr>
              <w:br w:type="textWrapping"/>
            </w:r>
            <w:r>
              <w:rPr>
                <w:rFonts w:ascii="仿宋" w:hAnsi="仿宋" w:eastAsia="仿宋" w:cs="仿宋"/>
                <w:color w:val="666666"/>
                <w:lang w:val="en" w:eastAsia="en"/>
              </w:rPr>
              <w:t>2.本项目不接受联合体投标，是否接受投标人选用进口产品参与投标，详见招标文件第三章用户需求书”（由供应商在《采购投标及履约承诺函》中作出声明）；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3.参与本项目采购活动时不存在被有关部门禁止参与政府采购活动且在有效期内的情况（由供应商在《采购投标及履约承诺函》中作出声明）；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4.具备《中华人民共和国政府采购法》第二十二条第一款的条件（由供应商在《采购投标及履约承诺函》中作出声明）；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5.未被列入失信被执行人、重大税收违法案件当事人名单、政府采购严重违法失信行为记录名单（由供应商在《采购投标及履约承诺函》中作出声明）；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6.不存在《深圳市财政局政府采购供应商信用信息管理办法》（深财规〔2023〕3号）列明的严重违法失信行为（由供应商在《采购投标及履约承诺函》中作出声明）；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7.为采购项目提供整体设计、规范编制或者项目管理、监理、检测等服务的供应商，不得再参加该采购项目的其他采购活动（由供应商在《采购投标及履约承诺函》中作出声明）；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提供《供应商基本情况表》并加盖公章扫描件）；</w:t>
            </w:r>
            <w:r>
              <w:rPr>
                <w:rFonts w:ascii="仿宋" w:hAnsi="仿宋" w:eastAsia="仿宋" w:cs="仿宋"/>
                <w:color w:val="666666"/>
                <w:lang w:val="en" w:eastAsia="en"/>
              </w:rPr>
              <w:br w:type="textWrapping"/>
            </w:r>
            <w:r>
              <w:rPr>
                <w:rFonts w:ascii="仿宋" w:hAnsi="仿宋" w:eastAsia="仿宋" w:cs="仿宋"/>
                <w:color w:val="666666"/>
                <w:lang w:val="en" w:eastAsia="en"/>
              </w:rPr>
              <w:t>9.本项目为非专门面向中小企业采购项目。</w:t>
            </w:r>
          </w:p>
        </w:tc>
      </w:tr>
    </w:tbl>
    <w:p w14:paraId="52AB0040">
      <w:pPr>
        <w:pBdr>
          <w:top w:val="none" w:color="auto" w:sz="0" w:space="0"/>
          <w:left w:val="none" w:color="auto" w:sz="0" w:space="0"/>
          <w:bottom w:val="none" w:color="auto" w:sz="0" w:space="0"/>
          <w:right w:val="none" w:color="auto" w:sz="0" w:space="0"/>
        </w:pBdr>
        <w:spacing w:line="240" w:lineRule="atLeast"/>
        <w:ind w:left="15" w:right="15"/>
        <w:rPr>
          <w:rFonts w:ascii="仿宋" w:hAnsi="仿宋" w:eastAsia="仿宋" w:cs="仿宋"/>
          <w:b/>
          <w:bCs/>
          <w:color w:val="000000"/>
          <w:lang w:val="en" w:eastAsia="en"/>
        </w:rPr>
      </w:pPr>
      <w:r>
        <w:rPr>
          <w:rFonts w:ascii="仿宋" w:hAnsi="仿宋" w:eastAsia="仿宋" w:cs="仿宋"/>
          <w:b/>
          <w:bCs/>
          <w:color w:val="000000"/>
          <w:lang w:val="en" w:eastAsia="en"/>
        </w:rPr>
        <w:t>4.2 符合性审查</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按分项自动汇总并发起否决投标</w:t>
      </w:r>
      <w:r>
        <w:rPr>
          <w:rFonts w:ascii="微软雅黑" w:hAnsi="微软雅黑" w:eastAsia="微软雅黑" w:cs="微软雅黑"/>
          <w:color w:val="333333"/>
          <w:lang w:val="en" w:eastAsia="en"/>
        </w:rPr>
        <w:t xml:space="preserve"> </w:t>
      </w:r>
    </w:p>
    <w:tbl>
      <w:tblPr>
        <w:tblStyle w:val="12"/>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12"/>
        <w:gridCol w:w="3762"/>
        <w:gridCol w:w="3762"/>
      </w:tblGrid>
      <w:tr w14:paraId="482BC43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A66A629">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09B50F11">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1BAB443A">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r>
      <w:tr w14:paraId="7AAC9DD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7FBA94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56C49E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不得将一个包内容拆开投标；</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BE6DAA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不得将一个包内容拆开投标；</w:t>
            </w:r>
          </w:p>
        </w:tc>
      </w:tr>
      <w:tr w14:paraId="79CC5FF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512227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477892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对同一项目投标时，不得提供两套以上的投标方案（招标文件另有规定的除外）；</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F0DAF4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对同一项目投标时，不得提供两套以上的投标方案（招标文件另有规定的除外）；</w:t>
            </w:r>
          </w:p>
        </w:tc>
      </w:tr>
      <w:tr w14:paraId="7A1799A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038A3C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2F9399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分项报价或投标总价不得高于相应预算金额（或设定的预算金额下的最高限价）；</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EE8275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分项报价或投标总价不得高于相应预算金额（或设定的预算金额下的最高限价）；</w:t>
            </w:r>
          </w:p>
        </w:tc>
      </w:tr>
      <w:tr w14:paraId="6A34136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4C12F8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8A244E1">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E393FF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r>
      <w:tr w14:paraId="0170152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F62C996">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ECCEEF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EA5582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3AE73AE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5FF2CB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58E796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未按招标文件所提供的样式填写《投标函》；未按招标文件所提供的《采购投标及履约承诺函》进行承诺；未按招标文件对投标文件组成的要求提供投标文件；</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EB6263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未按招标文件所提供的样式填写《投标函》；未按招标文件所提供的《采购投标及履约承诺函》进行承诺；未按招标文件对投标文件组成的要求提供投标文件；</w:t>
            </w:r>
          </w:p>
        </w:tc>
      </w:tr>
      <w:tr w14:paraId="6DC582B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AD2170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20B4C8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采购标的/所投产品/货物清单/报价等任意一类有缺漏项或响应不全，或者对招标文件规定的项目需求内容或者需求数量进行修改，评审委员会判定投标响应不满足采购需求；</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4CA4B6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采购标的/所投产品/货物清单/报价等任意一类有缺漏项或响应不全，或者对招标文件规定的项目需求内容或者需求数量进行修改，评审委员会判定投标响应不满足采购需求；</w:t>
            </w:r>
          </w:p>
        </w:tc>
      </w:tr>
      <w:tr w14:paraId="06D0931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9DD829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DEBFC5E">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投标文件电子文档不得带病毒；</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85BDADE">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投标文件电子文档不得带病毒；</w:t>
            </w:r>
          </w:p>
        </w:tc>
      </w:tr>
      <w:tr w14:paraId="0DCA9A1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21460B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5CC185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投标文件用不属于本公司的电子密钥进行加密；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FB61C4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投标文件用不属于本公司的电子密钥进行加密；</w:t>
            </w:r>
          </w:p>
        </w:tc>
      </w:tr>
      <w:tr w14:paraId="569F80D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CC9623D">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FC5964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法律、法规、规章、规范性文件规定的其他情形。</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1BF2D4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法律、法规、规章、规范性文件规定的其他情形。</w:t>
            </w:r>
          </w:p>
        </w:tc>
      </w:tr>
    </w:tbl>
    <w:p w14:paraId="48B3A0D9">
      <w:pPr>
        <w:pBdr>
          <w:top w:val="none" w:color="auto" w:sz="0" w:space="0"/>
          <w:left w:val="none" w:color="auto" w:sz="0" w:space="0"/>
          <w:bottom w:val="none" w:color="auto" w:sz="0" w:space="0"/>
          <w:right w:val="none" w:color="auto" w:sz="0" w:space="0"/>
        </w:pBdr>
        <w:spacing w:line="240" w:lineRule="atLeast"/>
        <w:ind w:left="15" w:right="15"/>
        <w:rPr>
          <w:rFonts w:ascii="仿宋" w:hAnsi="仿宋" w:eastAsia="仿宋" w:cs="仿宋"/>
          <w:b/>
          <w:bCs/>
          <w:color w:val="000000"/>
          <w:lang w:val="en" w:eastAsia="en"/>
        </w:rPr>
      </w:pPr>
      <w:r>
        <w:rPr>
          <w:rFonts w:ascii="仿宋" w:hAnsi="仿宋" w:eastAsia="仿宋" w:cs="仿宋"/>
          <w:b/>
          <w:bCs/>
          <w:color w:val="000000"/>
          <w:lang w:val="en" w:eastAsia="en"/>
        </w:rPr>
        <w:t>4.3 详细评审</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按评委打分直接平均</w:t>
      </w:r>
      <w:r>
        <w:rPr>
          <w:rFonts w:ascii="微软雅黑" w:hAnsi="微软雅黑" w:eastAsia="微软雅黑" w:cs="微软雅黑"/>
          <w:color w:val="333333"/>
          <w:lang w:val="en" w:eastAsia="en"/>
        </w:rPr>
        <w:t xml:space="preserve"> </w:t>
      </w:r>
    </w:p>
    <w:tbl>
      <w:tblPr>
        <w:tblStyle w:val="12"/>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913"/>
        <w:gridCol w:w="3289"/>
        <w:gridCol w:w="3289"/>
        <w:gridCol w:w="914"/>
        <w:gridCol w:w="731"/>
      </w:tblGrid>
      <w:tr w14:paraId="27F5958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4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4C0C0878">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8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4DD2031B">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8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A461718">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6B3B0A85">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分值</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7ECF41FF">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权重</w:t>
            </w:r>
          </w:p>
        </w:tc>
      </w:tr>
      <w:tr w14:paraId="266D916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99FA73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93338D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技术保障措施</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34C8FA1">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技术保障措施</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BA323E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62D9610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r>
      <w:tr w14:paraId="1849788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971058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1A6D88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技术要求偏离情况</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D89AE7E">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技术要求偏离情况</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5EAE00F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0494347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34</w:t>
            </w:r>
          </w:p>
        </w:tc>
      </w:tr>
      <w:tr w14:paraId="0344AAB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08527B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21EABA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项目实施方案</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6C77EC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项目实施方案</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B21DC9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6B1D400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r>
      <w:tr w14:paraId="1AE4BB1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3413EA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2DF44B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免费保修期内/外售后服务条款偏离情况</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8F4CB6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免费保修期内/外售后服务条款偏离情况</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7FD38A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A974A4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r>
      <w:tr w14:paraId="5E981A7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72DFB0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F39E7E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其他商务条款偏离情况</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C2E173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其他商务条款偏离情况</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7AA60F3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0CA5FD4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r>
      <w:tr w14:paraId="053BACE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1FE5A2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468C21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诚信</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327B85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诚信</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5FEC0FE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49DF55A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r>
      <w:tr w14:paraId="5096CB8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5C489D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8F382A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投标人认证情况</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729514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投标人认证情况</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71719A8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65696E5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r>
      <w:tr w14:paraId="75614A5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7D0753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CC3B18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投标人同类业绩</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76BCD11">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投标人同类业绩</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08BDC1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1AF831A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r>
    </w:tbl>
    <w:p w14:paraId="0D67BE61">
      <w:pPr>
        <w:keepLines/>
        <w:pBdr>
          <w:top w:val="none" w:color="auto" w:sz="0" w:space="0"/>
          <w:left w:val="none" w:color="auto" w:sz="0" w:space="0"/>
          <w:bottom w:val="none" w:color="auto" w:sz="0" w:space="0"/>
          <w:right w:val="none" w:color="auto" w:sz="0" w:space="0"/>
        </w:pBdr>
        <w:spacing w:before="0" w:line="432" w:lineRule="atLeast"/>
        <w:ind w:left="15" w:right="15"/>
        <w:rPr>
          <w:rFonts w:ascii="微软雅黑" w:hAnsi="微软雅黑" w:eastAsia="微软雅黑" w:cs="微软雅黑"/>
          <w:color w:val="333333"/>
          <w:lang w:val="en" w:eastAsia="en"/>
        </w:rPr>
      </w:pPr>
      <w:r>
        <w:rPr>
          <w:rFonts w:ascii="仿宋" w:hAnsi="仿宋" w:eastAsia="仿宋" w:cs="仿宋"/>
          <w:b/>
          <w:bCs/>
          <w:color w:val="000000"/>
          <w:lang w:val="en" w:eastAsia="en"/>
        </w:rPr>
        <w:t>4.5 价格评审</w:t>
      </w:r>
      <w:r>
        <w:rPr>
          <w:rFonts w:ascii="微软雅黑" w:hAnsi="微软雅黑" w:eastAsia="微软雅黑" w:cs="微软雅黑"/>
          <w:color w:val="333333"/>
          <w:lang w:val="en" w:eastAsia="en"/>
        </w:rPr>
        <w:t xml:space="preserve"> </w:t>
      </w:r>
    </w:p>
    <w:p w14:paraId="1C32FC98">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sectPr>
          <w:pgMar w:top="1440" w:right="1800" w:bottom="1440" w:left="1800" w:header="708" w:footer="708" w:gutter="0"/>
          <w:cols w:space="708" w:num="1"/>
        </w:sectPr>
      </w:pPr>
      <w:r>
        <w:rPr>
          <w:rFonts w:ascii="仿宋" w:hAnsi="仿宋" w:eastAsia="仿宋" w:cs="仿宋"/>
          <w:color w:val="333333"/>
          <w:lang w:val="en" w:eastAsia="en"/>
        </w:rPr>
        <w:t>4.5.1 投标总价</w:t>
      </w:r>
      <w:r>
        <w:rPr>
          <w:rFonts w:ascii="仿宋" w:hAnsi="仿宋" w:eastAsia="仿宋" w:cs="仿宋"/>
          <w:color w:val="333333"/>
          <w:lang w:val="en" w:eastAsia="en"/>
        </w:rPr>
        <w:br w:type="textWrapping"/>
      </w:r>
      <w:r>
        <w:rPr>
          <w:rFonts w:ascii="仿宋" w:hAnsi="仿宋" w:eastAsia="仿宋" w:cs="仿宋"/>
          <w:color w:val="333333"/>
          <w:lang w:val="en" w:eastAsia="en"/>
        </w:rPr>
        <w:t>价格得分满分：</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40</w:t>
      </w:r>
      <w:r>
        <w:rPr>
          <w:rFonts w:ascii="仿宋" w:hAnsi="仿宋" w:eastAsia="仿宋" w:cs="仿宋"/>
          <w:color w:val="333333"/>
          <w:lang w:val="en" w:eastAsia="en"/>
        </w:rPr>
        <w:br w:type="textWrapping"/>
      </w:r>
      <w:r>
        <w:rPr>
          <w:rFonts w:ascii="仿宋" w:hAnsi="仿宋" w:eastAsia="仿宋" w:cs="仿宋"/>
          <w:color w:val="333333"/>
          <w:lang w:val="en" w:eastAsia="en"/>
        </w:rPr>
        <w:t>报价打分方式：</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自动算分（内插法）</w:t>
      </w:r>
      <w:r>
        <w:rPr>
          <w:rFonts w:ascii="仿宋" w:hAnsi="仿宋" w:eastAsia="仿宋" w:cs="仿宋"/>
          <w:color w:val="333333"/>
          <w:lang w:val="en" w:eastAsia="en"/>
        </w:rPr>
        <w:br w:type="textWrapping"/>
      </w:r>
      <w:r>
        <w:rPr>
          <w:rFonts w:ascii="仿宋" w:hAnsi="仿宋" w:eastAsia="仿宋" w:cs="仿宋"/>
          <w:color w:val="333333"/>
          <w:lang w:val="en" w:eastAsia="en"/>
        </w:rPr>
        <w:t>参与基准价计算范围的计算公式：全部投标报价</w:t>
      </w:r>
      <w:r>
        <w:rPr>
          <w:rFonts w:ascii="仿宋" w:hAnsi="仿宋" w:eastAsia="仿宋" w:cs="仿宋"/>
          <w:color w:val="333333"/>
          <w:lang w:val="en" w:eastAsia="en"/>
        </w:rPr>
        <w:br w:type="textWrapping"/>
      </w:r>
      <w:r>
        <w:rPr>
          <w:rFonts w:ascii="仿宋" w:hAnsi="仿宋" w:eastAsia="仿宋" w:cs="仿宋"/>
          <w:color w:val="333333"/>
          <w:lang w:val="en" w:eastAsia="en"/>
        </w:rPr>
        <w:t>评标价计算公式：评标价=投标函中的投标报价*价格扣除（上浮）比例：中小微企业（或监狱企业或残疾人福利性单位）价格扣除比例：10%；中小微联合体（协议合同金额占到联合体协议合同总金额30%以上）价格扣除比例：0%；失信供应商价格上浮比例：0%。</w:t>
      </w:r>
      <w:r>
        <w:rPr>
          <w:rFonts w:ascii="仿宋" w:hAnsi="仿宋" w:eastAsia="仿宋" w:cs="仿宋"/>
          <w:color w:val="333333"/>
          <w:lang w:val="en" w:eastAsia="en"/>
        </w:rPr>
        <w:br w:type="textWrapping"/>
      </w:r>
      <w:r>
        <w:rPr>
          <w:rFonts w:ascii="仿宋" w:hAnsi="仿宋" w:eastAsia="仿宋" w:cs="仿宋"/>
          <w:color w:val="333333"/>
          <w:lang w:val="en" w:eastAsia="en"/>
        </w:rPr>
        <w:t>基准价计算公式：基准价=最低评标价</w:t>
      </w:r>
      <w:r>
        <w:rPr>
          <w:rFonts w:ascii="仿宋" w:hAnsi="仿宋" w:eastAsia="仿宋" w:cs="仿宋"/>
          <w:color w:val="333333"/>
          <w:lang w:val="en" w:eastAsia="en"/>
        </w:rPr>
        <w:br w:type="textWrapping"/>
      </w:r>
      <w:r>
        <w:rPr>
          <w:rFonts w:ascii="仿宋" w:hAnsi="仿宋" w:eastAsia="仿宋" w:cs="仿宋"/>
          <w:color w:val="333333"/>
          <w:lang w:val="en" w:eastAsia="en"/>
        </w:rPr>
        <w:t>报价打分计算公式：得分=（基准价/评标价）*总分</w:t>
      </w:r>
    </w:p>
    <w:p w14:paraId="46A0BDD7">
      <w:pPr>
        <w:pBdr>
          <w:top w:val="none" w:color="auto" w:sz="0" w:space="0"/>
          <w:left w:val="single" w:color="DDDDDD" w:sz="6" w:space="0"/>
          <w:bottom w:val="none" w:color="auto" w:sz="0" w:space="0"/>
          <w:right w:val="single" w:color="DDDDDD" w:sz="6" w:space="0"/>
        </w:pBdr>
        <w:spacing w:before="0" w:after="0" w:line="648" w:lineRule="atLeast"/>
        <w:ind w:left="15" w:right="15"/>
        <w:jc w:val="center"/>
        <w:outlineLvl w:val="0"/>
        <w:rPr>
          <w:rFonts w:ascii="仿宋" w:hAnsi="仿宋" w:eastAsia="仿宋" w:cs="仿宋"/>
          <w:b/>
          <w:bCs/>
          <w:color w:val="000000"/>
          <w:sz w:val="48"/>
          <w:szCs w:val="48"/>
          <w:lang w:val="en" w:eastAsia="en"/>
        </w:rPr>
      </w:pPr>
      <w:r>
        <w:rPr>
          <w:rFonts w:ascii="仿宋" w:hAnsi="仿宋" w:eastAsia="仿宋" w:cs="仿宋"/>
          <w:b/>
          <w:bCs/>
          <w:color w:val="000000"/>
          <w:sz w:val="48"/>
          <w:szCs w:val="48"/>
          <w:lang w:val="en" w:eastAsia="en"/>
        </w:rPr>
        <w:t>投标文件格式</w:t>
      </w:r>
    </w:p>
    <w:p w14:paraId="04F3F0A5">
      <w:pPr>
        <w:pBdr>
          <w:top w:val="none" w:color="auto" w:sz="0" w:space="0"/>
          <w:left w:val="none" w:color="auto" w:sz="0" w:space="0"/>
          <w:bottom w:val="none" w:color="auto" w:sz="0" w:space="0"/>
          <w:right w:val="none" w:color="auto" w:sz="0" w:space="0"/>
        </w:pBdr>
        <w:spacing w:before="0" w:after="0" w:line="504" w:lineRule="atLeast"/>
        <w:ind w:left="15" w:right="15"/>
        <w:jc w:val="center"/>
        <w:rPr>
          <w:rFonts w:ascii="仿宋" w:hAnsi="仿宋" w:eastAsia="仿宋" w:cs="仿宋"/>
          <w:b/>
          <w:bCs/>
          <w:color w:val="333333"/>
          <w:sz w:val="28"/>
          <w:szCs w:val="28"/>
          <w:lang w:val="en" w:eastAsia="en"/>
        </w:rPr>
      </w:pPr>
      <w:r>
        <w:rPr>
          <w:rFonts w:ascii="仿宋" w:hAnsi="仿宋" w:eastAsia="仿宋" w:cs="仿宋"/>
          <w:b/>
          <w:bCs/>
          <w:color w:val="333333"/>
          <w:sz w:val="28"/>
          <w:szCs w:val="28"/>
          <w:lang w:val="en" w:eastAsia="en"/>
        </w:rPr>
        <w:t>香港中文大学（深圳）书院家具项目</w:t>
      </w:r>
    </w:p>
    <w:tbl>
      <w:tblPr>
        <w:tblStyle w:val="13"/>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44"/>
        <w:gridCol w:w="7492"/>
      </w:tblGrid>
      <w:tr w14:paraId="7FD0686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tblHeader/>
        </w:trPr>
        <w:tc>
          <w:tcPr>
            <w:tcW w:w="9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6C65FB92">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41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103B121C">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文件夹/文件名称</w:t>
            </w:r>
          </w:p>
        </w:tc>
      </w:tr>
      <w:tr w14:paraId="27F0553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F09EE2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3BBDAA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投标函</w:t>
            </w:r>
          </w:p>
        </w:tc>
      </w:tr>
      <w:tr w14:paraId="1828EB0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0E46DD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74E16D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采购投标及履约承诺函</w:t>
            </w:r>
          </w:p>
        </w:tc>
      </w:tr>
      <w:tr w14:paraId="5275E0D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FBFBC9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067D3E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投标人情况及资格证明文件</w:t>
            </w:r>
          </w:p>
        </w:tc>
      </w:tr>
      <w:tr w14:paraId="739D9B2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65A7C3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46C256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项目详细报价</w:t>
            </w:r>
          </w:p>
        </w:tc>
      </w:tr>
      <w:tr w14:paraId="628FDC5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D41EB26">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2DA905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供应商基本情况表（须加盖投标单位公章）</w:t>
            </w:r>
          </w:p>
        </w:tc>
      </w:tr>
      <w:tr w14:paraId="12C203B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836FF0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36AA10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法定代表人（负责人）证明书</w:t>
            </w:r>
          </w:p>
        </w:tc>
      </w:tr>
      <w:tr w14:paraId="1CBC839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B50DF5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DA9171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投标文件签署授权委托书</w:t>
            </w:r>
          </w:p>
        </w:tc>
      </w:tr>
      <w:tr w14:paraId="00576BD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217CAC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240C2B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实质性条款响应情况表</w:t>
            </w:r>
          </w:p>
        </w:tc>
      </w:tr>
      <w:tr w14:paraId="04B225C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03C99D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67896D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技术要求偏离表</w:t>
            </w:r>
          </w:p>
        </w:tc>
      </w:tr>
      <w:tr w14:paraId="0143963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9D5AA5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78A67C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商务要求偏离表</w:t>
            </w:r>
          </w:p>
        </w:tc>
      </w:tr>
      <w:tr w14:paraId="662734F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02E13D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7B54DD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技术保障措施（格式自定）</w:t>
            </w:r>
          </w:p>
        </w:tc>
      </w:tr>
      <w:tr w14:paraId="49D1503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F79A39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71FA1A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项目实施方案（格式自定）</w:t>
            </w:r>
          </w:p>
        </w:tc>
      </w:tr>
      <w:tr w14:paraId="6809248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5BFE36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1094C7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投标人认证情况（格式自定）</w:t>
            </w:r>
          </w:p>
        </w:tc>
      </w:tr>
      <w:tr w14:paraId="2013DAE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FEEF7F7">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1747A6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投标人同类业绩</w:t>
            </w:r>
          </w:p>
        </w:tc>
      </w:tr>
      <w:tr w14:paraId="02A1687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926E3D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095330E">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投标人认为需要加以说明的其他内容</w:t>
            </w:r>
          </w:p>
        </w:tc>
      </w:tr>
    </w:tbl>
    <w:p w14:paraId="4DA79792">
      <w:pPr>
        <w:pBdr>
          <w:top w:val="none" w:color="auto" w:sz="0" w:space="0"/>
          <w:left w:val="none" w:color="auto" w:sz="0" w:space="0"/>
          <w:bottom w:val="none" w:color="auto" w:sz="0" w:space="0"/>
          <w:right w:val="none" w:color="auto" w:sz="0" w:space="0"/>
        </w:pBdr>
        <w:spacing w:line="432" w:lineRule="atLeast"/>
        <w:rPr>
          <w:rFonts w:ascii="仿宋" w:hAnsi="仿宋" w:eastAsia="仿宋" w:cs="仿宋"/>
          <w:b/>
          <w:bCs/>
          <w:color w:val="333333"/>
          <w:lang w:val="en" w:eastAsia="en"/>
        </w:rPr>
        <w:sectPr>
          <w:pgMar w:top="1440" w:right="1800" w:bottom="1440" w:left="1800" w:header="708" w:footer="708" w:gutter="0"/>
          <w:cols w:space="708" w:num="1"/>
        </w:sectPr>
      </w:pPr>
    </w:p>
    <w:p w14:paraId="3AA32E6C">
      <w:pPr>
        <w:pBdr>
          <w:top w:val="none" w:color="auto" w:sz="0" w:space="0"/>
          <w:left w:val="single" w:color="DDDDDD" w:sz="6" w:space="0"/>
          <w:bottom w:val="none" w:color="auto" w:sz="0" w:space="0"/>
          <w:right w:val="single" w:color="DDDDDD" w:sz="6" w:space="0"/>
        </w:pBdr>
        <w:spacing w:before="0" w:after="0" w:line="648" w:lineRule="atLeast"/>
        <w:ind w:left="15" w:right="15"/>
        <w:jc w:val="center"/>
        <w:outlineLvl w:val="0"/>
        <w:rPr>
          <w:rFonts w:ascii="仿宋" w:hAnsi="仿宋" w:eastAsia="仿宋" w:cs="仿宋"/>
          <w:b/>
          <w:bCs/>
          <w:color w:val="000000"/>
          <w:sz w:val="48"/>
          <w:szCs w:val="48"/>
          <w:lang w:val="en" w:eastAsia="en"/>
        </w:rPr>
      </w:pPr>
      <w:r>
        <w:rPr>
          <w:rFonts w:ascii="仿宋" w:hAnsi="仿宋" w:eastAsia="仿宋" w:cs="仿宋"/>
          <w:b/>
          <w:bCs/>
          <w:color w:val="000000"/>
          <w:sz w:val="48"/>
          <w:szCs w:val="48"/>
          <w:lang w:val="en" w:eastAsia="en"/>
        </w:rPr>
        <w:t>评标办法附表</w:t>
      </w:r>
    </w:p>
    <w:p w14:paraId="5CD7BF63">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1.标段基本信息</w:t>
      </w:r>
    </w:p>
    <w:p w14:paraId="08FD3832">
      <w:pPr>
        <w:pBdr>
          <w:top w:val="none" w:color="auto" w:sz="0" w:space="0"/>
          <w:left w:val="none" w:color="auto" w:sz="0" w:space="0"/>
          <w:bottom w:val="none" w:color="auto" w:sz="0" w:space="0"/>
          <w:right w:val="none" w:color="auto" w:sz="0" w:space="0"/>
        </w:pBdr>
        <w:spacing w:after="0" w:line="432" w:lineRule="atLeast"/>
        <w:ind w:left="15" w:right="15"/>
        <w:rPr>
          <w:rFonts w:ascii="仿宋" w:hAnsi="仿宋" w:eastAsia="仿宋" w:cs="仿宋"/>
          <w:color w:val="333333"/>
          <w:lang w:val="en" w:eastAsia="en"/>
        </w:rPr>
      </w:pPr>
      <w:r>
        <w:rPr>
          <w:rFonts w:ascii="仿宋" w:hAnsi="仿宋" w:eastAsia="仿宋" w:cs="仿宋"/>
          <w:color w:val="333333"/>
          <w:lang w:val="en" w:eastAsia="en"/>
        </w:rPr>
        <w:t>标段编号：</w:t>
      </w:r>
      <w:r>
        <w:rPr>
          <w:rFonts w:ascii="微软雅黑" w:hAnsi="微软雅黑" w:eastAsia="微软雅黑" w:cs="微软雅黑"/>
          <w:color w:val="333333"/>
          <w:lang w:val="en" w:eastAsia="en"/>
        </w:rPr>
        <w:t xml:space="preserve"> </w:t>
      </w:r>
      <w:r>
        <w:rPr>
          <w:rFonts w:ascii="仿宋" w:hAnsi="仿宋" w:eastAsia="仿宋" w:cs="仿宋"/>
          <w:color w:val="333333"/>
          <w:u w:val="single" w:color="333333"/>
          <w:lang w:val="en" w:eastAsia="en"/>
        </w:rPr>
        <w:t>SZZXCG-2025-00417-001</w:t>
      </w:r>
      <w:r>
        <w:rPr>
          <w:rFonts w:ascii="仿宋" w:hAnsi="仿宋" w:eastAsia="仿宋" w:cs="仿宋"/>
          <w:color w:val="333333"/>
          <w:u w:val="single" w:color="333333"/>
          <w:lang w:val="en" w:eastAsia="en"/>
        </w:rPr>
        <w:br w:type="textWrapping"/>
      </w:r>
      <w:r>
        <w:rPr>
          <w:rFonts w:ascii="仿宋" w:hAnsi="仿宋" w:eastAsia="仿宋" w:cs="仿宋"/>
          <w:color w:val="333333"/>
          <w:lang w:val="en" w:eastAsia="en"/>
        </w:rPr>
        <w:t>标段名称：</w:t>
      </w:r>
      <w:r>
        <w:rPr>
          <w:rFonts w:ascii="微软雅黑" w:hAnsi="微软雅黑" w:eastAsia="微软雅黑" w:cs="微软雅黑"/>
          <w:color w:val="333333"/>
          <w:lang w:val="en" w:eastAsia="en"/>
        </w:rPr>
        <w:t xml:space="preserve"> </w:t>
      </w:r>
      <w:r>
        <w:rPr>
          <w:rFonts w:ascii="仿宋" w:hAnsi="仿宋" w:eastAsia="仿宋" w:cs="仿宋"/>
          <w:color w:val="333333"/>
          <w:u w:val="single" w:color="333333"/>
          <w:lang w:val="en" w:eastAsia="en"/>
        </w:rPr>
        <w:t>香港中文大学（深圳）书院家具项目</w:t>
      </w:r>
      <w:r>
        <w:rPr>
          <w:rFonts w:ascii="仿宋" w:hAnsi="仿宋" w:eastAsia="仿宋" w:cs="仿宋"/>
          <w:color w:val="333333"/>
          <w:u w:val="single" w:color="333333"/>
          <w:lang w:val="en" w:eastAsia="en"/>
        </w:rPr>
        <w:br w:type="textWrapping"/>
      </w:r>
    </w:p>
    <w:p w14:paraId="406B60A1">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pPr>
    </w:p>
    <w:p w14:paraId="0ADEBD91">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2.入围参数</w:t>
      </w:r>
    </w:p>
    <w:p w14:paraId="5847B801">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pPr>
      <w:r>
        <w:rPr>
          <w:rFonts w:ascii="仿宋" w:hAnsi="仿宋" w:eastAsia="仿宋" w:cs="仿宋"/>
          <w:color w:val="333333"/>
          <w:lang w:val="en" w:eastAsia="en"/>
        </w:rPr>
        <w:t>是否过多投标人淘汰：</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否</w:t>
      </w:r>
    </w:p>
    <w:p w14:paraId="012ABB4A">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3.评审步骤</w:t>
      </w:r>
    </w:p>
    <w:tbl>
      <w:tblPr>
        <w:tblStyle w:val="21"/>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142"/>
        <w:gridCol w:w="6852"/>
        <w:gridCol w:w="1142"/>
      </w:tblGrid>
      <w:tr w14:paraId="6DA6A39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C916289">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30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A2AEB12">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评审步骤</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131520B9">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分值</w:t>
            </w:r>
          </w:p>
        </w:tc>
      </w:tr>
      <w:tr w14:paraId="09233C1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C1F928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C5DCA2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资格性审查</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91BCDC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4B2C5C4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87419D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9B7EF6E">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符合性审查</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B83335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2F57DBC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5FFD8A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88A8921">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详细评审</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BE2931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60</w:t>
            </w:r>
          </w:p>
        </w:tc>
      </w:tr>
      <w:tr w14:paraId="2E8B954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345633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992D55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报价修正</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5C3DB5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725072A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98BF90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E8B1F6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价格评审</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45F7BD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40</w:t>
            </w:r>
          </w:p>
        </w:tc>
      </w:tr>
      <w:tr w14:paraId="2E32864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F4225D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F1BABE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综合评分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CD4FBB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1D4220F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DD77BF7">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BE6A42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推荐中标候选人</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DB1CBC6">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bl>
    <w:p w14:paraId="532182B5">
      <w:pPr>
        <w:pBdr>
          <w:top w:val="none" w:color="auto" w:sz="0" w:space="0"/>
          <w:left w:val="none" w:color="auto" w:sz="0" w:space="0"/>
          <w:bottom w:val="none" w:color="auto" w:sz="0" w:space="0"/>
          <w:right w:val="none" w:color="auto" w:sz="0" w:space="0"/>
        </w:pBdr>
        <w:spacing w:after="0" w:line="432" w:lineRule="atLeast"/>
        <w:ind w:left="15" w:right="15"/>
        <w:rPr>
          <w:rFonts w:ascii="微软雅黑" w:hAnsi="微软雅黑" w:eastAsia="微软雅黑" w:cs="微软雅黑"/>
          <w:color w:val="333333"/>
          <w:lang w:val="en" w:eastAsia="en"/>
        </w:rPr>
      </w:pPr>
    </w:p>
    <w:p w14:paraId="0C602DD1">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4.评审条款</w:t>
      </w:r>
    </w:p>
    <w:p w14:paraId="0300CD30">
      <w:pPr>
        <w:pBdr>
          <w:top w:val="none" w:color="auto" w:sz="0" w:space="0"/>
          <w:left w:val="none" w:color="auto" w:sz="0" w:space="0"/>
          <w:bottom w:val="none" w:color="auto" w:sz="0" w:space="0"/>
          <w:right w:val="none" w:color="auto" w:sz="0" w:space="0"/>
        </w:pBdr>
        <w:spacing w:line="432" w:lineRule="atLeast"/>
        <w:ind w:left="15" w:right="15"/>
        <w:rPr>
          <w:rFonts w:ascii="仿宋" w:hAnsi="仿宋" w:eastAsia="仿宋" w:cs="仿宋"/>
          <w:color w:val="333333"/>
          <w:lang w:val="en" w:eastAsia="en"/>
        </w:rPr>
      </w:pPr>
      <w:r>
        <w:rPr>
          <w:rFonts w:ascii="仿宋" w:hAnsi="仿宋" w:eastAsia="仿宋" w:cs="仿宋"/>
          <w:color w:val="333333"/>
          <w:lang w:val="en" w:eastAsia="en"/>
        </w:rPr>
        <w:t>中标候选人：</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委托评标委员会直接定标</w:t>
      </w:r>
      <w:r>
        <w:rPr>
          <w:rFonts w:ascii="仿宋" w:hAnsi="仿宋" w:eastAsia="仿宋" w:cs="仿宋"/>
          <w:color w:val="333333"/>
          <w:lang w:val="en" w:eastAsia="en"/>
        </w:rPr>
        <w:br w:type="textWrapping"/>
      </w:r>
      <w:r>
        <w:rPr>
          <w:rFonts w:ascii="仿宋" w:hAnsi="仿宋" w:eastAsia="仿宋" w:cs="仿宋"/>
          <w:color w:val="333333"/>
          <w:lang w:val="en" w:eastAsia="en"/>
        </w:rPr>
        <w:br w:type="textWrapping"/>
      </w:r>
      <w:r>
        <w:rPr>
          <w:rFonts w:ascii="仿宋" w:hAnsi="仿宋" w:eastAsia="仿宋" w:cs="仿宋"/>
          <w:b/>
          <w:bCs/>
          <w:color w:val="000000"/>
          <w:lang w:val="en" w:eastAsia="en"/>
        </w:rPr>
        <w:t>4.1 资格性审查</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按分项自动汇总并发起否决投标</w:t>
      </w:r>
      <w:r>
        <w:rPr>
          <w:rFonts w:ascii="微软雅黑" w:hAnsi="微软雅黑" w:eastAsia="微软雅黑" w:cs="微软雅黑"/>
          <w:color w:val="333333"/>
          <w:lang w:val="en" w:eastAsia="en"/>
        </w:rPr>
        <w:t xml:space="preserve"> </w:t>
      </w:r>
    </w:p>
    <w:tbl>
      <w:tblPr>
        <w:tblStyle w:val="21"/>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12"/>
        <w:gridCol w:w="3762"/>
        <w:gridCol w:w="3762"/>
      </w:tblGrid>
      <w:tr w14:paraId="7A5F144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474261D">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73834E25">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5F64D04A">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r>
      <w:tr w14:paraId="376E27E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17026B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3D0E7B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资质要求</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CD9D0F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1.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r>
              <w:rPr>
                <w:rFonts w:ascii="仿宋" w:hAnsi="仿宋" w:eastAsia="仿宋" w:cs="仿宋"/>
                <w:color w:val="666666"/>
                <w:lang w:val="en" w:eastAsia="en"/>
              </w:rPr>
              <w:br w:type="textWrapping"/>
            </w:r>
            <w:r>
              <w:rPr>
                <w:rFonts w:ascii="仿宋" w:hAnsi="仿宋" w:eastAsia="仿宋" w:cs="仿宋"/>
                <w:color w:val="666666"/>
                <w:lang w:val="en" w:eastAsia="en"/>
              </w:rPr>
              <w:t>2.本项目不接受联合体投标，是否接受投标人选用进口产品参与投标，详见招标文件第三章用户需求书”（由供应商在《采购投标及履约承诺函》中作出声明）；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3.参与本项目采购活动时不存在被有关部门禁止参与政府采购活动且在有效期内的情况（由供应商在《采购投标及履约承诺函》中作出声明）；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4.具备《中华人民共和国政府采购法》第二十二条第一款的条件（由供应商在《采购投标及履约承诺函》中作出声明）；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5.未被列入失信被执行人、重大税收违法案件当事人名单、政府采购严重违法失信行为记录名单（由供应商在《采购投标及履约承诺函》中作出声明）；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6.不存在《深圳市财政局政府采购供应商信用信息管理办法》（深财规〔2023〕3号）列明的严重违法失信行为（由供应商在《采购投标及履约承诺函》中作出声明）；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7.为采购项目提供整体设计、规范编制或者项目管理、监理、检测等服务的供应商，不得再参加该采购项目的其他采购活动（由供应商在《采购投标及履约承诺函》中作出声明）；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提供《供应商基本情况表》并加盖公章扫描件）；</w:t>
            </w:r>
            <w:r>
              <w:rPr>
                <w:rFonts w:ascii="仿宋" w:hAnsi="仿宋" w:eastAsia="仿宋" w:cs="仿宋"/>
                <w:color w:val="666666"/>
                <w:lang w:val="en" w:eastAsia="en"/>
              </w:rPr>
              <w:br w:type="textWrapping"/>
            </w:r>
            <w:r>
              <w:rPr>
                <w:rFonts w:ascii="仿宋" w:hAnsi="仿宋" w:eastAsia="仿宋" w:cs="仿宋"/>
                <w:color w:val="666666"/>
                <w:lang w:val="en" w:eastAsia="en"/>
              </w:rPr>
              <w:t>9.本项目为非专门面向中小企业采购项目。</w:t>
            </w:r>
          </w:p>
        </w:tc>
      </w:tr>
    </w:tbl>
    <w:p w14:paraId="751F1D15">
      <w:pPr>
        <w:pBdr>
          <w:top w:val="none" w:color="auto" w:sz="0" w:space="0"/>
          <w:left w:val="none" w:color="auto" w:sz="0" w:space="0"/>
          <w:bottom w:val="none" w:color="auto" w:sz="0" w:space="0"/>
          <w:right w:val="none" w:color="auto" w:sz="0" w:space="0"/>
        </w:pBdr>
        <w:spacing w:line="240" w:lineRule="atLeast"/>
        <w:ind w:left="15" w:right="15"/>
        <w:rPr>
          <w:rFonts w:ascii="仿宋" w:hAnsi="仿宋" w:eastAsia="仿宋" w:cs="仿宋"/>
          <w:b/>
          <w:bCs/>
          <w:color w:val="000000"/>
          <w:lang w:val="en" w:eastAsia="en"/>
        </w:rPr>
      </w:pPr>
      <w:r>
        <w:rPr>
          <w:rFonts w:ascii="仿宋" w:hAnsi="仿宋" w:eastAsia="仿宋" w:cs="仿宋"/>
          <w:b/>
          <w:bCs/>
          <w:color w:val="000000"/>
          <w:lang w:val="en" w:eastAsia="en"/>
        </w:rPr>
        <w:t>4.2 符合性审查</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按分项自动汇总并发起否决投标</w:t>
      </w:r>
      <w:r>
        <w:rPr>
          <w:rFonts w:ascii="微软雅黑" w:hAnsi="微软雅黑" w:eastAsia="微软雅黑" w:cs="微软雅黑"/>
          <w:color w:val="333333"/>
          <w:lang w:val="en" w:eastAsia="en"/>
        </w:rPr>
        <w:t xml:space="preserve"> </w:t>
      </w:r>
    </w:p>
    <w:tbl>
      <w:tblPr>
        <w:tblStyle w:val="21"/>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12"/>
        <w:gridCol w:w="3762"/>
        <w:gridCol w:w="3762"/>
      </w:tblGrid>
      <w:tr w14:paraId="066A971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2CCAA9A">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7254D127">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46A41D8B">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r>
      <w:tr w14:paraId="1A3FE69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B99801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6BB5D2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不得将一个包内容拆开投标；</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94D5991">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不得将一个包内容拆开投标；</w:t>
            </w:r>
          </w:p>
        </w:tc>
      </w:tr>
      <w:tr w14:paraId="5CD993B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D88106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6CCE10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对同一项目投标时，不得提供两套以上的投标方案（招标文件另有规定的除外）；</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B196FA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对同一项目投标时，不得提供两套以上的投标方案（招标文件另有规定的除外）；</w:t>
            </w:r>
          </w:p>
        </w:tc>
      </w:tr>
      <w:tr w14:paraId="0425DD4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632BC8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E413B7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分项报价或投标总价不得高于相应预算金额（或设定的预算金额下的最高限价）；</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D0D8B8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分项报价或投标总价不得高于相应预算金额（或设定的预算金额下的最高限价）；</w:t>
            </w:r>
          </w:p>
        </w:tc>
      </w:tr>
      <w:tr w14:paraId="2D9D7E4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306CB0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A2433D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5E908C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r>
      <w:tr w14:paraId="0AA5BD2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6191F0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EEFE78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22B2FA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2A6F6C6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024FFB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0C109C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未按招标文件所提供的样式填写《投标函》；未按招标文件所提供的《采购投标及履约承诺函》进行承诺；未按招标文件对投标文件组成的要求提供投标文件；</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3F0D69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未按招标文件所提供的样式填写《投标函》；未按招标文件所提供的《采购投标及履约承诺函》进行承诺；未按招标文件对投标文件组成的要求提供投标文件；</w:t>
            </w:r>
          </w:p>
        </w:tc>
      </w:tr>
      <w:tr w14:paraId="4DAAC2F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25185E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F3D32D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采购标的/所投产品/货物清单/报价等任意一类有缺漏项或响应不全，或者对招标文件规定的项目需求内容或者需求数量进行修改，评审委员会判定投标响应不满足采购需求；</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CE24FC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采购标的/所投产品/货物清单/报价等任意一类有缺漏项或响应不全，或者对招标文件规定的项目需求内容或者需求数量进行修改，评审委员会判定投标响应不满足采购需求；</w:t>
            </w:r>
          </w:p>
        </w:tc>
      </w:tr>
      <w:tr w14:paraId="1357C91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DF2B24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731201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投标文件电子文档不得带病毒；</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C430ED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投标文件电子文档不得带病毒；</w:t>
            </w:r>
          </w:p>
        </w:tc>
      </w:tr>
      <w:tr w14:paraId="5128F6D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6E52BD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7AFEB5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投标文件用不属于本公司的电子密钥进行加密；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8B488D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投标文件用不属于本公司的电子密钥进行加密；</w:t>
            </w:r>
          </w:p>
        </w:tc>
      </w:tr>
      <w:tr w14:paraId="487BD9E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307F67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F4AB53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法律、法规、规章、规范性文件规定的其他情形。</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655D87E">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法律、法规、规章、规范性文件规定的其他情形。</w:t>
            </w:r>
          </w:p>
        </w:tc>
      </w:tr>
    </w:tbl>
    <w:p w14:paraId="05877FA9">
      <w:pPr>
        <w:pBdr>
          <w:top w:val="none" w:color="auto" w:sz="0" w:space="0"/>
          <w:left w:val="none" w:color="auto" w:sz="0" w:space="0"/>
          <w:bottom w:val="none" w:color="auto" w:sz="0" w:space="0"/>
          <w:right w:val="none" w:color="auto" w:sz="0" w:space="0"/>
        </w:pBdr>
        <w:spacing w:line="240" w:lineRule="atLeast"/>
        <w:ind w:left="15" w:right="15"/>
        <w:rPr>
          <w:rFonts w:ascii="仿宋" w:hAnsi="仿宋" w:eastAsia="仿宋" w:cs="仿宋"/>
          <w:b/>
          <w:bCs/>
          <w:color w:val="000000"/>
          <w:lang w:val="en" w:eastAsia="en"/>
        </w:rPr>
      </w:pPr>
      <w:r>
        <w:rPr>
          <w:rFonts w:ascii="仿宋" w:hAnsi="仿宋" w:eastAsia="仿宋" w:cs="仿宋"/>
          <w:b/>
          <w:bCs/>
          <w:color w:val="000000"/>
          <w:lang w:val="en" w:eastAsia="en"/>
        </w:rPr>
        <w:t>4.3 详细评审</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按评委打分直接平均</w:t>
      </w:r>
      <w:r>
        <w:rPr>
          <w:rFonts w:ascii="微软雅黑" w:hAnsi="微软雅黑" w:eastAsia="微软雅黑" w:cs="微软雅黑"/>
          <w:color w:val="333333"/>
          <w:lang w:val="en" w:eastAsia="en"/>
        </w:rPr>
        <w:t xml:space="preserve"> </w:t>
      </w:r>
    </w:p>
    <w:tbl>
      <w:tblPr>
        <w:tblStyle w:val="21"/>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913"/>
        <w:gridCol w:w="3289"/>
        <w:gridCol w:w="3289"/>
        <w:gridCol w:w="914"/>
        <w:gridCol w:w="731"/>
      </w:tblGrid>
      <w:tr w14:paraId="5F2007D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4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4D0866BE">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8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6C5FE4E">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8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192939B2">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174A3976">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分值</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03A39364">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权重</w:t>
            </w:r>
          </w:p>
        </w:tc>
      </w:tr>
      <w:tr w14:paraId="45B81C0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C59729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CEC15F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技术保障措施</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BF6277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技术保障措施</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F4D0F1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7D7430E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r>
      <w:tr w14:paraId="0F6C02D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2455C0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146E50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技术要求偏离情况</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BDA942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技术要求偏离情况</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853C99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5B6CBB7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34</w:t>
            </w:r>
          </w:p>
        </w:tc>
      </w:tr>
      <w:tr w14:paraId="4F6B22E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E349B4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D40A00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项目实施方案</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526093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项目实施方案</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7FCAC03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6F7490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r>
      <w:tr w14:paraId="295187C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3DDB55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5819E9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免费保修期内/外售后服务条款偏离情况</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56A7811">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免费保修期内/外售后服务条款偏离情况</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58120FA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6E64F53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r>
      <w:tr w14:paraId="2571BD2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BB91EA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2B756D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其他商务条款偏离情况</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5F0658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其他商务条款偏离情况</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4FAC2B3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448CE4A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r>
      <w:tr w14:paraId="763AB9C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6166E6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79DB91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诚信</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2E77F8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诚信</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7D48B8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75B742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r>
      <w:tr w14:paraId="07E0CD5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A5D87A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D4A184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投标人认证情况</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3A5306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投标人认证情况</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6F88846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0CB1026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r>
      <w:tr w14:paraId="67086A5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B67272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D7389F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投标人同类业绩</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BF7A8D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投标人同类业绩</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FF9ED2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87FCCB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r>
    </w:tbl>
    <w:p w14:paraId="2E31CE74">
      <w:pPr>
        <w:keepLines/>
        <w:pBdr>
          <w:top w:val="none" w:color="auto" w:sz="0" w:space="0"/>
          <w:left w:val="none" w:color="auto" w:sz="0" w:space="0"/>
          <w:bottom w:val="none" w:color="auto" w:sz="0" w:space="0"/>
          <w:right w:val="none" w:color="auto" w:sz="0" w:space="0"/>
        </w:pBdr>
        <w:spacing w:before="0" w:line="432" w:lineRule="atLeast"/>
        <w:ind w:left="15" w:right="15"/>
        <w:rPr>
          <w:rFonts w:ascii="微软雅黑" w:hAnsi="微软雅黑" w:eastAsia="微软雅黑" w:cs="微软雅黑"/>
          <w:color w:val="333333"/>
          <w:lang w:val="en" w:eastAsia="en"/>
        </w:rPr>
      </w:pPr>
      <w:r>
        <w:rPr>
          <w:rFonts w:ascii="仿宋" w:hAnsi="仿宋" w:eastAsia="仿宋" w:cs="仿宋"/>
          <w:b/>
          <w:bCs/>
          <w:color w:val="000000"/>
          <w:lang w:val="en" w:eastAsia="en"/>
        </w:rPr>
        <w:t>4.5 价格评审</w:t>
      </w:r>
      <w:r>
        <w:rPr>
          <w:rFonts w:ascii="微软雅黑" w:hAnsi="微软雅黑" w:eastAsia="微软雅黑" w:cs="微软雅黑"/>
          <w:color w:val="333333"/>
          <w:lang w:val="en" w:eastAsia="en"/>
        </w:rPr>
        <w:t xml:space="preserve"> </w:t>
      </w:r>
    </w:p>
    <w:p w14:paraId="06DAAB72">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pPr>
      <w:r>
        <w:rPr>
          <w:rFonts w:ascii="仿宋" w:hAnsi="仿宋" w:eastAsia="仿宋" w:cs="仿宋"/>
          <w:color w:val="333333"/>
          <w:lang w:val="en" w:eastAsia="en"/>
        </w:rPr>
        <w:t>4.5.1 投标总价</w:t>
      </w:r>
      <w:r>
        <w:rPr>
          <w:rFonts w:ascii="仿宋" w:hAnsi="仿宋" w:eastAsia="仿宋" w:cs="仿宋"/>
          <w:color w:val="333333"/>
          <w:lang w:val="en" w:eastAsia="en"/>
        </w:rPr>
        <w:br w:type="textWrapping"/>
      </w:r>
      <w:r>
        <w:rPr>
          <w:rFonts w:ascii="仿宋" w:hAnsi="仿宋" w:eastAsia="仿宋" w:cs="仿宋"/>
          <w:color w:val="333333"/>
          <w:lang w:val="en" w:eastAsia="en"/>
        </w:rPr>
        <w:t>价格得分满分：</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40</w:t>
      </w:r>
      <w:r>
        <w:rPr>
          <w:rFonts w:ascii="仿宋" w:hAnsi="仿宋" w:eastAsia="仿宋" w:cs="仿宋"/>
          <w:color w:val="333333"/>
          <w:lang w:val="en" w:eastAsia="en"/>
        </w:rPr>
        <w:br w:type="textWrapping"/>
      </w:r>
      <w:r>
        <w:rPr>
          <w:rFonts w:ascii="仿宋" w:hAnsi="仿宋" w:eastAsia="仿宋" w:cs="仿宋"/>
          <w:color w:val="333333"/>
          <w:lang w:val="en" w:eastAsia="en"/>
        </w:rPr>
        <w:t>报价打分方式：</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自动算分（内插法）</w:t>
      </w:r>
      <w:r>
        <w:rPr>
          <w:rFonts w:ascii="仿宋" w:hAnsi="仿宋" w:eastAsia="仿宋" w:cs="仿宋"/>
          <w:color w:val="333333"/>
          <w:lang w:val="en" w:eastAsia="en"/>
        </w:rPr>
        <w:br w:type="textWrapping"/>
      </w:r>
      <w:r>
        <w:rPr>
          <w:rFonts w:ascii="仿宋" w:hAnsi="仿宋" w:eastAsia="仿宋" w:cs="仿宋"/>
          <w:color w:val="333333"/>
          <w:lang w:val="en" w:eastAsia="en"/>
        </w:rPr>
        <w:t>参与基准价计算范围的计算公式：全部投标报价</w:t>
      </w:r>
      <w:r>
        <w:rPr>
          <w:rFonts w:ascii="仿宋" w:hAnsi="仿宋" w:eastAsia="仿宋" w:cs="仿宋"/>
          <w:color w:val="333333"/>
          <w:lang w:val="en" w:eastAsia="en"/>
        </w:rPr>
        <w:br w:type="textWrapping"/>
      </w:r>
      <w:r>
        <w:rPr>
          <w:rFonts w:ascii="仿宋" w:hAnsi="仿宋" w:eastAsia="仿宋" w:cs="仿宋"/>
          <w:color w:val="333333"/>
          <w:lang w:val="en" w:eastAsia="en"/>
        </w:rPr>
        <w:t>评标价计算公式：评标价=投标函中的投标报价*价格扣除（上浮）比例：中小微企业（或监狱企业或残疾人福利性单位）价格扣除比例：10%；中小微联合体（协议合同金额占到联合体协议合同总金额30%以上）价格扣除比例：0%；失信供应商价格上浮比例：0%。</w:t>
      </w:r>
      <w:r>
        <w:rPr>
          <w:rFonts w:ascii="仿宋" w:hAnsi="仿宋" w:eastAsia="仿宋" w:cs="仿宋"/>
          <w:color w:val="333333"/>
          <w:lang w:val="en" w:eastAsia="en"/>
        </w:rPr>
        <w:br w:type="textWrapping"/>
      </w:r>
      <w:r>
        <w:rPr>
          <w:rFonts w:ascii="仿宋" w:hAnsi="仿宋" w:eastAsia="仿宋" w:cs="仿宋"/>
          <w:color w:val="333333"/>
          <w:lang w:val="en" w:eastAsia="en"/>
        </w:rPr>
        <w:t>基准价计算公式：基准价=最低评标价</w:t>
      </w:r>
      <w:r>
        <w:rPr>
          <w:rFonts w:ascii="仿宋" w:hAnsi="仿宋" w:eastAsia="仿宋" w:cs="仿宋"/>
          <w:color w:val="333333"/>
          <w:lang w:val="en" w:eastAsia="en"/>
        </w:rPr>
        <w:br w:type="textWrapping"/>
      </w:r>
      <w:r>
        <w:rPr>
          <w:rFonts w:ascii="仿宋" w:hAnsi="仿宋" w:eastAsia="仿宋" w:cs="仿宋"/>
          <w:color w:val="333333"/>
          <w:lang w:val="en" w:eastAsia="en"/>
        </w:rPr>
        <w:t>报价打分计算公式：得分=（基准价/评标价）*总分</w:t>
      </w:r>
    </w:p>
    <w:sectPr>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CC"/>
    <w:family w:val="swiss"/>
    <w:pitch w:val="default"/>
    <w:sig w:usb0="E0002EFF" w:usb1="C000785B" w:usb2="00000009"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FF5E6">
    <w:pPr>
      <w:pStyle w:val="2"/>
      <w:framePr w:wrap="around" w:vAnchor="text" w:hAnchor="margin" w:xAlign="center" w:y="1"/>
      <w:rPr>
        <w:rStyle w:val="7"/>
      </w:rPr>
    </w:pPr>
    <w:r>
      <w:t xml:space="preserve">- </w:t>
    </w:r>
    <w:r>
      <w:fldChar w:fldCharType="begin"/>
    </w:r>
    <w:r>
      <w:instrText xml:space="preserve"> PAGE </w:instrText>
    </w:r>
    <w:r>
      <w:fldChar w:fldCharType="separate"/>
    </w:r>
    <w:r>
      <w:t>84</w:t>
    </w:r>
    <w:r>
      <w:fldChar w:fldCharType="end"/>
    </w:r>
    <w:r>
      <w:t xml:space="preserve"> -</w:t>
    </w:r>
  </w:p>
  <w:p w14:paraId="1787B35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638A8">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10</w:t>
    </w:r>
    <w:r>
      <w:rPr>
        <w:rStyle w:val="7"/>
      </w:rPr>
      <w:fldChar w:fldCharType="end"/>
    </w:r>
  </w:p>
  <w:p w14:paraId="0D2E383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2A4B1">
    <w:pPr>
      <w:pBdr>
        <w:top w:val="none" w:color="auto" w:sz="0" w:space="1"/>
        <w:left w:val="none" w:color="auto" w:sz="0" w:space="4"/>
        <w:bottom w:val="none" w:color="auto" w:sz="0" w:space="1"/>
        <w:right w:val="none" w:color="auto" w:sz="0" w:space="4"/>
      </w:pBdr>
      <w:tabs>
        <w:tab w:val="center" w:pos="4153"/>
        <w:tab w:val="right" w:pos="8306"/>
      </w:tabs>
      <w:snapToGrid w:val="0"/>
      <w:rPr>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83BB6">
    <w:pPr>
      <w:pStyle w:val="3"/>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BF41D"/>
    <w:multiLevelType w:val="multilevel"/>
    <w:tmpl w:val="A7BBF41D"/>
    <w:lvl w:ilvl="0" w:tentative="0">
      <w:start w:val="2"/>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B609221C"/>
    <w:multiLevelType w:val="singleLevel"/>
    <w:tmpl w:val="B609221C"/>
    <w:lvl w:ilvl="0" w:tentative="0">
      <w:start w:val="1"/>
      <w:numFmt w:val="decimal"/>
      <w:suff w:val="nothing"/>
      <w:lvlText w:val="%1、"/>
      <w:lvlJc w:val="left"/>
    </w:lvl>
  </w:abstractNum>
  <w:abstractNum w:abstractNumId="2">
    <w:nsid w:val="0000000B"/>
    <w:multiLevelType w:val="multilevel"/>
    <w:tmpl w:val="0000000B"/>
    <w:lvl w:ilvl="0" w:tentative="0">
      <w:start w:val="1"/>
      <w:numFmt w:val="japaneseCounting"/>
      <w:lvlText w:val="第%1章"/>
      <w:lvlJc w:val="left"/>
      <w:pPr>
        <w:ind w:left="1080" w:hanging="108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cumentProtection w:enforcement="0"/>
  <w:defaultTabStop w:val="7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A77B3E"/>
    <w:rsid w:val="00CA2A55"/>
    <w:rsid w:val="24A05E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9"/>
    <w:qFormat/>
    <w:uiPriority w:val="0"/>
    <w:pPr>
      <w:widowControl w:val="0"/>
      <w:tabs>
        <w:tab w:val="center" w:pos="4153"/>
        <w:tab w:val="right" w:pos="8306"/>
      </w:tabs>
      <w:snapToGrid w:val="0"/>
    </w:pPr>
    <w:rPr>
      <w:rFonts w:eastAsia="宋体"/>
      <w:kern w:val="2"/>
      <w:sz w:val="18"/>
      <w:szCs w:val="18"/>
      <w:lang w:eastAsia="zh-CN"/>
    </w:rPr>
  </w:style>
  <w:style w:type="paragraph" w:styleId="3">
    <w:name w:val="header"/>
    <w:basedOn w:val="1"/>
    <w:link w:val="8"/>
    <w:qFormat/>
    <w:uiPriority w:val="99"/>
    <w:pPr>
      <w:widowControl w:val="0"/>
      <w:pBdr>
        <w:bottom w:val="single" w:color="auto" w:sz="6" w:space="1"/>
      </w:pBdr>
      <w:tabs>
        <w:tab w:val="center" w:pos="4153"/>
        <w:tab w:val="right" w:pos="8306"/>
      </w:tabs>
      <w:snapToGrid w:val="0"/>
      <w:jc w:val="center"/>
    </w:pPr>
    <w:rPr>
      <w:rFonts w:eastAsia="宋体"/>
      <w:kern w:val="2"/>
      <w:sz w:val="18"/>
      <w:szCs w:val="18"/>
      <w:lang w:eastAsia="zh-CN"/>
    </w:rPr>
  </w:style>
  <w:style w:type="table" w:styleId="5">
    <w:name w:val="Table Grid"/>
    <w:basedOn w:val="4"/>
    <w:qFormat/>
    <w:uiPriority w:val="39"/>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7">
    <w:name w:val="page number"/>
    <w:basedOn w:val="6"/>
    <w:qFormat/>
    <w:uiPriority w:val="0"/>
  </w:style>
  <w:style w:type="character" w:customStyle="1" w:styleId="8">
    <w:name w:val="页眉 字符"/>
    <w:link w:val="3"/>
    <w:qFormat/>
    <w:uiPriority w:val="99"/>
    <w:rPr>
      <w:rFonts w:eastAsia="宋体"/>
      <w:kern w:val="2"/>
      <w:sz w:val="18"/>
      <w:szCs w:val="18"/>
      <w:lang w:eastAsia="zh-CN"/>
    </w:rPr>
  </w:style>
  <w:style w:type="character" w:customStyle="1" w:styleId="9">
    <w:name w:val="页脚 字符"/>
    <w:link w:val="2"/>
    <w:qFormat/>
    <w:uiPriority w:val="0"/>
    <w:rPr>
      <w:rFonts w:eastAsia="宋体"/>
      <w:kern w:val="2"/>
      <w:sz w:val="18"/>
      <w:szCs w:val="18"/>
      <w:lang w:eastAsia="zh-CN"/>
    </w:rPr>
  </w:style>
  <w:style w:type="table" w:customStyle="1" w:styleId="10">
    <w:name w:val="网格型1"/>
    <w:basedOn w:val="4"/>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ypo_table"/>
    <w:basedOn w:val="4"/>
    <w:qFormat/>
    <w:uiPriority w:val="0"/>
    <w:tblPr/>
  </w:style>
  <w:style w:type="table" w:customStyle="1" w:styleId="12">
    <w:name w:val="typo_table_0"/>
    <w:basedOn w:val="4"/>
    <w:qFormat/>
    <w:uiPriority w:val="0"/>
    <w:tblPr/>
  </w:style>
  <w:style w:type="table" w:customStyle="1" w:styleId="13">
    <w:name w:val="typo_table_1"/>
    <w:basedOn w:val="4"/>
    <w:qFormat/>
    <w:uiPriority w:val="0"/>
  </w:style>
  <w:style w:type="paragraph" w:customStyle="1" w:styleId="14">
    <w:name w:val="typo_h1"/>
    <w:basedOn w:val="1"/>
    <w:qFormat/>
    <w:uiPriority w:val="0"/>
    <w:pPr>
      <w:spacing w:line="648" w:lineRule="atLeast"/>
    </w:pPr>
    <w:rPr>
      <w:rFonts w:ascii="微软雅黑" w:hAnsi="微软雅黑" w:eastAsia="微软雅黑" w:cs="微软雅黑"/>
      <w:color w:val="333333"/>
      <w:sz w:val="48"/>
      <w:szCs w:val="48"/>
    </w:rPr>
  </w:style>
  <w:style w:type="character" w:customStyle="1" w:styleId="15">
    <w:name w:val="base"/>
    <w:basedOn w:val="6"/>
    <w:qFormat/>
    <w:uiPriority w:val="0"/>
    <w:rPr>
      <w:rFonts w:ascii="仿宋" w:hAnsi="仿宋" w:eastAsia="仿宋" w:cs="仿宋"/>
      <w:b/>
      <w:bCs/>
      <w:sz w:val="28"/>
      <w:szCs w:val="28"/>
    </w:rPr>
  </w:style>
  <w:style w:type="paragraph" w:customStyle="1" w:styleId="16">
    <w:name w:val="typo_p"/>
    <w:basedOn w:val="1"/>
    <w:uiPriority w:val="0"/>
    <w:pPr>
      <w:spacing w:line="432" w:lineRule="atLeast"/>
    </w:pPr>
    <w:rPr>
      <w:rFonts w:ascii="微软雅黑" w:hAnsi="微软雅黑" w:eastAsia="微软雅黑" w:cs="微软雅黑"/>
      <w:color w:val="333333"/>
    </w:rPr>
  </w:style>
  <w:style w:type="character" w:customStyle="1" w:styleId="17">
    <w:name w:val="span"/>
    <w:basedOn w:val="6"/>
    <w:uiPriority w:val="0"/>
    <w:rPr>
      <w:rFonts w:ascii="仿宋" w:hAnsi="仿宋" w:eastAsia="仿宋" w:cs="仿宋"/>
    </w:rPr>
  </w:style>
  <w:style w:type="character" w:customStyle="1" w:styleId="18">
    <w:name w:val="underline"/>
    <w:basedOn w:val="6"/>
    <w:qFormat/>
    <w:uiPriority w:val="0"/>
  </w:style>
  <w:style w:type="paragraph" w:customStyle="1" w:styleId="19">
    <w:name w:val="div"/>
    <w:basedOn w:val="1"/>
    <w:qFormat/>
    <w:uiPriority w:val="0"/>
    <w:pPr>
      <w:keepLines/>
      <w:spacing w:line="432" w:lineRule="atLeast"/>
    </w:pPr>
    <w:rPr>
      <w:rFonts w:ascii="微软雅黑" w:hAnsi="微软雅黑" w:eastAsia="微软雅黑" w:cs="微软雅黑"/>
      <w:color w:val="333333"/>
    </w:rPr>
  </w:style>
  <w:style w:type="character" w:customStyle="1" w:styleId="20">
    <w:name w:val="step-methods_step-item_label"/>
    <w:basedOn w:val="6"/>
    <w:uiPriority w:val="0"/>
  </w:style>
  <w:style w:type="table" w:customStyle="1" w:styleId="21">
    <w:name w:val="typo_table_2"/>
    <w:basedOn w:val="4"/>
    <w:uiPriority w:val="0"/>
  </w:style>
  <w:style w:type="character" w:customStyle="1" w:styleId="22">
    <w:name w:val="strong"/>
    <w:basedOn w:val="6"/>
    <w:qFormat/>
    <w:uiPriority w:val="0"/>
    <w:rPr>
      <w:b/>
      <w:bCs/>
      <w:color w:val="00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97</Pages>
  <Words>70337</Words>
  <Characters>75240</Characters>
  <Lines>1</Lines>
  <Paragraphs>1</Paragraphs>
  <TotalTime>0</TotalTime>
  <ScaleCrop>false</ScaleCrop>
  <LinksUpToDate>false</LinksUpToDate>
  <CharactersWithSpaces>76833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2025-10-24T10:54:47Z</dcterms:created>
  <dc:creator>zan</dc:creator>
  <cp:lastModifiedBy>大白熊与小花花</cp:lastModifiedBy>
  <dcterms:modified xsi:type="dcterms:W3CDTF">2025-10-24T10:55:39Z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AFA868A5FE694E5DA4D1858BA7EA1254_13</vt:lpwstr>
  </property>
</Properties>
</file>