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3D563">
      <w:pPr>
        <w:widowControl w:val="0"/>
        <w:spacing w:before="0" w:after="0"/>
        <w:ind w:firstLine="3654" w:firstLineChars="1300"/>
        <w:jc w:val="both"/>
        <w:rPr>
          <w:rFonts w:ascii="宋体" w:hAnsi="宋体" w:eastAsia="宋体" w:cs="宋体"/>
          <w:color w:val="FF0000"/>
          <w:kern w:val="2"/>
          <w:sz w:val="21"/>
          <w:szCs w:val="21"/>
          <w:lang w:eastAsia="zh-CN"/>
        </w:rPr>
      </w:pPr>
      <w:r>
        <w:rPr>
          <w:rFonts w:hint="eastAsia" w:ascii="宋体" w:hAnsi="宋体" w:eastAsia="黑体" w:cs="黑体"/>
          <w:b/>
          <w:bCs/>
          <w:color w:val="FF0000"/>
          <w:kern w:val="44"/>
          <w:sz w:val="28"/>
          <w:szCs w:val="44"/>
          <w:lang w:eastAsia="zh-CN" w:bidi="ar"/>
        </w:rPr>
        <w:t>特别警示条款</w:t>
      </w:r>
    </w:p>
    <w:p w14:paraId="73E74113">
      <w:pPr>
        <w:widowControl w:val="0"/>
        <w:spacing w:after="312" w:afterLines="100" w:line="400" w:lineRule="exact"/>
        <w:ind w:firstLine="422" w:firstLineChars="200"/>
        <w:jc w:val="both"/>
        <w:rPr>
          <w:rFonts w:ascii="宋体" w:hAnsi="宋体" w:eastAsia="宋体" w:cs="宋体"/>
          <w:b/>
          <w:bCs/>
          <w:color w:val="FF0000"/>
          <w:kern w:val="2"/>
          <w:sz w:val="21"/>
          <w:szCs w:val="21"/>
          <w:lang w:eastAsia="zh-CN"/>
        </w:rPr>
      </w:pPr>
      <w:r>
        <w:rPr>
          <w:rFonts w:hint="eastAsia" w:ascii="宋体" w:hAnsi="宋体" w:eastAsia="宋体" w:cs="宋体"/>
          <w:b/>
          <w:bCs/>
          <w:color w:val="FF0000"/>
          <w:kern w:val="2"/>
          <w:sz w:val="21"/>
          <w:szCs w:val="21"/>
          <w:lang w:eastAsia="zh-CN" w:bidi="ar"/>
        </w:rPr>
        <w:t>本项目为自行采购项目，参照《深圳经济特区政府采购条例》、《深圳经济特区政府采购条例实施细则》及政府采购其他法律法规，按照采购人内控制度，通过公开招标方式确定中标供应商。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8195"/>
      </w:tblGrid>
      <w:tr w14:paraId="5703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98D2872">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序号</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DF982E3">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供应商参与投标禁止情形</w:t>
            </w:r>
          </w:p>
        </w:tc>
      </w:tr>
      <w:tr w14:paraId="1E3CD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668BB4D">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1</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E21CF6B">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与其他投标供应商的法定代表人、主要经营负责人、投标授权代表人、项目负责人、主要技术人员为</w:t>
            </w:r>
            <w:r>
              <w:rPr>
                <w:rFonts w:hint="eastAsia" w:ascii="宋体" w:hAnsi="宋体" w:eastAsia="宋体" w:cs="宋体"/>
                <w:b/>
                <w:bCs/>
                <w:color w:val="FF0000"/>
                <w:kern w:val="2"/>
                <w:sz w:val="21"/>
                <w:szCs w:val="21"/>
                <w:lang w:eastAsia="zh-CN" w:bidi="ar"/>
              </w:rPr>
              <w:t>同一人、属同一单位或者在同一单位缴纳社会保险</w:t>
            </w:r>
            <w:r>
              <w:rPr>
                <w:rFonts w:hint="eastAsia" w:ascii="宋体" w:hAnsi="宋体" w:eastAsia="宋体" w:cs="宋体"/>
                <w:color w:val="FF0000"/>
                <w:kern w:val="2"/>
                <w:sz w:val="21"/>
                <w:szCs w:val="21"/>
                <w:lang w:eastAsia="zh-CN" w:bidi="ar"/>
              </w:rPr>
              <w:t>。</w:t>
            </w:r>
          </w:p>
        </w:tc>
      </w:tr>
      <w:tr w14:paraId="5D70B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645EECA8">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2</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0C57C124">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参与本项目采购活动时，与其他投标供应商存在单位负责人为</w:t>
            </w:r>
            <w:r>
              <w:rPr>
                <w:rFonts w:hint="eastAsia" w:ascii="宋体" w:hAnsi="宋体" w:eastAsia="宋体" w:cs="宋体"/>
                <w:b/>
                <w:bCs/>
                <w:color w:val="FF0000"/>
                <w:kern w:val="2"/>
                <w:sz w:val="21"/>
                <w:szCs w:val="21"/>
                <w:lang w:eastAsia="zh-CN" w:bidi="ar"/>
              </w:rPr>
              <w:t>同一人或直接控股、管理关系</w:t>
            </w:r>
            <w:r>
              <w:rPr>
                <w:rFonts w:hint="eastAsia" w:ascii="宋体" w:hAnsi="宋体" w:eastAsia="宋体" w:cs="宋体"/>
                <w:color w:val="FF0000"/>
                <w:kern w:val="2"/>
                <w:sz w:val="21"/>
                <w:szCs w:val="21"/>
                <w:lang w:eastAsia="zh-CN" w:bidi="ar"/>
              </w:rPr>
              <w:t>。</w:t>
            </w:r>
          </w:p>
        </w:tc>
      </w:tr>
      <w:tr w14:paraId="2756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D868B85">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3</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51969E27">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与其他投标供应商的投标文件或部分投标文件</w:t>
            </w:r>
            <w:r>
              <w:rPr>
                <w:rFonts w:hint="eastAsia" w:ascii="宋体" w:hAnsi="宋体" w:eastAsia="宋体" w:cs="宋体"/>
                <w:b/>
                <w:bCs/>
                <w:color w:val="FF0000"/>
                <w:kern w:val="2"/>
                <w:sz w:val="21"/>
                <w:szCs w:val="21"/>
                <w:lang w:eastAsia="zh-CN" w:bidi="ar"/>
              </w:rPr>
              <w:t>相互混装或存在非正常一致</w:t>
            </w:r>
            <w:r>
              <w:rPr>
                <w:rFonts w:hint="eastAsia" w:ascii="宋体" w:hAnsi="宋体" w:eastAsia="宋体" w:cs="宋体"/>
                <w:color w:val="FF0000"/>
                <w:kern w:val="2"/>
                <w:sz w:val="21"/>
                <w:szCs w:val="21"/>
                <w:lang w:eastAsia="zh-CN" w:bidi="ar"/>
              </w:rPr>
              <w:t>。</w:t>
            </w:r>
          </w:p>
        </w:tc>
      </w:tr>
      <w:tr w14:paraId="45A3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426F69B">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4</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3AB90854">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与其他投标供应商的投标文件由</w:t>
            </w:r>
            <w:r>
              <w:rPr>
                <w:rFonts w:hint="eastAsia" w:ascii="宋体" w:hAnsi="宋体" w:eastAsia="宋体" w:cs="宋体"/>
                <w:b/>
                <w:bCs/>
                <w:color w:val="FF0000"/>
                <w:kern w:val="2"/>
                <w:sz w:val="21"/>
                <w:szCs w:val="21"/>
                <w:lang w:eastAsia="zh-CN" w:bidi="ar"/>
              </w:rPr>
              <w:t>同一单位或者同一人编制</w:t>
            </w:r>
            <w:r>
              <w:rPr>
                <w:rFonts w:hint="eastAsia" w:ascii="宋体" w:hAnsi="宋体" w:eastAsia="宋体" w:cs="宋体"/>
                <w:color w:val="FF0000"/>
                <w:kern w:val="2"/>
                <w:sz w:val="21"/>
                <w:szCs w:val="21"/>
                <w:lang w:eastAsia="zh-CN" w:bidi="ar"/>
              </w:rPr>
              <w:t>，或者使用</w:t>
            </w:r>
            <w:r>
              <w:rPr>
                <w:rFonts w:hint="eastAsia" w:ascii="宋体" w:hAnsi="宋体" w:eastAsia="宋体" w:cs="宋体"/>
                <w:b/>
                <w:bCs/>
                <w:color w:val="FF0000"/>
                <w:kern w:val="2"/>
                <w:sz w:val="21"/>
                <w:szCs w:val="21"/>
                <w:lang w:eastAsia="zh-CN" w:bidi="ar"/>
              </w:rPr>
              <w:t>同一设备编制</w:t>
            </w:r>
            <w:r>
              <w:rPr>
                <w:rFonts w:hint="eastAsia" w:ascii="宋体" w:hAnsi="宋体" w:eastAsia="宋体" w:cs="宋体"/>
                <w:color w:val="FF0000"/>
                <w:kern w:val="2"/>
                <w:sz w:val="21"/>
                <w:szCs w:val="21"/>
                <w:lang w:eastAsia="zh-CN" w:bidi="ar"/>
              </w:rPr>
              <w:t>。</w:t>
            </w:r>
          </w:p>
        </w:tc>
      </w:tr>
      <w:tr w14:paraId="0EA94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964BCFE">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5</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65FA34A">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提供</w:t>
            </w:r>
            <w:r>
              <w:rPr>
                <w:rFonts w:hint="eastAsia" w:ascii="宋体" w:hAnsi="宋体" w:eastAsia="宋体" w:cs="宋体"/>
                <w:b/>
                <w:bCs/>
                <w:color w:val="FF0000"/>
                <w:kern w:val="2"/>
                <w:sz w:val="21"/>
                <w:szCs w:val="21"/>
                <w:lang w:eastAsia="zh-CN" w:bidi="ar"/>
              </w:rPr>
              <w:t>未经出具机构核实</w:t>
            </w:r>
            <w:r>
              <w:rPr>
                <w:rFonts w:hint="eastAsia" w:ascii="宋体" w:hAnsi="宋体" w:eastAsia="宋体" w:cs="宋体"/>
                <w:color w:val="FF0000"/>
                <w:kern w:val="2"/>
                <w:sz w:val="21"/>
                <w:szCs w:val="21"/>
                <w:lang w:eastAsia="zh-CN" w:bidi="ar"/>
              </w:rPr>
              <w:t>的虚假的检验检测报告、业绩材料、社保缴纳证明、学历学位证书、职称认证证书等材料。</w:t>
            </w:r>
          </w:p>
        </w:tc>
      </w:tr>
      <w:tr w14:paraId="42136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C142EDC">
            <w:pPr>
              <w:widowControl w:val="0"/>
              <w:spacing w:line="400" w:lineRule="exact"/>
              <w:jc w:val="center"/>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6</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A791BE9">
            <w:pPr>
              <w:widowControl w:val="0"/>
              <w:spacing w:line="400" w:lineRule="exact"/>
              <w:jc w:val="left"/>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擅自将投标密钥或电子营业执照出借他人使用或未妥善保管。</w:t>
            </w:r>
          </w:p>
        </w:tc>
      </w:tr>
    </w:tbl>
    <w:p w14:paraId="545798F5">
      <w:pPr>
        <w:widowControl w:val="0"/>
        <w:ind w:firstLine="420" w:firstLineChars="200"/>
        <w:jc w:val="both"/>
        <w:rPr>
          <w:rFonts w:ascii="宋体" w:hAnsi="宋体" w:eastAsia="宋体" w:cs="宋体"/>
          <w:color w:val="FF0000"/>
          <w:kern w:val="2"/>
          <w:sz w:val="21"/>
          <w:szCs w:val="21"/>
          <w:lang w:eastAsia="zh-CN"/>
        </w:rPr>
      </w:pPr>
    </w:p>
    <w:p w14:paraId="48E7BDE3">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一、</w:t>
      </w:r>
      <w:r>
        <w:rPr>
          <w:rFonts w:hint="eastAsia" w:ascii="宋体" w:hAnsi="宋体" w:eastAsia="宋体" w:cs="宋体"/>
          <w:b/>
          <w:bCs/>
          <w:color w:val="FF0000"/>
          <w:kern w:val="2"/>
          <w:sz w:val="21"/>
          <w:szCs w:val="21"/>
          <w:lang w:eastAsia="zh-CN" w:bidi="ar"/>
        </w:rPr>
        <w:t>《深圳经济特区政府采购条例》第五十七条</w:t>
      </w:r>
      <w:r>
        <w:rPr>
          <w:rFonts w:hint="eastAsia" w:ascii="宋体" w:hAnsi="宋体" w:eastAsia="宋体" w:cs="宋体"/>
          <w:color w:val="FF0000"/>
          <w:kern w:val="2"/>
          <w:sz w:val="21"/>
          <w:szCs w:val="21"/>
          <w:lang w:eastAsia="zh-CN" w:bidi="ar"/>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068D2F90">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（一）在采购活动中应当回避而未回避的；</w:t>
      </w:r>
    </w:p>
    <w:p w14:paraId="0CD811C6">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（二）未按本条例规定签订、履行采购合同，造成严重后果的；</w:t>
      </w:r>
    </w:p>
    <w:p w14:paraId="0F02A980">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（三）隐瞒真实情况，提供虚假资料的；</w:t>
      </w:r>
    </w:p>
    <w:p w14:paraId="30FEBD30">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（四）以非法手段排斥其他供应商参与竞争的；</w:t>
      </w:r>
    </w:p>
    <w:p w14:paraId="74AAF2DE">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（五）与其他采购参加人串通投标的；</w:t>
      </w:r>
    </w:p>
    <w:p w14:paraId="14ACCE70">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（六）恶意投诉的；</w:t>
      </w:r>
    </w:p>
    <w:p w14:paraId="3E556969">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（七）向采购项目相关人行贿或者提供其他不当利益的；</w:t>
      </w:r>
    </w:p>
    <w:p w14:paraId="5CC28030">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（八）阻碍、抗拒主管部门监督检查的；</w:t>
      </w:r>
    </w:p>
    <w:p w14:paraId="0302CA27">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（九）其他违反本条例规定的行为。</w:t>
      </w:r>
    </w:p>
    <w:p w14:paraId="3D2C4053">
      <w:pPr>
        <w:widowControl w:val="0"/>
        <w:ind w:firstLine="422" w:firstLineChars="200"/>
        <w:jc w:val="both"/>
        <w:rPr>
          <w:rFonts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 xml:space="preserve">二、《深圳经济特区政府采购条例实施细则》第七十五条 </w:t>
      </w:r>
      <w:r>
        <w:rPr>
          <w:rFonts w:hint="eastAsia" w:ascii="宋体" w:hAnsi="宋体" w:eastAsia="宋体" w:cs="宋体"/>
          <w:color w:val="FF0000"/>
          <w:kern w:val="2"/>
          <w:sz w:val="21"/>
          <w:szCs w:val="21"/>
          <w:lang w:eastAsia="zh-CN" w:bidi="ar"/>
        </w:rPr>
        <w:t>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1B6E6418">
      <w:pPr>
        <w:widowControl w:val="0"/>
        <w:ind w:firstLine="422" w:firstLineChars="200"/>
        <w:jc w:val="both"/>
        <w:rPr>
          <w:rFonts w:ascii="宋体" w:hAnsi="宋体" w:eastAsia="宋体" w:cs="宋体"/>
          <w:color w:val="FF0000"/>
          <w:kern w:val="2"/>
          <w:sz w:val="21"/>
          <w:szCs w:val="21"/>
          <w:lang w:eastAsia="zh-CN"/>
        </w:rPr>
      </w:pPr>
      <w:r>
        <w:rPr>
          <w:rFonts w:hint="eastAsia" w:ascii="宋体" w:hAnsi="宋体" w:eastAsia="宋体" w:cs="宋体"/>
          <w:b/>
          <w:bCs/>
          <w:color w:val="FF0000"/>
          <w:kern w:val="2"/>
          <w:sz w:val="21"/>
          <w:szCs w:val="21"/>
          <w:lang w:eastAsia="zh-CN" w:bidi="ar"/>
        </w:rPr>
        <w:t xml:space="preserve">三、《深圳经济特区政府采购条例实施细则》第七十七条 </w:t>
      </w:r>
      <w:r>
        <w:rPr>
          <w:rFonts w:hint="eastAsia" w:ascii="宋体" w:hAnsi="宋体" w:eastAsia="宋体" w:cs="宋体"/>
          <w:color w:val="FF0000"/>
          <w:kern w:val="2"/>
          <w:sz w:val="21"/>
          <w:szCs w:val="21"/>
          <w:lang w:eastAsia="zh-CN" w:bidi="ar"/>
        </w:rPr>
        <w:t>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3E77699B">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投标供应商不能提供项目负责人或者主要技术人员的劳动合同、社会保险等劳动关系证明材料的，视为存在前款第（三）项规定的情形。</w:t>
      </w:r>
    </w:p>
    <w:p w14:paraId="70F13DFD">
      <w:pPr>
        <w:widowControl w:val="0"/>
        <w:ind w:firstLine="422" w:firstLineChars="200"/>
        <w:jc w:val="both"/>
        <w:rPr>
          <w:rFonts w:eastAsia="宋体"/>
          <w:bCs/>
          <w:color w:val="FF0000"/>
          <w:kern w:val="2"/>
          <w:sz w:val="21"/>
          <w:szCs w:val="21"/>
          <w:lang w:eastAsia="zh-CN"/>
        </w:rPr>
      </w:pPr>
      <w:r>
        <w:rPr>
          <w:rFonts w:hint="eastAsia" w:eastAsia="宋体" w:cs="宋体"/>
          <w:b/>
          <w:color w:val="FF0000"/>
          <w:kern w:val="2"/>
          <w:sz w:val="21"/>
          <w:szCs w:val="21"/>
          <w:lang w:eastAsia="zh-CN" w:bidi="ar"/>
        </w:rPr>
        <w:t>四、根据《深圳经济特区政府采购条例实施细则》第七十五条规定</w:t>
      </w:r>
      <w:r>
        <w:rPr>
          <w:rFonts w:hint="eastAsia" w:eastAsia="宋体" w:cs="宋体"/>
          <w:bCs/>
          <w:color w:val="FF0000"/>
          <w:kern w:val="2"/>
          <w:sz w:val="21"/>
          <w:szCs w:val="21"/>
          <w:lang w:eastAsia="zh-CN" w:bidi="ar"/>
        </w:rPr>
        <w:t>，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w:t>
      </w:r>
      <w:r>
        <w:rPr>
          <w:rFonts w:hint="eastAsia" w:ascii="宋体" w:hAnsi="宋体" w:eastAsia="宋体" w:cs="宋体"/>
          <w:color w:val="FF0000"/>
          <w:kern w:val="2"/>
          <w:sz w:val="21"/>
          <w:szCs w:val="21"/>
          <w:lang w:eastAsia="zh-CN" w:bidi="ar"/>
        </w:rPr>
        <w:t>取消参与本市政府采购资格</w:t>
      </w:r>
      <w:r>
        <w:rPr>
          <w:rFonts w:hint="eastAsia" w:hAnsi="宋体" w:eastAsia="宋体" w:cs="宋体"/>
          <w:color w:val="FF0000"/>
          <w:kern w:val="2"/>
          <w:sz w:val="21"/>
          <w:szCs w:val="21"/>
          <w:lang w:eastAsia="zh-CN" w:bidi="ar"/>
        </w:rPr>
        <w:t>、</w:t>
      </w:r>
      <w:r>
        <w:rPr>
          <w:rFonts w:hint="eastAsia" w:ascii="宋体" w:hAnsi="宋体" w:eastAsia="宋体" w:cs="宋体"/>
          <w:color w:val="FF0000"/>
          <w:kern w:val="2"/>
          <w:sz w:val="21"/>
          <w:szCs w:val="21"/>
          <w:lang w:eastAsia="zh-CN" w:bidi="ar"/>
        </w:rPr>
        <w:t>依法吊销其营业</w:t>
      </w:r>
      <w:r>
        <w:rPr>
          <w:rFonts w:hint="eastAsia" w:hAnsi="宋体" w:eastAsia="宋体" w:cs="宋体"/>
          <w:color w:val="FF0000"/>
          <w:kern w:val="2"/>
          <w:sz w:val="21"/>
          <w:szCs w:val="21"/>
          <w:lang w:eastAsia="zh-CN" w:bidi="ar"/>
        </w:rPr>
        <w:t>执照等行政处罚，</w:t>
      </w:r>
      <w:r>
        <w:rPr>
          <w:rFonts w:hint="eastAsia" w:ascii="宋体" w:hAnsi="宋体" w:eastAsia="宋体" w:cs="宋体"/>
          <w:color w:val="FF0000"/>
          <w:kern w:val="2"/>
          <w:sz w:val="21"/>
          <w:szCs w:val="21"/>
          <w:lang w:eastAsia="zh-CN" w:bidi="ar"/>
        </w:rPr>
        <w:t>构成犯罪的，依法追究刑事责任</w:t>
      </w:r>
      <w:r>
        <w:rPr>
          <w:rFonts w:hint="eastAsia" w:eastAsia="宋体" w:cs="宋体"/>
          <w:bCs/>
          <w:color w:val="FF0000"/>
          <w:kern w:val="2"/>
          <w:sz w:val="21"/>
          <w:szCs w:val="21"/>
          <w:lang w:eastAsia="zh-CN" w:bidi="ar"/>
        </w:rPr>
        <w:t>，请各供应商独立编制、上传投标文件，妥善保管和使用电子秘钥。</w:t>
      </w:r>
    </w:p>
    <w:p w14:paraId="3D0FBDC9">
      <w:pPr>
        <w:widowControl w:val="0"/>
        <w:ind w:firstLine="422" w:firstLineChars="200"/>
        <w:jc w:val="both"/>
        <w:rPr>
          <w:rFonts w:eastAsia="宋体"/>
          <w:kern w:val="2"/>
          <w:sz w:val="21"/>
          <w:szCs w:val="21"/>
          <w:lang w:eastAsia="zh-CN"/>
        </w:rPr>
      </w:pPr>
      <w:r>
        <w:rPr>
          <w:rFonts w:hint="eastAsia" w:eastAsia="宋体" w:cs="宋体"/>
          <w:b/>
          <w:color w:val="FF0000"/>
          <w:kern w:val="2"/>
          <w:sz w:val="21"/>
          <w:szCs w:val="21"/>
          <w:lang w:eastAsia="zh-CN" w:bidi="ar"/>
        </w:rPr>
        <w:t>五、请投标供应商阅读《采购违法行为风险知悉确认书》（内容详见“投标文件”中节点“投标人认为需要加以说明的其他内容”），并经各投标供应商负责人签字并加盖单位公章后，扫描上传至投标文件一并提交。</w:t>
      </w:r>
    </w:p>
    <w:p w14:paraId="2547E8CB">
      <w:pPr>
        <w:widowControl/>
        <w:spacing w:beforeAutospacing="1" w:afterAutospacing="1"/>
        <w:jc w:val="left"/>
        <w:outlineLvl w:val="1"/>
        <w:rPr>
          <w:rFonts w:ascii="黑体" w:hAnsi="宋体" w:eastAsia="黑体" w:cs="黑体"/>
          <w:sz w:val="21"/>
          <w:szCs w:val="21"/>
          <w:lang w:eastAsia="zh-CN"/>
        </w:rPr>
      </w:pPr>
      <w:r>
        <w:rPr>
          <w:rFonts w:hint="eastAsia" w:eastAsia="宋体" w:cs="宋体"/>
          <w:b/>
          <w:color w:val="FF0000"/>
          <w:kern w:val="2"/>
          <w:sz w:val="21"/>
          <w:szCs w:val="21"/>
          <w:lang w:eastAsia="zh-CN" w:bidi="ar"/>
        </w:rPr>
        <w:t>注：“特别警示条款”和《采购违法行为风险知悉确认书》用于对供应商违法行为的提醒，不作为供应商资格性审查及符合性审查条件。</w:t>
      </w:r>
    </w:p>
    <w:p w14:paraId="00083A87">
      <w:pPr>
        <w:widowControl w:val="0"/>
        <w:jc w:val="center"/>
        <w:rPr>
          <w:rFonts w:ascii="方正小标宋简体" w:hAnsi="方正小标宋简体" w:eastAsia="方正小标宋简体" w:cs="方正小标宋简体"/>
          <w:bCs/>
          <w:color w:val="000000"/>
          <w:kern w:val="2"/>
          <w:sz w:val="44"/>
          <w:szCs w:val="44"/>
          <w:lang w:eastAsia="zh-CN"/>
        </w:rPr>
      </w:pPr>
      <w:r>
        <w:rPr>
          <w:rFonts w:hint="eastAsia" w:ascii="方正小标宋简体" w:hAnsi="方正小标宋简体" w:eastAsia="方正小标宋简体" w:cs="方正小标宋简体"/>
          <w:bCs/>
          <w:color w:val="000000"/>
          <w:kern w:val="2"/>
          <w:sz w:val="21"/>
          <w:szCs w:val="21"/>
          <w:lang w:eastAsia="zh-CN"/>
        </w:rPr>
        <w:br w:type="page"/>
      </w:r>
      <w:r>
        <w:rPr>
          <w:rFonts w:hint="eastAsia" w:ascii="方正小标宋简体" w:hAnsi="方正小标宋简体" w:eastAsia="方正小标宋简体" w:cs="方正小标宋简体"/>
          <w:bCs/>
          <w:color w:val="000000"/>
          <w:kern w:val="2"/>
          <w:sz w:val="44"/>
          <w:szCs w:val="44"/>
          <w:lang w:eastAsia="zh-CN"/>
        </w:rPr>
        <w:t>招标文件信息</w:t>
      </w:r>
    </w:p>
    <w:tbl>
      <w:tblPr>
        <w:tblStyle w:val="6"/>
        <w:tblW w:w="5000" w:type="pct"/>
        <w:jc w:val="center"/>
        <w:tblCellSpacing w:w="0" w:type="dxa"/>
        <w:tblLayout w:type="fixed"/>
        <w:tblCellMar>
          <w:top w:w="45" w:type="dxa"/>
          <w:left w:w="45" w:type="dxa"/>
          <w:bottom w:w="45" w:type="dxa"/>
          <w:right w:w="45" w:type="dxa"/>
        </w:tblCellMar>
      </w:tblPr>
      <w:tblGrid>
        <w:gridCol w:w="3044"/>
        <w:gridCol w:w="5834"/>
      </w:tblGrid>
      <w:tr w14:paraId="235E7D70">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83CD81E">
            <w:pPr>
              <w:widowControl/>
              <w:jc w:val="right"/>
              <w:rPr>
                <w:rFonts w:eastAsia="宋体"/>
                <w:kern w:val="2"/>
                <w:sz w:val="30"/>
                <w:szCs w:val="30"/>
                <w:lang w:eastAsia="zh-CN"/>
              </w:rPr>
            </w:pPr>
            <w:r>
              <w:rPr>
                <w:rFonts w:ascii="宋体" w:hAnsi="宋体" w:eastAsia="宋体" w:cs="宋体"/>
                <w:sz w:val="30"/>
                <w:szCs w:val="30"/>
                <w:lang w:eastAsia="zh-CN"/>
              </w:rPr>
              <w:t>项目编号：</w:t>
            </w:r>
          </w:p>
        </w:tc>
        <w:tc>
          <w:tcPr>
            <w:tcW w:w="5220" w:type="dxa"/>
            <w:shd w:val="clear" w:color="auto" w:fill="auto"/>
            <w:vAlign w:val="center"/>
          </w:tcPr>
          <w:p w14:paraId="1ED85C47">
            <w:pPr>
              <w:widowControl/>
              <w:jc w:val="left"/>
              <w:rPr>
                <w:rFonts w:eastAsia="宋体"/>
                <w:kern w:val="2"/>
                <w:sz w:val="30"/>
                <w:szCs w:val="30"/>
                <w:lang w:eastAsia="zh-CN"/>
              </w:rPr>
            </w:pPr>
            <w:r>
              <w:rPr>
                <w:rFonts w:hint="eastAsia" w:eastAsia="宋体"/>
                <w:kern w:val="2"/>
                <w:sz w:val="30"/>
                <w:szCs w:val="30"/>
                <w:lang w:eastAsia="zh-CN"/>
              </w:rPr>
              <w:t>SZZXCG-2025-00301</w:t>
            </w:r>
          </w:p>
        </w:tc>
      </w:tr>
      <w:tr w14:paraId="1B941C8F">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30F1EFFF">
            <w:pPr>
              <w:widowControl/>
              <w:jc w:val="right"/>
              <w:rPr>
                <w:rFonts w:eastAsia="宋体"/>
                <w:kern w:val="2"/>
                <w:sz w:val="30"/>
                <w:szCs w:val="30"/>
                <w:lang w:eastAsia="zh-CN"/>
              </w:rPr>
            </w:pPr>
            <w:r>
              <w:rPr>
                <w:rFonts w:ascii="宋体" w:hAnsi="宋体" w:eastAsia="宋体" w:cs="宋体"/>
                <w:sz w:val="30"/>
                <w:szCs w:val="30"/>
                <w:lang w:eastAsia="zh-CN"/>
              </w:rPr>
              <w:t>项目名称：</w:t>
            </w:r>
          </w:p>
        </w:tc>
        <w:tc>
          <w:tcPr>
            <w:tcW w:w="5220" w:type="dxa"/>
            <w:shd w:val="clear" w:color="auto" w:fill="auto"/>
            <w:vAlign w:val="center"/>
          </w:tcPr>
          <w:p w14:paraId="65A584D4">
            <w:pPr>
              <w:widowControl/>
              <w:jc w:val="left"/>
              <w:rPr>
                <w:rFonts w:eastAsia="宋体"/>
                <w:kern w:val="2"/>
                <w:sz w:val="21"/>
                <w:lang w:val="en" w:eastAsia="zh-CN"/>
              </w:rPr>
            </w:pPr>
            <w:r>
              <w:rPr>
                <w:rFonts w:eastAsia="宋体"/>
                <w:kern w:val="2"/>
                <w:sz w:val="30"/>
                <w:szCs w:val="30"/>
                <w:lang w:val="en" w:eastAsia="zh-CN"/>
              </w:rPr>
              <w:t>深圳市急救指挥中心管理系统及深圳市医疗优先分级调度系统项目单位政务信息化运维服务（2025年度）项目</w:t>
            </w:r>
          </w:p>
        </w:tc>
      </w:tr>
      <w:tr w14:paraId="32BCDD06">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2339222A">
            <w:pPr>
              <w:widowControl/>
              <w:jc w:val="right"/>
              <w:rPr>
                <w:rFonts w:eastAsia="宋体"/>
                <w:kern w:val="2"/>
                <w:sz w:val="30"/>
                <w:szCs w:val="30"/>
                <w:lang w:eastAsia="zh-CN"/>
              </w:rPr>
            </w:pPr>
            <w:r>
              <w:rPr>
                <w:rFonts w:ascii="宋体" w:hAnsi="宋体" w:eastAsia="宋体" w:cs="宋体"/>
                <w:sz w:val="30"/>
                <w:szCs w:val="30"/>
                <w:lang w:eastAsia="zh-CN"/>
              </w:rPr>
              <w:t>包 号：</w:t>
            </w:r>
          </w:p>
        </w:tc>
        <w:tc>
          <w:tcPr>
            <w:tcW w:w="5220" w:type="dxa"/>
            <w:shd w:val="clear" w:color="auto" w:fill="auto"/>
            <w:vAlign w:val="center"/>
          </w:tcPr>
          <w:p w14:paraId="75F9BEF3">
            <w:pPr>
              <w:widowControl/>
              <w:jc w:val="left"/>
              <w:rPr>
                <w:rFonts w:eastAsia="宋体"/>
                <w:kern w:val="2"/>
                <w:sz w:val="30"/>
                <w:szCs w:val="30"/>
                <w:lang w:eastAsia="zh-CN"/>
              </w:rPr>
            </w:pPr>
            <w:r>
              <w:rPr>
                <w:rFonts w:ascii="宋体" w:hAnsi="宋体" w:eastAsia="宋体" w:cs="宋体"/>
                <w:sz w:val="30"/>
                <w:szCs w:val="30"/>
                <w:lang w:eastAsia="zh-CN"/>
              </w:rPr>
              <w:t>A</w:t>
            </w:r>
          </w:p>
        </w:tc>
      </w:tr>
      <w:tr w14:paraId="420F7730">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4364879C">
            <w:pPr>
              <w:widowControl/>
              <w:jc w:val="right"/>
              <w:rPr>
                <w:rFonts w:eastAsia="宋体"/>
                <w:kern w:val="2"/>
                <w:sz w:val="30"/>
                <w:szCs w:val="30"/>
                <w:lang w:eastAsia="zh-CN"/>
              </w:rPr>
            </w:pPr>
            <w:r>
              <w:rPr>
                <w:rFonts w:ascii="宋体" w:hAnsi="宋体" w:eastAsia="宋体" w:cs="宋体"/>
                <w:sz w:val="30"/>
                <w:szCs w:val="30"/>
                <w:lang w:eastAsia="zh-CN"/>
              </w:rPr>
              <w:t>项目类型：</w:t>
            </w:r>
          </w:p>
        </w:tc>
        <w:tc>
          <w:tcPr>
            <w:tcW w:w="5220" w:type="dxa"/>
            <w:shd w:val="clear" w:color="auto" w:fill="auto"/>
            <w:vAlign w:val="center"/>
          </w:tcPr>
          <w:p w14:paraId="5D943722">
            <w:pPr>
              <w:widowControl/>
              <w:jc w:val="left"/>
              <w:rPr>
                <w:rFonts w:eastAsia="宋体"/>
                <w:kern w:val="2"/>
                <w:sz w:val="30"/>
                <w:szCs w:val="30"/>
                <w:lang w:eastAsia="zh-CN"/>
              </w:rPr>
            </w:pPr>
            <w:r>
              <w:rPr>
                <w:rFonts w:hint="eastAsia" w:ascii="宋体" w:hAnsi="宋体" w:eastAsia="宋体" w:cs="宋体"/>
                <w:sz w:val="30"/>
                <w:szCs w:val="30"/>
                <w:lang w:eastAsia="zh-CN"/>
              </w:rPr>
              <w:t>服务类</w:t>
            </w:r>
          </w:p>
        </w:tc>
      </w:tr>
      <w:tr w14:paraId="10984A7F">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2E19ADC5">
            <w:pPr>
              <w:widowControl/>
              <w:jc w:val="right"/>
              <w:rPr>
                <w:rFonts w:eastAsia="宋体"/>
                <w:kern w:val="2"/>
                <w:sz w:val="30"/>
                <w:szCs w:val="30"/>
                <w:lang w:eastAsia="zh-CN"/>
              </w:rPr>
            </w:pPr>
            <w:r>
              <w:rPr>
                <w:rFonts w:ascii="宋体" w:hAnsi="宋体" w:eastAsia="宋体" w:cs="宋体"/>
                <w:sz w:val="30"/>
                <w:szCs w:val="30"/>
                <w:lang w:eastAsia="zh-CN"/>
              </w:rPr>
              <w:t>采购方式：</w:t>
            </w:r>
          </w:p>
        </w:tc>
        <w:tc>
          <w:tcPr>
            <w:tcW w:w="5220" w:type="dxa"/>
            <w:shd w:val="clear" w:color="auto" w:fill="auto"/>
            <w:vAlign w:val="center"/>
          </w:tcPr>
          <w:p w14:paraId="49B253EF">
            <w:pPr>
              <w:widowControl/>
              <w:jc w:val="left"/>
              <w:rPr>
                <w:rFonts w:eastAsia="宋体"/>
                <w:kern w:val="2"/>
                <w:sz w:val="30"/>
                <w:szCs w:val="30"/>
                <w:lang w:eastAsia="zh-CN"/>
              </w:rPr>
            </w:pPr>
            <w:r>
              <w:rPr>
                <w:rFonts w:ascii="宋体" w:hAnsi="宋体" w:eastAsia="宋体" w:cs="宋体"/>
                <w:sz w:val="30"/>
                <w:szCs w:val="30"/>
                <w:lang w:eastAsia="zh-CN"/>
              </w:rPr>
              <w:t>公开</w:t>
            </w:r>
            <w:r>
              <w:rPr>
                <w:rFonts w:hint="eastAsia" w:ascii="宋体" w:hAnsi="宋体" w:eastAsia="宋体" w:cs="宋体"/>
                <w:sz w:val="30"/>
                <w:szCs w:val="30"/>
                <w:lang w:eastAsia="zh-CN"/>
              </w:rPr>
              <w:t>招标</w:t>
            </w:r>
          </w:p>
        </w:tc>
      </w:tr>
      <w:tr w14:paraId="2DB10CA4">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0406E242">
            <w:pPr>
              <w:widowControl/>
              <w:jc w:val="right"/>
              <w:rPr>
                <w:rFonts w:eastAsia="宋体"/>
                <w:kern w:val="2"/>
                <w:sz w:val="30"/>
                <w:szCs w:val="30"/>
                <w:lang w:eastAsia="zh-CN"/>
              </w:rPr>
            </w:pPr>
            <w:r>
              <w:rPr>
                <w:rFonts w:ascii="宋体" w:hAnsi="宋体" w:eastAsia="宋体" w:cs="宋体"/>
                <w:sz w:val="30"/>
                <w:szCs w:val="30"/>
                <w:lang w:eastAsia="zh-CN"/>
              </w:rPr>
              <w:t>货币类型：</w:t>
            </w:r>
          </w:p>
        </w:tc>
        <w:tc>
          <w:tcPr>
            <w:tcW w:w="5220" w:type="dxa"/>
            <w:shd w:val="clear" w:color="auto" w:fill="auto"/>
            <w:vAlign w:val="center"/>
          </w:tcPr>
          <w:p w14:paraId="2E963D58">
            <w:pPr>
              <w:widowControl/>
              <w:jc w:val="left"/>
              <w:rPr>
                <w:rFonts w:eastAsia="宋体"/>
                <w:kern w:val="2"/>
                <w:sz w:val="30"/>
                <w:szCs w:val="30"/>
                <w:lang w:eastAsia="zh-CN"/>
              </w:rPr>
            </w:pPr>
            <w:r>
              <w:rPr>
                <w:rFonts w:ascii="宋体" w:hAnsi="宋体" w:eastAsia="宋体" w:cs="宋体"/>
                <w:sz w:val="30"/>
                <w:szCs w:val="30"/>
                <w:lang w:eastAsia="zh-CN"/>
              </w:rPr>
              <w:t>人民币</w:t>
            </w:r>
          </w:p>
        </w:tc>
      </w:tr>
      <w:tr w14:paraId="34047D9F">
        <w:tblPrEx>
          <w:tblCellMar>
            <w:top w:w="45" w:type="dxa"/>
            <w:left w:w="45" w:type="dxa"/>
            <w:bottom w:w="45" w:type="dxa"/>
            <w:right w:w="45" w:type="dxa"/>
          </w:tblCellMar>
        </w:tblPrEx>
        <w:trPr>
          <w:trHeight w:val="738" w:hRule="atLeast"/>
          <w:tblCellSpacing w:w="0" w:type="dxa"/>
          <w:jc w:val="center"/>
        </w:trPr>
        <w:tc>
          <w:tcPr>
            <w:tcW w:w="2723" w:type="dxa"/>
            <w:shd w:val="clear" w:color="auto" w:fill="auto"/>
            <w:vAlign w:val="center"/>
          </w:tcPr>
          <w:p w14:paraId="59B048B0">
            <w:pPr>
              <w:widowControl/>
              <w:jc w:val="right"/>
              <w:rPr>
                <w:rFonts w:eastAsia="宋体"/>
                <w:kern w:val="2"/>
                <w:sz w:val="30"/>
                <w:szCs w:val="30"/>
                <w:lang w:eastAsia="zh-CN"/>
              </w:rPr>
            </w:pPr>
            <w:r>
              <w:rPr>
                <w:rFonts w:ascii="宋体" w:hAnsi="宋体" w:eastAsia="宋体" w:cs="宋体"/>
                <w:sz w:val="30"/>
                <w:szCs w:val="30"/>
                <w:lang w:eastAsia="zh-CN"/>
              </w:rPr>
              <w:t>评标方法：</w:t>
            </w:r>
          </w:p>
        </w:tc>
        <w:tc>
          <w:tcPr>
            <w:tcW w:w="5220" w:type="dxa"/>
            <w:shd w:val="clear" w:color="auto" w:fill="auto"/>
            <w:vAlign w:val="center"/>
          </w:tcPr>
          <w:p w14:paraId="4A57AFBB">
            <w:pPr>
              <w:widowControl/>
              <w:jc w:val="left"/>
              <w:rPr>
                <w:rFonts w:eastAsia="宋体"/>
                <w:kern w:val="2"/>
                <w:sz w:val="30"/>
                <w:szCs w:val="30"/>
                <w:lang w:eastAsia="zh-CN"/>
              </w:rPr>
            </w:pPr>
            <w:r>
              <w:rPr>
                <w:rFonts w:ascii="宋体" w:hAnsi="宋体" w:eastAsia="宋体" w:cs="宋体"/>
                <w:sz w:val="30"/>
                <w:szCs w:val="30"/>
                <w:lang w:eastAsia="zh-CN" w:bidi="ar"/>
              </w:rPr>
              <w:t>综合评分法</w:t>
            </w:r>
          </w:p>
        </w:tc>
      </w:tr>
    </w:tbl>
    <w:p w14:paraId="30B7CF7B">
      <w:pPr>
        <w:widowControl w:val="0"/>
        <w:spacing w:beforeAutospacing="1" w:afterAutospacing="1"/>
        <w:jc w:val="center"/>
        <w:outlineLvl w:val="1"/>
        <w:rPr>
          <w:rFonts w:ascii="黑体" w:hAnsi="黑体" w:eastAsia="黑体"/>
          <w:sz w:val="40"/>
          <w:szCs w:val="40"/>
          <w:lang w:eastAsia="zh-CN"/>
        </w:rPr>
      </w:pPr>
    </w:p>
    <w:p w14:paraId="14E88408">
      <w:pPr>
        <w:widowControl w:val="0"/>
        <w:spacing w:line="360" w:lineRule="auto"/>
        <w:jc w:val="center"/>
        <w:rPr>
          <w:rFonts w:ascii="黑体" w:hAnsi="黑体" w:eastAsia="黑体"/>
          <w:sz w:val="40"/>
          <w:szCs w:val="40"/>
          <w:lang w:eastAsia="zh-CN"/>
        </w:rPr>
      </w:pPr>
      <w:r>
        <w:rPr>
          <w:rFonts w:eastAsia="宋体"/>
          <w:b/>
          <w:bCs/>
          <w:kern w:val="2"/>
          <w:lang w:eastAsia="zh-CN"/>
        </w:rPr>
        <w:br w:type="page"/>
      </w:r>
      <w:r>
        <w:rPr>
          <w:rFonts w:hint="eastAsia" w:ascii="黑体" w:hAnsi="黑体" w:eastAsia="黑体"/>
          <w:sz w:val="40"/>
          <w:szCs w:val="40"/>
          <w:lang w:eastAsia="zh-CN"/>
        </w:rPr>
        <w:t>资格性审查表</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44"/>
        <w:gridCol w:w="8360"/>
      </w:tblGrid>
      <w:tr w14:paraId="653C8F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jc w:val="center"/>
        </w:trPr>
        <w:tc>
          <w:tcPr>
            <w:tcW w:w="647" w:type="dxa"/>
            <w:tcBorders>
              <w:top w:val="single" w:color="000000" w:sz="8" w:space="0"/>
              <w:left w:val="single" w:color="000000" w:sz="8" w:space="0"/>
              <w:bottom w:val="single" w:color="000000" w:sz="8" w:space="0"/>
              <w:right w:val="single" w:color="000000" w:sz="8" w:space="0"/>
            </w:tcBorders>
            <w:shd w:val="clear" w:color="auto" w:fill="E6EFFA"/>
            <w:vAlign w:val="top"/>
          </w:tcPr>
          <w:p w14:paraId="410FC364">
            <w:pPr>
              <w:widowControl w:val="0"/>
              <w:jc w:val="center"/>
              <w:rPr>
                <w:rFonts w:ascii="宋体" w:hAnsi="宋体" w:eastAsia="宋体"/>
                <w:kern w:val="2"/>
                <w:sz w:val="21"/>
                <w:szCs w:val="21"/>
                <w:lang w:eastAsia="zh-CN"/>
              </w:rPr>
            </w:pPr>
            <w:r>
              <w:rPr>
                <w:rFonts w:ascii="宋体" w:hAnsi="宋体" w:eastAsia="宋体"/>
                <w:kern w:val="2"/>
                <w:sz w:val="21"/>
                <w:szCs w:val="21"/>
                <w:lang w:eastAsia="zh-CN"/>
              </w:rPr>
              <w:t>序号</w:t>
            </w:r>
          </w:p>
        </w:tc>
        <w:tc>
          <w:tcPr>
            <w:tcW w:w="8411"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865A7A7">
            <w:pPr>
              <w:widowControl w:val="0"/>
              <w:jc w:val="center"/>
              <w:rPr>
                <w:rFonts w:ascii="宋体" w:hAnsi="宋体" w:eastAsia="宋体" w:cs="宋体"/>
                <w:kern w:val="2"/>
                <w:sz w:val="21"/>
                <w:szCs w:val="21"/>
                <w:lang w:eastAsia="zh-CN"/>
              </w:rPr>
            </w:pPr>
            <w:r>
              <w:rPr>
                <w:rFonts w:ascii="宋体" w:hAnsi="宋体" w:eastAsia="宋体"/>
                <w:kern w:val="2"/>
                <w:sz w:val="21"/>
                <w:szCs w:val="21"/>
                <w:lang w:eastAsia="zh-CN"/>
              </w:rPr>
              <w:t>内容</w:t>
            </w:r>
          </w:p>
        </w:tc>
      </w:tr>
      <w:tr w14:paraId="3F495B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47" w:type="dxa"/>
            <w:tcBorders>
              <w:top w:val="single" w:color="000000" w:sz="8" w:space="0"/>
              <w:left w:val="single" w:color="000000" w:sz="8" w:space="0"/>
              <w:bottom w:val="single" w:color="000000" w:sz="8" w:space="0"/>
              <w:right w:val="single" w:color="000000" w:sz="8" w:space="0"/>
            </w:tcBorders>
            <w:vAlign w:val="top"/>
          </w:tcPr>
          <w:p w14:paraId="27194AE3">
            <w:pPr>
              <w:widowControl w:val="0"/>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8411" w:type="dxa"/>
            <w:tcBorders>
              <w:top w:val="single" w:color="000000" w:sz="8" w:space="0"/>
              <w:left w:val="single" w:color="000000" w:sz="8" w:space="0"/>
              <w:bottom w:val="single" w:color="000000" w:sz="8" w:space="0"/>
              <w:right w:val="single" w:color="000000" w:sz="8" w:space="0"/>
            </w:tcBorders>
          </w:tcPr>
          <w:p w14:paraId="681F70AF">
            <w:pPr>
              <w:widowControl w:val="0"/>
              <w:jc w:val="both"/>
              <w:rPr>
                <w:rFonts w:ascii="宋体" w:hAnsi="宋体" w:eastAsia="宋体" w:cs="宋体"/>
                <w:kern w:val="2"/>
                <w:sz w:val="21"/>
                <w:szCs w:val="21"/>
                <w:lang w:eastAsia="zh-CN"/>
              </w:rPr>
            </w:pPr>
            <w:r>
              <w:rPr>
                <w:rFonts w:ascii="宋体" w:hAnsi="宋体" w:eastAsia="宋体" w:cs="宋体"/>
                <w:sz w:val="21"/>
                <w:szCs w:val="21"/>
                <w:lang w:eastAsia="zh-CN"/>
              </w:rPr>
              <w:t>投标人不</w:t>
            </w:r>
            <w:r>
              <w:rPr>
                <w:rFonts w:hint="eastAsia" w:ascii="宋体" w:hAnsi="宋体" w:eastAsia="宋体" w:cs="宋体"/>
                <w:sz w:val="21"/>
                <w:szCs w:val="21"/>
                <w:lang w:eastAsia="zh-CN"/>
              </w:rPr>
              <w:t>符合</w:t>
            </w:r>
            <w:r>
              <w:rPr>
                <w:rFonts w:ascii="宋体" w:hAnsi="宋体" w:eastAsia="宋体" w:cs="宋体"/>
                <w:sz w:val="21"/>
                <w:szCs w:val="21"/>
                <w:lang w:eastAsia="zh-CN"/>
              </w:rPr>
              <w:t>资格要求，或未提交相应的资格证明资料（详见</w:t>
            </w:r>
            <w:r>
              <w:rPr>
                <w:rFonts w:hint="eastAsia" w:ascii="宋体" w:hAnsi="宋体" w:eastAsia="宋体" w:cs="宋体"/>
                <w:sz w:val="21"/>
                <w:szCs w:val="21"/>
                <w:lang w:eastAsia="zh-CN"/>
              </w:rPr>
              <w:t>招标</w:t>
            </w:r>
            <w:r>
              <w:rPr>
                <w:rFonts w:ascii="宋体" w:hAnsi="宋体" w:eastAsia="宋体" w:cs="宋体"/>
                <w:sz w:val="21"/>
                <w:szCs w:val="21"/>
                <w:lang w:eastAsia="zh-CN"/>
              </w:rPr>
              <w:t>公告</w:t>
            </w:r>
            <w:r>
              <w:rPr>
                <w:rFonts w:hint="eastAsia" w:ascii="宋体" w:hAnsi="宋体" w:eastAsia="宋体"/>
                <w:kern w:val="2"/>
                <w:sz w:val="21"/>
                <w:szCs w:val="21"/>
                <w:lang w:eastAsia="zh-CN"/>
              </w:rPr>
              <w:t>投标人资格要求</w:t>
            </w:r>
            <w:r>
              <w:rPr>
                <w:rFonts w:ascii="宋体" w:hAnsi="宋体" w:eastAsia="宋体" w:cs="宋体"/>
                <w:sz w:val="21"/>
                <w:szCs w:val="21"/>
                <w:lang w:eastAsia="zh-CN"/>
              </w:rPr>
              <w:t>）</w:t>
            </w:r>
          </w:p>
        </w:tc>
      </w:tr>
    </w:tbl>
    <w:p w14:paraId="29475E4A">
      <w:pPr>
        <w:widowControl w:val="0"/>
        <w:spacing w:before="280" w:beforeAutospacing="1" w:afterAutospacing="1"/>
        <w:jc w:val="center"/>
        <w:outlineLvl w:val="1"/>
        <w:rPr>
          <w:rFonts w:ascii="黑体" w:hAnsi="黑体" w:eastAsia="黑体"/>
          <w:sz w:val="40"/>
          <w:szCs w:val="40"/>
          <w:lang w:eastAsia="zh-CN"/>
        </w:rPr>
      </w:pPr>
      <w:r>
        <w:rPr>
          <w:rFonts w:hint="eastAsia" w:ascii="黑体" w:hAnsi="黑体" w:eastAsia="黑体"/>
          <w:sz w:val="40"/>
          <w:szCs w:val="40"/>
          <w:lang w:eastAsia="zh-CN"/>
        </w:rPr>
        <w:t>符合性审查表</w:t>
      </w:r>
    </w:p>
    <w:tbl>
      <w:tblPr>
        <w:tblStyle w:val="6"/>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20" w:type="dxa"/>
          <w:left w:w="108" w:type="dxa"/>
          <w:bottom w:w="20" w:type="dxa"/>
          <w:right w:w="108" w:type="dxa"/>
        </w:tblCellMar>
      </w:tblPr>
      <w:tblGrid>
        <w:gridCol w:w="672"/>
        <w:gridCol w:w="8332"/>
      </w:tblGrid>
      <w:tr w14:paraId="59E31A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shd w:val="clear" w:color="auto" w:fill="E6EFFA"/>
          </w:tcPr>
          <w:p w14:paraId="513233AC">
            <w:pPr>
              <w:widowControl/>
              <w:jc w:val="center"/>
              <w:rPr>
                <w:rFonts w:ascii="宋体" w:hAnsi="宋体" w:eastAsia="宋体" w:cs="宋体"/>
                <w:sz w:val="21"/>
                <w:szCs w:val="21"/>
                <w:lang w:eastAsia="zh-CN"/>
              </w:rPr>
            </w:pPr>
            <w:r>
              <w:rPr>
                <w:rFonts w:ascii="宋体" w:hAnsi="宋体" w:eastAsia="宋体" w:cs="宋体"/>
                <w:sz w:val="21"/>
                <w:szCs w:val="21"/>
                <w:lang w:eastAsia="zh-CN"/>
              </w:rPr>
              <w:t>序号</w:t>
            </w:r>
          </w:p>
        </w:tc>
        <w:tc>
          <w:tcPr>
            <w:tcW w:w="8386" w:type="dxa"/>
            <w:tcBorders>
              <w:top w:val="single" w:color="000000" w:sz="8" w:space="0"/>
              <w:left w:val="single" w:color="000000" w:sz="8" w:space="0"/>
              <w:bottom w:val="single" w:color="000000" w:sz="8" w:space="0"/>
              <w:right w:val="single" w:color="000000" w:sz="8" w:space="0"/>
            </w:tcBorders>
            <w:shd w:val="clear" w:color="auto" w:fill="E6EFFA"/>
            <w:vAlign w:val="center"/>
          </w:tcPr>
          <w:p w14:paraId="5BB76371">
            <w:pPr>
              <w:widowControl/>
              <w:jc w:val="center"/>
              <w:rPr>
                <w:rFonts w:ascii="宋体" w:hAnsi="宋体" w:eastAsia="宋体"/>
                <w:kern w:val="2"/>
                <w:sz w:val="21"/>
                <w:szCs w:val="21"/>
                <w:lang w:eastAsia="zh-CN"/>
              </w:rPr>
            </w:pPr>
            <w:r>
              <w:rPr>
                <w:rFonts w:ascii="宋体" w:hAnsi="宋体" w:eastAsia="宋体" w:cs="宋体"/>
                <w:sz w:val="21"/>
                <w:szCs w:val="21"/>
                <w:lang w:eastAsia="zh-CN"/>
              </w:rPr>
              <w:t>内容</w:t>
            </w:r>
          </w:p>
        </w:tc>
      </w:tr>
      <w:tr w14:paraId="4C0367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4D37F828">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1</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04059F0B">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不得将一个包内容拆开投标；</w:t>
            </w:r>
          </w:p>
        </w:tc>
      </w:tr>
      <w:tr w14:paraId="1E8A1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2ABD5C0E">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2</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6560F142">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对同一项目投标时，不得提供两套以上的投标方案（招标文件另有规定的除外）；</w:t>
            </w:r>
          </w:p>
        </w:tc>
      </w:tr>
      <w:tr w14:paraId="4C37A3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40C619E8">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3</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E6BC2E7">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分项报价或投标总价不得高于相应预算金额（或设定的预算金额下的最高限价）；</w:t>
            </w:r>
          </w:p>
        </w:tc>
      </w:tr>
      <w:tr w14:paraId="595D4F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trHeight w:val="1436" w:hRule="atLeast"/>
          <w:jc w:val="center"/>
        </w:trPr>
        <w:tc>
          <w:tcPr>
            <w:tcW w:w="675" w:type="dxa"/>
            <w:tcBorders>
              <w:top w:val="single" w:color="000000" w:sz="8" w:space="0"/>
              <w:left w:val="single" w:color="000000" w:sz="8" w:space="0"/>
              <w:bottom w:val="single" w:color="000000" w:sz="8" w:space="0"/>
              <w:right w:val="single" w:color="000000" w:sz="8" w:space="0"/>
            </w:tcBorders>
          </w:tcPr>
          <w:p w14:paraId="345317E8">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4</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37A7163F">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690C98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0BB59B6E">
            <w:pPr>
              <w:widowControl w:val="0"/>
              <w:jc w:val="center"/>
              <w:rPr>
                <w:rFonts w:ascii="宋体" w:hAnsi="宋体" w:eastAsia="宋体"/>
                <w:kern w:val="2"/>
                <w:sz w:val="21"/>
                <w:szCs w:val="21"/>
                <w:highlight w:val="yellow"/>
                <w:lang w:eastAsia="zh-CN"/>
              </w:rPr>
            </w:pPr>
            <w:r>
              <w:rPr>
                <w:rFonts w:eastAsia="宋体"/>
                <w:kern w:val="2"/>
                <w:sz w:val="21"/>
                <w:szCs w:val="21"/>
                <w:lang w:eastAsia="zh-CN"/>
              </w:rPr>
              <w:t>5</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DDE76BC">
            <w:pPr>
              <w:widowControl w:val="0"/>
              <w:jc w:val="both"/>
              <w:rPr>
                <w:rFonts w:ascii="宋体" w:hAnsi="宋体" w:eastAsia="宋体"/>
                <w:kern w:val="2"/>
                <w:sz w:val="21"/>
                <w:szCs w:val="21"/>
                <w:lang w:eastAsia="zh-CN"/>
              </w:rPr>
            </w:pPr>
            <w:r>
              <w:rPr>
                <w:rFonts w:hint="eastAsia" w:eastAsia="宋体"/>
                <w:kern w:val="2"/>
                <w:sz w:val="21"/>
                <w:lang w:eastAsia="zh-C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69CFA7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05727F0E">
            <w:pPr>
              <w:widowControl w:val="0"/>
              <w:jc w:val="center"/>
              <w:rPr>
                <w:rFonts w:ascii="宋体" w:hAnsi="宋体" w:eastAsia="宋体"/>
                <w:kern w:val="2"/>
                <w:sz w:val="21"/>
                <w:szCs w:val="21"/>
                <w:lang w:eastAsia="zh-CN"/>
              </w:rPr>
            </w:pPr>
            <w:r>
              <w:rPr>
                <w:rFonts w:eastAsia="宋体"/>
                <w:kern w:val="2"/>
                <w:sz w:val="21"/>
                <w:szCs w:val="21"/>
                <w:lang w:eastAsia="zh-CN"/>
              </w:rPr>
              <w:t>6</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5E5B7277">
            <w:pPr>
              <w:widowControl w:val="0"/>
              <w:jc w:val="both"/>
              <w:rPr>
                <w:rFonts w:ascii="宋体" w:hAnsi="宋体" w:eastAsia="宋体"/>
                <w:kern w:val="2"/>
                <w:sz w:val="21"/>
                <w:szCs w:val="21"/>
                <w:lang w:eastAsia="zh-CN"/>
              </w:rPr>
            </w:pPr>
            <w:r>
              <w:rPr>
                <w:rFonts w:hint="eastAsia" w:eastAsia="宋体"/>
                <w:kern w:val="2"/>
                <w:sz w:val="21"/>
                <w:lang w:eastAsia="zh-CN"/>
              </w:rPr>
              <w:t>未按招标文件所提供的样式填写《投标函》；未按招标文件所提供的《采购投标及履约承诺函》进行承诺；未按招标文件对投标文件组成的要求提供投标文件；</w:t>
            </w:r>
          </w:p>
        </w:tc>
      </w:tr>
      <w:tr w14:paraId="60402D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610B7905">
            <w:pPr>
              <w:widowControl w:val="0"/>
              <w:jc w:val="center"/>
              <w:rPr>
                <w:rFonts w:ascii="宋体" w:hAnsi="宋体" w:eastAsia="宋体"/>
                <w:kern w:val="2"/>
                <w:sz w:val="21"/>
                <w:szCs w:val="21"/>
                <w:highlight w:val="yellow"/>
                <w:lang w:eastAsia="zh-CN"/>
              </w:rPr>
            </w:pPr>
            <w:r>
              <w:rPr>
                <w:rFonts w:eastAsia="宋体"/>
                <w:kern w:val="2"/>
                <w:sz w:val="21"/>
                <w:szCs w:val="21"/>
                <w:lang w:eastAsia="zh-CN"/>
              </w:rPr>
              <w:t>7</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405BC350">
            <w:pPr>
              <w:widowControl w:val="0"/>
              <w:jc w:val="both"/>
              <w:rPr>
                <w:rFonts w:ascii="宋体" w:hAnsi="宋体" w:eastAsia="宋体"/>
                <w:kern w:val="2"/>
                <w:sz w:val="21"/>
                <w:szCs w:val="21"/>
                <w:lang w:eastAsia="zh-CN"/>
              </w:rPr>
            </w:pPr>
            <w:r>
              <w:rPr>
                <w:rFonts w:hint="eastAsia" w:eastAsia="宋体"/>
                <w:kern w:val="2"/>
                <w:sz w:val="21"/>
                <w:lang w:eastAsia="zh-CN"/>
              </w:rPr>
              <w:t>采购标的/服务清单/报价等任意一类有缺漏项或响应不全，或者对招标文件规定的项目需求内容或者需求数量进行修改</w:t>
            </w:r>
            <w:r>
              <w:rPr>
                <w:rFonts w:hint="eastAsia" w:eastAsia="宋体"/>
                <w:kern w:val="2"/>
                <w:sz w:val="21"/>
                <w:szCs w:val="21"/>
                <w:lang w:eastAsia="zh-CN"/>
              </w:rPr>
              <w:t>，评审委员会判定投标响应不满足采购需求</w:t>
            </w:r>
            <w:r>
              <w:rPr>
                <w:rFonts w:hint="eastAsia" w:eastAsia="宋体"/>
                <w:kern w:val="2"/>
                <w:sz w:val="21"/>
                <w:lang w:eastAsia="zh-CN"/>
              </w:rPr>
              <w:t>；</w:t>
            </w:r>
          </w:p>
        </w:tc>
      </w:tr>
      <w:tr w14:paraId="28B36C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BA610A9">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8</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0ACBCDE8">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投标文件电子文档不得带病毒；</w:t>
            </w:r>
          </w:p>
        </w:tc>
      </w:tr>
      <w:tr w14:paraId="50F80B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C168FB4">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9</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3340AC95">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投标文件用不属于本公司的电子密钥进行加密；</w:t>
            </w:r>
          </w:p>
        </w:tc>
      </w:tr>
      <w:tr w14:paraId="3C3FCE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20" w:type="dxa"/>
            <w:left w:w="108" w:type="dxa"/>
            <w:bottom w:w="20" w:type="dxa"/>
            <w:right w:w="108" w:type="dxa"/>
          </w:tblCellMar>
        </w:tblPrEx>
        <w:trPr>
          <w:jc w:val="center"/>
        </w:trPr>
        <w:tc>
          <w:tcPr>
            <w:tcW w:w="675" w:type="dxa"/>
            <w:tcBorders>
              <w:top w:val="single" w:color="000000" w:sz="8" w:space="0"/>
              <w:left w:val="single" w:color="000000" w:sz="8" w:space="0"/>
              <w:bottom w:val="single" w:color="000000" w:sz="8" w:space="0"/>
              <w:right w:val="single" w:color="000000" w:sz="8" w:space="0"/>
            </w:tcBorders>
          </w:tcPr>
          <w:p w14:paraId="58530688">
            <w:pPr>
              <w:widowControl/>
              <w:jc w:val="center"/>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10</w:t>
            </w:r>
          </w:p>
        </w:tc>
        <w:tc>
          <w:tcPr>
            <w:tcW w:w="8386" w:type="dxa"/>
            <w:tcBorders>
              <w:top w:val="single" w:color="000000" w:sz="8" w:space="0"/>
              <w:left w:val="single" w:color="000000" w:sz="8" w:space="0"/>
              <w:bottom w:val="single" w:color="000000" w:sz="8" w:space="0"/>
              <w:right w:val="single" w:color="000000" w:sz="8" w:space="0"/>
            </w:tcBorders>
            <w:shd w:val="clear" w:color="auto" w:fill="auto"/>
          </w:tcPr>
          <w:p w14:paraId="6A2AFCF9">
            <w:pPr>
              <w:widowControl/>
              <w:jc w:val="left"/>
              <w:textAlignment w:val="top"/>
              <w:rPr>
                <w:rFonts w:ascii="宋体" w:hAnsi="宋体" w:eastAsia="宋体"/>
                <w:kern w:val="2"/>
                <w:sz w:val="21"/>
                <w:szCs w:val="21"/>
                <w:lang w:eastAsia="zh-CN"/>
              </w:rPr>
            </w:pPr>
            <w:r>
              <w:rPr>
                <w:rFonts w:hint="eastAsia" w:ascii="宋体" w:hAnsi="宋体" w:eastAsia="宋体"/>
                <w:kern w:val="2"/>
                <w:sz w:val="21"/>
                <w:szCs w:val="21"/>
                <w:lang w:eastAsia="zh-CN"/>
              </w:rPr>
              <w:t>法律、法规、规章、规范性文件规定的其他情形。</w:t>
            </w:r>
          </w:p>
        </w:tc>
      </w:tr>
    </w:tbl>
    <w:p w14:paraId="3B043E0A">
      <w:pPr>
        <w:widowControl w:val="0"/>
        <w:spacing w:line="360" w:lineRule="auto"/>
        <w:jc w:val="center"/>
        <w:rPr>
          <w:rFonts w:ascii="黑体" w:hAnsi="黑体" w:eastAsia="黑体"/>
          <w:sz w:val="40"/>
          <w:szCs w:val="40"/>
          <w:lang w:eastAsia="zh-CN"/>
        </w:rPr>
      </w:pPr>
      <w:r>
        <w:rPr>
          <w:rFonts w:eastAsia="宋体"/>
          <w:b/>
          <w:bCs/>
          <w:kern w:val="2"/>
          <w:lang w:eastAsia="zh-CN"/>
        </w:rPr>
        <w:br w:type="page"/>
      </w:r>
      <w:r>
        <w:rPr>
          <w:rFonts w:hint="eastAsia" w:ascii="黑体" w:hAnsi="黑体" w:eastAsia="黑体"/>
          <w:sz w:val="40"/>
          <w:szCs w:val="40"/>
          <w:lang w:eastAsia="zh-CN"/>
        </w:rPr>
        <w:t>评标信息</w:t>
      </w:r>
    </w:p>
    <w:tbl>
      <w:tblPr>
        <w:tblStyle w:val="6"/>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45" w:type="dxa"/>
          <w:left w:w="45" w:type="dxa"/>
          <w:bottom w:w="45" w:type="dxa"/>
          <w:right w:w="45" w:type="dxa"/>
        </w:tblCellMar>
      </w:tblPr>
      <w:tblGrid>
        <w:gridCol w:w="675"/>
        <w:gridCol w:w="460"/>
        <w:gridCol w:w="1505"/>
        <w:gridCol w:w="899"/>
        <w:gridCol w:w="680"/>
        <w:gridCol w:w="4281"/>
        <w:gridCol w:w="378"/>
      </w:tblGrid>
      <w:tr w14:paraId="733666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blCellSpacing w:w="0" w:type="dxa"/>
          <w:jc w:val="center"/>
        </w:trPr>
        <w:tc>
          <w:tcPr>
            <w:tcW w:w="8500" w:type="dxa"/>
            <w:gridSpan w:val="6"/>
            <w:shd w:val="clear" w:color="auto" w:fill="auto"/>
            <w:vAlign w:val="center"/>
          </w:tcPr>
          <w:p w14:paraId="529222C5">
            <w:pPr>
              <w:widowControl/>
              <w:jc w:val="left"/>
              <w:rPr>
                <w:rFonts w:eastAsia="宋体"/>
                <w:b/>
                <w:bCs/>
                <w:kern w:val="2"/>
                <w:sz w:val="21"/>
                <w:szCs w:val="21"/>
                <w:lang w:eastAsia="zh-CN"/>
              </w:rPr>
            </w:pPr>
            <w:r>
              <w:rPr>
                <w:rFonts w:eastAsia="宋体"/>
                <w:b/>
                <w:bCs/>
                <w:kern w:val="2"/>
                <w:sz w:val="21"/>
                <w:szCs w:val="21"/>
                <w:lang w:eastAsia="zh-CN"/>
              </w:rPr>
              <w:t>评标方法：综合评分法</w:t>
            </w:r>
          </w:p>
        </w:tc>
        <w:tc>
          <w:tcPr>
            <w:tcW w:w="378" w:type="dxa"/>
            <w:shd w:val="clear" w:color="auto" w:fill="auto"/>
            <w:vAlign w:val="center"/>
          </w:tcPr>
          <w:p w14:paraId="4A72E850">
            <w:pPr>
              <w:widowControl w:val="0"/>
              <w:jc w:val="right"/>
              <w:rPr>
                <w:rFonts w:ascii="宋体" w:eastAsia="宋体"/>
                <w:b/>
                <w:bCs/>
                <w:kern w:val="2"/>
                <w:sz w:val="21"/>
                <w:szCs w:val="21"/>
                <w:lang w:eastAsia="zh-CN"/>
              </w:rPr>
            </w:pPr>
          </w:p>
        </w:tc>
      </w:tr>
      <w:tr w14:paraId="3A8B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45" w:type="dxa"/>
            <w:left w:w="45" w:type="dxa"/>
            <w:bottom w:w="45" w:type="dxa"/>
            <w:right w:w="45" w:type="dxa"/>
          </w:tblCellMar>
        </w:tblPrEx>
        <w:trPr>
          <w:tblCellSpacing w:w="0" w:type="dxa"/>
          <w:jc w:val="center"/>
        </w:trPr>
        <w:tc>
          <w:tcPr>
            <w:tcW w:w="8878" w:type="dxa"/>
            <w:gridSpan w:val="7"/>
            <w:shd w:val="clear" w:color="auto" w:fill="auto"/>
            <w:vAlign w:val="center"/>
          </w:tcPr>
          <w:p w14:paraId="2EDE968A">
            <w:pPr>
              <w:widowControl w:val="0"/>
              <w:ind w:firstLine="420"/>
              <w:jc w:val="both"/>
              <w:rPr>
                <w:rFonts w:eastAsia="宋体"/>
                <w:kern w:val="2"/>
                <w:sz w:val="21"/>
                <w:szCs w:val="21"/>
                <w:lang w:eastAsia="zh-CN"/>
              </w:rPr>
            </w:pPr>
            <w:r>
              <w:rPr>
                <w:rFonts w:eastAsia="宋体"/>
                <w:kern w:val="2"/>
                <w:sz w:val="21"/>
                <w:szCs w:val="21"/>
                <w:lang w:eastAsia="zh-CN"/>
              </w:rPr>
              <w:t>综合评分法，是指</w:t>
            </w:r>
            <w:r>
              <w:rPr>
                <w:rFonts w:hint="eastAsia" w:eastAsia="宋体"/>
                <w:sz w:val="21"/>
                <w:szCs w:val="21"/>
                <w:lang w:eastAsia="zh-CN"/>
              </w:rPr>
              <w:t>投标文件满足招标文件全部实质性要求</w:t>
            </w:r>
            <w:r>
              <w:rPr>
                <w:rFonts w:eastAsia="宋体"/>
                <w:kern w:val="2"/>
                <w:sz w:val="21"/>
                <w:szCs w:val="21"/>
                <w:lang w:eastAsia="zh-CN"/>
              </w:rPr>
              <w:t>，且按照</w:t>
            </w:r>
            <w:r>
              <w:rPr>
                <w:rFonts w:hint="eastAsia" w:eastAsia="宋体"/>
                <w:kern w:val="2"/>
                <w:sz w:val="21"/>
                <w:szCs w:val="21"/>
                <w:lang w:eastAsia="zh-CN"/>
              </w:rPr>
              <w:t>招标文件规定的各项因素进行综合评审，评标总得分排名前列</w:t>
            </w:r>
            <w:r>
              <w:rPr>
                <w:rFonts w:eastAsia="宋体"/>
                <w:kern w:val="2"/>
                <w:sz w:val="21"/>
                <w:szCs w:val="21"/>
                <w:lang w:eastAsia="zh-CN"/>
              </w:rPr>
              <w:t>的投标人为中标候选人的评标方法。</w:t>
            </w:r>
            <w:r>
              <w:rPr>
                <w:rFonts w:hint="eastAsia" w:eastAsia="宋体"/>
                <w:kern w:val="2"/>
                <w:sz w:val="21"/>
                <w:szCs w:val="21"/>
                <w:lang w:eastAsia="zh-CN"/>
              </w:rPr>
              <w:t>（适用于中标候选人为2家或以上的情形）</w:t>
            </w:r>
          </w:p>
          <w:p w14:paraId="0CC8EBF6">
            <w:pPr>
              <w:widowControl w:val="0"/>
              <w:ind w:firstLine="420"/>
              <w:jc w:val="both"/>
              <w:rPr>
                <w:rFonts w:eastAsia="宋体"/>
                <w:kern w:val="2"/>
                <w:sz w:val="21"/>
                <w:szCs w:val="21"/>
                <w:lang w:eastAsia="zh-CN"/>
              </w:rPr>
            </w:pPr>
            <w:r>
              <w:rPr>
                <w:rFonts w:eastAsia="宋体"/>
                <w:kern w:val="2"/>
                <w:sz w:val="21"/>
                <w:szCs w:val="21"/>
                <w:lang w:eastAsia="zh-CN"/>
              </w:rPr>
              <w:t>价格分计算方法：</w:t>
            </w:r>
          </w:p>
          <w:p w14:paraId="42BD4F01">
            <w:pPr>
              <w:widowControl/>
              <w:ind w:left="420"/>
              <w:jc w:val="left"/>
              <w:rPr>
                <w:rFonts w:eastAsia="宋体"/>
                <w:kern w:val="2"/>
                <w:sz w:val="21"/>
                <w:szCs w:val="21"/>
                <w:lang w:eastAsia="zh-CN"/>
              </w:rPr>
            </w:pPr>
            <w:r>
              <w:rPr>
                <w:rFonts w:eastAsia="宋体"/>
                <w:kern w:val="2"/>
                <w:sz w:val="21"/>
                <w:szCs w:val="21"/>
                <w:lang w:eastAsia="zh-CN"/>
              </w:rPr>
              <w:t xml:space="preserve">采用低价优先法计算，即满足招标文件要求且投标价格最低的投标报价为评标基准价，其价格分为满分。其他投标人的价格分统一按照下列公式计算： </w:t>
            </w:r>
            <w:r>
              <w:rPr>
                <w:rFonts w:eastAsia="宋体"/>
                <w:kern w:val="2"/>
                <w:sz w:val="21"/>
                <w:szCs w:val="21"/>
                <w:lang w:eastAsia="zh-CN"/>
              </w:rPr>
              <w:br w:type="textWrapping"/>
            </w:r>
            <w:r>
              <w:rPr>
                <w:rFonts w:eastAsia="宋体"/>
                <w:kern w:val="2"/>
                <w:sz w:val="21"/>
                <w:szCs w:val="21"/>
                <w:lang w:eastAsia="zh-CN"/>
              </w:rPr>
              <w:t xml:space="preserve">投标报价得分=(评标基准价／投标报价)×100 </w:t>
            </w:r>
            <w:r>
              <w:rPr>
                <w:rFonts w:eastAsia="宋体"/>
                <w:kern w:val="2"/>
                <w:sz w:val="21"/>
                <w:szCs w:val="21"/>
                <w:lang w:eastAsia="zh-CN"/>
              </w:rPr>
              <w:br w:type="textWrapping"/>
            </w:r>
            <w:r>
              <w:rPr>
                <w:rFonts w:eastAsia="宋体"/>
                <w:kern w:val="2"/>
                <w:sz w:val="21"/>
                <w:szCs w:val="21"/>
                <w:lang w:eastAsia="zh-CN"/>
              </w:rPr>
              <w:t xml:space="preserve">评标总得分＝F1×A1＋F2×A2＋……＋Fn×An </w:t>
            </w:r>
            <w:r>
              <w:rPr>
                <w:rFonts w:eastAsia="宋体"/>
                <w:kern w:val="2"/>
                <w:sz w:val="21"/>
                <w:szCs w:val="21"/>
                <w:lang w:eastAsia="zh-CN"/>
              </w:rPr>
              <w:br w:type="textWrapping"/>
            </w:r>
            <w:r>
              <w:rPr>
                <w:rFonts w:eastAsia="宋体"/>
                <w:kern w:val="2"/>
                <w:sz w:val="21"/>
                <w:szCs w:val="21"/>
                <w:lang w:eastAsia="zh-CN"/>
              </w:rPr>
              <w:t xml:space="preserve">F1、F2……Fn分别为各项评审因素的得分； </w:t>
            </w:r>
            <w:r>
              <w:rPr>
                <w:rFonts w:eastAsia="宋体"/>
                <w:kern w:val="2"/>
                <w:sz w:val="21"/>
                <w:szCs w:val="21"/>
                <w:lang w:eastAsia="zh-CN"/>
              </w:rPr>
              <w:br w:type="textWrapping"/>
            </w:r>
            <w:r>
              <w:rPr>
                <w:rFonts w:eastAsia="宋体"/>
                <w:kern w:val="2"/>
                <w:sz w:val="21"/>
                <w:szCs w:val="21"/>
                <w:lang w:eastAsia="zh-CN"/>
              </w:rPr>
              <w:t xml:space="preserve">A1、A2、……An 分别为各项评审因素所占的权重(A1＋A2＋……＋An＝1)。 </w:t>
            </w:r>
            <w:r>
              <w:rPr>
                <w:rFonts w:eastAsia="宋体"/>
                <w:kern w:val="2"/>
                <w:sz w:val="21"/>
                <w:szCs w:val="21"/>
                <w:lang w:eastAsia="zh-CN"/>
              </w:rPr>
              <w:br w:type="textWrapping"/>
            </w:r>
            <w:r>
              <w:rPr>
                <w:rFonts w:eastAsia="宋体"/>
                <w:kern w:val="2"/>
                <w:sz w:val="21"/>
                <w:szCs w:val="21"/>
                <w:lang w:eastAsia="zh-CN"/>
              </w:rPr>
              <w:t>评标过程中，不得去掉报价中的最高报价和最低报价。</w:t>
            </w:r>
          </w:p>
          <w:p w14:paraId="666634ED">
            <w:pPr>
              <w:widowControl/>
              <w:ind w:left="420"/>
              <w:jc w:val="left"/>
              <w:rPr>
                <w:rFonts w:eastAsia="宋体"/>
                <w:sz w:val="21"/>
                <w:szCs w:val="21"/>
                <w:lang w:eastAsia="zh-CN"/>
              </w:rPr>
            </w:pPr>
            <w:r>
              <w:rPr>
                <w:rFonts w:hint="eastAsia" w:eastAsia="宋体"/>
                <w:kern w:val="2"/>
                <w:sz w:val="21"/>
                <w:szCs w:val="21"/>
                <w:lang w:eastAsia="zh-CN"/>
              </w:rPr>
              <w:t>因落实政府采购政策进行价格调整的，以调整后的价格计算评标基准价和投标报价。</w:t>
            </w:r>
          </w:p>
          <w:p w14:paraId="7AE399F5">
            <w:pPr>
              <w:widowControl w:val="0"/>
              <w:spacing w:line="360" w:lineRule="auto"/>
              <w:jc w:val="both"/>
              <w:rPr>
                <w:rFonts w:eastAsia="宋体"/>
                <w:b/>
                <w:bCs/>
                <w:kern w:val="2"/>
                <w:sz w:val="21"/>
                <w:szCs w:val="21"/>
                <w:lang w:eastAsia="zh-CN"/>
              </w:rPr>
            </w:pPr>
            <w:r>
              <w:rPr>
                <w:rFonts w:hint="eastAsia" w:eastAsia="宋体"/>
                <w:b/>
                <w:bCs/>
                <w:kern w:val="2"/>
                <w:sz w:val="21"/>
                <w:szCs w:val="21"/>
                <w:lang w:eastAsia="zh-CN"/>
              </w:rPr>
              <w:t>注：投标人的“投标技术响应”“技术要求偏离表中偏离情况”等必须与客观实际保持一致，响应不实且情节严重的，经查实，将依法记入供应商诚信档案或受到行政处罚。</w:t>
            </w:r>
          </w:p>
        </w:tc>
      </w:tr>
      <w:tr w14:paraId="59DDC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blCellSpacing w:w="0" w:type="dxa"/>
          <w:jc w:val="center"/>
        </w:trPr>
        <w:tc>
          <w:tcPr>
            <w:tcW w:w="675" w:type="dxa"/>
            <w:shd w:val="clear" w:color="000000" w:fill="E6EFFA"/>
            <w:vAlign w:val="center"/>
          </w:tcPr>
          <w:p w14:paraId="2D89CD20">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序号</w:t>
            </w:r>
          </w:p>
        </w:tc>
        <w:tc>
          <w:tcPr>
            <w:tcW w:w="3544" w:type="dxa"/>
            <w:gridSpan w:val="4"/>
            <w:shd w:val="clear" w:color="000000" w:fill="E6EFFA"/>
            <w:vAlign w:val="center"/>
          </w:tcPr>
          <w:p w14:paraId="5C87BB4C">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评分项</w:t>
            </w:r>
          </w:p>
        </w:tc>
        <w:tc>
          <w:tcPr>
            <w:tcW w:w="4659" w:type="dxa"/>
            <w:gridSpan w:val="2"/>
            <w:shd w:val="clear" w:color="000000" w:fill="E6EFFA"/>
            <w:vAlign w:val="center"/>
          </w:tcPr>
          <w:p w14:paraId="7B799705">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权重(%)</w:t>
            </w:r>
          </w:p>
        </w:tc>
      </w:tr>
      <w:tr w14:paraId="0458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blCellSpacing w:w="0" w:type="dxa"/>
          <w:jc w:val="center"/>
        </w:trPr>
        <w:tc>
          <w:tcPr>
            <w:tcW w:w="675" w:type="dxa"/>
            <w:vAlign w:val="center"/>
          </w:tcPr>
          <w:p w14:paraId="642F152C">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1</w:t>
            </w:r>
          </w:p>
        </w:tc>
        <w:tc>
          <w:tcPr>
            <w:tcW w:w="3544" w:type="dxa"/>
            <w:gridSpan w:val="4"/>
            <w:vAlign w:val="center"/>
          </w:tcPr>
          <w:p w14:paraId="503F85F7">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价格</w:t>
            </w:r>
          </w:p>
        </w:tc>
        <w:tc>
          <w:tcPr>
            <w:tcW w:w="4659" w:type="dxa"/>
            <w:gridSpan w:val="2"/>
            <w:vAlign w:val="center"/>
          </w:tcPr>
          <w:p w14:paraId="528D63D3">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10</w:t>
            </w:r>
          </w:p>
        </w:tc>
      </w:tr>
      <w:tr w14:paraId="3B1D9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blCellSpacing w:w="0" w:type="dxa"/>
          <w:jc w:val="center"/>
        </w:trPr>
        <w:tc>
          <w:tcPr>
            <w:tcW w:w="675" w:type="dxa"/>
            <w:vMerge w:val="restart"/>
          </w:tcPr>
          <w:p w14:paraId="5AD01BD1">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2</w:t>
            </w:r>
          </w:p>
        </w:tc>
        <w:tc>
          <w:tcPr>
            <w:tcW w:w="3544" w:type="dxa"/>
            <w:gridSpan w:val="4"/>
            <w:vAlign w:val="center"/>
          </w:tcPr>
          <w:p w14:paraId="5C2D92FD">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技术部分</w:t>
            </w:r>
          </w:p>
        </w:tc>
        <w:tc>
          <w:tcPr>
            <w:tcW w:w="4659" w:type="dxa"/>
            <w:gridSpan w:val="2"/>
            <w:vAlign w:val="center"/>
          </w:tcPr>
          <w:p w14:paraId="6DFC2506">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63</w:t>
            </w:r>
          </w:p>
        </w:tc>
      </w:tr>
      <w:tr w14:paraId="01D99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blCellSpacing w:w="0" w:type="dxa"/>
          <w:jc w:val="center"/>
        </w:trPr>
        <w:tc>
          <w:tcPr>
            <w:tcW w:w="675" w:type="dxa"/>
            <w:vMerge w:val="continue"/>
            <w:shd w:val="clear" w:color="auto" w:fill="auto"/>
            <w:vAlign w:val="center"/>
          </w:tcPr>
          <w:p w14:paraId="58FA8C45">
            <w:pPr>
              <w:widowControl/>
              <w:jc w:val="left"/>
              <w:rPr>
                <w:rFonts w:hint="eastAsia" w:ascii="宋体" w:hAnsi="宋体" w:eastAsia="宋体" w:cs="宋体"/>
                <w:b/>
                <w:bCs/>
                <w:color w:val="000000"/>
                <w:sz w:val="21"/>
                <w:szCs w:val="21"/>
                <w:lang w:eastAsia="zh-CN"/>
              </w:rPr>
            </w:pPr>
          </w:p>
        </w:tc>
        <w:tc>
          <w:tcPr>
            <w:tcW w:w="460" w:type="dxa"/>
            <w:shd w:val="clear" w:color="000000" w:fill="E6EFFA"/>
            <w:vAlign w:val="center"/>
          </w:tcPr>
          <w:p w14:paraId="7A1F8D74">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序号</w:t>
            </w:r>
          </w:p>
        </w:tc>
        <w:tc>
          <w:tcPr>
            <w:tcW w:w="1505" w:type="dxa"/>
            <w:shd w:val="clear" w:color="000000" w:fill="E6EFFA"/>
            <w:vAlign w:val="center"/>
          </w:tcPr>
          <w:p w14:paraId="1AB9CC71">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评分因素</w:t>
            </w:r>
          </w:p>
        </w:tc>
        <w:tc>
          <w:tcPr>
            <w:tcW w:w="899" w:type="dxa"/>
            <w:shd w:val="clear" w:color="000000" w:fill="E6EFFA"/>
            <w:vAlign w:val="center"/>
          </w:tcPr>
          <w:p w14:paraId="0D461B28">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权重(%)</w:t>
            </w:r>
          </w:p>
        </w:tc>
        <w:tc>
          <w:tcPr>
            <w:tcW w:w="680" w:type="dxa"/>
            <w:shd w:val="clear" w:color="000000" w:fill="E6EFFA"/>
            <w:vAlign w:val="center"/>
          </w:tcPr>
          <w:p w14:paraId="6F712718">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评分方式</w:t>
            </w:r>
          </w:p>
        </w:tc>
        <w:tc>
          <w:tcPr>
            <w:tcW w:w="4659" w:type="dxa"/>
            <w:gridSpan w:val="2"/>
            <w:shd w:val="clear" w:color="000000" w:fill="E6EFFA"/>
            <w:vAlign w:val="center"/>
          </w:tcPr>
          <w:p w14:paraId="6376F6BF">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评分准则</w:t>
            </w:r>
          </w:p>
        </w:tc>
      </w:tr>
      <w:tr w14:paraId="619C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blCellSpacing w:w="0" w:type="dxa"/>
          <w:jc w:val="center"/>
        </w:trPr>
        <w:tc>
          <w:tcPr>
            <w:tcW w:w="675" w:type="dxa"/>
            <w:vMerge w:val="continue"/>
            <w:vAlign w:val="center"/>
          </w:tcPr>
          <w:p w14:paraId="641169CC">
            <w:pPr>
              <w:widowControl/>
              <w:jc w:val="left"/>
              <w:rPr>
                <w:rFonts w:hint="eastAsia" w:ascii="宋体" w:hAnsi="宋体" w:eastAsia="宋体" w:cs="宋体"/>
                <w:b/>
                <w:bCs/>
                <w:color w:val="000000"/>
                <w:sz w:val="21"/>
                <w:szCs w:val="21"/>
                <w:lang w:eastAsia="zh-CN"/>
              </w:rPr>
            </w:pPr>
          </w:p>
        </w:tc>
        <w:tc>
          <w:tcPr>
            <w:tcW w:w="460" w:type="dxa"/>
            <w:vAlign w:val="center"/>
          </w:tcPr>
          <w:p w14:paraId="0D8FBED0">
            <w:pPr>
              <w:widowControl w:val="0"/>
              <w:jc w:val="center"/>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1</w:t>
            </w:r>
          </w:p>
        </w:tc>
        <w:tc>
          <w:tcPr>
            <w:tcW w:w="1505" w:type="dxa"/>
            <w:vAlign w:val="center"/>
          </w:tcPr>
          <w:p w14:paraId="3676A7C5">
            <w:pPr>
              <w:widowControl w:val="0"/>
              <w:jc w:val="center"/>
              <w:rPr>
                <w:rFonts w:hint="eastAsia" w:ascii="宋体" w:hAnsi="宋体" w:eastAsia="宋体" w:cs="宋体"/>
                <w:color w:val="000000"/>
                <w:sz w:val="21"/>
                <w:szCs w:val="21"/>
                <w:u w:val="single" w:color="FFFFFF"/>
                <w:lang w:eastAsia="zh-CN"/>
              </w:rPr>
            </w:pPr>
            <w:r>
              <w:rPr>
                <w:rFonts w:hint="eastAsia" w:ascii="宋体" w:hAnsi="宋体" w:eastAsia="宋体" w:cs="宋体"/>
                <w:color w:val="000000"/>
                <w:kern w:val="2"/>
                <w:sz w:val="21"/>
                <w:szCs w:val="21"/>
                <w:lang w:eastAsia="zh-CN"/>
              </w:rPr>
              <w:t>维护服务方案评价</w:t>
            </w:r>
          </w:p>
        </w:tc>
        <w:tc>
          <w:tcPr>
            <w:tcW w:w="899" w:type="dxa"/>
            <w:vAlign w:val="center"/>
          </w:tcPr>
          <w:p w14:paraId="4634ADF4">
            <w:pPr>
              <w:widowControl w:val="0"/>
              <w:wordWrap w:val="0"/>
              <w:jc w:val="center"/>
              <w:rPr>
                <w:rFonts w:hint="eastAsia" w:ascii="宋体" w:hAnsi="宋体" w:eastAsia="宋体" w:cs="宋体"/>
                <w:color w:val="000000"/>
                <w:sz w:val="21"/>
                <w:szCs w:val="21"/>
                <w:u w:val="single" w:color="FFFFFF"/>
                <w:lang w:eastAsia="zh-CN"/>
              </w:rPr>
            </w:pPr>
            <w:r>
              <w:rPr>
                <w:rFonts w:hint="eastAsia" w:ascii="宋体" w:hAnsi="宋体" w:eastAsia="宋体" w:cs="宋体"/>
                <w:color w:val="000000"/>
                <w:kern w:val="2"/>
                <w:sz w:val="21"/>
                <w:szCs w:val="21"/>
                <w:lang w:eastAsia="zh-CN"/>
              </w:rPr>
              <w:t>20</w:t>
            </w:r>
          </w:p>
        </w:tc>
        <w:tc>
          <w:tcPr>
            <w:tcW w:w="680" w:type="dxa"/>
            <w:vAlign w:val="center"/>
          </w:tcPr>
          <w:p w14:paraId="57F8648D">
            <w:pPr>
              <w:widowControl/>
              <w:jc w:val="center"/>
              <w:rPr>
                <w:rFonts w:hint="eastAsia" w:ascii="宋体" w:hAnsi="宋体" w:eastAsia="宋体" w:cs="宋体"/>
                <w:color w:val="000000"/>
                <w:sz w:val="21"/>
                <w:szCs w:val="21"/>
                <w:u w:val="single" w:color="FFFFFF"/>
                <w:lang w:eastAsia="zh-CN"/>
              </w:rPr>
            </w:pPr>
            <w:r>
              <w:rPr>
                <w:rFonts w:hint="eastAsia" w:ascii="宋体" w:hAnsi="宋体" w:eastAsia="宋体" w:cs="宋体"/>
                <w:color w:val="000000"/>
                <w:sz w:val="21"/>
                <w:szCs w:val="21"/>
                <w:lang w:eastAsia="zh-CN"/>
              </w:rPr>
              <w:t>专家打分</w:t>
            </w:r>
          </w:p>
        </w:tc>
        <w:tc>
          <w:tcPr>
            <w:tcW w:w="4659" w:type="dxa"/>
            <w:gridSpan w:val="2"/>
          </w:tcPr>
          <w:p w14:paraId="3CF48AA3">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p>
          <w:p w14:paraId="13400621">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投标人根据招标文件需求制定维护服务方案，具体内容包含但不限于以下几点：</w:t>
            </w:r>
          </w:p>
          <w:p w14:paraId="5CE5C215">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1.对项目的总体认识情况；</w:t>
            </w:r>
          </w:p>
          <w:p w14:paraId="5857D519">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2.对项目现状的熟悉程度；</w:t>
            </w:r>
          </w:p>
          <w:p w14:paraId="7B0CF7CB">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3.项目的服务计划、服务方案；</w:t>
            </w:r>
          </w:p>
          <w:p w14:paraId="561B8353">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4.应急保障方案。</w:t>
            </w:r>
          </w:p>
          <w:p w14:paraId="01F226F3">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（二）评分依据：</w:t>
            </w:r>
          </w:p>
          <w:p w14:paraId="71F5ED2F">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考察以上四点内容，满足全部四点得</w:t>
            </w:r>
            <w:r>
              <w:rPr>
                <w:rFonts w:hint="eastAsia" w:ascii="宋体" w:hAnsi="宋体" w:eastAsia="宋体" w:cs="宋体"/>
                <w:color w:val="000000"/>
                <w:kern w:val="2"/>
                <w:sz w:val="21"/>
                <w:szCs w:val="21"/>
                <w:lang w:val="en" w:eastAsia="zh-CN"/>
              </w:rPr>
              <w:t>80</w:t>
            </w:r>
            <w:r>
              <w:rPr>
                <w:rFonts w:hint="eastAsia" w:ascii="宋体" w:hAnsi="宋体" w:eastAsia="宋体" w:cs="宋体"/>
                <w:color w:val="000000"/>
                <w:kern w:val="2"/>
                <w:sz w:val="21"/>
                <w:szCs w:val="21"/>
                <w:lang w:eastAsia="zh-CN"/>
              </w:rPr>
              <w:t>分，满足任意三点得</w:t>
            </w:r>
            <w:r>
              <w:rPr>
                <w:rFonts w:hint="eastAsia" w:ascii="宋体" w:hAnsi="宋体" w:eastAsia="宋体" w:cs="宋体"/>
                <w:color w:val="000000"/>
                <w:kern w:val="2"/>
                <w:sz w:val="21"/>
                <w:szCs w:val="21"/>
                <w:lang w:val="en" w:eastAsia="zh-CN"/>
              </w:rPr>
              <w:t>40</w:t>
            </w:r>
            <w:r>
              <w:rPr>
                <w:rFonts w:hint="eastAsia" w:ascii="宋体" w:hAnsi="宋体" w:eastAsia="宋体" w:cs="宋体"/>
                <w:color w:val="000000"/>
                <w:kern w:val="2"/>
                <w:sz w:val="21"/>
                <w:szCs w:val="21"/>
                <w:lang w:eastAsia="zh-CN"/>
              </w:rPr>
              <w:t>分，满足任意二点得</w:t>
            </w:r>
            <w:r>
              <w:rPr>
                <w:rFonts w:hint="eastAsia" w:ascii="宋体" w:hAnsi="宋体" w:eastAsia="宋体" w:cs="宋体"/>
                <w:color w:val="000000"/>
                <w:kern w:val="2"/>
                <w:sz w:val="21"/>
                <w:szCs w:val="21"/>
                <w:lang w:val="en" w:eastAsia="zh-CN"/>
              </w:rPr>
              <w:t>20</w:t>
            </w:r>
            <w:r>
              <w:rPr>
                <w:rFonts w:hint="eastAsia" w:ascii="宋体" w:hAnsi="宋体" w:eastAsia="宋体" w:cs="宋体"/>
                <w:color w:val="000000"/>
                <w:kern w:val="2"/>
                <w:sz w:val="21"/>
                <w:szCs w:val="21"/>
                <w:lang w:eastAsia="zh-CN"/>
              </w:rPr>
              <w:t>分，其他情况不得分。在此基础上，专家根据各投标人的具体响应内容按照量化的评审因素指标进一步评审，并按优良中差评分：</w:t>
            </w:r>
          </w:p>
          <w:p w14:paraId="10E9F84E">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1.项目的总体认识情况具备基本的判断及认识；</w:t>
            </w:r>
          </w:p>
          <w:p w14:paraId="7CF38984">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2.从目标导向、解决问题的角度提出对项目的理解和认识；</w:t>
            </w:r>
          </w:p>
          <w:p w14:paraId="5103DC89">
            <w:pPr>
              <w:widowControl w:val="0"/>
              <w:numPr>
                <w:ilvl w:val="12"/>
                <w:numId w:val="0"/>
              </w:numPr>
              <w:ind w:left="0" w:firstLine="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3.项目的服务计划、服务方案有具体的时间节点和步骤，以及具体的人员安排及明确的分工；</w:t>
            </w:r>
          </w:p>
          <w:p w14:paraId="08886A7F">
            <w:pPr>
              <w:widowControl w:val="0"/>
              <w:numPr>
                <w:ilvl w:val="12"/>
                <w:numId w:val="0"/>
              </w:numPr>
              <w:ind w:left="0" w:firstLine="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4.应急保障方案明确指出使用的关键技术、安全技术等。</w:t>
            </w:r>
          </w:p>
          <w:p w14:paraId="500482A1">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评审为优：体现以上4项全部内容，加</w:t>
            </w:r>
            <w:r>
              <w:rPr>
                <w:rFonts w:hint="eastAsia" w:ascii="宋体" w:hAnsi="宋体" w:eastAsia="宋体" w:cs="宋体"/>
                <w:color w:val="000000"/>
                <w:kern w:val="2"/>
                <w:sz w:val="21"/>
                <w:szCs w:val="21"/>
                <w:lang w:val="en" w:eastAsia="zh-CN"/>
              </w:rPr>
              <w:t>20</w:t>
            </w:r>
            <w:r>
              <w:rPr>
                <w:rFonts w:hint="eastAsia" w:ascii="宋体" w:hAnsi="宋体" w:eastAsia="宋体" w:cs="宋体"/>
                <w:color w:val="000000"/>
                <w:kern w:val="2"/>
                <w:sz w:val="21"/>
                <w:szCs w:val="21"/>
                <w:lang w:eastAsia="zh-CN"/>
              </w:rPr>
              <w:t>分；</w:t>
            </w:r>
          </w:p>
          <w:p w14:paraId="4B077338">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评审为良：体现以上任意3项内容，加</w:t>
            </w:r>
            <w:r>
              <w:rPr>
                <w:rFonts w:hint="eastAsia" w:ascii="宋体" w:hAnsi="宋体" w:eastAsia="宋体" w:cs="宋体"/>
                <w:color w:val="000000"/>
                <w:kern w:val="2"/>
                <w:sz w:val="21"/>
                <w:szCs w:val="21"/>
                <w:lang w:val="en" w:eastAsia="zh-CN"/>
              </w:rPr>
              <w:t>10</w:t>
            </w:r>
            <w:r>
              <w:rPr>
                <w:rFonts w:hint="eastAsia" w:ascii="宋体" w:hAnsi="宋体" w:eastAsia="宋体" w:cs="宋体"/>
                <w:color w:val="000000"/>
                <w:kern w:val="2"/>
                <w:sz w:val="21"/>
                <w:szCs w:val="21"/>
                <w:lang w:eastAsia="zh-CN"/>
              </w:rPr>
              <w:t>分；</w:t>
            </w:r>
          </w:p>
          <w:p w14:paraId="1EED65D8">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评审为中：体现以上任意2项内容，加</w:t>
            </w:r>
            <w:r>
              <w:rPr>
                <w:rFonts w:hint="eastAsia" w:ascii="宋体" w:hAnsi="宋体" w:eastAsia="宋体" w:cs="宋体"/>
                <w:color w:val="000000"/>
                <w:kern w:val="2"/>
                <w:sz w:val="21"/>
                <w:szCs w:val="21"/>
                <w:lang w:val="en" w:eastAsia="zh-CN"/>
              </w:rPr>
              <w:t>5</w:t>
            </w:r>
            <w:r>
              <w:rPr>
                <w:rFonts w:hint="eastAsia" w:ascii="宋体" w:hAnsi="宋体" w:eastAsia="宋体" w:cs="宋体"/>
                <w:color w:val="000000"/>
                <w:kern w:val="2"/>
                <w:sz w:val="21"/>
                <w:szCs w:val="21"/>
                <w:lang w:eastAsia="zh-CN"/>
              </w:rPr>
              <w:t>分；</w:t>
            </w:r>
          </w:p>
          <w:p w14:paraId="79029DFA">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评审为差：体现以上任意1项或以下内容，不加分。</w:t>
            </w:r>
          </w:p>
          <w:p w14:paraId="5DC06864">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如果评审为差，由专家书面说明理由，并记录在档。以上累计得分，本项最高得100分。</w:t>
            </w:r>
          </w:p>
        </w:tc>
      </w:tr>
      <w:tr w14:paraId="3FAD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675" w:type="dxa"/>
            <w:vMerge w:val="continue"/>
            <w:vAlign w:val="center"/>
          </w:tcPr>
          <w:p w14:paraId="7B0B5238">
            <w:pPr>
              <w:widowControl/>
              <w:jc w:val="left"/>
              <w:rPr>
                <w:rFonts w:hint="eastAsia" w:ascii="宋体" w:hAnsi="宋体" w:eastAsia="宋体" w:cs="宋体"/>
                <w:b/>
                <w:bCs/>
                <w:color w:val="000000"/>
                <w:sz w:val="21"/>
                <w:szCs w:val="21"/>
                <w:lang w:eastAsia="zh-CN"/>
              </w:rPr>
            </w:pPr>
          </w:p>
        </w:tc>
        <w:tc>
          <w:tcPr>
            <w:tcW w:w="460" w:type="dxa"/>
            <w:vAlign w:val="center"/>
          </w:tcPr>
          <w:p w14:paraId="3DF767BB">
            <w:pPr>
              <w:widowControl w:val="0"/>
              <w:jc w:val="center"/>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2</w:t>
            </w:r>
          </w:p>
        </w:tc>
        <w:tc>
          <w:tcPr>
            <w:tcW w:w="1505" w:type="dxa"/>
            <w:vAlign w:val="center"/>
          </w:tcPr>
          <w:p w14:paraId="76158A73">
            <w:pPr>
              <w:widowControl w:val="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项目重点难点分析、应对措施方案评价</w:t>
            </w:r>
          </w:p>
        </w:tc>
        <w:tc>
          <w:tcPr>
            <w:tcW w:w="899" w:type="dxa"/>
            <w:vAlign w:val="center"/>
          </w:tcPr>
          <w:p w14:paraId="2E20A5D3">
            <w:pPr>
              <w:widowControl w:val="0"/>
              <w:wordWrap w:val="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16</w:t>
            </w:r>
          </w:p>
        </w:tc>
        <w:tc>
          <w:tcPr>
            <w:tcW w:w="680" w:type="dxa"/>
            <w:vAlign w:val="center"/>
          </w:tcPr>
          <w:p w14:paraId="79BFB9A6">
            <w:pPr>
              <w:widowControl w:val="0"/>
              <w:snapToGrid w:val="0"/>
              <w:jc w:val="center"/>
              <w:rPr>
                <w:rFonts w:hint="eastAsia" w:ascii="宋体" w:hAnsi="宋体" w:eastAsia="宋体" w:cs="宋体"/>
                <w:bCs/>
                <w:color w:val="000000"/>
                <w:kern w:val="2"/>
                <w:sz w:val="21"/>
                <w:szCs w:val="21"/>
                <w:lang w:eastAsia="zh-CN"/>
              </w:rPr>
            </w:pPr>
            <w:r>
              <w:rPr>
                <w:rFonts w:hint="eastAsia" w:ascii="宋体" w:hAnsi="宋体" w:eastAsia="宋体" w:cs="宋体"/>
                <w:bCs/>
                <w:color w:val="000000"/>
                <w:kern w:val="2"/>
                <w:sz w:val="21"/>
                <w:szCs w:val="21"/>
                <w:lang w:eastAsia="zh-CN"/>
              </w:rPr>
              <w:t>专家打分</w:t>
            </w:r>
          </w:p>
        </w:tc>
        <w:tc>
          <w:tcPr>
            <w:tcW w:w="4659" w:type="dxa"/>
            <w:gridSpan w:val="2"/>
          </w:tcPr>
          <w:p w14:paraId="64BA92FF">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（一）评审内容：</w:t>
            </w:r>
          </w:p>
          <w:p w14:paraId="541B94F7">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投标人根据招标文件需求结合本项目建设背景、现状问题提出重点难点分析及合理化建议，具体内容包含但不限于以下几点：</w:t>
            </w:r>
          </w:p>
          <w:p w14:paraId="47650658">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1.提供本项目服务特点的相关重点难点分析；</w:t>
            </w:r>
          </w:p>
          <w:p w14:paraId="450E5C5E">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2.针对重点难点分析提出应对措施；</w:t>
            </w:r>
          </w:p>
          <w:p w14:paraId="2B5FCF88">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3.结合上述内容提出相关的合理化建议。</w:t>
            </w:r>
          </w:p>
          <w:p w14:paraId="78A14CC1">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（二）评分依据：</w:t>
            </w:r>
          </w:p>
          <w:p w14:paraId="6CA9F829">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考察以上三点内容，满足全部三点得60分，满足任意二点得30分，满足任意一点得10分，其他情况不得分。在此基础上，专家根据各投标人的具体响应内容按照量化的评审因素指标进一步评审，并按优良中差评分：</w:t>
            </w:r>
          </w:p>
          <w:p w14:paraId="502B62C9">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1.从前瞻性、系统性等角度研判重难点，且重难点分析不少于3点；</w:t>
            </w:r>
          </w:p>
          <w:p w14:paraId="53F07C54">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2.从可实施、可操作的角度提出应对措施，且应对措施不少于3点；</w:t>
            </w:r>
          </w:p>
          <w:p w14:paraId="14B7B553">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3.多角度、有针对性的提出合理化建议；</w:t>
            </w:r>
          </w:p>
          <w:p w14:paraId="698FB1B5">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评审为优：体现以上3项全部内容，加40分；</w:t>
            </w:r>
          </w:p>
          <w:p w14:paraId="6C8C3796">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评审为良：体现以上任意2项内容，加20分；</w:t>
            </w:r>
          </w:p>
          <w:p w14:paraId="32E2BD8C">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评审为中：体现以上任意1项内容，加10分；</w:t>
            </w:r>
          </w:p>
          <w:p w14:paraId="1F93E62C">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评审为差：未体现以上任意1项内容，不加分。</w:t>
            </w:r>
          </w:p>
          <w:p w14:paraId="29232A9F">
            <w:pPr>
              <w:widowControl w:val="0"/>
              <w:jc w:val="both"/>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如果评审为差，由专家书面说明理由，并记录在档。以上累计得分，本项最高得分100分。</w:t>
            </w:r>
          </w:p>
        </w:tc>
      </w:tr>
      <w:tr w14:paraId="3F5F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675" w:type="dxa"/>
            <w:vMerge w:val="continue"/>
            <w:vAlign w:val="center"/>
          </w:tcPr>
          <w:p w14:paraId="37964791">
            <w:pPr>
              <w:widowControl/>
              <w:jc w:val="left"/>
              <w:rPr>
                <w:rFonts w:hint="eastAsia" w:ascii="宋体" w:hAnsi="宋体" w:eastAsia="宋体" w:cs="宋体"/>
                <w:b/>
                <w:bCs/>
                <w:color w:val="000000"/>
                <w:sz w:val="21"/>
                <w:szCs w:val="21"/>
                <w:lang w:eastAsia="zh-CN"/>
              </w:rPr>
            </w:pPr>
          </w:p>
        </w:tc>
        <w:tc>
          <w:tcPr>
            <w:tcW w:w="460" w:type="dxa"/>
            <w:vAlign w:val="center"/>
          </w:tcPr>
          <w:p w14:paraId="14AB66BC">
            <w:pPr>
              <w:widowControl w:val="0"/>
              <w:jc w:val="center"/>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3</w:t>
            </w:r>
          </w:p>
        </w:tc>
        <w:tc>
          <w:tcPr>
            <w:tcW w:w="1505" w:type="dxa"/>
            <w:vAlign w:val="center"/>
          </w:tcPr>
          <w:p w14:paraId="242B0CAC">
            <w:pPr>
              <w:widowControl w:val="0"/>
              <w:wordWrap w:val="0"/>
              <w:jc w:val="center"/>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运维质量保障措施方案</w:t>
            </w:r>
          </w:p>
        </w:tc>
        <w:tc>
          <w:tcPr>
            <w:tcW w:w="899" w:type="dxa"/>
            <w:vAlign w:val="center"/>
          </w:tcPr>
          <w:p w14:paraId="00F062CD">
            <w:pPr>
              <w:widowControl w:val="0"/>
              <w:wordWrap w:val="0"/>
              <w:jc w:val="center"/>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12</w:t>
            </w:r>
          </w:p>
        </w:tc>
        <w:tc>
          <w:tcPr>
            <w:tcW w:w="680" w:type="dxa"/>
            <w:vAlign w:val="center"/>
          </w:tcPr>
          <w:p w14:paraId="76F91E4C">
            <w:pPr>
              <w:widowControl w:val="0"/>
              <w:snapToGrid w:val="0"/>
              <w:jc w:val="center"/>
              <w:rPr>
                <w:rFonts w:hint="eastAsia" w:ascii="宋体" w:hAnsi="宋体" w:eastAsia="宋体" w:cs="宋体"/>
                <w:bCs/>
                <w:color w:val="000000"/>
                <w:kern w:val="2"/>
                <w:sz w:val="21"/>
                <w:szCs w:val="21"/>
                <w:lang w:eastAsia="zh-CN"/>
              </w:rPr>
            </w:pPr>
            <w:r>
              <w:rPr>
                <w:rFonts w:hint="eastAsia" w:ascii="宋体" w:hAnsi="宋体" w:eastAsia="宋体" w:cs="宋体"/>
                <w:color w:val="000000"/>
                <w:sz w:val="21"/>
                <w:szCs w:val="21"/>
                <w:lang w:eastAsia="zh-CN"/>
              </w:rPr>
              <w:t>专家打分</w:t>
            </w:r>
          </w:p>
        </w:tc>
        <w:tc>
          <w:tcPr>
            <w:tcW w:w="4659" w:type="dxa"/>
            <w:gridSpan w:val="2"/>
          </w:tcPr>
          <w:p w14:paraId="3CB2648D">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（一）评审内容：</w:t>
            </w:r>
          </w:p>
          <w:p w14:paraId="66A42827">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投标人根据招标文件需求制定运维质量保障措施方案，具体内容包含但不限于以下几点：</w:t>
            </w:r>
          </w:p>
          <w:p w14:paraId="2C39BA75">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1.质量保障组织架构及角色分工；</w:t>
            </w:r>
          </w:p>
          <w:p w14:paraId="7FACB6E5">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2.日常运维保障手段及运用的工具和技术；</w:t>
            </w:r>
          </w:p>
          <w:p w14:paraId="0F6F17D0">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3.保密措施。</w:t>
            </w:r>
          </w:p>
          <w:p w14:paraId="7072D8D9">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（二）评分依据：</w:t>
            </w:r>
          </w:p>
          <w:p w14:paraId="6E317141">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考察以上三点内容，满足全部三点得60分，满足任意二点得30分，满足任意一点得10分，其他情况不得分。在此基础上，专家根据各投标人的具体响应内容按照量化的评审因素指标进一步评审，并按优良中差评分：</w:t>
            </w:r>
          </w:p>
          <w:p w14:paraId="591E1752">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1.质量保障组织架构及角色分工（需要包含人员管理制度说明、项目管理机制说明）；</w:t>
            </w:r>
          </w:p>
          <w:p w14:paraId="72EBFA0A">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2.日常运维保障手段及运用的工具和技术（需要对可能出现的风险情况进行预测并罗列，且对应说明防控措施）；</w:t>
            </w:r>
          </w:p>
          <w:p w14:paraId="272FCAB8">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3.保密措施包含承诺对项目信息进行保密（投标时需提供承诺函，格式自拟），且设置分级管理方案。</w:t>
            </w:r>
          </w:p>
          <w:p w14:paraId="5188C65F">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评审为优：体现以上3项全部内容，加40分；</w:t>
            </w:r>
          </w:p>
          <w:p w14:paraId="2AE2B6DC">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评审为良：体现以上任意2项内容，加20分；</w:t>
            </w:r>
          </w:p>
          <w:p w14:paraId="1FDABF09">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评审为中：体现以上任意1项内容，加10分；</w:t>
            </w:r>
          </w:p>
          <w:p w14:paraId="5A5E1081">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评审为差：未体现以上任意1项内容，不加分。</w:t>
            </w:r>
          </w:p>
          <w:p w14:paraId="032F3586">
            <w:pPr>
              <w:widowControl w:val="0"/>
              <w:jc w:val="both"/>
              <w:rPr>
                <w:rFonts w:hint="eastAsia" w:ascii="宋体" w:hAnsi="宋体" w:eastAsia="宋体" w:cs="宋体"/>
                <w:kern w:val="2"/>
                <w:sz w:val="21"/>
                <w:szCs w:val="21"/>
                <w:lang w:eastAsia="zh-CN"/>
              </w:rPr>
            </w:pPr>
            <w:r>
              <w:rPr>
                <w:rFonts w:hint="eastAsia" w:ascii="宋体" w:hAnsi="宋体" w:eastAsia="宋体" w:cs="宋体"/>
                <w:color w:val="000000"/>
                <w:kern w:val="2"/>
                <w:sz w:val="21"/>
                <w:szCs w:val="21"/>
                <w:lang w:eastAsia="zh-CN"/>
              </w:rPr>
              <w:t>如果评审为差，由专家书面说明理由，并记录在档。</w:t>
            </w:r>
          </w:p>
          <w:p w14:paraId="5E0BD6A0">
            <w:pPr>
              <w:widowControl w:val="0"/>
              <w:jc w:val="both"/>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以上累计得分，本项最高得100分。</w:t>
            </w:r>
          </w:p>
        </w:tc>
      </w:tr>
      <w:tr w14:paraId="75D4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675" w:type="dxa"/>
            <w:vMerge w:val="continue"/>
            <w:vAlign w:val="center"/>
          </w:tcPr>
          <w:p w14:paraId="706B3A7D">
            <w:pPr>
              <w:widowControl/>
              <w:jc w:val="left"/>
              <w:rPr>
                <w:rFonts w:hint="eastAsia" w:ascii="宋体" w:hAnsi="宋体" w:eastAsia="宋体" w:cs="宋体"/>
                <w:b/>
                <w:bCs/>
                <w:color w:val="000000"/>
                <w:sz w:val="21"/>
                <w:szCs w:val="21"/>
                <w:lang w:eastAsia="zh-CN"/>
              </w:rPr>
            </w:pPr>
          </w:p>
        </w:tc>
        <w:tc>
          <w:tcPr>
            <w:tcW w:w="460" w:type="dxa"/>
            <w:vAlign w:val="center"/>
          </w:tcPr>
          <w:p w14:paraId="361CFCC3">
            <w:pPr>
              <w:widowControl w:val="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4</w:t>
            </w:r>
          </w:p>
        </w:tc>
        <w:tc>
          <w:tcPr>
            <w:tcW w:w="1505" w:type="dxa"/>
            <w:vAlign w:val="center"/>
          </w:tcPr>
          <w:p w14:paraId="05F6EF92">
            <w:pPr>
              <w:widowControl w:val="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拟安排项目负责人情况（仅限1人）</w:t>
            </w:r>
          </w:p>
        </w:tc>
        <w:tc>
          <w:tcPr>
            <w:tcW w:w="899" w:type="dxa"/>
            <w:vAlign w:val="center"/>
          </w:tcPr>
          <w:p w14:paraId="45B7B6B7">
            <w:pPr>
              <w:widowControl w:val="0"/>
              <w:wordWrap w:val="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5</w:t>
            </w:r>
          </w:p>
        </w:tc>
        <w:tc>
          <w:tcPr>
            <w:tcW w:w="680" w:type="dxa"/>
            <w:vAlign w:val="center"/>
          </w:tcPr>
          <w:p w14:paraId="05C8B4DF">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专家打分</w:t>
            </w:r>
          </w:p>
        </w:tc>
        <w:tc>
          <w:tcPr>
            <w:tcW w:w="4659" w:type="dxa"/>
            <w:gridSpan w:val="2"/>
            <w:vAlign w:val="center"/>
          </w:tcPr>
          <w:p w14:paraId="1576F852">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r>
              <w:rPr>
                <w:rFonts w:hint="eastAsia" w:ascii="宋体" w:hAnsi="宋体" w:eastAsia="宋体" w:cs="宋体"/>
                <w:kern w:val="2"/>
                <w:sz w:val="21"/>
                <w:szCs w:val="21"/>
                <w:lang w:eastAsia="zh-CN"/>
              </w:rPr>
              <w:t>拟安排项目负责人为投标单位员工，否则本项不得分。在此基础上，</w:t>
            </w:r>
            <w:r>
              <w:rPr>
                <w:rFonts w:hint="eastAsia" w:ascii="宋体" w:hAnsi="宋体" w:eastAsia="宋体" w:cs="宋体"/>
                <w:color w:val="000000"/>
                <w:kern w:val="2"/>
                <w:sz w:val="21"/>
                <w:szCs w:val="21"/>
                <w:lang w:eastAsia="zh-CN"/>
              </w:rPr>
              <w:t>根据拟投标项目负责人情况进行打分：</w:t>
            </w:r>
          </w:p>
          <w:p w14:paraId="5311ECC8">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1.具有信息工程或软件工程相关专业本科（及以上）学历证书，得40分；</w:t>
            </w:r>
          </w:p>
          <w:p w14:paraId="1BF01950">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2.具有人社部门与工信部门共同颁发的计算机技术与软件专业技术资格证书（专业：信息系统项目管理师，级别：高级），得60分；</w:t>
            </w:r>
          </w:p>
          <w:p w14:paraId="600C1CA5">
            <w:pPr>
              <w:widowControl/>
              <w:jc w:val="both"/>
              <w:rPr>
                <w:rFonts w:eastAsia="宋体"/>
                <w:kern w:val="2"/>
                <w:sz w:val="21"/>
                <w:lang w:eastAsia="zh-CN"/>
              </w:rPr>
            </w:pPr>
            <w:r>
              <w:rPr>
                <w:rFonts w:hint="eastAsia" w:ascii="宋体" w:hAnsi="宋体" w:eastAsia="宋体" w:cs="宋体"/>
                <w:color w:val="000000"/>
                <w:kern w:val="2"/>
                <w:sz w:val="21"/>
                <w:szCs w:val="21"/>
                <w:lang w:eastAsia="zh-CN"/>
              </w:rPr>
              <w:t>以上两项累计得分，最高得100分。</w:t>
            </w:r>
          </w:p>
          <w:p w14:paraId="54F7DD8B">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 xml:space="preserve">（二）评分依据： </w:t>
            </w:r>
          </w:p>
          <w:p w14:paraId="103E6923">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1.提供通过投标人缴纳的近三个月（含开标当月）的任意一个月的社保证明作为本单位员工的证明依据，如供应商成立不足一个月的，提供情况说明函（格式自拟），无需提供相关人员社保，亦可得分。</w:t>
            </w:r>
          </w:p>
          <w:p w14:paraId="614DD07E">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2.要求提供项目负责人相关证明资料作为得分依据。</w:t>
            </w:r>
          </w:p>
          <w:p w14:paraId="7A069472">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学历证明需提供学历证书及学信网查询记录；学信网无法查询的需提供毕业院校、人社部门等颁发机构或监管机构等单位出具的证明；境外留学人员学历无法通过学信网站查询的，需提供教育部留学服务中心出具的学历学位认证书及教育部留学服务中心官网查询截图。</w:t>
            </w:r>
          </w:p>
          <w:p w14:paraId="621AD1A1">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4.以上资料均要求提供扫描件。评分中出现无证明资料或专家无法凭所提供资料判断是否得分的情况，一律作不得分处理。</w:t>
            </w:r>
          </w:p>
        </w:tc>
      </w:tr>
      <w:tr w14:paraId="4881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675" w:type="dxa"/>
            <w:vMerge w:val="continue"/>
            <w:vAlign w:val="center"/>
          </w:tcPr>
          <w:p w14:paraId="250BD10C">
            <w:pPr>
              <w:widowControl/>
              <w:jc w:val="left"/>
              <w:rPr>
                <w:rFonts w:hint="eastAsia" w:ascii="宋体" w:hAnsi="宋体" w:eastAsia="宋体" w:cs="宋体"/>
                <w:b/>
                <w:bCs/>
                <w:color w:val="000000"/>
                <w:sz w:val="21"/>
                <w:szCs w:val="21"/>
                <w:lang w:eastAsia="zh-CN"/>
              </w:rPr>
            </w:pPr>
          </w:p>
        </w:tc>
        <w:tc>
          <w:tcPr>
            <w:tcW w:w="460" w:type="dxa"/>
            <w:vAlign w:val="center"/>
          </w:tcPr>
          <w:p w14:paraId="424ADB28">
            <w:pPr>
              <w:widowControl/>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5</w:t>
            </w:r>
          </w:p>
        </w:tc>
        <w:tc>
          <w:tcPr>
            <w:tcW w:w="1505" w:type="dxa"/>
            <w:vAlign w:val="center"/>
          </w:tcPr>
          <w:p w14:paraId="45553E8F">
            <w:pPr>
              <w:widowControl w:val="0"/>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技术负责人（项目负责人除外，仅限1人）</w:t>
            </w:r>
          </w:p>
        </w:tc>
        <w:tc>
          <w:tcPr>
            <w:tcW w:w="899" w:type="dxa"/>
            <w:vAlign w:val="center"/>
          </w:tcPr>
          <w:p w14:paraId="301A448A">
            <w:pPr>
              <w:widowControl w:val="0"/>
              <w:spacing w:line="440" w:lineRule="exact"/>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5</w:t>
            </w:r>
          </w:p>
        </w:tc>
        <w:tc>
          <w:tcPr>
            <w:tcW w:w="680" w:type="dxa"/>
            <w:vAlign w:val="center"/>
          </w:tcPr>
          <w:p w14:paraId="17058083">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sz w:val="21"/>
                <w:szCs w:val="21"/>
                <w:lang w:eastAsia="zh-CN"/>
              </w:rPr>
              <w:t>专家打分</w:t>
            </w:r>
          </w:p>
        </w:tc>
        <w:tc>
          <w:tcPr>
            <w:tcW w:w="4659" w:type="dxa"/>
            <w:gridSpan w:val="2"/>
            <w:vAlign w:val="center"/>
          </w:tcPr>
          <w:p w14:paraId="413E907D">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r>
              <w:rPr>
                <w:rFonts w:hint="eastAsia" w:ascii="宋体" w:hAnsi="宋体" w:eastAsia="宋体" w:cs="宋体"/>
                <w:kern w:val="2"/>
                <w:sz w:val="21"/>
                <w:szCs w:val="21"/>
                <w:lang w:eastAsia="zh-CN"/>
              </w:rPr>
              <w:t>拟安排项目技术负责人为投标单位员工，否则本项不得分。在此基础上，</w:t>
            </w:r>
            <w:r>
              <w:rPr>
                <w:rFonts w:hint="eastAsia" w:ascii="宋体" w:hAnsi="宋体" w:eastAsia="宋体" w:cs="宋体"/>
                <w:color w:val="000000"/>
                <w:kern w:val="2"/>
                <w:sz w:val="21"/>
                <w:szCs w:val="21"/>
                <w:lang w:eastAsia="zh-CN"/>
              </w:rPr>
              <w:t>根据拟投标项目技术负责人情况进行打分：</w:t>
            </w:r>
          </w:p>
          <w:p w14:paraId="17E478E0">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1.具有信息工程或软件工程相关专业本科（及以上）学历证书，得40分；</w:t>
            </w:r>
          </w:p>
          <w:p w14:paraId="6EC94B4E">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2.具有人社部门与工信部门共同颁发的计算机技术与软件专业技术资格证书（专业：系统集成项目管理工程师，级别：中级），得60分。</w:t>
            </w:r>
          </w:p>
          <w:p w14:paraId="67DC79DE">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以上两项累计得分，最高得100分。</w:t>
            </w:r>
          </w:p>
          <w:p w14:paraId="33C1F5BF">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（二）评分依据：</w:t>
            </w:r>
          </w:p>
          <w:p w14:paraId="503A17C6">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1.提供通过投标人缴纳的近三个月（含开标当月）的任意一个月的社保证明作为本单位员工的证明依据，如供应商成立不足一个月的，提供情况说明函（格式自拟），无需提供相关人员社保，亦可得分。</w:t>
            </w:r>
          </w:p>
          <w:p w14:paraId="6EDB833D">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2.要求提供项目技术负责人相关证明资料作为得分依据。</w:t>
            </w:r>
          </w:p>
          <w:p w14:paraId="59C78421">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学历证明需提供学历证书及学信网查询记录；学信网无法查询的需提供毕业院校、人社部门等颁发机构或监管机构等单位出具的证明；境外留学人员学历无法通过学信网站查询的，需提供教育部留学服务中心出具的学历学位认证书及教育部留学服务中心官网查询截图。</w:t>
            </w:r>
          </w:p>
          <w:p w14:paraId="324C651E">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4.以上资料均要求提供扫描件。评分中出现无证明资料或专家无法凭所提供资料判断是否得分的情况，一律作不得分处理。</w:t>
            </w:r>
          </w:p>
        </w:tc>
      </w:tr>
      <w:tr w14:paraId="2E95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blCellSpacing w:w="0" w:type="dxa"/>
          <w:jc w:val="center"/>
        </w:trPr>
        <w:tc>
          <w:tcPr>
            <w:tcW w:w="675" w:type="dxa"/>
            <w:vMerge w:val="continue"/>
            <w:vAlign w:val="center"/>
          </w:tcPr>
          <w:p w14:paraId="57D50611">
            <w:pPr>
              <w:widowControl/>
              <w:jc w:val="left"/>
              <w:rPr>
                <w:rFonts w:hint="eastAsia" w:ascii="宋体" w:hAnsi="宋体" w:eastAsia="宋体" w:cs="宋体"/>
                <w:b/>
                <w:bCs/>
                <w:color w:val="000000"/>
                <w:sz w:val="21"/>
                <w:szCs w:val="21"/>
                <w:lang w:eastAsia="zh-CN"/>
              </w:rPr>
            </w:pPr>
          </w:p>
        </w:tc>
        <w:tc>
          <w:tcPr>
            <w:tcW w:w="460" w:type="dxa"/>
            <w:vAlign w:val="center"/>
          </w:tcPr>
          <w:p w14:paraId="4EA73172">
            <w:pPr>
              <w:widowControl/>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6</w:t>
            </w:r>
          </w:p>
        </w:tc>
        <w:tc>
          <w:tcPr>
            <w:tcW w:w="1505" w:type="dxa"/>
            <w:vAlign w:val="center"/>
          </w:tcPr>
          <w:p w14:paraId="2675CA9C">
            <w:pPr>
              <w:widowControl/>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拟安排的技术人员（项目负责人、技术负责人除外）</w:t>
            </w:r>
          </w:p>
        </w:tc>
        <w:tc>
          <w:tcPr>
            <w:tcW w:w="899" w:type="dxa"/>
            <w:vAlign w:val="center"/>
          </w:tcPr>
          <w:p w14:paraId="529B39C4">
            <w:pPr>
              <w:widowControl/>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5</w:t>
            </w:r>
          </w:p>
        </w:tc>
        <w:tc>
          <w:tcPr>
            <w:tcW w:w="680" w:type="dxa"/>
            <w:vAlign w:val="center"/>
          </w:tcPr>
          <w:p w14:paraId="7E2515F0">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专家打分</w:t>
            </w:r>
          </w:p>
        </w:tc>
        <w:tc>
          <w:tcPr>
            <w:tcW w:w="4659" w:type="dxa"/>
            <w:gridSpan w:val="2"/>
            <w:vAlign w:val="center"/>
          </w:tcPr>
          <w:p w14:paraId="3DD47203">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r>
              <w:rPr>
                <w:rFonts w:hint="eastAsia" w:ascii="宋体" w:hAnsi="宋体" w:eastAsia="宋体" w:cs="宋体"/>
                <w:kern w:val="2"/>
                <w:sz w:val="21"/>
                <w:szCs w:val="21"/>
                <w:lang w:eastAsia="zh-CN"/>
              </w:rPr>
              <w:t>拟安排项目技术人员为投标单位员工，否则相关人员不得分。在此基础上，</w:t>
            </w:r>
            <w:r>
              <w:rPr>
                <w:rFonts w:hint="eastAsia" w:ascii="宋体" w:hAnsi="宋体" w:eastAsia="宋体" w:cs="宋体"/>
                <w:color w:val="000000"/>
                <w:kern w:val="2"/>
                <w:sz w:val="21"/>
                <w:szCs w:val="21"/>
                <w:lang w:eastAsia="zh-CN"/>
              </w:rPr>
              <w:t>根据拟投标项目技术人员（项目负责人、技术负责人除外）情况进行打分：</w:t>
            </w:r>
          </w:p>
          <w:p w14:paraId="75E8086C">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具有信息工程或软件工程相关专业本科（及以上）学历证书，每提供1人得25分，最高得100分；</w:t>
            </w:r>
          </w:p>
          <w:p w14:paraId="6C7C66C8">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（二）评分依据：</w:t>
            </w:r>
          </w:p>
          <w:p w14:paraId="25ED7E9E">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1.提供通过投标人缴纳的近三个月（含开标当月）的任意一个月的社保证明作为本单位员工的证明依据，如供应商成立不足一个月的，提供情况说明函（格式自拟），无需提供相关人员社保，亦可得分。</w:t>
            </w:r>
          </w:p>
          <w:p w14:paraId="70F1384E">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2.要求提供项目技术人员相关证明资料作为得分依据。</w:t>
            </w:r>
          </w:p>
          <w:p w14:paraId="1DBBBB7F">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3.学历证明需提供学历证书及学信网查询记录；学信网无法查询的需提供毕业院校、人社部门等颁发机构或监管机构等单位出具的证明；境外留学人员学历无法通过学信网站查询的，需提供教育部留学服务中心出具的学历学位认证书及教育部留学服务中心官网查询截图。</w:t>
            </w:r>
          </w:p>
          <w:p w14:paraId="39DB637B">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4.以上资料均要求提供扫描件。评分中出现无证明资料或专家无法凭所提供资料判断是否得分的情况，一律作不得分处理。</w:t>
            </w:r>
          </w:p>
        </w:tc>
      </w:tr>
      <w:tr w14:paraId="051D8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CellSpacing w:w="0" w:type="dxa"/>
          <w:jc w:val="center"/>
        </w:trPr>
        <w:tc>
          <w:tcPr>
            <w:tcW w:w="675" w:type="dxa"/>
            <w:vMerge w:val="restart"/>
          </w:tcPr>
          <w:p w14:paraId="44B4DB2A">
            <w:pPr>
              <w:widowControl/>
              <w:jc w:val="center"/>
              <w:rPr>
                <w:rFonts w:hint="eastAsia" w:ascii="宋体" w:hAnsi="宋体" w:eastAsia="宋体" w:cs="宋体"/>
                <w:b/>
                <w:bCs/>
                <w:color w:val="000000"/>
                <w:sz w:val="21"/>
                <w:szCs w:val="21"/>
                <w:lang w:eastAsia="zh-CN"/>
              </w:rPr>
            </w:pPr>
            <w:r>
              <w:rPr>
                <w:rFonts w:hint="eastAsia" w:ascii="宋体" w:hAnsi="宋体" w:eastAsia="宋体" w:cs="宋体"/>
                <w:color w:val="000000"/>
                <w:sz w:val="21"/>
                <w:szCs w:val="21"/>
                <w:lang w:eastAsia="zh-CN"/>
              </w:rPr>
              <w:t>3</w:t>
            </w:r>
          </w:p>
        </w:tc>
        <w:tc>
          <w:tcPr>
            <w:tcW w:w="3544" w:type="dxa"/>
            <w:gridSpan w:val="4"/>
            <w:vAlign w:val="center"/>
          </w:tcPr>
          <w:p w14:paraId="1F376C1F">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商务部分</w:t>
            </w:r>
          </w:p>
        </w:tc>
        <w:tc>
          <w:tcPr>
            <w:tcW w:w="4659" w:type="dxa"/>
            <w:gridSpan w:val="2"/>
            <w:vAlign w:val="center"/>
          </w:tcPr>
          <w:p w14:paraId="004B5DA2">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22</w:t>
            </w:r>
          </w:p>
        </w:tc>
      </w:tr>
      <w:tr w14:paraId="73FB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CellSpacing w:w="0" w:type="dxa"/>
          <w:jc w:val="center"/>
        </w:trPr>
        <w:tc>
          <w:tcPr>
            <w:tcW w:w="675" w:type="dxa"/>
            <w:vMerge w:val="continue"/>
            <w:shd w:val="clear" w:color="auto" w:fill="auto"/>
            <w:vAlign w:val="center"/>
          </w:tcPr>
          <w:p w14:paraId="0196F064">
            <w:pPr>
              <w:widowControl/>
              <w:jc w:val="left"/>
              <w:rPr>
                <w:rFonts w:hint="eastAsia" w:ascii="宋体" w:hAnsi="宋体" w:eastAsia="宋体" w:cs="宋体"/>
                <w:b/>
                <w:bCs/>
                <w:color w:val="000000"/>
                <w:sz w:val="21"/>
                <w:szCs w:val="21"/>
                <w:lang w:eastAsia="zh-CN"/>
              </w:rPr>
            </w:pPr>
          </w:p>
        </w:tc>
        <w:tc>
          <w:tcPr>
            <w:tcW w:w="460" w:type="dxa"/>
            <w:shd w:val="clear" w:color="000000" w:fill="E6EFFA"/>
            <w:vAlign w:val="center"/>
          </w:tcPr>
          <w:p w14:paraId="32AB597E">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序号</w:t>
            </w:r>
          </w:p>
        </w:tc>
        <w:tc>
          <w:tcPr>
            <w:tcW w:w="1505" w:type="dxa"/>
            <w:shd w:val="clear" w:color="000000" w:fill="E6EFFA"/>
            <w:vAlign w:val="center"/>
          </w:tcPr>
          <w:p w14:paraId="74A59A68">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评分因素</w:t>
            </w:r>
          </w:p>
        </w:tc>
        <w:tc>
          <w:tcPr>
            <w:tcW w:w="899" w:type="dxa"/>
            <w:shd w:val="clear" w:color="000000" w:fill="E6EFFA"/>
            <w:vAlign w:val="center"/>
          </w:tcPr>
          <w:p w14:paraId="28E11477">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权重(%)</w:t>
            </w:r>
          </w:p>
        </w:tc>
        <w:tc>
          <w:tcPr>
            <w:tcW w:w="680" w:type="dxa"/>
            <w:shd w:val="clear" w:color="000000" w:fill="E6EFFA"/>
            <w:vAlign w:val="center"/>
          </w:tcPr>
          <w:p w14:paraId="318457DA">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评分方式</w:t>
            </w:r>
          </w:p>
        </w:tc>
        <w:tc>
          <w:tcPr>
            <w:tcW w:w="4659" w:type="dxa"/>
            <w:gridSpan w:val="2"/>
            <w:shd w:val="clear" w:color="000000" w:fill="E6EFFA"/>
            <w:vAlign w:val="center"/>
          </w:tcPr>
          <w:p w14:paraId="51BDB90F">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评分准则</w:t>
            </w:r>
          </w:p>
        </w:tc>
      </w:tr>
      <w:tr w14:paraId="3CF3B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blCellSpacing w:w="0" w:type="dxa"/>
          <w:jc w:val="center"/>
        </w:trPr>
        <w:tc>
          <w:tcPr>
            <w:tcW w:w="675" w:type="dxa"/>
            <w:vMerge w:val="continue"/>
            <w:vAlign w:val="center"/>
          </w:tcPr>
          <w:p w14:paraId="5D64AC53">
            <w:pPr>
              <w:widowControl/>
              <w:jc w:val="left"/>
              <w:rPr>
                <w:rFonts w:hint="eastAsia" w:ascii="宋体" w:hAnsi="宋体" w:eastAsia="宋体" w:cs="宋体"/>
                <w:b/>
                <w:bCs/>
                <w:color w:val="000000"/>
                <w:sz w:val="21"/>
                <w:szCs w:val="21"/>
                <w:lang w:eastAsia="zh-CN"/>
              </w:rPr>
            </w:pPr>
          </w:p>
        </w:tc>
        <w:tc>
          <w:tcPr>
            <w:tcW w:w="460" w:type="dxa"/>
            <w:vAlign w:val="center"/>
          </w:tcPr>
          <w:p w14:paraId="580FDA99">
            <w:pPr>
              <w:widowControl w:val="0"/>
              <w:jc w:val="center"/>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1</w:t>
            </w:r>
          </w:p>
        </w:tc>
        <w:tc>
          <w:tcPr>
            <w:tcW w:w="1505" w:type="dxa"/>
            <w:vAlign w:val="center"/>
          </w:tcPr>
          <w:p w14:paraId="27D87941">
            <w:pPr>
              <w:widowControl w:val="0"/>
              <w:spacing w:line="440" w:lineRule="exact"/>
              <w:jc w:val="center"/>
              <w:rPr>
                <w:rFonts w:hint="eastAsia" w:ascii="宋体" w:hAnsi="宋体" w:eastAsia="宋体" w:cs="宋体"/>
                <w:bCs/>
                <w:color w:val="000000"/>
                <w:kern w:val="2"/>
                <w:sz w:val="21"/>
                <w:szCs w:val="21"/>
                <w:lang w:val="zh-CN" w:eastAsia="zh-CN"/>
              </w:rPr>
            </w:pPr>
            <w:r>
              <w:rPr>
                <w:rFonts w:hint="eastAsia" w:ascii="宋体" w:hAnsi="宋体" w:eastAsia="宋体" w:cs="宋体"/>
                <w:bCs/>
                <w:color w:val="000000"/>
                <w:kern w:val="2"/>
                <w:sz w:val="21"/>
                <w:szCs w:val="21"/>
                <w:lang w:eastAsia="zh-CN"/>
              </w:rPr>
              <w:t>投标人认证证书</w:t>
            </w:r>
          </w:p>
        </w:tc>
        <w:tc>
          <w:tcPr>
            <w:tcW w:w="899" w:type="dxa"/>
            <w:vAlign w:val="center"/>
          </w:tcPr>
          <w:p w14:paraId="33FBF75C">
            <w:pPr>
              <w:widowControl w:val="0"/>
              <w:autoSpaceDE w:val="0"/>
              <w:autoSpaceDN w:val="0"/>
              <w:adjustRightInd w:val="0"/>
              <w:spacing w:line="360" w:lineRule="auto"/>
              <w:jc w:val="center"/>
              <w:rPr>
                <w:rFonts w:hint="eastAsia" w:ascii="宋体" w:hAnsi="宋体" w:eastAsia="宋体" w:cs="宋体"/>
                <w:bCs/>
                <w:color w:val="000000"/>
                <w:kern w:val="2"/>
                <w:sz w:val="21"/>
                <w:szCs w:val="21"/>
                <w:lang w:eastAsia="zh-CN"/>
              </w:rPr>
            </w:pPr>
            <w:r>
              <w:rPr>
                <w:rFonts w:hint="eastAsia" w:ascii="宋体" w:hAnsi="宋体" w:eastAsia="宋体" w:cs="宋体"/>
                <w:bCs/>
                <w:color w:val="000000"/>
                <w:kern w:val="2"/>
                <w:sz w:val="21"/>
                <w:szCs w:val="21"/>
                <w:lang w:eastAsia="zh-CN"/>
              </w:rPr>
              <w:t>2</w:t>
            </w:r>
          </w:p>
        </w:tc>
        <w:tc>
          <w:tcPr>
            <w:tcW w:w="680" w:type="dxa"/>
            <w:vAlign w:val="center"/>
          </w:tcPr>
          <w:p w14:paraId="73728332">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专家打分</w:t>
            </w:r>
          </w:p>
        </w:tc>
        <w:tc>
          <w:tcPr>
            <w:tcW w:w="4659" w:type="dxa"/>
            <w:gridSpan w:val="2"/>
            <w:vAlign w:val="center"/>
          </w:tcPr>
          <w:p w14:paraId="12B0652D">
            <w:pPr>
              <w:widowControl/>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（一）评分内容：</w:t>
            </w:r>
          </w:p>
          <w:p w14:paraId="3C08A708">
            <w:pPr>
              <w:widowControl/>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投标人具有有效期内质量管理体系认证证书，得100分；</w:t>
            </w:r>
          </w:p>
          <w:p w14:paraId="71438B4B">
            <w:pPr>
              <w:widowControl/>
              <w:numPr>
                <w:ilvl w:val="12"/>
                <w:numId w:val="0"/>
              </w:numPr>
              <w:ind w:left="0" w:firstLine="0"/>
              <w:jc w:val="both"/>
              <w:rPr>
                <w:rFonts w:hint="eastAsia" w:ascii="宋体" w:hAnsi="宋体" w:eastAsia="宋体" w:cs="宋体"/>
                <w:kern w:val="2"/>
                <w:sz w:val="21"/>
                <w:szCs w:val="21"/>
                <w:lang w:eastAsia="zh-CN"/>
              </w:rPr>
            </w:pPr>
            <w:bookmarkStart w:id="0" w:name="OLE_LINK61"/>
            <w:bookmarkStart w:id="1" w:name="OLE_LINK62"/>
            <w:r>
              <w:rPr>
                <w:rFonts w:hint="eastAsia" w:ascii="宋体" w:hAnsi="宋体" w:eastAsia="宋体" w:cs="宋体"/>
                <w:kern w:val="2"/>
                <w:sz w:val="21"/>
                <w:szCs w:val="21"/>
                <w:lang w:eastAsia="zh-CN"/>
              </w:rPr>
              <w:t>（二）评分依据：</w:t>
            </w:r>
            <w:bookmarkEnd w:id="0"/>
            <w:bookmarkEnd w:id="1"/>
          </w:p>
          <w:p w14:paraId="608034A8">
            <w:pPr>
              <w:widowControl/>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1.要求提供所有有效的认证证书扫描件，及出具证书官网或全国认证认可信息公共服务平台（http://cx.cnca.cn/）的证书查询记录。认证证书在公开渠道无法查询的，需提供颁发机构的证明材料，证明证书真实有效。</w:t>
            </w:r>
          </w:p>
          <w:p w14:paraId="5E9E7209">
            <w:pPr>
              <w:widowControl/>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2.评分中出现无证明资料或专家无法凭所提供资料判断是否得分的情况，一律作不得分处理。</w:t>
            </w:r>
          </w:p>
        </w:tc>
      </w:tr>
      <w:tr w14:paraId="7C0E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CellSpacing w:w="0" w:type="dxa"/>
          <w:jc w:val="center"/>
        </w:trPr>
        <w:tc>
          <w:tcPr>
            <w:tcW w:w="675" w:type="dxa"/>
            <w:vMerge w:val="continue"/>
            <w:vAlign w:val="center"/>
          </w:tcPr>
          <w:p w14:paraId="7DBC8E3D">
            <w:pPr>
              <w:widowControl/>
              <w:jc w:val="left"/>
              <w:rPr>
                <w:rFonts w:hint="eastAsia" w:ascii="宋体" w:hAnsi="宋体" w:eastAsia="宋体" w:cs="宋体"/>
                <w:b/>
                <w:bCs/>
                <w:color w:val="000000"/>
                <w:sz w:val="21"/>
                <w:szCs w:val="21"/>
                <w:lang w:eastAsia="zh-CN"/>
              </w:rPr>
            </w:pPr>
          </w:p>
        </w:tc>
        <w:tc>
          <w:tcPr>
            <w:tcW w:w="460" w:type="dxa"/>
            <w:vAlign w:val="center"/>
          </w:tcPr>
          <w:p w14:paraId="25E5FBB5">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2</w:t>
            </w:r>
          </w:p>
        </w:tc>
        <w:tc>
          <w:tcPr>
            <w:tcW w:w="1505" w:type="dxa"/>
            <w:vAlign w:val="center"/>
          </w:tcPr>
          <w:p w14:paraId="2768AA6D">
            <w:pPr>
              <w:widowControl/>
              <w:jc w:val="center"/>
              <w:rPr>
                <w:rFonts w:hint="eastAsia" w:ascii="宋体" w:hAnsi="宋体" w:eastAsia="宋体" w:cs="宋体"/>
                <w:bCs/>
                <w:color w:val="000000"/>
                <w:sz w:val="21"/>
                <w:szCs w:val="21"/>
                <w:lang w:eastAsia="zh-CN"/>
              </w:rPr>
            </w:pPr>
            <w:r>
              <w:rPr>
                <w:rFonts w:hint="eastAsia" w:ascii="宋体" w:hAnsi="宋体" w:eastAsia="宋体" w:cs="宋体"/>
                <w:bCs/>
                <w:color w:val="000000"/>
                <w:sz w:val="21"/>
                <w:szCs w:val="21"/>
                <w:lang w:eastAsia="zh-CN"/>
              </w:rPr>
              <w:t>投标人同类项目业绩情况</w:t>
            </w:r>
          </w:p>
        </w:tc>
        <w:tc>
          <w:tcPr>
            <w:tcW w:w="899" w:type="dxa"/>
            <w:vAlign w:val="center"/>
          </w:tcPr>
          <w:p w14:paraId="1D75CF88">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15</w:t>
            </w:r>
          </w:p>
        </w:tc>
        <w:tc>
          <w:tcPr>
            <w:tcW w:w="680" w:type="dxa"/>
            <w:vAlign w:val="center"/>
          </w:tcPr>
          <w:p w14:paraId="748B53AC">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专家打分</w:t>
            </w:r>
          </w:p>
        </w:tc>
        <w:tc>
          <w:tcPr>
            <w:tcW w:w="4659" w:type="dxa"/>
            <w:gridSpan w:val="2"/>
            <w:vAlign w:val="center"/>
          </w:tcPr>
          <w:p w14:paraId="1D278D1A">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p>
          <w:p w14:paraId="2C1CFC5F">
            <w:pPr>
              <w:widowControl/>
              <w:numPr>
                <w:ilvl w:val="12"/>
                <w:numId w:val="0"/>
              </w:numPr>
              <w:ind w:left="0" w:firstLine="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val="zh-CN" w:eastAsia="zh-CN"/>
              </w:rPr>
              <w:t>投标人于20</w:t>
            </w:r>
            <w:r>
              <w:rPr>
                <w:rFonts w:hint="eastAsia" w:ascii="宋体" w:hAnsi="宋体" w:eastAsia="宋体" w:cs="宋体"/>
                <w:color w:val="000000"/>
                <w:kern w:val="2"/>
                <w:sz w:val="21"/>
                <w:szCs w:val="21"/>
                <w:lang w:eastAsia="zh-CN"/>
              </w:rPr>
              <w:t>22</w:t>
            </w:r>
            <w:r>
              <w:rPr>
                <w:rFonts w:hint="eastAsia" w:ascii="宋体" w:hAnsi="宋体" w:eastAsia="宋体" w:cs="宋体"/>
                <w:color w:val="000000"/>
                <w:kern w:val="2"/>
                <w:sz w:val="21"/>
                <w:szCs w:val="21"/>
                <w:lang w:val="zh-CN" w:eastAsia="zh-CN"/>
              </w:rPr>
              <w:t>年</w:t>
            </w:r>
            <w:r>
              <w:rPr>
                <w:rFonts w:hint="eastAsia" w:ascii="宋体" w:hAnsi="宋体" w:eastAsia="宋体" w:cs="宋体"/>
                <w:color w:val="000000"/>
                <w:kern w:val="2"/>
                <w:sz w:val="21"/>
                <w:szCs w:val="21"/>
                <w:lang w:eastAsia="zh-CN"/>
              </w:rPr>
              <w:t>1</w:t>
            </w:r>
            <w:r>
              <w:rPr>
                <w:rFonts w:hint="eastAsia" w:ascii="宋体" w:hAnsi="宋体" w:eastAsia="宋体" w:cs="宋体"/>
                <w:color w:val="000000"/>
                <w:kern w:val="2"/>
                <w:sz w:val="21"/>
                <w:szCs w:val="21"/>
                <w:lang w:val="zh-CN" w:eastAsia="zh-CN"/>
              </w:rPr>
              <w:t>月1日至本项目投标截止日期内(具体以合同签订日期为准)，承接过</w:t>
            </w:r>
            <w:r>
              <w:rPr>
                <w:rFonts w:hint="eastAsia" w:ascii="宋体" w:hAnsi="宋体" w:eastAsia="宋体" w:cs="宋体"/>
                <w:color w:val="000000"/>
                <w:kern w:val="2"/>
                <w:sz w:val="21"/>
                <w:szCs w:val="21"/>
                <w:lang w:eastAsia="zh-CN"/>
              </w:rPr>
              <w:t>指挥调度信息系统维护服务相关</w:t>
            </w:r>
            <w:r>
              <w:rPr>
                <w:rFonts w:hint="eastAsia" w:ascii="宋体" w:hAnsi="宋体" w:eastAsia="宋体" w:cs="宋体"/>
                <w:color w:val="000000"/>
                <w:kern w:val="2"/>
                <w:sz w:val="21"/>
                <w:szCs w:val="21"/>
                <w:lang w:val="zh-CN" w:eastAsia="zh-CN"/>
              </w:rPr>
              <w:t>项目业绩。</w:t>
            </w:r>
            <w:bookmarkStart w:id="2" w:name="OLE_LINK28"/>
            <w:bookmarkStart w:id="3" w:name="OLE_LINK29"/>
            <w:r>
              <w:rPr>
                <w:rFonts w:hint="eastAsia" w:ascii="宋体" w:hAnsi="宋体" w:eastAsia="宋体" w:cs="宋体"/>
                <w:color w:val="000000"/>
                <w:kern w:val="2"/>
                <w:sz w:val="21"/>
                <w:szCs w:val="21"/>
                <w:lang w:val="zh-CN" w:eastAsia="zh-CN"/>
              </w:rPr>
              <w:t>每提供 1个业绩案例,得</w:t>
            </w:r>
            <w:bookmarkEnd w:id="2"/>
            <w:bookmarkEnd w:id="3"/>
            <w:r>
              <w:rPr>
                <w:rFonts w:hint="eastAsia" w:ascii="宋体" w:hAnsi="宋体" w:eastAsia="宋体" w:cs="宋体"/>
                <w:color w:val="000000"/>
                <w:kern w:val="2"/>
                <w:sz w:val="21"/>
                <w:szCs w:val="21"/>
                <w:lang w:eastAsia="zh-CN"/>
              </w:rPr>
              <w:t>20分，本项最多得100分。</w:t>
            </w:r>
          </w:p>
          <w:p w14:paraId="272BC31A">
            <w:pPr>
              <w:widowControl/>
              <w:numPr>
                <w:ilvl w:val="12"/>
                <w:numId w:val="0"/>
              </w:numPr>
              <w:ind w:left="0" w:firstLine="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（注：续签的业绩合同不重复计算）</w:t>
            </w:r>
          </w:p>
          <w:p w14:paraId="76D0E77F">
            <w:pPr>
              <w:widowControl/>
              <w:jc w:val="both"/>
              <w:rPr>
                <w:rFonts w:hint="eastAsia" w:ascii="宋体" w:hAnsi="宋体" w:eastAsia="宋体" w:cs="宋体"/>
                <w:color w:val="000000"/>
                <w:kern w:val="2"/>
                <w:sz w:val="21"/>
                <w:szCs w:val="21"/>
                <w:lang w:val="zh-CN" w:eastAsia="zh-CN"/>
              </w:rPr>
            </w:pPr>
            <w:r>
              <w:rPr>
                <w:rFonts w:hint="eastAsia" w:ascii="宋体" w:hAnsi="宋体" w:eastAsia="宋体" w:cs="宋体"/>
                <w:color w:val="000000"/>
                <w:kern w:val="2"/>
                <w:sz w:val="21"/>
                <w:szCs w:val="21"/>
                <w:lang w:val="zh-CN" w:eastAsia="zh-CN"/>
              </w:rPr>
              <w:t>（</w:t>
            </w:r>
            <w:r>
              <w:rPr>
                <w:rFonts w:hint="eastAsia" w:ascii="宋体" w:hAnsi="宋体" w:eastAsia="宋体" w:cs="宋体"/>
                <w:color w:val="000000"/>
                <w:kern w:val="2"/>
                <w:sz w:val="21"/>
                <w:szCs w:val="21"/>
                <w:lang w:eastAsia="zh-CN"/>
              </w:rPr>
              <w:t>二</w:t>
            </w:r>
            <w:r>
              <w:rPr>
                <w:rFonts w:hint="eastAsia" w:ascii="宋体" w:hAnsi="宋体" w:eastAsia="宋体" w:cs="宋体"/>
                <w:color w:val="000000"/>
                <w:kern w:val="2"/>
                <w:sz w:val="21"/>
                <w:szCs w:val="21"/>
                <w:lang w:val="zh-CN" w:eastAsia="zh-CN"/>
              </w:rPr>
              <w:t xml:space="preserve">）评分依据： </w:t>
            </w:r>
          </w:p>
          <w:p w14:paraId="4B6D8A38">
            <w:pPr>
              <w:widowControl/>
              <w:jc w:val="both"/>
              <w:rPr>
                <w:rFonts w:hint="eastAsia" w:ascii="宋体" w:hAnsi="宋体" w:eastAsia="宋体" w:cs="宋体"/>
                <w:color w:val="000000"/>
                <w:kern w:val="2"/>
                <w:sz w:val="21"/>
                <w:szCs w:val="21"/>
                <w:lang w:val="zh-CN" w:eastAsia="zh-CN"/>
              </w:rPr>
            </w:pPr>
            <w:r>
              <w:rPr>
                <w:rFonts w:hint="eastAsia" w:ascii="宋体" w:hAnsi="宋体" w:eastAsia="宋体" w:cs="宋体"/>
                <w:color w:val="000000"/>
                <w:kern w:val="2"/>
                <w:sz w:val="21"/>
                <w:szCs w:val="21"/>
                <w:lang w:val="zh-CN" w:eastAsia="zh-CN"/>
              </w:rPr>
              <w:t>1.要求同时提供合同关键信息（含签订合同双方的单位名称、合同项目名称、服务内容信息页与含签订合同双方的落款盖章、签订日期的关键页）作为得分依据。</w:t>
            </w:r>
          </w:p>
          <w:p w14:paraId="0E79EEAC">
            <w:pPr>
              <w:widowControl/>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2</w:t>
            </w:r>
            <w:r>
              <w:rPr>
                <w:rFonts w:hint="eastAsia" w:ascii="宋体" w:hAnsi="宋体" w:eastAsia="宋体" w:cs="宋体"/>
                <w:color w:val="000000"/>
                <w:kern w:val="2"/>
                <w:sz w:val="21"/>
                <w:szCs w:val="21"/>
                <w:lang w:val="zh-CN" w:eastAsia="zh-CN"/>
              </w:rPr>
              <w:t>.以上资料均要求提供扫描件。评分中出现无证明资料或专家无法凭所提供资料判断是否得分的情况，一律作不得分处理。</w:t>
            </w:r>
          </w:p>
        </w:tc>
      </w:tr>
      <w:tr w14:paraId="18430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blCellSpacing w:w="0" w:type="dxa"/>
          <w:jc w:val="center"/>
        </w:trPr>
        <w:tc>
          <w:tcPr>
            <w:tcW w:w="675" w:type="dxa"/>
            <w:vMerge w:val="continue"/>
            <w:vAlign w:val="center"/>
          </w:tcPr>
          <w:p w14:paraId="10093928">
            <w:pPr>
              <w:widowControl/>
              <w:jc w:val="left"/>
              <w:rPr>
                <w:rFonts w:hint="eastAsia" w:ascii="宋体" w:hAnsi="宋体" w:eastAsia="宋体" w:cs="宋体"/>
                <w:b/>
                <w:bCs/>
                <w:color w:val="000000"/>
                <w:sz w:val="21"/>
                <w:szCs w:val="21"/>
                <w:lang w:eastAsia="zh-CN"/>
              </w:rPr>
            </w:pPr>
          </w:p>
        </w:tc>
        <w:tc>
          <w:tcPr>
            <w:tcW w:w="460" w:type="dxa"/>
            <w:vAlign w:val="center"/>
          </w:tcPr>
          <w:p w14:paraId="4953758C">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3</w:t>
            </w:r>
          </w:p>
        </w:tc>
        <w:tc>
          <w:tcPr>
            <w:tcW w:w="1505" w:type="dxa"/>
            <w:vAlign w:val="center"/>
          </w:tcPr>
          <w:p w14:paraId="59956524">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服务便利性（服务网点）</w:t>
            </w:r>
          </w:p>
        </w:tc>
        <w:tc>
          <w:tcPr>
            <w:tcW w:w="899" w:type="dxa"/>
            <w:vAlign w:val="center"/>
          </w:tcPr>
          <w:p w14:paraId="31B0A42B">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5</w:t>
            </w:r>
          </w:p>
        </w:tc>
        <w:tc>
          <w:tcPr>
            <w:tcW w:w="680" w:type="dxa"/>
            <w:vAlign w:val="center"/>
          </w:tcPr>
          <w:p w14:paraId="5044D69E">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专家打分</w:t>
            </w:r>
          </w:p>
        </w:tc>
        <w:tc>
          <w:tcPr>
            <w:tcW w:w="4659" w:type="dxa"/>
            <w:gridSpan w:val="2"/>
            <w:vAlign w:val="center"/>
          </w:tcPr>
          <w:p w14:paraId="3B5C277A">
            <w:pPr>
              <w:widowControl w:val="0"/>
              <w:spacing w:line="240" w:lineRule="exact"/>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p>
          <w:p w14:paraId="003084CA">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供应商承诺中标后提供本地经营（服务）网点的，得100分。</w:t>
            </w:r>
          </w:p>
          <w:p w14:paraId="4398D9CF">
            <w:pPr>
              <w:widowControl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（二）评分依据：</w:t>
            </w:r>
          </w:p>
          <w:p w14:paraId="0D56B0D7">
            <w:pPr>
              <w:widowControl/>
              <w:jc w:val="both"/>
              <w:rPr>
                <w:rFonts w:hint="eastAsia" w:ascii="宋体" w:hAnsi="宋体" w:eastAsia="宋体" w:cs="宋体"/>
                <w:color w:val="000000"/>
                <w:sz w:val="21"/>
                <w:szCs w:val="21"/>
                <w:lang w:eastAsia="zh-CN"/>
              </w:rPr>
            </w:pPr>
            <w:r>
              <w:rPr>
                <w:rFonts w:hint="eastAsia" w:ascii="宋体" w:hAnsi="宋体" w:eastAsia="宋体" w:cs="宋体"/>
                <w:color w:val="000000"/>
                <w:kern w:val="2"/>
                <w:sz w:val="21"/>
                <w:szCs w:val="21"/>
                <w:lang w:eastAsia="zh-CN"/>
              </w:rPr>
              <w:t>要求提供承诺函（格式详见投标文件组成要求及格式--服务网点-承诺函）作为得分依据，未按采购文件要求提供承诺函的不得分。</w:t>
            </w:r>
          </w:p>
        </w:tc>
      </w:tr>
      <w:tr w14:paraId="51DC1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blCellSpacing w:w="0" w:type="dxa"/>
          <w:jc w:val="center"/>
        </w:trPr>
        <w:tc>
          <w:tcPr>
            <w:tcW w:w="675" w:type="dxa"/>
            <w:vMerge w:val="restart"/>
          </w:tcPr>
          <w:p w14:paraId="1BE05269">
            <w:pPr>
              <w:widowControl w:val="0"/>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4</w:t>
            </w:r>
          </w:p>
        </w:tc>
        <w:tc>
          <w:tcPr>
            <w:tcW w:w="3544" w:type="dxa"/>
            <w:gridSpan w:val="4"/>
            <w:noWrap/>
            <w:vAlign w:val="center"/>
          </w:tcPr>
          <w:p w14:paraId="66351D4C">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其它部分</w:t>
            </w:r>
          </w:p>
        </w:tc>
        <w:tc>
          <w:tcPr>
            <w:tcW w:w="4659" w:type="dxa"/>
            <w:gridSpan w:val="2"/>
            <w:vAlign w:val="center"/>
          </w:tcPr>
          <w:p w14:paraId="4BACADFF">
            <w:pPr>
              <w:widowControl/>
              <w:jc w:val="center"/>
              <w:rPr>
                <w:rFonts w:hint="eastAsia" w:ascii="宋体" w:hAnsi="宋体" w:eastAsia="宋体" w:cs="宋体"/>
                <w:b/>
                <w:bCs/>
                <w:color w:val="000000"/>
                <w:sz w:val="21"/>
                <w:szCs w:val="21"/>
                <w:lang w:eastAsia="zh-CN"/>
              </w:rPr>
            </w:pPr>
            <w:r>
              <w:rPr>
                <w:rFonts w:hint="eastAsia" w:ascii="宋体" w:hAnsi="宋体" w:eastAsia="宋体" w:cs="宋体"/>
                <w:b/>
                <w:bCs/>
                <w:color w:val="000000"/>
                <w:sz w:val="21"/>
                <w:szCs w:val="21"/>
                <w:lang w:eastAsia="zh-CN"/>
              </w:rPr>
              <w:t>5</w:t>
            </w:r>
          </w:p>
        </w:tc>
      </w:tr>
      <w:tr w14:paraId="53DB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blCellSpacing w:w="0" w:type="dxa"/>
          <w:jc w:val="center"/>
        </w:trPr>
        <w:tc>
          <w:tcPr>
            <w:tcW w:w="675" w:type="dxa"/>
            <w:vMerge w:val="continue"/>
            <w:shd w:val="clear" w:color="auto" w:fill="auto"/>
            <w:vAlign w:val="center"/>
          </w:tcPr>
          <w:p w14:paraId="547A4E30">
            <w:pPr>
              <w:widowControl w:val="0"/>
              <w:jc w:val="left"/>
              <w:rPr>
                <w:rFonts w:hint="eastAsia" w:ascii="宋体" w:hAnsi="宋体" w:eastAsia="宋体" w:cs="宋体"/>
                <w:b/>
                <w:bCs/>
                <w:color w:val="000000"/>
                <w:sz w:val="21"/>
                <w:szCs w:val="21"/>
                <w:lang w:eastAsia="zh-CN"/>
              </w:rPr>
            </w:pPr>
          </w:p>
        </w:tc>
        <w:tc>
          <w:tcPr>
            <w:tcW w:w="460" w:type="dxa"/>
            <w:shd w:val="clear" w:color="000000" w:fill="E6EFFA"/>
            <w:vAlign w:val="center"/>
          </w:tcPr>
          <w:p w14:paraId="7232905F">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序号</w:t>
            </w:r>
          </w:p>
        </w:tc>
        <w:tc>
          <w:tcPr>
            <w:tcW w:w="1505" w:type="dxa"/>
            <w:shd w:val="clear" w:color="000000" w:fill="E6EFFA"/>
            <w:vAlign w:val="center"/>
          </w:tcPr>
          <w:p w14:paraId="09004292">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评分因素</w:t>
            </w:r>
          </w:p>
        </w:tc>
        <w:tc>
          <w:tcPr>
            <w:tcW w:w="899" w:type="dxa"/>
            <w:shd w:val="clear" w:color="000000" w:fill="E6EFFA"/>
            <w:vAlign w:val="center"/>
          </w:tcPr>
          <w:p w14:paraId="79B30E35">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权重(%)</w:t>
            </w:r>
          </w:p>
        </w:tc>
        <w:tc>
          <w:tcPr>
            <w:tcW w:w="680" w:type="dxa"/>
            <w:shd w:val="clear" w:color="000000" w:fill="E6EFFA"/>
            <w:vAlign w:val="center"/>
          </w:tcPr>
          <w:p w14:paraId="3D6DA173">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评分方式</w:t>
            </w:r>
          </w:p>
        </w:tc>
        <w:tc>
          <w:tcPr>
            <w:tcW w:w="4659" w:type="dxa"/>
            <w:gridSpan w:val="2"/>
            <w:shd w:val="clear" w:color="000000" w:fill="E6EFFA"/>
            <w:vAlign w:val="center"/>
          </w:tcPr>
          <w:p w14:paraId="16E3A758">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评分准则</w:t>
            </w:r>
          </w:p>
        </w:tc>
      </w:tr>
      <w:tr w14:paraId="201D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blCellSpacing w:w="0" w:type="dxa"/>
          <w:jc w:val="center"/>
        </w:trPr>
        <w:tc>
          <w:tcPr>
            <w:tcW w:w="675" w:type="dxa"/>
            <w:vMerge w:val="continue"/>
            <w:vAlign w:val="center"/>
          </w:tcPr>
          <w:p w14:paraId="474DF461">
            <w:pPr>
              <w:widowControl w:val="0"/>
              <w:jc w:val="left"/>
              <w:rPr>
                <w:rFonts w:hint="eastAsia" w:ascii="宋体" w:hAnsi="宋体" w:eastAsia="宋体" w:cs="宋体"/>
                <w:b/>
                <w:bCs/>
                <w:color w:val="000000"/>
                <w:sz w:val="21"/>
                <w:szCs w:val="21"/>
                <w:lang w:eastAsia="zh-CN"/>
              </w:rPr>
            </w:pPr>
          </w:p>
        </w:tc>
        <w:tc>
          <w:tcPr>
            <w:tcW w:w="460" w:type="dxa"/>
            <w:vAlign w:val="center"/>
          </w:tcPr>
          <w:p w14:paraId="4CE77F36">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1</w:t>
            </w:r>
          </w:p>
        </w:tc>
        <w:tc>
          <w:tcPr>
            <w:tcW w:w="1505" w:type="dxa"/>
            <w:vAlign w:val="center"/>
          </w:tcPr>
          <w:p w14:paraId="3710BC65">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诚信分</w:t>
            </w:r>
          </w:p>
        </w:tc>
        <w:tc>
          <w:tcPr>
            <w:tcW w:w="899" w:type="dxa"/>
            <w:vAlign w:val="center"/>
          </w:tcPr>
          <w:p w14:paraId="77CC3E94">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5</w:t>
            </w:r>
          </w:p>
        </w:tc>
        <w:tc>
          <w:tcPr>
            <w:tcW w:w="680" w:type="dxa"/>
            <w:vAlign w:val="center"/>
          </w:tcPr>
          <w:p w14:paraId="0DE47D56">
            <w:pPr>
              <w:widowControl/>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专家打分</w:t>
            </w:r>
          </w:p>
        </w:tc>
        <w:tc>
          <w:tcPr>
            <w:tcW w:w="4659" w:type="dxa"/>
            <w:gridSpan w:val="2"/>
            <w:vAlign w:val="center"/>
          </w:tcPr>
          <w:p w14:paraId="5434EB79">
            <w:pPr>
              <w:widowControl w:val="0"/>
              <w:wordWrap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（一）评分内容：</w:t>
            </w:r>
          </w:p>
          <w:p w14:paraId="27D51438">
            <w:pPr>
              <w:widowControl w:val="0"/>
              <w:wordWrap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投标人存在《深圳市财政局政府采购供应商信用信息管理办法》（深财规〔2023〕3 号）列明的一般行政处罚信息、一般违法失信记录信息的，本项不得分，不存在上述情形的本项得100分。投标人无需提供任何证明材料，评标过程中由工作人员向评审委员会提供供应商诚信查询结果。</w:t>
            </w:r>
          </w:p>
          <w:p w14:paraId="13EEA1E2">
            <w:pPr>
              <w:widowControl w:val="0"/>
              <w:wordWrap w:val="0"/>
              <w:jc w:val="both"/>
              <w:rPr>
                <w:rFonts w:hint="eastAsia" w:ascii="宋体" w:hAnsi="宋体" w:eastAsia="宋体" w:cs="宋体"/>
                <w:color w:val="000000"/>
                <w:kern w:val="2"/>
                <w:sz w:val="21"/>
                <w:szCs w:val="21"/>
                <w:lang w:eastAsia="zh-CN"/>
              </w:rPr>
            </w:pPr>
            <w:r>
              <w:rPr>
                <w:rFonts w:hint="eastAsia" w:ascii="宋体" w:hAnsi="宋体" w:eastAsia="宋体" w:cs="宋体"/>
                <w:color w:val="000000"/>
                <w:kern w:val="2"/>
                <w:sz w:val="21"/>
                <w:szCs w:val="21"/>
                <w:lang w:eastAsia="zh-CN"/>
              </w:rPr>
              <w:t>（二）</w:t>
            </w:r>
            <w:r>
              <w:rPr>
                <w:rFonts w:hint="eastAsia" w:ascii="宋体" w:hAnsi="宋体" w:eastAsia="宋体" w:cs="宋体"/>
                <w:color w:val="000000"/>
                <w:kern w:val="2"/>
                <w:sz w:val="21"/>
                <w:szCs w:val="21"/>
                <w:lang w:val="zh-CN" w:eastAsia="zh-CN"/>
              </w:rPr>
              <w:t>评分依据</w:t>
            </w:r>
            <w:r>
              <w:rPr>
                <w:rFonts w:hint="eastAsia" w:ascii="宋体" w:hAnsi="宋体" w:eastAsia="宋体" w:cs="宋体"/>
                <w:color w:val="000000"/>
                <w:kern w:val="2"/>
                <w:sz w:val="21"/>
                <w:szCs w:val="21"/>
                <w:lang w:eastAsia="zh-CN"/>
              </w:rPr>
              <w:t>：</w:t>
            </w:r>
          </w:p>
          <w:p w14:paraId="776B0B88">
            <w:pPr>
              <w:widowControl w:val="0"/>
              <w:spacing w:line="240" w:lineRule="auto"/>
              <w:jc w:val="both"/>
              <w:rPr>
                <w:rFonts w:hint="eastAsia" w:ascii="宋体" w:hAnsi="宋体" w:eastAsia="宋体" w:cs="宋体"/>
                <w:kern w:val="2"/>
                <w:sz w:val="21"/>
                <w:szCs w:val="21"/>
                <w:lang w:eastAsia="zh-CN"/>
              </w:rPr>
            </w:pPr>
            <w:r>
              <w:rPr>
                <w:rFonts w:hint="eastAsia" w:ascii="宋体" w:hAnsi="宋体" w:eastAsia="宋体" w:cs="宋体"/>
                <w:kern w:val="2"/>
                <w:sz w:val="21"/>
                <w:szCs w:val="21"/>
                <w:lang w:eastAsia="zh-CN"/>
              </w:rPr>
              <w:t>查询渠道：根据《深圳市财政局政府采购供应商信用信息管理办法》（深财规〔2023〕3号）通过“信用中国”（www.creditchina.gov.cn，</w:t>
            </w:r>
            <w:r>
              <w:rPr>
                <w:rFonts w:hint="eastAsia" w:ascii="宋体" w:hAnsi="宋体" w:eastAsia="宋体" w:cs="宋体"/>
                <w:b/>
                <w:bCs/>
                <w:kern w:val="2"/>
                <w:sz w:val="21"/>
                <w:szCs w:val="21"/>
                <w:lang w:eastAsia="zh-CN"/>
              </w:rPr>
              <w:t>下载信用信息报告</w:t>
            </w:r>
            <w:r>
              <w:rPr>
                <w:rFonts w:hint="eastAsia" w:ascii="宋体" w:hAnsi="宋体" w:eastAsia="宋体" w:cs="宋体"/>
                <w:kern w:val="2"/>
                <w:sz w:val="21"/>
                <w:szCs w:val="21"/>
                <w:lang w:eastAsia="zh-CN"/>
              </w:rPr>
              <w:t>）、“中国政府采购网”（www.ccgp.gov.cn）以及“深圳市政府采购监管网”（http://zfcg.sz.gov.cn）查询供应商信用信息，信用信息以开标当日的查询结果为准。</w:t>
            </w:r>
          </w:p>
        </w:tc>
      </w:tr>
    </w:tbl>
    <w:p w14:paraId="17A7D626">
      <w:pPr>
        <w:widowControl/>
        <w:jc w:val="left"/>
        <w:rPr>
          <w:rFonts w:eastAsia="宋体"/>
          <w:kern w:val="2"/>
          <w:sz w:val="21"/>
          <w:szCs w:val="21"/>
          <w:lang w:eastAsia="zh-CN"/>
        </w:rPr>
      </w:pPr>
      <w:r>
        <w:rPr>
          <w:rFonts w:hint="eastAsia" w:ascii="宋体" w:hAnsi="宋体" w:eastAsia="宋体" w:cs="宋体"/>
          <w:kern w:val="2"/>
          <w:sz w:val="21"/>
          <w:szCs w:val="21"/>
          <w:lang w:eastAsia="zh-CN"/>
        </w:rPr>
        <w:br w:type="page"/>
      </w:r>
    </w:p>
    <w:p w14:paraId="4587B171">
      <w:pPr>
        <w:widowControl w:val="0"/>
        <w:jc w:val="both"/>
        <w:rPr>
          <w:rFonts w:eastAsia="宋体"/>
          <w:b/>
          <w:kern w:val="2"/>
          <w:sz w:val="120"/>
          <w:szCs w:val="120"/>
          <w:lang w:eastAsia="zh-CN"/>
        </w:rPr>
      </w:pPr>
    </w:p>
    <w:p w14:paraId="6774A4A7">
      <w:pPr>
        <w:widowControl w:val="0"/>
        <w:jc w:val="center"/>
        <w:rPr>
          <w:rFonts w:eastAsia="宋体"/>
          <w:b/>
          <w:kern w:val="2"/>
          <w:sz w:val="120"/>
          <w:szCs w:val="120"/>
          <w:lang w:eastAsia="zh-CN"/>
        </w:rPr>
      </w:pPr>
      <w:r>
        <w:rPr>
          <w:rFonts w:hint="eastAsia" w:eastAsia="宋体"/>
          <w:b/>
          <w:kern w:val="2"/>
          <w:sz w:val="120"/>
          <w:szCs w:val="120"/>
          <w:lang w:eastAsia="zh-CN"/>
        </w:rPr>
        <w:t>自行采购</w:t>
      </w:r>
    </w:p>
    <w:p w14:paraId="77810520">
      <w:pPr>
        <w:widowControl w:val="0"/>
        <w:jc w:val="center"/>
        <w:rPr>
          <w:rFonts w:eastAsia="宋体"/>
          <w:b/>
          <w:kern w:val="2"/>
          <w:sz w:val="120"/>
          <w:szCs w:val="120"/>
          <w:lang w:eastAsia="zh-CN"/>
        </w:rPr>
      </w:pPr>
      <w:r>
        <w:rPr>
          <w:rFonts w:hint="eastAsia" w:eastAsia="宋体"/>
          <w:b/>
          <w:kern w:val="2"/>
          <w:sz w:val="120"/>
          <w:szCs w:val="120"/>
          <w:lang w:eastAsia="zh-CN"/>
        </w:rPr>
        <w:t>招标文件</w:t>
      </w:r>
    </w:p>
    <w:p w14:paraId="79A06083">
      <w:pPr>
        <w:widowControl w:val="0"/>
        <w:jc w:val="center"/>
        <w:rPr>
          <w:rFonts w:eastAsia="宋体"/>
          <w:b/>
          <w:kern w:val="2"/>
          <w:sz w:val="52"/>
          <w:szCs w:val="52"/>
          <w:lang w:eastAsia="zh-CN"/>
        </w:rPr>
      </w:pPr>
      <w:r>
        <w:rPr>
          <w:rFonts w:hint="eastAsia" w:eastAsia="宋体"/>
          <w:b/>
          <w:kern w:val="2"/>
          <w:sz w:val="52"/>
          <w:szCs w:val="52"/>
          <w:lang w:eastAsia="zh-CN"/>
        </w:rPr>
        <w:t>（服务类）</w:t>
      </w:r>
    </w:p>
    <w:p w14:paraId="32813D1F">
      <w:pPr>
        <w:widowControl w:val="0"/>
        <w:jc w:val="center"/>
        <w:rPr>
          <w:rFonts w:eastAsia="宋体"/>
          <w:kern w:val="2"/>
          <w:sz w:val="21"/>
          <w:lang w:eastAsia="zh-CN"/>
        </w:rPr>
      </w:pPr>
    </w:p>
    <w:p w14:paraId="6C59820A">
      <w:pPr>
        <w:widowControl w:val="0"/>
        <w:jc w:val="center"/>
        <w:rPr>
          <w:rFonts w:eastAsia="宋体"/>
          <w:kern w:val="2"/>
          <w:sz w:val="21"/>
          <w:lang w:eastAsia="zh-CN"/>
        </w:rPr>
      </w:pPr>
    </w:p>
    <w:p w14:paraId="53266FBB">
      <w:pPr>
        <w:widowControl w:val="0"/>
        <w:jc w:val="center"/>
        <w:rPr>
          <w:rFonts w:eastAsia="宋体"/>
          <w:kern w:val="2"/>
          <w:sz w:val="21"/>
          <w:lang w:eastAsia="zh-CN"/>
        </w:rPr>
      </w:pPr>
    </w:p>
    <w:p w14:paraId="6D4F3901">
      <w:pPr>
        <w:widowControl w:val="0"/>
        <w:jc w:val="center"/>
        <w:rPr>
          <w:rFonts w:eastAsia="宋体"/>
          <w:kern w:val="2"/>
          <w:sz w:val="21"/>
          <w:lang w:eastAsia="zh-CN"/>
        </w:rPr>
      </w:pPr>
    </w:p>
    <w:p w14:paraId="353B5E56">
      <w:pPr>
        <w:widowControl w:val="0"/>
        <w:spacing w:line="360" w:lineRule="auto"/>
        <w:jc w:val="both"/>
        <w:rPr>
          <w:rFonts w:eastAsia="宋体"/>
          <w:kern w:val="2"/>
          <w:lang w:eastAsia="zh-CN"/>
        </w:rPr>
      </w:pPr>
    </w:p>
    <w:p w14:paraId="27484A23">
      <w:pPr>
        <w:widowControl w:val="0"/>
        <w:spacing w:line="360" w:lineRule="auto"/>
        <w:jc w:val="both"/>
        <w:rPr>
          <w:rFonts w:eastAsia="宋体"/>
          <w:kern w:val="2"/>
          <w:lang w:eastAsia="zh-CN"/>
        </w:rPr>
      </w:pPr>
    </w:p>
    <w:p w14:paraId="25A757EB">
      <w:pPr>
        <w:widowControl w:val="0"/>
        <w:spacing w:line="360" w:lineRule="auto"/>
        <w:jc w:val="both"/>
        <w:rPr>
          <w:rFonts w:eastAsia="宋体"/>
          <w:kern w:val="2"/>
          <w:lang w:eastAsia="zh-CN"/>
        </w:rPr>
      </w:pPr>
    </w:p>
    <w:p w14:paraId="6D6D2E2A">
      <w:pPr>
        <w:widowControl w:val="0"/>
        <w:spacing w:line="360" w:lineRule="auto"/>
        <w:jc w:val="both"/>
        <w:rPr>
          <w:rFonts w:eastAsia="宋体"/>
          <w:kern w:val="2"/>
          <w:lang w:eastAsia="zh-CN"/>
        </w:rPr>
      </w:pPr>
    </w:p>
    <w:p w14:paraId="6E0BAD94">
      <w:pPr>
        <w:widowControl w:val="0"/>
        <w:spacing w:line="360" w:lineRule="auto"/>
        <w:jc w:val="both"/>
        <w:rPr>
          <w:rFonts w:eastAsia="宋体"/>
          <w:kern w:val="2"/>
          <w:lang w:eastAsia="zh-CN"/>
        </w:rPr>
      </w:pPr>
    </w:p>
    <w:p w14:paraId="7125CEAB">
      <w:pPr>
        <w:widowControl w:val="0"/>
        <w:jc w:val="center"/>
        <w:rPr>
          <w:rFonts w:eastAsia="宋体"/>
          <w:b/>
          <w:kern w:val="2"/>
          <w:sz w:val="44"/>
          <w:szCs w:val="44"/>
          <w:lang w:eastAsia="zh-CN"/>
        </w:rPr>
      </w:pPr>
    </w:p>
    <w:p w14:paraId="2070DFDC">
      <w:pPr>
        <w:widowControl w:val="0"/>
        <w:jc w:val="center"/>
        <w:rPr>
          <w:rFonts w:eastAsia="宋体"/>
          <w:b/>
          <w:kern w:val="2"/>
          <w:sz w:val="44"/>
          <w:szCs w:val="44"/>
          <w:lang w:eastAsia="zh-CN"/>
        </w:rPr>
      </w:pPr>
      <w:bookmarkStart w:id="4" w:name="_Hlk71465316"/>
      <w:r>
        <w:rPr>
          <w:rFonts w:hint="eastAsia" w:eastAsia="宋体"/>
          <w:b/>
          <w:kern w:val="2"/>
          <w:sz w:val="44"/>
          <w:szCs w:val="44"/>
          <w:lang w:eastAsia="zh-CN"/>
        </w:rPr>
        <w:t>深圳公共资源交易中心</w:t>
      </w:r>
    </w:p>
    <w:p w14:paraId="2C170F79">
      <w:pPr>
        <w:widowControl w:val="0"/>
        <w:jc w:val="center"/>
        <w:rPr>
          <w:rFonts w:eastAsia="宋体"/>
          <w:kern w:val="2"/>
          <w:sz w:val="28"/>
          <w:szCs w:val="28"/>
          <w:lang w:eastAsia="zh-CN"/>
        </w:rPr>
      </w:pPr>
      <w:r>
        <w:rPr>
          <w:rFonts w:hint="eastAsia" w:eastAsia="宋体"/>
          <w:b/>
          <w:kern w:val="2"/>
          <w:sz w:val="28"/>
          <w:szCs w:val="28"/>
          <w:lang w:eastAsia="zh-CN"/>
        </w:rPr>
        <w:t>（</w:t>
      </w:r>
      <w:r>
        <w:rPr>
          <w:rFonts w:eastAsia="宋体"/>
          <w:b/>
          <w:kern w:val="2"/>
          <w:sz w:val="28"/>
          <w:szCs w:val="28"/>
          <w:lang w:eastAsia="zh-CN"/>
        </w:rPr>
        <w:t>20</w:t>
      </w:r>
      <w:r>
        <w:rPr>
          <w:rFonts w:hint="eastAsia" w:eastAsia="宋体"/>
          <w:b/>
          <w:kern w:val="2"/>
          <w:sz w:val="28"/>
          <w:szCs w:val="28"/>
          <w:lang w:eastAsia="zh-CN"/>
        </w:rPr>
        <w:t>25年）</w:t>
      </w:r>
      <w:bookmarkEnd w:id="4"/>
    </w:p>
    <w:p w14:paraId="28D85F7B">
      <w:pPr>
        <w:widowControl w:val="0"/>
        <w:spacing w:after="312" w:afterLines="100" w:line="400" w:lineRule="exact"/>
        <w:ind w:firstLine="420" w:firstLineChars="200"/>
        <w:jc w:val="center"/>
        <w:rPr>
          <w:rFonts w:ascii="宋体" w:hAnsi="宋体" w:eastAsia="黑体"/>
          <w:kern w:val="44"/>
          <w:sz w:val="21"/>
          <w:szCs w:val="44"/>
          <w:lang w:eastAsia="zh-CN"/>
        </w:rPr>
      </w:pPr>
      <w:r>
        <w:rPr>
          <w:rFonts w:hint="eastAsia" w:eastAsia="宋体"/>
          <w:kern w:val="2"/>
          <w:sz w:val="21"/>
          <w:lang w:eastAsia="zh-CN"/>
        </w:rPr>
        <w:br w:type="page"/>
      </w:r>
      <w:r>
        <w:rPr>
          <w:rFonts w:hint="eastAsia" w:ascii="宋体" w:hAnsi="宋体" w:eastAsia="黑体"/>
          <w:kern w:val="44"/>
          <w:sz w:val="28"/>
          <w:szCs w:val="56"/>
          <w:lang w:eastAsia="zh-CN"/>
        </w:rPr>
        <w:t>目   录</w:t>
      </w:r>
    </w:p>
    <w:p w14:paraId="3DDB6024">
      <w:pPr>
        <w:widowControl w:val="0"/>
        <w:jc w:val="both"/>
        <w:outlineLvl w:val="0"/>
        <w:rPr>
          <w:rFonts w:eastAsia="宋体"/>
          <w:bCs/>
          <w:kern w:val="2"/>
          <w:lang w:eastAsia="zh-CN"/>
        </w:rPr>
      </w:pPr>
      <w:r>
        <w:rPr>
          <w:rFonts w:hint="eastAsia" w:eastAsia="宋体"/>
          <w:b/>
          <w:kern w:val="2"/>
          <w:lang w:eastAsia="zh-CN"/>
        </w:rPr>
        <w:t>第一册  专用条款</w:t>
      </w:r>
    </w:p>
    <w:p w14:paraId="47A3A17F">
      <w:pPr>
        <w:widowControl w:val="0"/>
        <w:jc w:val="both"/>
        <w:rPr>
          <w:rFonts w:eastAsia="宋体"/>
          <w:kern w:val="2"/>
          <w:lang w:eastAsia="zh-CN"/>
        </w:rPr>
      </w:pPr>
      <w:r>
        <w:rPr>
          <w:rFonts w:hint="eastAsia" w:eastAsia="宋体"/>
          <w:kern w:val="2"/>
          <w:lang w:eastAsia="zh-CN"/>
        </w:rPr>
        <w:t xml:space="preserve">          关键信息</w:t>
      </w:r>
    </w:p>
    <w:p w14:paraId="13B458B6">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招标公告</w:t>
      </w:r>
    </w:p>
    <w:p w14:paraId="5B060503">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第二章  </w:t>
      </w:r>
      <w:bookmarkStart w:id="5" w:name="_Hlk71994379"/>
      <w:r>
        <w:rPr>
          <w:rFonts w:hint="eastAsia" w:ascii="宋体" w:hAnsi="宋体" w:eastAsia="宋体"/>
          <w:kern w:val="2"/>
          <w:sz w:val="21"/>
          <w:szCs w:val="21"/>
          <w:lang w:eastAsia="zh-CN"/>
        </w:rPr>
        <w:t>对通用条款的补充内容及其他关键信息</w:t>
      </w:r>
      <w:bookmarkEnd w:id="5"/>
    </w:p>
    <w:p w14:paraId="5CD4B95E">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第三章 </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用户需求书</w:t>
      </w:r>
    </w:p>
    <w:p w14:paraId="0AC1D7BB">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第四章 </w:t>
      </w:r>
      <w:r>
        <w:rPr>
          <w:rFonts w:ascii="宋体" w:hAnsi="宋体" w:eastAsia="宋体"/>
          <w:kern w:val="2"/>
          <w:sz w:val="21"/>
          <w:szCs w:val="21"/>
          <w:lang w:eastAsia="zh-CN"/>
        </w:rPr>
        <w:t xml:space="preserve"> </w:t>
      </w:r>
      <w:r>
        <w:rPr>
          <w:rFonts w:hint="eastAsia" w:ascii="宋体" w:hAnsi="宋体" w:eastAsia="宋体"/>
          <w:kern w:val="2"/>
          <w:sz w:val="21"/>
          <w:szCs w:val="21"/>
          <w:lang w:eastAsia="zh-CN"/>
        </w:rPr>
        <w:t>投标文件组成要求及格式</w:t>
      </w:r>
    </w:p>
    <w:p w14:paraId="35160A27">
      <w:pPr>
        <w:widowControl w:val="0"/>
        <w:ind w:left="720" w:leftChars="300" w:firstLine="630" w:firstLineChars="300"/>
        <w:jc w:val="both"/>
        <w:rPr>
          <w:rFonts w:eastAsia="宋体"/>
          <w:b/>
          <w:kern w:val="2"/>
          <w:lang w:eastAsia="zh-CN"/>
        </w:rPr>
      </w:pPr>
      <w:r>
        <w:rPr>
          <w:rFonts w:hint="eastAsia" w:ascii="宋体" w:hAnsi="宋体" w:eastAsia="宋体"/>
          <w:kern w:val="2"/>
          <w:sz w:val="21"/>
          <w:szCs w:val="21"/>
          <w:lang w:eastAsia="zh-CN"/>
        </w:rPr>
        <w:t>第五章  合同条款及格式</w:t>
      </w:r>
    </w:p>
    <w:p w14:paraId="64848C77">
      <w:pPr>
        <w:widowControl w:val="0"/>
        <w:jc w:val="both"/>
        <w:outlineLvl w:val="0"/>
        <w:rPr>
          <w:rFonts w:eastAsia="宋体"/>
          <w:b/>
          <w:kern w:val="2"/>
          <w:lang w:eastAsia="zh-CN"/>
        </w:rPr>
      </w:pPr>
      <w:r>
        <w:rPr>
          <w:rFonts w:hint="eastAsia" w:eastAsia="宋体"/>
          <w:b/>
          <w:kern w:val="2"/>
          <w:lang w:eastAsia="zh-CN"/>
        </w:rPr>
        <w:t>第二册  通用条款</w:t>
      </w:r>
    </w:p>
    <w:p w14:paraId="4FF33E3B">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总则</w:t>
      </w:r>
    </w:p>
    <w:p w14:paraId="77CC1CC0">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招标文件</w:t>
      </w:r>
    </w:p>
    <w:p w14:paraId="5D82A9E9">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投标文件的编制</w:t>
      </w:r>
    </w:p>
    <w:p w14:paraId="10DD6375">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第四章  投标文件的递交</w:t>
      </w:r>
    </w:p>
    <w:p w14:paraId="6E9E03C1">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开标</w:t>
      </w:r>
    </w:p>
    <w:p w14:paraId="2BCDC714">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第六章  评审要求</w:t>
      </w:r>
    </w:p>
    <w:p w14:paraId="3F136F4C">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第七章  评审程序及评审方法</w:t>
      </w:r>
    </w:p>
    <w:p w14:paraId="052766F1">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第八章  定标及公示</w:t>
      </w:r>
    </w:p>
    <w:p w14:paraId="4E342210">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第九章  公开招标失败的后续处理</w:t>
      </w:r>
    </w:p>
    <w:p w14:paraId="73F074ED">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第十章  合同的授予与备案</w:t>
      </w:r>
    </w:p>
    <w:p w14:paraId="440513BD">
      <w:pPr>
        <w:widowControl w:val="0"/>
        <w:ind w:left="720" w:leftChars="300" w:firstLine="630" w:firstLineChars="300"/>
        <w:jc w:val="both"/>
        <w:rPr>
          <w:rFonts w:ascii="宋体" w:hAnsi="宋体" w:eastAsia="宋体"/>
          <w:kern w:val="2"/>
          <w:sz w:val="21"/>
          <w:szCs w:val="21"/>
          <w:lang w:eastAsia="zh-CN"/>
        </w:rPr>
      </w:pPr>
      <w:r>
        <w:rPr>
          <w:rFonts w:hint="eastAsia" w:ascii="宋体" w:hAnsi="宋体" w:eastAsia="宋体"/>
          <w:kern w:val="2"/>
          <w:sz w:val="21"/>
          <w:szCs w:val="21"/>
          <w:lang w:eastAsia="zh-CN"/>
        </w:rPr>
        <w:t>第十一章  质疑处理</w:t>
      </w:r>
    </w:p>
    <w:p w14:paraId="3DDBC9A3">
      <w:pPr>
        <w:widowControl w:val="0"/>
        <w:jc w:val="both"/>
        <w:rPr>
          <w:rFonts w:eastAsia="宋体"/>
          <w:b/>
          <w:kern w:val="2"/>
          <w:lang w:eastAsia="zh-CN"/>
        </w:rPr>
      </w:pPr>
    </w:p>
    <w:p w14:paraId="14E446D0">
      <w:pPr>
        <w:widowControl w:val="0"/>
        <w:jc w:val="center"/>
        <w:rPr>
          <w:rFonts w:ascii="宋体" w:hAnsi="宋体" w:eastAsia="宋体"/>
          <w:b/>
          <w:bCs/>
          <w:sz w:val="28"/>
          <w:szCs w:val="28"/>
          <w:lang w:eastAsia="zh-CN"/>
        </w:rPr>
      </w:pPr>
      <w:r>
        <w:rPr>
          <w:rFonts w:hint="eastAsia" w:eastAsia="宋体"/>
          <w:kern w:val="2"/>
          <w:sz w:val="28"/>
          <w:szCs w:val="28"/>
          <w:lang w:eastAsia="zh-CN"/>
        </w:rPr>
        <w:br w:type="page"/>
      </w:r>
      <w:r>
        <w:rPr>
          <w:rFonts w:hint="eastAsia" w:ascii="宋体" w:hAnsi="宋体" w:eastAsia="宋体"/>
          <w:b/>
          <w:bCs/>
          <w:sz w:val="28"/>
          <w:szCs w:val="28"/>
          <w:lang w:eastAsia="zh-CN"/>
        </w:rPr>
        <w:t>第一册</w:t>
      </w:r>
      <w:r>
        <w:rPr>
          <w:rFonts w:ascii="宋体" w:hAnsi="宋体" w:eastAsia="宋体"/>
          <w:b/>
          <w:bCs/>
          <w:sz w:val="28"/>
          <w:szCs w:val="28"/>
          <w:lang w:eastAsia="zh-CN"/>
        </w:rPr>
        <w:t xml:space="preserve">  </w:t>
      </w:r>
      <w:r>
        <w:rPr>
          <w:rFonts w:hint="eastAsia" w:ascii="宋体" w:hAnsi="宋体" w:eastAsia="宋体"/>
          <w:b/>
          <w:bCs/>
          <w:sz w:val="28"/>
          <w:szCs w:val="28"/>
          <w:lang w:eastAsia="zh-CN"/>
        </w:rPr>
        <w:t>专用条款</w:t>
      </w:r>
    </w:p>
    <w:p w14:paraId="6FE315F2">
      <w:pPr>
        <w:widowControl w:val="0"/>
        <w:bidi w:val="0"/>
        <w:spacing w:before="260" w:after="260"/>
        <w:jc w:val="center"/>
        <w:outlineLvl w:val="2"/>
        <w:rPr>
          <w:rFonts w:hint="eastAsia" w:ascii="宋体" w:hAnsi="宋体" w:eastAsia="宋体"/>
          <w:b/>
          <w:bCs/>
          <w:kern w:val="2"/>
          <w:sz w:val="28"/>
          <w:szCs w:val="44"/>
          <w:lang w:eastAsia="zh-CN"/>
        </w:rPr>
      </w:pPr>
      <w:r>
        <w:rPr>
          <w:rFonts w:hint="eastAsia" w:ascii="宋体" w:hAnsi="宋体" w:eastAsia="宋体"/>
          <w:b/>
          <w:bCs/>
          <w:kern w:val="2"/>
          <w:sz w:val="28"/>
          <w:szCs w:val="44"/>
          <w:lang w:eastAsia="zh-CN"/>
        </w:rPr>
        <w:t>第一章  招标公告</w:t>
      </w:r>
    </w:p>
    <w:p w14:paraId="3EA8E790">
      <w:pPr>
        <w:widowControl w:val="0"/>
        <w:spacing w:line="400" w:lineRule="exact"/>
        <w:jc w:val="both"/>
        <w:rPr>
          <w:rFonts w:ascii="宋体" w:hAnsi="宋体" w:eastAsia="宋体" w:cs="宋体"/>
          <w:b/>
          <w:bCs/>
          <w:sz w:val="21"/>
          <w:szCs w:val="21"/>
          <w:lang w:eastAsia="zh-CN"/>
        </w:rPr>
      </w:pPr>
      <w:r>
        <w:rPr>
          <w:rFonts w:hint="eastAsia" w:ascii="宋体" w:hAnsi="宋体" w:eastAsia="宋体" w:cs="宋体"/>
          <w:b/>
          <w:bCs/>
          <w:sz w:val="21"/>
          <w:szCs w:val="21"/>
          <w:lang w:eastAsia="zh-CN"/>
        </w:rPr>
        <w:t>申请人的资格要求:</w:t>
      </w:r>
    </w:p>
    <w:p w14:paraId="54364334">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1</w:t>
      </w:r>
      <w:r>
        <w:rPr>
          <w:rFonts w:ascii="宋体" w:hAnsi="宋体" w:eastAsia="宋体" w:cs="宋体"/>
          <w:sz w:val="21"/>
          <w:szCs w:val="21"/>
          <w:lang w:eastAsia="zh-CN"/>
        </w:rPr>
        <w:t>.</w:t>
      </w:r>
      <w:r>
        <w:rPr>
          <w:rFonts w:hint="eastAsia" w:ascii="宋体" w:hAnsi="宋体" w:eastAsia="宋体" w:cs="宋体"/>
          <w:sz w:val="21"/>
          <w:szCs w:val="21"/>
          <w:lang w:eastAsia="zh-CN"/>
        </w:rPr>
        <w:t>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p>
    <w:p w14:paraId="3356E54E">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2.本项目不接受联合体投标，不接受投标人选用进口产品参与投标（由供应商在《采购投标及履约承诺函》中作出声明）；</w:t>
      </w:r>
    </w:p>
    <w:p w14:paraId="7866BA6A">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3</w:t>
      </w:r>
      <w:r>
        <w:rPr>
          <w:rFonts w:ascii="宋体" w:hAnsi="宋体" w:eastAsia="宋体" w:cs="宋体"/>
          <w:sz w:val="21"/>
          <w:szCs w:val="21"/>
          <w:lang w:eastAsia="zh-CN"/>
        </w:rPr>
        <w:t>.</w:t>
      </w:r>
      <w:r>
        <w:rPr>
          <w:rFonts w:hint="eastAsia" w:ascii="宋体" w:hAnsi="宋体" w:eastAsia="宋体" w:cs="宋体"/>
          <w:sz w:val="21"/>
          <w:szCs w:val="21"/>
          <w:lang w:eastAsia="zh-CN"/>
        </w:rPr>
        <w:t>参与本项目采购活动时不存在被有关部门禁止参与政府采购活动且在有效期内的情况（由供应商在《采购投标及履约承诺函》中作出声明）；</w:t>
      </w:r>
    </w:p>
    <w:p w14:paraId="68C01697">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4</w:t>
      </w:r>
      <w:r>
        <w:rPr>
          <w:rFonts w:ascii="宋体" w:hAnsi="宋体" w:eastAsia="宋体" w:cs="宋体"/>
          <w:sz w:val="21"/>
          <w:szCs w:val="21"/>
          <w:lang w:eastAsia="zh-CN"/>
        </w:rPr>
        <w:t>.</w:t>
      </w:r>
      <w:r>
        <w:rPr>
          <w:rFonts w:hint="eastAsia" w:ascii="宋体" w:hAnsi="宋体" w:eastAsia="宋体" w:cs="宋体"/>
          <w:sz w:val="21"/>
          <w:szCs w:val="21"/>
          <w:lang w:eastAsia="zh-CN"/>
        </w:rPr>
        <w:t>具备《中华人民共和国政府采购法》第二十二条第一款的条件（由供应商在《采购投标及履约承诺函》中作出声明）；</w:t>
      </w:r>
    </w:p>
    <w:p w14:paraId="334F1E1C">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5</w:t>
      </w:r>
      <w:r>
        <w:rPr>
          <w:rFonts w:ascii="宋体" w:hAnsi="宋体" w:eastAsia="宋体" w:cs="宋体"/>
          <w:sz w:val="21"/>
          <w:szCs w:val="21"/>
          <w:lang w:eastAsia="zh-CN"/>
        </w:rPr>
        <w:t>.</w:t>
      </w:r>
      <w:r>
        <w:rPr>
          <w:rFonts w:hint="eastAsia" w:ascii="宋体" w:hAnsi="宋体" w:eastAsia="宋体" w:cs="宋体"/>
          <w:sz w:val="21"/>
          <w:szCs w:val="21"/>
          <w:lang w:eastAsia="zh-CN"/>
        </w:rPr>
        <w:t>未被列入失信被执行人、重大税收违法案件当事人名单、政府采购严重违法失信行为记录名单（由供应商在《采购投标及履约承诺函》中作出声明）；</w:t>
      </w:r>
    </w:p>
    <w:p w14:paraId="19306B3E">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6.不存在《深圳市财政局政府采购供应商信用信息管理办法》（深财规〔2023〕3号）列明的严重违法失信行为（由供应商在《采购投标及履约承诺函》中作出声明）；</w:t>
      </w:r>
    </w:p>
    <w:p w14:paraId="05719A73">
      <w:pPr>
        <w:widowControl w:val="0"/>
        <w:ind w:firstLine="630" w:firstLineChars="300"/>
        <w:jc w:val="both"/>
        <w:rPr>
          <w:rFonts w:ascii="宋体" w:hAnsi="宋体" w:eastAsia="宋体" w:cs="宋体"/>
          <w:sz w:val="21"/>
          <w:szCs w:val="21"/>
          <w:lang w:eastAsia="zh-CN"/>
        </w:rPr>
      </w:pPr>
      <w:r>
        <w:rPr>
          <w:rFonts w:hint="eastAsia" w:ascii="宋体" w:hAnsi="宋体" w:eastAsia="宋体" w:cs="宋体"/>
          <w:sz w:val="21"/>
          <w:szCs w:val="21"/>
          <w:lang w:eastAsia="zh-CN"/>
        </w:rPr>
        <w:t>7.为采购项目提供整体设计、规范编制或者项目管理、监理、检测等服务的供应商，不得再参加该采购项目的其他采购活动（由供应商在《采购投标及履约承诺函》中作出声明）；</w:t>
      </w:r>
    </w:p>
    <w:p w14:paraId="42E62AE9">
      <w:pPr>
        <w:widowControl w:val="0"/>
        <w:ind w:firstLine="630" w:firstLineChars="300"/>
        <w:jc w:val="both"/>
        <w:rPr>
          <w:rFonts w:ascii="宋体" w:hAnsi="宋体" w:eastAsia="宋体" w:cs="宋体"/>
          <w:color w:val="FF0000"/>
          <w:sz w:val="21"/>
          <w:szCs w:val="21"/>
          <w:lang w:eastAsia="zh-CN"/>
        </w:rPr>
      </w:pPr>
      <w:r>
        <w:rPr>
          <w:rFonts w:hint="eastAsia" w:ascii="宋体" w:hAnsi="宋体" w:eastAsia="宋体" w:cs="宋体"/>
          <w:color w:val="FF0000"/>
          <w:sz w:val="21"/>
          <w:szCs w:val="21"/>
          <w:lang w:eastAsia="zh-C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w:t>
      </w:r>
      <w:r>
        <w:rPr>
          <w:rFonts w:hint="eastAsia" w:ascii="宋体" w:hAnsi="宋体" w:eastAsia="宋体" w:cs="宋体"/>
          <w:b/>
          <w:color w:val="FF0000"/>
          <w:sz w:val="21"/>
          <w:szCs w:val="21"/>
          <w:lang w:eastAsia="zh-CN"/>
        </w:rPr>
        <w:t>（由供应商提供《供应商基本情况表》并加盖公章扫描件）；</w:t>
      </w:r>
    </w:p>
    <w:p w14:paraId="2AFD4EF2">
      <w:pPr>
        <w:keepNext w:val="0"/>
        <w:keepLines w:val="0"/>
        <w:pageBreakBefore w:val="0"/>
        <w:widowControl w:val="0"/>
        <w:kinsoku/>
        <w:wordWrap/>
        <w:overflowPunct/>
        <w:topLinePunct w:val="0"/>
        <w:autoSpaceDE/>
        <w:autoSpaceDN/>
        <w:bidi w:val="0"/>
        <w:adjustRightInd/>
        <w:snapToGrid/>
        <w:spacing w:line="360" w:lineRule="exact"/>
        <w:ind w:firstLine="630" w:firstLineChars="300"/>
        <w:jc w:val="both"/>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9.本项目是（否）专门面向中小企业采购：否。</w:t>
      </w:r>
    </w:p>
    <w:p w14:paraId="530186A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eastAsia="宋体"/>
          <w:b/>
          <w:bCs/>
          <w:kern w:val="2"/>
          <w:lang w:eastAsia="zh-CN"/>
        </w:rPr>
      </w:pPr>
    </w:p>
    <w:p w14:paraId="4DEE52C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both"/>
        <w:textAlignment w:val="auto"/>
        <w:rPr>
          <w:rFonts w:ascii="宋体" w:hAnsi="宋体" w:eastAsia="宋体" w:cs="宋体"/>
          <w:sz w:val="21"/>
          <w:szCs w:val="21"/>
          <w:lang w:eastAsia="zh-CN"/>
        </w:rPr>
      </w:pPr>
      <w:r>
        <w:rPr>
          <w:rFonts w:hint="eastAsia" w:ascii="宋体" w:hAnsi="宋体" w:eastAsia="宋体" w:cs="宋体"/>
          <w:sz w:val="21"/>
          <w:szCs w:val="21"/>
          <w:lang w:eastAsia="zh-CN"/>
        </w:rPr>
        <w:t>注：（</w:t>
      </w:r>
      <w:r>
        <w:rPr>
          <w:rFonts w:ascii="宋体" w:hAnsi="宋体" w:eastAsia="宋体" w:cs="宋体"/>
          <w:sz w:val="21"/>
          <w:szCs w:val="21"/>
          <w:lang w:eastAsia="zh-CN"/>
        </w:rPr>
        <w:t>1</w:t>
      </w:r>
      <w:r>
        <w:rPr>
          <w:rFonts w:hint="eastAsia" w:ascii="宋体" w:hAnsi="宋体" w:eastAsia="宋体" w:cs="宋体"/>
          <w:sz w:val="21"/>
          <w:szCs w:val="21"/>
          <w:lang w:eastAsia="zh-CN"/>
        </w:rPr>
        <w:t>）“信用中国”（www.creditchina.gov.cn,查询“信用服务”栏的“重大税收违法失信主体”“失信被执行人”或者下载信用信息报告），“中国政府采购网”（</w:t>
      </w:r>
      <w:r>
        <w:rPr>
          <w:rFonts w:ascii="宋体" w:hAnsi="宋体" w:eastAsia="宋体" w:cs="宋体"/>
          <w:sz w:val="21"/>
          <w:szCs w:val="21"/>
          <w:lang w:eastAsia="zh-CN"/>
        </w:rPr>
        <w:t>www.ccgp.gov.cn</w:t>
      </w:r>
      <w:r>
        <w:rPr>
          <w:rFonts w:hint="eastAsia" w:ascii="宋体" w:hAnsi="宋体" w:eastAsia="宋体" w:cs="宋体"/>
          <w:sz w:val="21"/>
          <w:szCs w:val="21"/>
          <w:lang w:eastAsia="zh-CN"/>
        </w:rPr>
        <w:t>）中的“政府采购严重违法失信行为记录名单”,以及“深圳市政府采购监管网”（</w:t>
      </w:r>
      <w:r>
        <w:rPr>
          <w:rFonts w:ascii="宋体" w:hAnsi="宋体" w:eastAsia="宋体" w:cs="宋体"/>
          <w:sz w:val="21"/>
          <w:szCs w:val="21"/>
          <w:lang w:eastAsia="zh-CN"/>
        </w:rPr>
        <w:t>http://zfcg.sz.gov.cn</w:t>
      </w:r>
      <w:r>
        <w:rPr>
          <w:rFonts w:hint="eastAsia" w:ascii="宋体" w:hAnsi="宋体" w:eastAsia="宋体" w:cs="宋体"/>
          <w:sz w:val="21"/>
          <w:szCs w:val="21"/>
          <w:lang w:eastAsia="zh-CN"/>
        </w:rPr>
        <w:t>）为供应商信用信息的查询渠道,相关信息以开标当日的查询结果为准；</w:t>
      </w:r>
    </w:p>
    <w:p w14:paraId="46B49EA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宋体" w:hAnsi="宋体" w:eastAsia="宋体"/>
          <w:kern w:val="2"/>
          <w:sz w:val="21"/>
          <w:lang w:eastAsia="zh-CN"/>
        </w:rPr>
      </w:pPr>
      <w:r>
        <w:rPr>
          <w:rFonts w:hint="eastAsia" w:ascii="宋体" w:hAnsi="宋体" w:eastAsia="宋体"/>
          <w:kern w:val="2"/>
          <w:sz w:val="21"/>
          <w:lang w:eastAsia="zh-CN"/>
        </w:rPr>
        <w:t>（</w:t>
      </w:r>
      <w:r>
        <w:rPr>
          <w:rFonts w:ascii="宋体" w:hAnsi="宋体" w:eastAsia="宋体"/>
          <w:kern w:val="2"/>
          <w:sz w:val="21"/>
          <w:lang w:eastAsia="zh-CN"/>
        </w:rPr>
        <w:t>2</w:t>
      </w:r>
      <w:r>
        <w:rPr>
          <w:rFonts w:hint="eastAsia" w:ascii="宋体" w:hAnsi="宋体" w:eastAsia="宋体"/>
          <w:kern w:val="2"/>
          <w:sz w:val="21"/>
          <w:lang w:eastAsia="zh-CN"/>
        </w:rPr>
        <w:t>）供应商投标（上传投标文件）必须先行办理注册手续，具体操作指引请按照深圳公共资源交易网</w:t>
      </w:r>
      <w:r>
        <w:rPr>
          <w:rFonts w:ascii="宋体" w:hAnsi="宋体" w:eastAsia="宋体"/>
          <w:kern w:val="2"/>
          <w:sz w:val="21"/>
          <w:lang w:eastAsia="zh-CN"/>
        </w:rPr>
        <w:t>/交易服务指南/资料下载/深圳自行采购系统用户操作指引（供应商）相关内容指引办理</w:t>
      </w:r>
      <w:r>
        <w:rPr>
          <w:rFonts w:hint="eastAsia" w:ascii="宋体" w:hAnsi="宋体" w:eastAsia="宋体"/>
          <w:kern w:val="2"/>
          <w:sz w:val="21"/>
          <w:lang w:eastAsia="zh-CN"/>
        </w:rPr>
        <w:t>。</w:t>
      </w:r>
    </w:p>
    <w:p w14:paraId="7F861200">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宋体"/>
          <w:b/>
          <w:kern w:val="2"/>
          <w:sz w:val="22"/>
          <w:szCs w:val="18"/>
          <w:lang w:eastAsia="zh-CN"/>
        </w:rPr>
      </w:pPr>
    </w:p>
    <w:p w14:paraId="5ED2C265">
      <w:pPr>
        <w:widowControl w:val="0"/>
        <w:jc w:val="both"/>
        <w:rPr>
          <w:rFonts w:hint="eastAsia" w:eastAsia="宋体"/>
          <w:b/>
          <w:kern w:val="2"/>
          <w:sz w:val="22"/>
          <w:szCs w:val="18"/>
          <w:lang w:eastAsia="zh-CN"/>
        </w:rPr>
      </w:pPr>
      <w:r>
        <w:rPr>
          <w:rFonts w:hint="eastAsia" w:eastAsia="宋体"/>
          <w:b/>
          <w:kern w:val="2"/>
          <w:sz w:val="22"/>
          <w:szCs w:val="18"/>
          <w:lang w:eastAsia="zh-CN"/>
        </w:rPr>
        <w:t>完整公告内容详见：深圳交易集团官网https://www.szexgrp.com/jyfw/zfcg-view.html?id=zfcg</w:t>
      </w:r>
      <w:bookmarkStart w:id="6" w:name="bt投标函"/>
      <w:bookmarkEnd w:id="6"/>
      <w:bookmarkStart w:id="7" w:name="bt投标报价汇总表"/>
      <w:bookmarkEnd w:id="7"/>
      <w:bookmarkStart w:id="8" w:name="bt合同格式"/>
      <w:bookmarkEnd w:id="8"/>
      <w:bookmarkStart w:id="9" w:name="bt投标人情况介绍"/>
      <w:bookmarkEnd w:id="9"/>
      <w:bookmarkStart w:id="10" w:name="bt其他资料2"/>
      <w:bookmarkEnd w:id="10"/>
      <w:bookmarkStart w:id="11" w:name="bt合同条款"/>
      <w:bookmarkEnd w:id="11"/>
      <w:bookmarkStart w:id="12" w:name="bt开标一览表"/>
      <w:bookmarkEnd w:id="12"/>
      <w:bookmarkStart w:id="13" w:name="合同格式"/>
      <w:bookmarkEnd w:id="13"/>
      <w:bookmarkStart w:id="14" w:name="bt合同条款及格式"/>
      <w:bookmarkEnd w:id="14"/>
      <w:bookmarkStart w:id="15" w:name="bt说明"/>
      <w:bookmarkEnd w:id="15"/>
      <w:bookmarkStart w:id="16" w:name="bt投标人须知"/>
      <w:bookmarkEnd w:id="16"/>
      <w:bookmarkStart w:id="17" w:name="bt商务标投标文件格式"/>
      <w:bookmarkEnd w:id="17"/>
      <w:bookmarkStart w:id="18" w:name="bt技术标投标文件格式"/>
      <w:bookmarkEnd w:id="18"/>
      <w:bookmarkStart w:id="19" w:name="bt投标文件签署授权委托书"/>
      <w:bookmarkEnd w:id="19"/>
      <w:bookmarkStart w:id="20" w:name="bt其他资料由投标人自定"/>
      <w:bookmarkEnd w:id="20"/>
      <w:bookmarkStart w:id="21" w:name="bt项目管理班子配备情况"/>
      <w:bookmarkEnd w:id="21"/>
      <w:bookmarkStart w:id="22" w:name="bt本工程承诺书"/>
      <w:bookmarkEnd w:id="22"/>
    </w:p>
    <w:p w14:paraId="44234140">
      <w:pPr>
        <w:widowControl w:val="0"/>
        <w:bidi w:val="0"/>
        <w:spacing w:before="260" w:after="260"/>
        <w:jc w:val="center"/>
        <w:outlineLvl w:val="2"/>
        <w:rPr>
          <w:rFonts w:hint="eastAsia" w:ascii="宋体" w:hAnsi="宋体" w:eastAsia="宋体"/>
          <w:b/>
          <w:bCs/>
          <w:kern w:val="2"/>
          <w:sz w:val="28"/>
          <w:szCs w:val="44"/>
          <w:lang w:eastAsia="zh-CN"/>
        </w:rPr>
      </w:pPr>
      <w:r>
        <w:rPr>
          <w:rFonts w:hint="eastAsia" w:ascii="宋体" w:hAnsi="宋体" w:eastAsia="宋体"/>
          <w:b/>
          <w:bCs/>
          <w:kern w:val="2"/>
          <w:sz w:val="28"/>
          <w:szCs w:val="44"/>
          <w:lang w:eastAsia="zh-CN"/>
        </w:rPr>
        <w:t>第二章 对通用条款的补充内容及其他关键信息</w:t>
      </w:r>
    </w:p>
    <w:p w14:paraId="32C1C421">
      <w:pPr>
        <w:widowControl w:val="0"/>
        <w:adjustRightInd w:val="0"/>
        <w:spacing w:before="156" w:beforeLines="50" w:after="156" w:afterLines="50"/>
        <w:jc w:val="center"/>
        <w:textAlignment w:val="baseline"/>
        <w:outlineLvl w:val="1"/>
        <w:rPr>
          <w:rFonts w:ascii="宋体" w:hAnsi="宋体" w:eastAsia="宋体"/>
          <w:b/>
          <w:sz w:val="28"/>
          <w:szCs w:val="28"/>
          <w:lang w:eastAsia="zh-CN"/>
        </w:rPr>
      </w:pPr>
      <w:bookmarkStart w:id="23" w:name="_Toc73521547"/>
      <w:bookmarkStart w:id="24" w:name="_Toc73517639"/>
      <w:bookmarkStart w:id="25" w:name="_Toc101074876"/>
      <w:bookmarkStart w:id="26" w:name="_Toc60631620"/>
      <w:bookmarkStart w:id="27" w:name="_Toc60560625"/>
      <w:bookmarkStart w:id="28" w:name="_Toc73521635"/>
      <w:bookmarkStart w:id="29" w:name="_Toc73518117"/>
      <w:bookmarkStart w:id="30" w:name="_Toc100052364"/>
      <w:r>
        <w:rPr>
          <w:rFonts w:hint="eastAsia" w:ascii="宋体" w:hAnsi="宋体" w:eastAsia="宋体"/>
          <w:b/>
          <w:lang w:eastAsia="zh-CN"/>
        </w:rPr>
        <w:t>一、对通用条款的补充内容</w:t>
      </w:r>
    </w:p>
    <w:bookmarkEnd w:id="23"/>
    <w:bookmarkEnd w:id="24"/>
    <w:bookmarkEnd w:id="25"/>
    <w:bookmarkEnd w:id="26"/>
    <w:bookmarkEnd w:id="27"/>
    <w:bookmarkEnd w:id="28"/>
    <w:bookmarkEnd w:id="29"/>
    <w:bookmarkEnd w:id="30"/>
    <w:tbl>
      <w:tblPr>
        <w:tblStyle w:val="6"/>
        <w:tblW w:w="5000"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72"/>
        <w:gridCol w:w="1950"/>
        <w:gridCol w:w="6082"/>
      </w:tblGrid>
      <w:tr w14:paraId="6FE2C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08EC470E">
            <w:pPr>
              <w:widowControl w:val="0"/>
              <w:jc w:val="center"/>
              <w:rPr>
                <w:rFonts w:ascii="宋体" w:hAnsi="宋体" w:eastAsia="宋体"/>
                <w:b/>
                <w:bCs/>
                <w:kern w:val="2"/>
                <w:sz w:val="21"/>
                <w:lang w:eastAsia="zh-CN"/>
              </w:rPr>
            </w:pPr>
            <w:r>
              <w:rPr>
                <w:rFonts w:hint="eastAsia" w:ascii="宋体" w:hAnsi="宋体" w:eastAsia="宋体"/>
                <w:b/>
                <w:bCs/>
                <w:kern w:val="2"/>
                <w:sz w:val="21"/>
                <w:lang w:eastAsia="zh-CN"/>
              </w:rPr>
              <w:t>通用条款序号</w:t>
            </w:r>
          </w:p>
        </w:tc>
        <w:tc>
          <w:tcPr>
            <w:tcW w:w="1946" w:type="dxa"/>
            <w:vAlign w:val="center"/>
          </w:tcPr>
          <w:p w14:paraId="64ED7A37">
            <w:pPr>
              <w:widowControl w:val="0"/>
              <w:jc w:val="center"/>
              <w:rPr>
                <w:rFonts w:ascii="宋体" w:hAnsi="宋体" w:eastAsia="宋体"/>
                <w:b/>
                <w:bCs/>
                <w:kern w:val="2"/>
                <w:sz w:val="21"/>
                <w:lang w:eastAsia="zh-CN"/>
              </w:rPr>
            </w:pPr>
            <w:r>
              <w:rPr>
                <w:rFonts w:hint="eastAsia" w:ascii="宋体" w:hAnsi="宋体" w:eastAsia="宋体"/>
                <w:b/>
                <w:bCs/>
                <w:kern w:val="2"/>
                <w:sz w:val="21"/>
                <w:lang w:eastAsia="zh-CN"/>
              </w:rPr>
              <w:t>涉及事项</w:t>
            </w:r>
          </w:p>
        </w:tc>
        <w:tc>
          <w:tcPr>
            <w:tcW w:w="6068" w:type="dxa"/>
            <w:vAlign w:val="center"/>
          </w:tcPr>
          <w:p w14:paraId="35E6E1E6">
            <w:pPr>
              <w:widowControl w:val="0"/>
              <w:jc w:val="center"/>
              <w:rPr>
                <w:rFonts w:ascii="宋体" w:hAnsi="宋体" w:eastAsia="宋体"/>
                <w:b/>
                <w:bCs/>
                <w:kern w:val="2"/>
                <w:sz w:val="21"/>
                <w:lang w:eastAsia="zh-CN"/>
              </w:rPr>
            </w:pPr>
            <w:r>
              <w:rPr>
                <w:rFonts w:hint="eastAsia" w:ascii="宋体" w:hAnsi="宋体" w:eastAsia="宋体"/>
                <w:b/>
                <w:bCs/>
                <w:kern w:val="2"/>
                <w:sz w:val="21"/>
                <w:lang w:eastAsia="zh-CN"/>
              </w:rPr>
              <w:t xml:space="preserve">具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体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补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充 </w:t>
            </w:r>
            <w:r>
              <w:rPr>
                <w:rFonts w:ascii="宋体" w:hAnsi="宋体" w:eastAsia="宋体"/>
                <w:b/>
                <w:bCs/>
                <w:kern w:val="2"/>
                <w:sz w:val="21"/>
                <w:lang w:eastAsia="zh-CN"/>
              </w:rPr>
              <w:t xml:space="preserve"> </w:t>
            </w:r>
            <w:r>
              <w:rPr>
                <w:rFonts w:hint="eastAsia" w:ascii="宋体" w:hAnsi="宋体" w:eastAsia="宋体"/>
                <w:b/>
                <w:bCs/>
                <w:kern w:val="2"/>
                <w:sz w:val="21"/>
                <w:lang w:eastAsia="zh-CN"/>
              </w:rPr>
              <w:t xml:space="preserve">内 </w:t>
            </w:r>
            <w:r>
              <w:rPr>
                <w:rFonts w:ascii="宋体" w:hAnsi="宋体" w:eastAsia="宋体"/>
                <w:b/>
                <w:bCs/>
                <w:kern w:val="2"/>
                <w:sz w:val="21"/>
                <w:lang w:eastAsia="zh-CN"/>
              </w:rPr>
              <w:t xml:space="preserve"> </w:t>
            </w:r>
            <w:r>
              <w:rPr>
                <w:rFonts w:hint="eastAsia" w:ascii="宋体" w:hAnsi="宋体" w:eastAsia="宋体"/>
                <w:b/>
                <w:bCs/>
                <w:kern w:val="2"/>
                <w:sz w:val="21"/>
                <w:lang w:eastAsia="zh-CN"/>
              </w:rPr>
              <w:t>容</w:t>
            </w:r>
          </w:p>
        </w:tc>
      </w:tr>
      <w:tr w14:paraId="76F51F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8984" w:type="dxa"/>
            <w:gridSpan w:val="3"/>
            <w:vAlign w:val="center"/>
          </w:tcPr>
          <w:p w14:paraId="6B9EBB47">
            <w:pPr>
              <w:widowControl w:val="0"/>
              <w:jc w:val="center"/>
              <w:rPr>
                <w:rFonts w:ascii="宋体" w:hAnsi="宋体" w:eastAsia="宋体"/>
                <w:b/>
                <w:bCs/>
                <w:kern w:val="2"/>
                <w:sz w:val="21"/>
                <w:lang w:eastAsia="zh-CN"/>
              </w:rPr>
            </w:pPr>
            <w:r>
              <w:rPr>
                <w:rFonts w:hint="eastAsia" w:ascii="宋体" w:hAnsi="宋体" w:eastAsia="宋体"/>
                <w:kern w:val="2"/>
                <w:sz w:val="21"/>
                <w:lang w:eastAsia="zh-CN"/>
              </w:rPr>
              <w:t>本项目为自行采购项目，相关事宜按照招标文件要求及采购单位内控制度执行。</w:t>
            </w:r>
          </w:p>
        </w:tc>
      </w:tr>
      <w:tr w14:paraId="5B4821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73A32B7">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.1</w:t>
            </w:r>
          </w:p>
        </w:tc>
        <w:tc>
          <w:tcPr>
            <w:tcW w:w="1946" w:type="dxa"/>
            <w:vAlign w:val="center"/>
          </w:tcPr>
          <w:p w14:paraId="7F966D6D">
            <w:pPr>
              <w:widowControl w:val="0"/>
              <w:jc w:val="center"/>
              <w:rPr>
                <w:rFonts w:ascii="宋体" w:hAnsi="宋体" w:eastAsia="宋体"/>
                <w:kern w:val="2"/>
                <w:sz w:val="21"/>
                <w:lang w:eastAsia="zh-CN"/>
              </w:rPr>
            </w:pPr>
            <w:r>
              <w:rPr>
                <w:rFonts w:hint="eastAsia" w:ascii="宋体" w:hAnsi="宋体" w:eastAsia="宋体"/>
                <w:kern w:val="2"/>
                <w:sz w:val="21"/>
                <w:lang w:eastAsia="zh-CN"/>
              </w:rPr>
              <w:t>采购人</w:t>
            </w:r>
          </w:p>
        </w:tc>
        <w:tc>
          <w:tcPr>
            <w:tcW w:w="6068" w:type="dxa"/>
            <w:vAlign w:val="center"/>
          </w:tcPr>
          <w:p w14:paraId="19C66E9E">
            <w:pPr>
              <w:widowControl w:val="0"/>
              <w:jc w:val="center"/>
              <w:rPr>
                <w:rFonts w:ascii="宋体" w:hAnsi="宋体" w:eastAsia="宋体"/>
                <w:kern w:val="2"/>
                <w:sz w:val="21"/>
                <w:lang w:eastAsia="zh-CN"/>
              </w:rPr>
            </w:pPr>
            <w:r>
              <w:rPr>
                <w:rFonts w:hint="eastAsia" w:ascii="宋体" w:hAnsi="宋体" w:eastAsia="宋体"/>
                <w:kern w:val="2"/>
                <w:sz w:val="21"/>
                <w:lang w:eastAsia="zh-CN"/>
              </w:rPr>
              <w:t>深圳市急救中心</w:t>
            </w:r>
          </w:p>
        </w:tc>
      </w:tr>
      <w:tr w14:paraId="357AE0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DEFD6A7">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.2</w:t>
            </w:r>
          </w:p>
        </w:tc>
        <w:tc>
          <w:tcPr>
            <w:tcW w:w="1946" w:type="dxa"/>
            <w:vAlign w:val="center"/>
          </w:tcPr>
          <w:p w14:paraId="4394DBEA">
            <w:pPr>
              <w:widowControl w:val="0"/>
              <w:jc w:val="center"/>
              <w:rPr>
                <w:rFonts w:ascii="宋体" w:hAnsi="宋体" w:eastAsia="宋体"/>
                <w:kern w:val="2"/>
                <w:sz w:val="21"/>
                <w:lang w:eastAsia="zh-CN"/>
              </w:rPr>
            </w:pPr>
            <w:r>
              <w:rPr>
                <w:rFonts w:hint="eastAsia" w:ascii="宋体" w:hAnsi="宋体" w:eastAsia="宋体"/>
                <w:kern w:val="2"/>
                <w:sz w:val="21"/>
                <w:lang w:eastAsia="zh-CN"/>
              </w:rPr>
              <w:t>采购代理机构</w:t>
            </w:r>
          </w:p>
        </w:tc>
        <w:tc>
          <w:tcPr>
            <w:tcW w:w="6068" w:type="dxa"/>
            <w:vAlign w:val="center"/>
          </w:tcPr>
          <w:p w14:paraId="64374025">
            <w:pPr>
              <w:widowControl w:val="0"/>
              <w:jc w:val="center"/>
              <w:rPr>
                <w:rFonts w:ascii="宋体" w:hAnsi="宋体" w:eastAsia="宋体"/>
                <w:kern w:val="2"/>
                <w:sz w:val="21"/>
                <w:lang w:eastAsia="zh-CN"/>
              </w:rPr>
            </w:pPr>
            <w:r>
              <w:rPr>
                <w:rFonts w:hint="eastAsia" w:ascii="宋体" w:hAnsi="宋体" w:eastAsia="宋体"/>
                <w:kern w:val="2"/>
                <w:sz w:val="21"/>
                <w:lang w:eastAsia="zh-CN"/>
              </w:rPr>
              <w:t>深圳公共资源交易中心</w:t>
            </w:r>
          </w:p>
          <w:p w14:paraId="36F8E393">
            <w:pPr>
              <w:widowControl w:val="0"/>
              <w:jc w:val="center"/>
              <w:rPr>
                <w:rFonts w:ascii="宋体" w:hAnsi="宋体" w:eastAsia="宋体"/>
                <w:kern w:val="2"/>
                <w:sz w:val="21"/>
                <w:lang w:eastAsia="zh-CN"/>
              </w:rPr>
            </w:pPr>
            <w:r>
              <w:rPr>
                <w:rFonts w:hint="eastAsia" w:ascii="宋体" w:hAnsi="宋体" w:eastAsia="宋体"/>
                <w:kern w:val="2"/>
                <w:sz w:val="21"/>
                <w:lang w:eastAsia="zh-CN"/>
              </w:rPr>
              <w:t>（深圳交易集团有限公司政府采购业务分公司）</w:t>
            </w:r>
          </w:p>
        </w:tc>
      </w:tr>
      <w:tr w14:paraId="0EDB24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5F3EBE6">
            <w:pPr>
              <w:widowControl w:val="0"/>
              <w:jc w:val="center"/>
              <w:rPr>
                <w:rFonts w:ascii="宋体" w:hAnsi="宋体" w:eastAsia="宋体"/>
                <w:kern w:val="2"/>
                <w:sz w:val="21"/>
                <w:lang w:eastAsia="zh-CN"/>
              </w:rPr>
            </w:pPr>
            <w:r>
              <w:rPr>
                <w:rFonts w:hint="eastAsia" w:ascii="宋体" w:hAnsi="宋体" w:eastAsia="宋体"/>
                <w:kern w:val="2"/>
                <w:sz w:val="21"/>
                <w:lang w:eastAsia="zh-CN"/>
              </w:rPr>
              <w:t>9</w:t>
            </w:r>
          </w:p>
        </w:tc>
        <w:tc>
          <w:tcPr>
            <w:tcW w:w="1946" w:type="dxa"/>
            <w:vAlign w:val="center"/>
          </w:tcPr>
          <w:p w14:paraId="192EA93E">
            <w:pPr>
              <w:widowControl w:val="0"/>
              <w:jc w:val="center"/>
              <w:rPr>
                <w:rFonts w:ascii="宋体" w:hAnsi="宋体" w:eastAsia="宋体"/>
                <w:kern w:val="2"/>
                <w:sz w:val="21"/>
                <w:lang w:eastAsia="zh-CN"/>
              </w:rPr>
            </w:pPr>
            <w:r>
              <w:rPr>
                <w:rFonts w:hint="eastAsia" w:ascii="宋体" w:hAnsi="宋体" w:eastAsia="宋体"/>
                <w:kern w:val="2"/>
                <w:sz w:val="21"/>
                <w:lang w:eastAsia="zh-CN"/>
              </w:rPr>
              <w:t>踏勘现场</w:t>
            </w:r>
          </w:p>
        </w:tc>
        <w:tc>
          <w:tcPr>
            <w:tcW w:w="6068" w:type="dxa"/>
            <w:vAlign w:val="center"/>
          </w:tcPr>
          <w:p w14:paraId="691E1236">
            <w:pPr>
              <w:widowControl w:val="0"/>
              <w:jc w:val="center"/>
              <w:rPr>
                <w:rFonts w:ascii="宋体" w:hAnsi="宋体" w:eastAsia="宋体"/>
                <w:kern w:val="2"/>
                <w:sz w:val="21"/>
                <w:lang w:eastAsia="zh-CN"/>
              </w:rPr>
            </w:pPr>
            <w:r>
              <w:rPr>
                <w:rFonts w:hint="eastAsia" w:ascii="宋体" w:hAnsi="宋体" w:eastAsia="宋体"/>
                <w:kern w:val="2"/>
                <w:sz w:val="21"/>
                <w:lang w:eastAsia="zh-CN"/>
              </w:rPr>
              <w:t>不组织</w:t>
            </w:r>
          </w:p>
        </w:tc>
      </w:tr>
      <w:tr w14:paraId="763DE0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C65C169">
            <w:pPr>
              <w:widowControl w:val="0"/>
              <w:jc w:val="center"/>
              <w:rPr>
                <w:rFonts w:ascii="宋体" w:hAnsi="宋体" w:eastAsia="宋体"/>
                <w:kern w:val="2"/>
                <w:sz w:val="21"/>
                <w:lang w:eastAsia="zh-CN"/>
              </w:rPr>
            </w:pPr>
            <w:r>
              <w:rPr>
                <w:rFonts w:hint="eastAsia" w:ascii="宋体" w:hAnsi="宋体" w:eastAsia="宋体"/>
                <w:kern w:val="2"/>
                <w:sz w:val="21"/>
                <w:lang w:eastAsia="zh-CN"/>
              </w:rPr>
              <w:t>1</w:t>
            </w:r>
            <w:r>
              <w:rPr>
                <w:rFonts w:ascii="宋体" w:hAnsi="宋体" w:eastAsia="宋体"/>
                <w:kern w:val="2"/>
                <w:sz w:val="21"/>
                <w:lang w:eastAsia="zh-CN"/>
              </w:rPr>
              <w:t>0</w:t>
            </w:r>
          </w:p>
        </w:tc>
        <w:tc>
          <w:tcPr>
            <w:tcW w:w="1946" w:type="dxa"/>
            <w:vAlign w:val="center"/>
          </w:tcPr>
          <w:p w14:paraId="5295960E">
            <w:pPr>
              <w:widowControl w:val="0"/>
              <w:jc w:val="center"/>
              <w:rPr>
                <w:rFonts w:ascii="宋体" w:hAnsi="宋体" w:eastAsia="宋体"/>
                <w:kern w:val="2"/>
                <w:sz w:val="21"/>
                <w:lang w:eastAsia="zh-CN"/>
              </w:rPr>
            </w:pPr>
            <w:r>
              <w:rPr>
                <w:rFonts w:hint="eastAsia" w:ascii="宋体" w:hAnsi="宋体" w:eastAsia="宋体"/>
                <w:kern w:val="2"/>
                <w:sz w:val="21"/>
                <w:lang w:eastAsia="zh-CN"/>
              </w:rPr>
              <w:t>标前会议</w:t>
            </w:r>
          </w:p>
        </w:tc>
        <w:tc>
          <w:tcPr>
            <w:tcW w:w="6068" w:type="dxa"/>
            <w:vAlign w:val="center"/>
          </w:tcPr>
          <w:p w14:paraId="43B64C37">
            <w:pPr>
              <w:widowControl w:val="0"/>
              <w:jc w:val="center"/>
              <w:rPr>
                <w:rFonts w:ascii="宋体" w:hAnsi="宋体" w:eastAsia="宋体"/>
                <w:kern w:val="2"/>
                <w:sz w:val="21"/>
                <w:lang w:eastAsia="zh-CN"/>
              </w:rPr>
            </w:pPr>
            <w:r>
              <w:rPr>
                <w:rFonts w:hint="eastAsia" w:ascii="宋体" w:hAnsi="宋体" w:eastAsia="宋体"/>
                <w:kern w:val="2"/>
                <w:sz w:val="21"/>
                <w:lang w:eastAsia="zh-CN"/>
              </w:rPr>
              <w:t>不组织</w:t>
            </w:r>
          </w:p>
        </w:tc>
      </w:tr>
      <w:tr w14:paraId="1DE658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BFE242E">
            <w:pPr>
              <w:widowControl w:val="0"/>
              <w:jc w:val="center"/>
              <w:rPr>
                <w:rFonts w:ascii="宋体" w:hAnsi="宋体" w:eastAsia="宋体"/>
                <w:kern w:val="2"/>
                <w:sz w:val="21"/>
                <w:lang w:eastAsia="zh-CN"/>
              </w:rPr>
            </w:pPr>
            <w:r>
              <w:rPr>
                <w:rFonts w:hint="eastAsia" w:ascii="宋体" w:hAnsi="宋体" w:eastAsia="宋体"/>
                <w:kern w:val="2"/>
                <w:sz w:val="21"/>
                <w:lang w:eastAsia="zh-CN"/>
              </w:rPr>
              <w:t>1</w:t>
            </w:r>
            <w:r>
              <w:rPr>
                <w:rFonts w:ascii="宋体" w:hAnsi="宋体" w:eastAsia="宋体"/>
                <w:kern w:val="2"/>
                <w:sz w:val="21"/>
                <w:lang w:eastAsia="zh-CN"/>
              </w:rPr>
              <w:t>2</w:t>
            </w:r>
            <w:r>
              <w:rPr>
                <w:rFonts w:hint="eastAsia" w:ascii="宋体" w:hAnsi="宋体" w:eastAsia="宋体"/>
                <w:kern w:val="2"/>
                <w:sz w:val="21"/>
                <w:lang w:eastAsia="zh-CN"/>
              </w:rPr>
              <w:t>/1</w:t>
            </w:r>
            <w:r>
              <w:rPr>
                <w:rFonts w:ascii="宋体" w:hAnsi="宋体" w:eastAsia="宋体"/>
                <w:kern w:val="2"/>
                <w:sz w:val="21"/>
                <w:lang w:eastAsia="zh-CN"/>
              </w:rPr>
              <w:t>3</w:t>
            </w:r>
          </w:p>
        </w:tc>
        <w:tc>
          <w:tcPr>
            <w:tcW w:w="1946" w:type="dxa"/>
            <w:vAlign w:val="center"/>
          </w:tcPr>
          <w:p w14:paraId="37EBEAFD">
            <w:pPr>
              <w:widowControl w:val="0"/>
              <w:jc w:val="center"/>
              <w:rPr>
                <w:rFonts w:ascii="宋体" w:hAnsi="宋体" w:eastAsia="宋体"/>
                <w:kern w:val="2"/>
                <w:sz w:val="21"/>
                <w:lang w:eastAsia="zh-CN"/>
              </w:rPr>
            </w:pPr>
            <w:r>
              <w:rPr>
                <w:rFonts w:hint="eastAsia" w:ascii="宋体" w:hAnsi="宋体" w:eastAsia="宋体"/>
                <w:kern w:val="2"/>
                <w:sz w:val="21"/>
                <w:lang w:eastAsia="zh-CN"/>
              </w:rPr>
              <w:t>招标文件的澄清和修改</w:t>
            </w:r>
          </w:p>
        </w:tc>
        <w:tc>
          <w:tcPr>
            <w:tcW w:w="6068" w:type="dxa"/>
            <w:vAlign w:val="center"/>
          </w:tcPr>
          <w:p w14:paraId="533DFB34">
            <w:pPr>
              <w:widowControl w:val="0"/>
              <w:jc w:val="both"/>
              <w:rPr>
                <w:rFonts w:ascii="宋体" w:hAnsi="宋体" w:eastAsia="宋体"/>
                <w:kern w:val="2"/>
                <w:sz w:val="21"/>
                <w:lang w:eastAsia="zh-CN"/>
              </w:rPr>
            </w:pPr>
            <w:r>
              <w:rPr>
                <w:rFonts w:hint="eastAsia" w:ascii="宋体" w:hAnsi="宋体" w:eastAsia="宋体"/>
                <w:kern w:val="2"/>
                <w:sz w:val="21"/>
                <w:lang w:eastAsia="zh-CN"/>
              </w:rPr>
              <w:t>投标截止日三日前，投标人有义务在招标期间在深圳交易集团（深圳公共资源交易中心）网站浏览与本项目有关的澄清和修改信息</w:t>
            </w:r>
          </w:p>
        </w:tc>
      </w:tr>
      <w:tr w14:paraId="4E04AA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732CF4A9">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0</w:t>
            </w:r>
          </w:p>
        </w:tc>
        <w:tc>
          <w:tcPr>
            <w:tcW w:w="1946" w:type="dxa"/>
            <w:vAlign w:val="center"/>
          </w:tcPr>
          <w:p w14:paraId="3EE62613">
            <w:pPr>
              <w:widowControl w:val="0"/>
              <w:jc w:val="center"/>
              <w:rPr>
                <w:rFonts w:ascii="宋体" w:hAnsi="宋体" w:eastAsia="宋体"/>
                <w:kern w:val="2"/>
                <w:sz w:val="21"/>
                <w:lang w:eastAsia="zh-CN"/>
              </w:rPr>
            </w:pPr>
            <w:r>
              <w:rPr>
                <w:rFonts w:hint="eastAsia" w:ascii="宋体" w:hAnsi="宋体" w:eastAsia="宋体"/>
                <w:kern w:val="2"/>
                <w:sz w:val="21"/>
                <w:lang w:eastAsia="zh-CN"/>
              </w:rPr>
              <w:t>投标有效期</w:t>
            </w:r>
          </w:p>
        </w:tc>
        <w:tc>
          <w:tcPr>
            <w:tcW w:w="6068" w:type="dxa"/>
            <w:vAlign w:val="center"/>
          </w:tcPr>
          <w:p w14:paraId="06C12448">
            <w:pPr>
              <w:widowControl w:val="0"/>
              <w:jc w:val="center"/>
              <w:rPr>
                <w:rFonts w:ascii="宋体" w:hAnsi="宋体" w:eastAsia="宋体"/>
                <w:kern w:val="2"/>
                <w:sz w:val="21"/>
                <w:lang w:eastAsia="zh-CN"/>
              </w:rPr>
            </w:pPr>
            <w:r>
              <w:rPr>
                <w:rFonts w:hint="eastAsia" w:ascii="宋体" w:hAnsi="宋体" w:eastAsia="宋体"/>
                <w:kern w:val="2"/>
                <w:sz w:val="21"/>
                <w:lang w:eastAsia="zh-CN"/>
              </w:rPr>
              <w:t>120个日历日</w:t>
            </w:r>
          </w:p>
        </w:tc>
      </w:tr>
      <w:tr w14:paraId="6FDAEF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4A93E7CE">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2</w:t>
            </w:r>
          </w:p>
        </w:tc>
        <w:tc>
          <w:tcPr>
            <w:tcW w:w="1946" w:type="dxa"/>
            <w:vAlign w:val="center"/>
          </w:tcPr>
          <w:p w14:paraId="101EA8A1">
            <w:pPr>
              <w:widowControl w:val="0"/>
              <w:jc w:val="center"/>
              <w:rPr>
                <w:rFonts w:ascii="宋体" w:hAnsi="宋体" w:eastAsia="宋体"/>
                <w:kern w:val="2"/>
                <w:sz w:val="21"/>
                <w:lang w:eastAsia="zh-CN"/>
              </w:rPr>
            </w:pPr>
            <w:r>
              <w:rPr>
                <w:rFonts w:hint="eastAsia" w:ascii="宋体" w:hAnsi="宋体" w:eastAsia="宋体"/>
                <w:kern w:val="2"/>
                <w:sz w:val="21"/>
                <w:lang w:eastAsia="zh-CN"/>
              </w:rPr>
              <w:t>投标人的替代方案</w:t>
            </w:r>
          </w:p>
        </w:tc>
        <w:tc>
          <w:tcPr>
            <w:tcW w:w="6068" w:type="dxa"/>
            <w:vAlign w:val="center"/>
          </w:tcPr>
          <w:p w14:paraId="10BB01D6">
            <w:pPr>
              <w:widowControl w:val="0"/>
              <w:jc w:val="center"/>
              <w:rPr>
                <w:rFonts w:ascii="宋体" w:hAnsi="宋体" w:eastAsia="宋体"/>
                <w:kern w:val="2"/>
                <w:sz w:val="21"/>
                <w:lang w:eastAsia="zh-CN"/>
              </w:rPr>
            </w:pPr>
            <w:r>
              <w:rPr>
                <w:rFonts w:hint="eastAsia" w:ascii="宋体" w:hAnsi="宋体" w:eastAsia="宋体"/>
                <w:kern w:val="2"/>
                <w:sz w:val="21"/>
                <w:lang w:eastAsia="zh-CN"/>
              </w:rPr>
              <w:t>不接受</w:t>
            </w:r>
          </w:p>
        </w:tc>
      </w:tr>
      <w:tr w14:paraId="27937D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0996EB99">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5</w:t>
            </w:r>
          </w:p>
        </w:tc>
        <w:tc>
          <w:tcPr>
            <w:tcW w:w="1946" w:type="dxa"/>
            <w:vAlign w:val="center"/>
          </w:tcPr>
          <w:p w14:paraId="07754417">
            <w:pPr>
              <w:widowControl w:val="0"/>
              <w:jc w:val="center"/>
              <w:rPr>
                <w:rFonts w:ascii="宋体" w:hAnsi="宋体" w:eastAsia="宋体"/>
                <w:kern w:val="2"/>
                <w:sz w:val="21"/>
                <w:lang w:eastAsia="zh-CN"/>
              </w:rPr>
            </w:pPr>
            <w:r>
              <w:rPr>
                <w:rFonts w:hint="eastAsia" w:ascii="宋体" w:hAnsi="宋体" w:eastAsia="宋体"/>
                <w:kern w:val="2"/>
                <w:sz w:val="21"/>
                <w:lang w:eastAsia="zh-CN"/>
              </w:rPr>
              <w:t>投标文件的大小</w:t>
            </w:r>
          </w:p>
        </w:tc>
        <w:tc>
          <w:tcPr>
            <w:tcW w:w="6068" w:type="dxa"/>
            <w:vAlign w:val="center"/>
          </w:tcPr>
          <w:p w14:paraId="5F51E576">
            <w:pPr>
              <w:widowControl w:val="0"/>
              <w:jc w:val="center"/>
              <w:rPr>
                <w:rFonts w:ascii="宋体" w:hAnsi="宋体" w:eastAsia="宋体"/>
                <w:kern w:val="2"/>
                <w:sz w:val="21"/>
                <w:lang w:eastAsia="zh-CN"/>
              </w:rPr>
            </w:pPr>
            <w:r>
              <w:rPr>
                <w:rFonts w:hint="eastAsia" w:ascii="宋体" w:hAnsi="宋体" w:eastAsia="宋体"/>
                <w:kern w:val="2"/>
                <w:sz w:val="21"/>
                <w:lang w:eastAsia="zh-CN"/>
              </w:rPr>
              <w:t>投标文件大小不得超过</w:t>
            </w:r>
            <w:r>
              <w:rPr>
                <w:rFonts w:ascii="宋体" w:hAnsi="宋体" w:eastAsia="宋体"/>
                <w:kern w:val="2"/>
                <w:sz w:val="21"/>
                <w:lang w:eastAsia="zh-CN"/>
              </w:rPr>
              <w:t>1</w:t>
            </w:r>
            <w:r>
              <w:rPr>
                <w:rFonts w:hint="eastAsia" w:ascii="宋体" w:hAnsi="宋体" w:eastAsia="宋体"/>
                <w:kern w:val="2"/>
                <w:sz w:val="21"/>
                <w:lang w:eastAsia="zh-CN"/>
              </w:rPr>
              <w:t>00MB</w:t>
            </w:r>
          </w:p>
        </w:tc>
      </w:tr>
      <w:tr w14:paraId="59BB92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106381C3">
            <w:pPr>
              <w:widowControl w:val="0"/>
              <w:jc w:val="center"/>
              <w:rPr>
                <w:rFonts w:ascii="宋体" w:hAnsi="宋体" w:eastAsia="宋体"/>
                <w:kern w:val="2"/>
                <w:sz w:val="21"/>
                <w:lang w:eastAsia="zh-CN"/>
              </w:rPr>
            </w:pPr>
            <w:r>
              <w:rPr>
                <w:rFonts w:hint="eastAsia" w:ascii="宋体" w:hAnsi="宋体" w:eastAsia="宋体"/>
                <w:kern w:val="2"/>
                <w:sz w:val="21"/>
                <w:lang w:eastAsia="zh-CN"/>
              </w:rPr>
              <w:t>2</w:t>
            </w:r>
            <w:r>
              <w:rPr>
                <w:rFonts w:ascii="宋体" w:hAnsi="宋体" w:eastAsia="宋体"/>
                <w:kern w:val="2"/>
                <w:sz w:val="21"/>
                <w:lang w:eastAsia="zh-CN"/>
              </w:rPr>
              <w:t>6</w:t>
            </w:r>
          </w:p>
        </w:tc>
        <w:tc>
          <w:tcPr>
            <w:tcW w:w="1946" w:type="dxa"/>
            <w:vAlign w:val="center"/>
          </w:tcPr>
          <w:p w14:paraId="67AE212B">
            <w:pPr>
              <w:widowControl w:val="0"/>
              <w:jc w:val="center"/>
              <w:rPr>
                <w:rFonts w:ascii="宋体" w:hAnsi="宋体" w:eastAsia="宋体"/>
                <w:kern w:val="2"/>
                <w:sz w:val="21"/>
                <w:lang w:eastAsia="zh-CN"/>
              </w:rPr>
            </w:pPr>
            <w:bookmarkStart w:id="31" w:name="_Hlk71664860"/>
            <w:r>
              <w:rPr>
                <w:rFonts w:hint="eastAsia" w:ascii="宋体" w:hAnsi="宋体" w:eastAsia="宋体"/>
                <w:kern w:val="2"/>
                <w:sz w:val="21"/>
                <w:lang w:eastAsia="zh-CN"/>
              </w:rPr>
              <w:t>样品、演示、方案讲解</w:t>
            </w:r>
            <w:bookmarkEnd w:id="31"/>
          </w:p>
        </w:tc>
        <w:tc>
          <w:tcPr>
            <w:tcW w:w="6068" w:type="dxa"/>
            <w:vAlign w:val="center"/>
          </w:tcPr>
          <w:p w14:paraId="61043339">
            <w:pPr>
              <w:widowControl w:val="0"/>
              <w:jc w:val="center"/>
              <w:rPr>
                <w:rFonts w:ascii="宋体" w:hAnsi="宋体" w:eastAsia="宋体"/>
                <w:kern w:val="2"/>
                <w:sz w:val="21"/>
                <w:lang w:eastAsia="zh-CN"/>
              </w:rPr>
            </w:pPr>
            <w:r>
              <w:rPr>
                <w:rFonts w:hint="eastAsia" w:ascii="宋体" w:hAnsi="宋体" w:eastAsia="宋体"/>
                <w:kern w:val="2"/>
                <w:sz w:val="21"/>
                <w:lang w:eastAsia="zh-CN"/>
              </w:rPr>
              <w:t>无</w:t>
            </w:r>
          </w:p>
        </w:tc>
      </w:tr>
      <w:tr w14:paraId="19524D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39F3559A">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7</w:t>
            </w:r>
          </w:p>
        </w:tc>
        <w:tc>
          <w:tcPr>
            <w:tcW w:w="1946" w:type="dxa"/>
            <w:vAlign w:val="center"/>
          </w:tcPr>
          <w:p w14:paraId="18CBD065">
            <w:pPr>
              <w:widowControl w:val="0"/>
              <w:jc w:val="center"/>
              <w:rPr>
                <w:rFonts w:ascii="宋体" w:hAnsi="宋体" w:eastAsia="宋体"/>
                <w:kern w:val="2"/>
                <w:sz w:val="21"/>
                <w:lang w:eastAsia="zh-CN"/>
              </w:rPr>
            </w:pPr>
            <w:r>
              <w:rPr>
                <w:rFonts w:hint="eastAsia" w:ascii="宋体" w:hAnsi="宋体" w:eastAsia="宋体"/>
                <w:kern w:val="2"/>
                <w:sz w:val="21"/>
                <w:lang w:eastAsia="zh-CN"/>
              </w:rPr>
              <w:t>评审方法</w:t>
            </w:r>
          </w:p>
        </w:tc>
        <w:tc>
          <w:tcPr>
            <w:tcW w:w="6068" w:type="dxa"/>
            <w:vAlign w:val="center"/>
          </w:tcPr>
          <w:p w14:paraId="75307EA9">
            <w:pPr>
              <w:widowControl w:val="0"/>
              <w:jc w:val="center"/>
              <w:rPr>
                <w:rFonts w:ascii="宋体" w:hAnsi="宋体" w:eastAsia="宋体"/>
                <w:kern w:val="2"/>
                <w:sz w:val="21"/>
                <w:lang w:eastAsia="zh-CN"/>
              </w:rPr>
            </w:pPr>
            <w:r>
              <w:rPr>
                <w:rFonts w:hint="eastAsia" w:ascii="宋体" w:hAnsi="宋体" w:eastAsia="宋体"/>
                <w:kern w:val="2"/>
                <w:sz w:val="21"/>
                <w:lang w:eastAsia="zh-CN"/>
              </w:rPr>
              <w:t>综合评分法</w:t>
            </w:r>
          </w:p>
        </w:tc>
      </w:tr>
      <w:tr w14:paraId="5BD1245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9" w:hRule="atLeast"/>
          <w:jc w:val="center"/>
        </w:trPr>
        <w:tc>
          <w:tcPr>
            <w:tcW w:w="970" w:type="dxa"/>
            <w:vAlign w:val="center"/>
          </w:tcPr>
          <w:p w14:paraId="4C2228D3">
            <w:pPr>
              <w:widowControl w:val="0"/>
              <w:jc w:val="center"/>
              <w:rPr>
                <w:rFonts w:ascii="宋体" w:hAnsi="宋体" w:eastAsia="宋体"/>
                <w:kern w:val="2"/>
                <w:sz w:val="21"/>
                <w:lang w:eastAsia="zh-CN"/>
              </w:rPr>
            </w:pPr>
            <w:r>
              <w:rPr>
                <w:rFonts w:hint="eastAsia" w:ascii="宋体" w:hAnsi="宋体" w:eastAsia="宋体"/>
                <w:kern w:val="2"/>
                <w:sz w:val="21"/>
                <w:lang w:eastAsia="zh-CN"/>
              </w:rPr>
              <w:t>3</w:t>
            </w:r>
            <w:r>
              <w:rPr>
                <w:rFonts w:ascii="宋体" w:hAnsi="宋体" w:eastAsia="宋体"/>
                <w:kern w:val="2"/>
                <w:sz w:val="21"/>
                <w:lang w:eastAsia="zh-CN"/>
              </w:rPr>
              <w:t>8</w:t>
            </w:r>
          </w:p>
        </w:tc>
        <w:tc>
          <w:tcPr>
            <w:tcW w:w="1946" w:type="dxa"/>
            <w:vAlign w:val="center"/>
          </w:tcPr>
          <w:p w14:paraId="0E677DCD">
            <w:pPr>
              <w:widowControl w:val="0"/>
              <w:jc w:val="center"/>
              <w:rPr>
                <w:rFonts w:ascii="宋体" w:hAnsi="宋体" w:eastAsia="宋体"/>
                <w:kern w:val="2"/>
                <w:sz w:val="21"/>
                <w:lang w:eastAsia="zh-CN"/>
              </w:rPr>
            </w:pPr>
            <w:r>
              <w:rPr>
                <w:rFonts w:hint="eastAsia" w:ascii="宋体" w:hAnsi="宋体" w:eastAsia="宋体"/>
                <w:kern w:val="2"/>
                <w:sz w:val="21"/>
                <w:lang w:eastAsia="zh-CN"/>
              </w:rPr>
              <w:t>定标方法</w:t>
            </w:r>
          </w:p>
        </w:tc>
        <w:tc>
          <w:tcPr>
            <w:tcW w:w="6068" w:type="dxa"/>
            <w:vAlign w:val="center"/>
          </w:tcPr>
          <w:p w14:paraId="05A39350">
            <w:pPr>
              <w:widowControl w:val="0"/>
              <w:jc w:val="center"/>
              <w:rPr>
                <w:rFonts w:ascii="宋体" w:hAnsi="宋体" w:eastAsia="宋体"/>
                <w:kern w:val="2"/>
                <w:sz w:val="21"/>
                <w:lang w:eastAsia="zh-CN"/>
              </w:rPr>
            </w:pPr>
            <w:r>
              <w:rPr>
                <w:rFonts w:hint="eastAsia" w:ascii="宋体" w:hAnsi="宋体" w:eastAsia="宋体"/>
                <w:kern w:val="2"/>
                <w:sz w:val="21"/>
                <w:lang w:eastAsia="zh-CN"/>
              </w:rPr>
              <w:t>非评定分离</w:t>
            </w:r>
          </w:p>
        </w:tc>
      </w:tr>
      <w:tr w14:paraId="773E0F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E6C1A8C">
            <w:pPr>
              <w:widowControl w:val="0"/>
              <w:jc w:val="center"/>
              <w:rPr>
                <w:rFonts w:ascii="宋体" w:hAnsi="宋体" w:eastAsia="宋体"/>
                <w:kern w:val="2"/>
                <w:sz w:val="21"/>
                <w:lang w:eastAsia="zh-CN"/>
              </w:rPr>
            </w:pPr>
            <w:r>
              <w:rPr>
                <w:rFonts w:hint="eastAsia" w:ascii="宋体" w:hAnsi="宋体" w:eastAsia="宋体"/>
                <w:kern w:val="2"/>
                <w:sz w:val="21"/>
                <w:lang w:eastAsia="zh-CN"/>
              </w:rPr>
              <w:t>42</w:t>
            </w:r>
          </w:p>
        </w:tc>
        <w:tc>
          <w:tcPr>
            <w:tcW w:w="1946" w:type="dxa"/>
            <w:vAlign w:val="center"/>
          </w:tcPr>
          <w:p w14:paraId="31CC8366">
            <w:pPr>
              <w:widowControl w:val="0"/>
              <w:jc w:val="both"/>
              <w:rPr>
                <w:rFonts w:ascii="宋体" w:hAnsi="宋体" w:eastAsia="宋体"/>
                <w:kern w:val="2"/>
                <w:sz w:val="21"/>
                <w:lang w:eastAsia="zh-CN"/>
              </w:rPr>
            </w:pPr>
            <w:r>
              <w:rPr>
                <w:rFonts w:hint="eastAsia" w:ascii="宋体" w:hAnsi="宋体" w:eastAsia="宋体"/>
                <w:kern w:val="2"/>
                <w:sz w:val="21"/>
                <w:lang w:eastAsia="zh-CN"/>
              </w:rPr>
              <w:t>公开招标失败的处理</w:t>
            </w:r>
          </w:p>
        </w:tc>
        <w:tc>
          <w:tcPr>
            <w:tcW w:w="6068" w:type="dxa"/>
            <w:vAlign w:val="center"/>
          </w:tcPr>
          <w:p w14:paraId="7D448207">
            <w:pPr>
              <w:widowControl w:val="0"/>
              <w:jc w:val="both"/>
              <w:rPr>
                <w:rFonts w:ascii="宋体" w:hAnsi="宋体" w:eastAsia="宋体"/>
                <w:kern w:val="2"/>
                <w:sz w:val="21"/>
                <w:lang w:eastAsia="zh-CN"/>
              </w:rPr>
            </w:pPr>
            <w:r>
              <w:rPr>
                <w:rFonts w:hint="eastAsia" w:ascii="宋体" w:hAnsi="宋体" w:eastAsia="宋体"/>
                <w:kern w:val="2"/>
                <w:sz w:val="21"/>
                <w:lang w:eastAsia="zh-CN"/>
              </w:rPr>
              <w:t>公开招标有效供应商不足三家的，项目根据以下情况开展：</w:t>
            </w:r>
          </w:p>
          <w:p w14:paraId="08AAF11E">
            <w:pPr>
              <w:widowControl w:val="0"/>
              <w:jc w:val="both"/>
              <w:rPr>
                <w:rFonts w:ascii="宋体" w:hAnsi="宋体" w:eastAsia="宋体"/>
                <w:b/>
                <w:kern w:val="2"/>
                <w:sz w:val="21"/>
                <w:lang w:eastAsia="zh-CN"/>
              </w:rPr>
            </w:pPr>
            <w:r>
              <w:rPr>
                <w:rFonts w:hint="eastAsia" w:ascii="宋体" w:hAnsi="宋体" w:eastAsia="宋体"/>
                <w:kern w:val="2"/>
                <w:sz w:val="21"/>
                <w:lang w:eastAsia="zh-CN"/>
              </w:rPr>
              <w:t>项目公开招标失败，重新采购。</w:t>
            </w:r>
          </w:p>
        </w:tc>
      </w:tr>
      <w:tr w14:paraId="1C42C8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6BF472C1">
            <w:pPr>
              <w:widowControl w:val="0"/>
              <w:jc w:val="center"/>
              <w:rPr>
                <w:rFonts w:ascii="宋体" w:hAnsi="宋体" w:eastAsia="宋体"/>
                <w:kern w:val="2"/>
                <w:sz w:val="21"/>
                <w:lang w:eastAsia="zh-CN"/>
              </w:rPr>
            </w:pPr>
            <w:r>
              <w:rPr>
                <w:rFonts w:hint="eastAsia" w:ascii="宋体" w:hAnsi="宋体" w:eastAsia="宋体"/>
                <w:kern w:val="2"/>
                <w:sz w:val="21"/>
                <w:lang w:eastAsia="zh-CN"/>
              </w:rPr>
              <w:t>4</w:t>
            </w:r>
            <w:r>
              <w:rPr>
                <w:rFonts w:ascii="宋体" w:hAnsi="宋体" w:eastAsia="宋体"/>
                <w:kern w:val="2"/>
                <w:sz w:val="21"/>
                <w:lang w:eastAsia="zh-CN"/>
              </w:rPr>
              <w:t>6</w:t>
            </w:r>
          </w:p>
        </w:tc>
        <w:tc>
          <w:tcPr>
            <w:tcW w:w="1946" w:type="dxa"/>
            <w:vAlign w:val="center"/>
          </w:tcPr>
          <w:p w14:paraId="3FFBE889">
            <w:pPr>
              <w:widowControl w:val="0"/>
              <w:jc w:val="center"/>
              <w:rPr>
                <w:rFonts w:ascii="宋体" w:hAnsi="宋体" w:eastAsia="宋体"/>
                <w:kern w:val="2"/>
                <w:sz w:val="21"/>
                <w:lang w:eastAsia="zh-CN"/>
              </w:rPr>
            </w:pPr>
            <w:r>
              <w:rPr>
                <w:rFonts w:hint="eastAsia" w:ascii="宋体" w:hAnsi="宋体" w:eastAsia="宋体"/>
                <w:kern w:val="2"/>
                <w:sz w:val="21"/>
                <w:lang w:eastAsia="zh-CN"/>
              </w:rPr>
              <w:t>履约担保</w:t>
            </w:r>
          </w:p>
        </w:tc>
        <w:tc>
          <w:tcPr>
            <w:tcW w:w="6068" w:type="dxa"/>
            <w:vAlign w:val="center"/>
          </w:tcPr>
          <w:p w14:paraId="3CD55F17">
            <w:pPr>
              <w:widowControl w:val="0"/>
              <w:jc w:val="center"/>
              <w:rPr>
                <w:rFonts w:ascii="宋体" w:hAnsi="宋体" w:eastAsia="宋体"/>
                <w:kern w:val="2"/>
                <w:sz w:val="21"/>
                <w:lang w:eastAsia="zh-CN"/>
              </w:rPr>
            </w:pPr>
            <w:r>
              <w:rPr>
                <w:rFonts w:hint="eastAsia" w:ascii="宋体" w:hAnsi="宋体" w:eastAsia="宋体"/>
                <w:kern w:val="2"/>
                <w:sz w:val="21"/>
                <w:lang w:eastAsia="zh-CN"/>
              </w:rPr>
              <w:t>不需要</w:t>
            </w:r>
          </w:p>
        </w:tc>
      </w:tr>
      <w:tr w14:paraId="573DB4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970" w:type="dxa"/>
            <w:vAlign w:val="center"/>
          </w:tcPr>
          <w:p w14:paraId="5700CB32">
            <w:pPr>
              <w:widowControl w:val="0"/>
              <w:jc w:val="center"/>
              <w:rPr>
                <w:rFonts w:ascii="宋体" w:hAnsi="宋体" w:eastAsia="宋体"/>
                <w:kern w:val="2"/>
                <w:sz w:val="21"/>
                <w:lang w:eastAsia="zh-CN"/>
              </w:rPr>
            </w:pPr>
            <w:r>
              <w:rPr>
                <w:rFonts w:hint="eastAsia" w:ascii="宋体" w:hAnsi="宋体" w:eastAsia="宋体"/>
                <w:kern w:val="2"/>
                <w:sz w:val="21"/>
                <w:lang w:eastAsia="zh-CN"/>
              </w:rPr>
              <w:t>52.8</w:t>
            </w:r>
          </w:p>
        </w:tc>
        <w:tc>
          <w:tcPr>
            <w:tcW w:w="1946" w:type="dxa"/>
            <w:vAlign w:val="center"/>
          </w:tcPr>
          <w:p w14:paraId="220D5E19">
            <w:pPr>
              <w:widowControl w:val="0"/>
              <w:jc w:val="center"/>
              <w:rPr>
                <w:rFonts w:ascii="宋体" w:hAnsi="宋体" w:eastAsia="宋体"/>
                <w:kern w:val="2"/>
                <w:sz w:val="21"/>
                <w:lang w:eastAsia="zh-CN"/>
              </w:rPr>
            </w:pPr>
            <w:r>
              <w:rPr>
                <w:rFonts w:hint="eastAsia" w:ascii="宋体" w:hAnsi="宋体" w:eastAsia="宋体"/>
                <w:kern w:val="2"/>
                <w:sz w:val="21"/>
                <w:lang w:eastAsia="zh-CN"/>
              </w:rPr>
              <w:t>投诉</w:t>
            </w:r>
          </w:p>
        </w:tc>
        <w:tc>
          <w:tcPr>
            <w:tcW w:w="6068" w:type="dxa"/>
            <w:vAlign w:val="center"/>
          </w:tcPr>
          <w:p w14:paraId="68117162">
            <w:pPr>
              <w:widowControl w:val="0"/>
              <w:jc w:val="both"/>
              <w:rPr>
                <w:rFonts w:ascii="宋体" w:hAnsi="宋体" w:eastAsia="宋体"/>
                <w:b/>
                <w:kern w:val="2"/>
                <w:sz w:val="21"/>
                <w:lang w:eastAsia="zh-CN"/>
              </w:rPr>
            </w:pPr>
            <w:r>
              <w:rPr>
                <w:rFonts w:hint="eastAsia" w:ascii="宋体" w:hAnsi="宋体" w:eastAsia="宋体"/>
                <w:kern w:val="2"/>
                <w:sz w:val="21"/>
                <w:lang w:eastAsia="zh-CN"/>
              </w:rPr>
              <w:t>对被质疑人的答复不满意或者被质疑人未在规定时间内答复的，提出质疑的供应商可以在答复期满后十五个工作日内向本项目采购单位投诉。供应商投诉的事项应当是经过质疑的事项。</w:t>
            </w:r>
          </w:p>
        </w:tc>
      </w:tr>
    </w:tbl>
    <w:p w14:paraId="2AC9353C">
      <w:pPr>
        <w:widowControl w:val="0"/>
        <w:jc w:val="both"/>
        <w:rPr>
          <w:rFonts w:eastAsia="宋体"/>
          <w:b/>
          <w:kern w:val="2"/>
          <w:sz w:val="21"/>
          <w:lang w:eastAsia="zh-CN"/>
        </w:rPr>
      </w:pPr>
      <w:r>
        <w:rPr>
          <w:rFonts w:hint="eastAsia" w:eastAsia="宋体"/>
          <w:kern w:val="2"/>
          <w:sz w:val="21"/>
          <w:szCs w:val="21"/>
          <w:lang w:eastAsia="zh-CN"/>
        </w:rPr>
        <w:t>备注：本表是通用条款相关条款的补充和明确，如与通用条款内容相冲突的，以本表为准。</w:t>
      </w:r>
    </w:p>
    <w:p w14:paraId="1A02AE6A">
      <w:pPr>
        <w:widowControl w:val="0"/>
        <w:jc w:val="both"/>
        <w:rPr>
          <w:rFonts w:eastAsia="宋体"/>
          <w:b/>
          <w:kern w:val="2"/>
          <w:sz w:val="21"/>
          <w:lang w:eastAsia="zh-CN"/>
        </w:rPr>
      </w:pPr>
    </w:p>
    <w:p w14:paraId="6D6A0BEB">
      <w:pPr>
        <w:widowControl w:val="0"/>
        <w:adjustRightInd w:val="0"/>
        <w:spacing w:before="156" w:beforeLines="50" w:after="156" w:afterLines="50"/>
        <w:jc w:val="center"/>
        <w:textAlignment w:val="baseline"/>
        <w:outlineLvl w:val="1"/>
        <w:rPr>
          <w:rFonts w:ascii="宋体" w:hAnsi="宋体" w:eastAsia="宋体"/>
          <w:b/>
          <w:bCs/>
          <w:lang w:eastAsia="zh-CN"/>
        </w:rPr>
      </w:pPr>
      <w:r>
        <w:rPr>
          <w:rFonts w:hint="eastAsia" w:ascii="宋体" w:hAnsi="宋体" w:eastAsia="宋体"/>
          <w:b/>
          <w:bCs/>
          <w:lang w:eastAsia="zh-CN"/>
        </w:rPr>
        <w:t>二、其他关键信息</w:t>
      </w:r>
    </w:p>
    <w:p w14:paraId="3266C7F2">
      <w:pPr>
        <w:widowControl w:val="0"/>
        <w:ind w:firstLine="422" w:firstLineChars="200"/>
        <w:jc w:val="both"/>
        <w:rPr>
          <w:rFonts w:eastAsia="宋体"/>
          <w:b/>
          <w:bCs/>
          <w:kern w:val="2"/>
          <w:sz w:val="21"/>
          <w:lang w:eastAsia="zh-CN"/>
        </w:rPr>
      </w:pPr>
      <w:r>
        <w:rPr>
          <w:rFonts w:hint="eastAsia" w:eastAsia="宋体"/>
          <w:b/>
          <w:bCs/>
          <w:kern w:val="2"/>
          <w:sz w:val="21"/>
          <w:lang w:eastAsia="zh-CN"/>
        </w:rPr>
        <w:t>（一）与“对通用条款的补充内容”章节相关的事项</w:t>
      </w:r>
    </w:p>
    <w:p w14:paraId="4E784EA3">
      <w:pPr>
        <w:widowControl w:val="0"/>
        <w:spacing w:line="276" w:lineRule="auto"/>
        <w:ind w:firstLine="422" w:firstLineChars="200"/>
        <w:jc w:val="left"/>
        <w:rPr>
          <w:rFonts w:ascii="宋体" w:hAnsi="宋体" w:eastAsia="宋体"/>
          <w:b/>
          <w:sz w:val="21"/>
          <w:szCs w:val="20"/>
          <w:lang w:eastAsia="zh-CN"/>
        </w:rPr>
      </w:pPr>
      <w:bookmarkStart w:id="32" w:name="_Hlk72579465"/>
      <w:r>
        <w:rPr>
          <w:rFonts w:hint="eastAsia" w:ascii="宋体" w:hAnsi="宋体" w:eastAsia="宋体"/>
          <w:b/>
          <w:sz w:val="21"/>
          <w:szCs w:val="20"/>
          <w:lang w:eastAsia="zh-CN"/>
        </w:rPr>
        <w:t>1、评标定标信息</w:t>
      </w:r>
    </w:p>
    <w:p w14:paraId="3B61B3AE">
      <w:pPr>
        <w:widowControl w:val="0"/>
        <w:jc w:val="center"/>
        <w:rPr>
          <w:rFonts w:eastAsia="宋体"/>
          <w:kern w:val="2"/>
          <w:sz w:val="21"/>
          <w:lang w:eastAsia="zh-CN"/>
        </w:rPr>
      </w:pPr>
      <w:r>
        <w:rPr>
          <w:rFonts w:hint="eastAsia" w:eastAsia="宋体"/>
          <w:b/>
          <w:kern w:val="2"/>
          <w:sz w:val="21"/>
          <w:lang w:eastAsia="zh-CN"/>
        </w:rPr>
        <w:t>非评定分离项目</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7"/>
        <w:gridCol w:w="5807"/>
      </w:tblGrid>
      <w:tr w14:paraId="5BB5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5B2B49C1">
            <w:pPr>
              <w:widowControl w:val="0"/>
              <w:jc w:val="center"/>
              <w:rPr>
                <w:rFonts w:eastAsia="宋体"/>
                <w:kern w:val="2"/>
                <w:sz w:val="21"/>
                <w:lang w:eastAsia="zh-CN"/>
              </w:rPr>
            </w:pPr>
            <w:r>
              <w:rPr>
                <w:rFonts w:hint="eastAsia" w:eastAsia="宋体"/>
                <w:kern w:val="2"/>
                <w:sz w:val="21"/>
                <w:lang w:eastAsia="zh-CN"/>
              </w:rPr>
              <w:t>评标方法</w:t>
            </w:r>
          </w:p>
        </w:tc>
        <w:tc>
          <w:tcPr>
            <w:tcW w:w="5167" w:type="dxa"/>
          </w:tcPr>
          <w:p w14:paraId="346DF8F5">
            <w:pPr>
              <w:widowControl w:val="0"/>
              <w:jc w:val="center"/>
              <w:rPr>
                <w:rFonts w:eastAsia="宋体"/>
                <w:kern w:val="2"/>
                <w:sz w:val="21"/>
                <w:lang w:eastAsia="zh-CN"/>
              </w:rPr>
            </w:pPr>
            <w:r>
              <w:rPr>
                <w:rFonts w:hint="eastAsia" w:eastAsia="宋体"/>
                <w:kern w:val="2"/>
                <w:sz w:val="21"/>
                <w:lang w:eastAsia="zh-CN"/>
              </w:rPr>
              <w:t>综合评分法</w:t>
            </w:r>
          </w:p>
        </w:tc>
      </w:tr>
      <w:tr w14:paraId="6B6A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264A8F0B">
            <w:pPr>
              <w:widowControl w:val="0"/>
              <w:jc w:val="center"/>
              <w:rPr>
                <w:rFonts w:eastAsia="宋体"/>
                <w:kern w:val="2"/>
                <w:sz w:val="21"/>
                <w:lang w:eastAsia="zh-CN"/>
              </w:rPr>
            </w:pPr>
            <w:r>
              <w:rPr>
                <w:rFonts w:hint="eastAsia" w:eastAsia="宋体"/>
                <w:kern w:val="2"/>
                <w:sz w:val="21"/>
                <w:lang w:eastAsia="zh-CN"/>
              </w:rPr>
              <w:t>候选中标供应商家数</w:t>
            </w:r>
          </w:p>
        </w:tc>
        <w:tc>
          <w:tcPr>
            <w:tcW w:w="5167" w:type="dxa"/>
          </w:tcPr>
          <w:p w14:paraId="55118A52">
            <w:pPr>
              <w:widowControl w:val="0"/>
              <w:jc w:val="center"/>
              <w:rPr>
                <w:rFonts w:eastAsia="宋体"/>
                <w:kern w:val="2"/>
                <w:sz w:val="21"/>
                <w:lang w:eastAsia="zh-CN"/>
              </w:rPr>
            </w:pPr>
            <w:r>
              <w:rPr>
                <w:rFonts w:hint="eastAsia" w:eastAsia="宋体"/>
                <w:kern w:val="2"/>
                <w:sz w:val="21"/>
                <w:lang w:eastAsia="zh-CN"/>
              </w:rPr>
              <w:t>3</w:t>
            </w:r>
          </w:p>
        </w:tc>
      </w:tr>
      <w:tr w14:paraId="45B8E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4" w:type="dxa"/>
          </w:tcPr>
          <w:p w14:paraId="78D51AD7">
            <w:pPr>
              <w:widowControl w:val="0"/>
              <w:jc w:val="center"/>
              <w:rPr>
                <w:rFonts w:eastAsia="宋体"/>
                <w:kern w:val="2"/>
                <w:sz w:val="21"/>
                <w:lang w:eastAsia="zh-CN"/>
              </w:rPr>
            </w:pPr>
            <w:r>
              <w:rPr>
                <w:rFonts w:hint="eastAsia" w:eastAsia="宋体"/>
                <w:kern w:val="2"/>
                <w:sz w:val="21"/>
                <w:lang w:eastAsia="zh-CN"/>
              </w:rPr>
              <w:t>中标供应商家数</w:t>
            </w:r>
          </w:p>
        </w:tc>
        <w:tc>
          <w:tcPr>
            <w:tcW w:w="5167" w:type="dxa"/>
          </w:tcPr>
          <w:p w14:paraId="0DB823F8">
            <w:pPr>
              <w:widowControl w:val="0"/>
              <w:jc w:val="center"/>
              <w:rPr>
                <w:rFonts w:eastAsia="宋体"/>
                <w:kern w:val="2"/>
                <w:sz w:val="21"/>
                <w:lang w:eastAsia="zh-CN"/>
              </w:rPr>
            </w:pPr>
            <w:r>
              <w:rPr>
                <w:rFonts w:hint="eastAsia" w:eastAsia="宋体"/>
                <w:kern w:val="2"/>
                <w:sz w:val="21"/>
                <w:lang w:eastAsia="zh-CN"/>
              </w:rPr>
              <w:t>1</w:t>
            </w:r>
          </w:p>
        </w:tc>
      </w:tr>
      <w:bookmarkEnd w:id="32"/>
    </w:tbl>
    <w:p w14:paraId="4C82B6F4">
      <w:pPr>
        <w:widowControl w:val="0"/>
        <w:ind w:firstLine="422" w:firstLineChars="200"/>
        <w:jc w:val="both"/>
        <w:rPr>
          <w:rFonts w:eastAsia="宋体"/>
          <w:b/>
          <w:kern w:val="2"/>
          <w:sz w:val="21"/>
          <w:lang w:eastAsia="zh-CN"/>
        </w:rPr>
      </w:pPr>
      <w:r>
        <w:rPr>
          <w:rFonts w:hint="eastAsia" w:eastAsia="宋体"/>
          <w:b/>
          <w:kern w:val="2"/>
          <w:sz w:val="21"/>
          <w:lang w:eastAsia="zh-CN"/>
        </w:rPr>
        <w:t>（二）其他事项</w:t>
      </w:r>
    </w:p>
    <w:p w14:paraId="63C27D48">
      <w:pPr>
        <w:widowControl w:val="0"/>
        <w:ind w:firstLine="422" w:firstLineChars="200"/>
        <w:jc w:val="both"/>
        <w:rPr>
          <w:rFonts w:eastAsia="宋体"/>
          <w:b/>
          <w:bCs/>
          <w:kern w:val="2"/>
          <w:sz w:val="21"/>
          <w:lang w:eastAsia="zh-CN"/>
        </w:rPr>
      </w:pPr>
      <w:r>
        <w:rPr>
          <w:rFonts w:eastAsia="宋体"/>
          <w:b/>
          <w:bCs/>
          <w:kern w:val="2"/>
          <w:sz w:val="21"/>
          <w:lang w:eastAsia="zh-CN"/>
        </w:rPr>
        <w:t>1</w:t>
      </w:r>
      <w:r>
        <w:rPr>
          <w:rFonts w:hint="eastAsia" w:eastAsia="宋体"/>
          <w:b/>
          <w:bCs/>
          <w:kern w:val="2"/>
          <w:sz w:val="21"/>
          <w:lang w:eastAsia="zh-CN"/>
        </w:rPr>
        <w:t>、关于享受优惠政策的主体及价格扣除比例</w:t>
      </w:r>
    </w:p>
    <w:p w14:paraId="4CC57367">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（1）专门面向中小企业采购的项目，不再执行价格扣除比例。</w:t>
      </w:r>
    </w:p>
    <w:p w14:paraId="16472202">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（2）非专门面向中小企业采购的项目，应执行价格扣除比例：供应商提供的服务全部由优惠主体承接，则对其投标总价给予</w:t>
      </w:r>
      <w:r>
        <w:rPr>
          <w:rFonts w:hint="eastAsia" w:ascii="宋体" w:hAnsi="宋体" w:eastAsia="宋体" w:cs="宋体"/>
          <w:b/>
          <w:bCs/>
          <w:color w:val="FF0000"/>
          <w:kern w:val="2"/>
          <w:sz w:val="21"/>
          <w:u w:val="single"/>
          <w:lang w:eastAsia="zh-CN"/>
        </w:rPr>
        <w:t>10%</w:t>
      </w:r>
      <w:r>
        <w:rPr>
          <w:rFonts w:hint="eastAsia" w:ascii="宋体" w:hAnsi="宋体" w:eastAsia="宋体" w:cs="宋体"/>
          <w:color w:val="000000"/>
          <w:kern w:val="2"/>
          <w:sz w:val="21"/>
          <w:lang w:eastAsia="zh-CN"/>
        </w:rPr>
        <w:t>（10%~20%）</w:t>
      </w:r>
      <w:r>
        <w:rPr>
          <w:rFonts w:hint="eastAsia" w:ascii="宋体" w:hAnsi="宋体" w:eastAsia="宋体" w:cs="宋体"/>
          <w:kern w:val="2"/>
          <w:sz w:val="21"/>
          <w:lang w:eastAsia="zh-CN"/>
        </w:rPr>
        <w:t>的扣除，用扣除后的价格参与评审。满足多项优惠政策的企业，不重复享受多项价格扣除政策。</w:t>
      </w:r>
    </w:p>
    <w:p w14:paraId="36DD3A95">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备注：（a）优惠主体包括小型企业、微型企业、监狱企业、残疾人福利性单位；中小企业是指在中华人民共和国境内依法设立，依据国务院批准的中小企业划分标准确定的中型企业、小型企业、微型企业，但与大企业的负责人为同一人，或者与大企业存在直接控股、管理关系的除外；符合中小企业划分标准的个体工商户，在采购活动中视同中小企业；(b)优惠主体承接是指提供服务的人员为中小企业依照《中华人民共和国劳动合同法》订立劳动合同的从业人员。</w:t>
      </w:r>
    </w:p>
    <w:p w14:paraId="6719A22A">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（3）中小企业参加采购活动，应当按照国务院批准的《中小企业划型标准规定》（工信部联企 业〔2011〕300号）、《金融业企业划型标准规定》（银发〔2015〕309号）和《财政部 工业和信息化部关于印发〈政府采购促进中小企业发展管理办法〉的通知》（财库〔2020〕46 号）的规定，出具《中小企业声明函》，</w:t>
      </w:r>
      <w:r>
        <w:rPr>
          <w:rFonts w:hint="eastAsia" w:ascii="宋体" w:hAnsi="宋体" w:eastAsia="宋体" w:cs="宋体"/>
          <w:b/>
          <w:bCs/>
          <w:color w:val="FF0000"/>
          <w:kern w:val="2"/>
          <w:sz w:val="21"/>
          <w:szCs w:val="21"/>
          <w:lang w:eastAsia="zh-CN" w:bidi="ar"/>
        </w:rPr>
        <w:t>《中小企业声明函》中相关企业（服务承接商）所属行业应当与采购标的所属行业相一致</w:t>
      </w:r>
      <w:r>
        <w:rPr>
          <w:rFonts w:hint="eastAsia" w:ascii="宋体" w:hAnsi="宋体" w:eastAsia="宋体" w:cs="宋体"/>
          <w:b/>
          <w:bCs/>
          <w:color w:val="FF0000"/>
          <w:kern w:val="2"/>
          <w:sz w:val="21"/>
          <w:lang w:eastAsia="zh-CN" w:bidi="ar"/>
        </w:rPr>
        <w:t>，标的所属行业以招标文件第一册第三章用户需求书“</w:t>
      </w:r>
      <w:r>
        <w:rPr>
          <w:rFonts w:hint="eastAsia" w:ascii="宋体" w:hAnsi="宋体" w:eastAsia="宋体" w:cs="宋体"/>
          <w:b/>
          <w:bCs/>
          <w:color w:val="FF0000"/>
          <w:kern w:val="2"/>
          <w:sz w:val="21"/>
          <w:lang w:eastAsia="zh-CN"/>
        </w:rPr>
        <w:t>服务需求明细”的“标的所属行业”一栏为准</w:t>
      </w:r>
      <w:r>
        <w:rPr>
          <w:rFonts w:hint="eastAsia" w:ascii="宋体" w:hAnsi="宋体" w:eastAsia="宋体" w:cs="宋体"/>
          <w:b/>
          <w:bCs/>
          <w:color w:val="FF0000"/>
          <w:kern w:val="2"/>
          <w:sz w:val="21"/>
          <w:szCs w:val="21"/>
          <w:lang w:eastAsia="zh-CN"/>
        </w:rPr>
        <w:t>。</w:t>
      </w:r>
    </w:p>
    <w:p w14:paraId="47A53B47">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szCs w:val="21"/>
          <w:lang w:eastAsia="zh-CN"/>
        </w:rPr>
        <w:t>（4）小型企业、微</w:t>
      </w:r>
      <w:r>
        <w:rPr>
          <w:rFonts w:hint="eastAsia" w:ascii="宋体" w:hAnsi="宋体" w:eastAsia="宋体" w:cs="宋体"/>
          <w:kern w:val="2"/>
          <w:sz w:val="21"/>
          <w:lang w:eastAsia="zh-CN"/>
        </w:rPr>
        <w:t>型企业、残疾人福利性单位作为优惠主体的认定资料为《中小企业声明函》、《残疾人福利性单位声明函》；监狱企业作为优惠主体的认定资料为省级以上监狱管理局、戒毒管理局出具的监狱企业证明文件。声明函样式见本招标文件第一册专用条款第四章“投标文件组成要求及格式”中“三、投标人情况介绍及资格证明文件”章节提供的格式）。</w:t>
      </w:r>
    </w:p>
    <w:p w14:paraId="1F2424DF">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lang w:eastAsia="zh-CN"/>
        </w:rPr>
        <w:t>（5）享受价格扣除获得采购合同的，小微企业不得将合同分包给大中型企业。</w:t>
      </w:r>
    </w:p>
    <w:p w14:paraId="535E6C98">
      <w:pPr>
        <w:widowControl w:val="0"/>
        <w:ind w:firstLine="422" w:firstLineChars="200"/>
        <w:jc w:val="both"/>
        <w:rPr>
          <w:rFonts w:eastAsia="宋体"/>
          <w:b/>
          <w:kern w:val="2"/>
          <w:sz w:val="21"/>
          <w:lang w:eastAsia="zh-CN"/>
        </w:rPr>
      </w:pPr>
      <w:r>
        <w:rPr>
          <w:rFonts w:hint="eastAsia" w:eastAsia="宋体"/>
          <w:b/>
          <w:kern w:val="2"/>
          <w:sz w:val="21"/>
          <w:lang w:eastAsia="zh-CN"/>
        </w:rPr>
        <w:t>2、</w:t>
      </w:r>
      <w:bookmarkStart w:id="33" w:name="_Hlk72594729"/>
      <w:bookmarkStart w:id="34" w:name="_Hlk76855768"/>
      <w:r>
        <w:rPr>
          <w:rFonts w:hint="eastAsia" w:eastAsia="宋体"/>
          <w:b/>
          <w:kern w:val="2"/>
          <w:sz w:val="21"/>
          <w:lang w:eastAsia="zh-CN"/>
        </w:rPr>
        <w:t>本项目为代理服务项目，将向中标（成交）供应商收取代理服务费。</w:t>
      </w:r>
    </w:p>
    <w:bookmarkEnd w:id="33"/>
    <w:bookmarkEnd w:id="34"/>
    <w:p w14:paraId="29BC1ADF">
      <w:pPr>
        <w:widowControl w:val="0"/>
        <w:ind w:firstLine="420" w:firstLineChars="200"/>
        <w:jc w:val="both"/>
        <w:rPr>
          <w:rFonts w:eastAsia="宋体"/>
          <w:kern w:val="2"/>
          <w:sz w:val="21"/>
          <w:lang w:eastAsia="zh-CN"/>
        </w:rPr>
      </w:pPr>
      <w:r>
        <w:rPr>
          <w:rFonts w:hint="eastAsia" w:eastAsia="宋体"/>
          <w:kern w:val="2"/>
          <w:sz w:val="21"/>
          <w:lang w:eastAsia="zh-CN"/>
        </w:rPr>
        <w:t>中标（成交）供应商在领取《中标（成交）通知书》之前须向深圳公共资源交易中心（深圳交易集团有限公司政府采购业务分公司）交纳代理服务费。若因中标（成交）供应商交纳代理服务费所产生的时间影响到合同签订的，由中标（成交）供应商自行承担责任。代理服务费标准参照下列标准</w:t>
      </w:r>
      <w:r>
        <w:rPr>
          <w:rFonts w:hint="eastAsia" w:eastAsia="宋体"/>
          <w:b/>
          <w:bCs/>
          <w:color w:val="FF0000"/>
          <w:kern w:val="2"/>
          <w:sz w:val="21"/>
          <w:lang w:eastAsia="zh-CN"/>
        </w:rPr>
        <w:t>下浮20%</w:t>
      </w:r>
      <w:r>
        <w:rPr>
          <w:rFonts w:hint="eastAsia" w:eastAsia="宋体"/>
          <w:kern w:val="2"/>
          <w:sz w:val="21"/>
          <w:lang w:eastAsia="zh-CN"/>
        </w:rPr>
        <w:t>收取。</w:t>
      </w:r>
      <w:r>
        <w:rPr>
          <w:rFonts w:hint="eastAsia" w:eastAsia="宋体"/>
          <w:b/>
          <w:color w:val="FF0000"/>
          <w:kern w:val="2"/>
          <w:sz w:val="21"/>
          <w:lang w:eastAsia="zh-CN"/>
        </w:rPr>
        <w:t>本项目类型为服务采购：</w:t>
      </w:r>
    </w:p>
    <w:p w14:paraId="645E94D5">
      <w:pPr>
        <w:widowControl w:val="0"/>
        <w:ind w:firstLine="420" w:firstLineChars="200"/>
        <w:jc w:val="both"/>
        <w:rPr>
          <w:rFonts w:eastAsia="宋体"/>
          <w:kern w:val="2"/>
          <w:sz w:val="21"/>
          <w:lang w:eastAsia="zh-CN"/>
        </w:rPr>
      </w:pPr>
      <w:r>
        <w:rPr>
          <w:rFonts w:hint="eastAsia" w:eastAsia="宋体"/>
          <w:kern w:val="2"/>
          <w:sz w:val="21"/>
          <w:lang w:eastAsia="zh-CN"/>
        </w:rPr>
        <w:t>（1）代理服务费以《中标（成交）通知书》确定的中标（成交）金额作为计算基数，按差额定率累进法计算。</w:t>
      </w:r>
    </w:p>
    <w:p w14:paraId="2442CFE5">
      <w:pPr>
        <w:widowControl w:val="0"/>
        <w:ind w:firstLine="420" w:firstLineChars="200"/>
        <w:jc w:val="both"/>
        <w:rPr>
          <w:rFonts w:eastAsia="宋体"/>
          <w:kern w:val="2"/>
          <w:sz w:val="21"/>
          <w:lang w:eastAsia="zh-CN"/>
        </w:rPr>
      </w:pPr>
      <w:r>
        <w:rPr>
          <w:rFonts w:hint="eastAsia" w:eastAsia="宋体"/>
          <w:kern w:val="2"/>
          <w:sz w:val="21"/>
          <w:lang w:eastAsia="zh-CN"/>
        </w:rPr>
        <w:t>（2）中标（成交）金额的各部分费率如下表：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1"/>
        <w:gridCol w:w="1901"/>
        <w:gridCol w:w="1901"/>
        <w:gridCol w:w="1901"/>
      </w:tblGrid>
      <w:tr w14:paraId="0869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25" w:type="dxa"/>
            <w:vAlign w:val="center"/>
          </w:tcPr>
          <w:p w14:paraId="68A6D784">
            <w:pPr>
              <w:widowControl/>
              <w:spacing w:line="360" w:lineRule="auto"/>
              <w:jc w:val="center"/>
              <w:rPr>
                <w:rFonts w:eastAsia="宋体"/>
                <w:kern w:val="2"/>
                <w:sz w:val="21"/>
                <w:lang w:eastAsia="zh-CN"/>
              </w:rPr>
            </w:pPr>
            <w:r>
              <w:rPr>
                <w:rFonts w:hint="eastAsia" w:eastAsia="宋体"/>
                <w:kern w:val="2"/>
                <w:sz w:val="21"/>
                <w:lang w:eastAsia="zh-CN"/>
              </w:rPr>
              <w:t>中标（成交）金额</w:t>
            </w:r>
          </w:p>
        </w:tc>
        <w:tc>
          <w:tcPr>
            <w:tcW w:w="1799" w:type="dxa"/>
            <w:vAlign w:val="center"/>
          </w:tcPr>
          <w:p w14:paraId="4066DAFE">
            <w:pPr>
              <w:widowControl/>
              <w:spacing w:line="360" w:lineRule="auto"/>
              <w:jc w:val="center"/>
              <w:rPr>
                <w:rFonts w:eastAsia="宋体"/>
                <w:kern w:val="2"/>
                <w:sz w:val="21"/>
                <w:lang w:eastAsia="zh-CN"/>
              </w:rPr>
            </w:pPr>
            <w:r>
              <w:rPr>
                <w:rFonts w:hint="eastAsia" w:eastAsia="宋体"/>
                <w:kern w:val="2"/>
                <w:sz w:val="21"/>
                <w:lang w:eastAsia="zh-CN"/>
              </w:rPr>
              <w:t>货物采购</w:t>
            </w:r>
          </w:p>
        </w:tc>
        <w:tc>
          <w:tcPr>
            <w:tcW w:w="1799" w:type="dxa"/>
            <w:vAlign w:val="center"/>
          </w:tcPr>
          <w:p w14:paraId="236541EA">
            <w:pPr>
              <w:widowControl/>
              <w:spacing w:line="360" w:lineRule="auto"/>
              <w:jc w:val="center"/>
              <w:rPr>
                <w:rFonts w:eastAsia="宋体"/>
                <w:kern w:val="2"/>
                <w:sz w:val="21"/>
                <w:lang w:eastAsia="zh-CN"/>
              </w:rPr>
            </w:pPr>
            <w:r>
              <w:rPr>
                <w:rFonts w:hint="eastAsia" w:eastAsia="宋体"/>
                <w:kern w:val="2"/>
                <w:sz w:val="21"/>
                <w:lang w:eastAsia="zh-CN"/>
              </w:rPr>
              <w:t>服务采购</w:t>
            </w:r>
          </w:p>
        </w:tc>
        <w:tc>
          <w:tcPr>
            <w:tcW w:w="1799" w:type="dxa"/>
            <w:vAlign w:val="center"/>
          </w:tcPr>
          <w:p w14:paraId="5FFA54FA">
            <w:pPr>
              <w:widowControl/>
              <w:spacing w:line="360" w:lineRule="auto"/>
              <w:jc w:val="center"/>
              <w:rPr>
                <w:rFonts w:eastAsia="宋体"/>
                <w:kern w:val="2"/>
                <w:sz w:val="21"/>
                <w:lang w:eastAsia="zh-CN"/>
              </w:rPr>
            </w:pPr>
            <w:r>
              <w:rPr>
                <w:rFonts w:hint="eastAsia" w:eastAsia="宋体"/>
                <w:kern w:val="2"/>
                <w:sz w:val="21"/>
                <w:lang w:eastAsia="zh-CN"/>
              </w:rPr>
              <w:t>工程采购</w:t>
            </w:r>
          </w:p>
        </w:tc>
      </w:tr>
      <w:tr w14:paraId="5BED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C29CB28">
            <w:pPr>
              <w:widowControl/>
              <w:spacing w:line="360" w:lineRule="auto"/>
              <w:jc w:val="center"/>
              <w:rPr>
                <w:rFonts w:eastAsia="宋体"/>
                <w:kern w:val="2"/>
                <w:sz w:val="21"/>
                <w:lang w:eastAsia="zh-CN"/>
              </w:rPr>
            </w:pPr>
            <w:r>
              <w:rPr>
                <w:rFonts w:hint="eastAsia" w:eastAsia="宋体"/>
                <w:kern w:val="2"/>
                <w:sz w:val="21"/>
                <w:lang w:eastAsia="zh-CN"/>
              </w:rPr>
              <w:t>100万元以下</w:t>
            </w:r>
          </w:p>
        </w:tc>
        <w:tc>
          <w:tcPr>
            <w:tcW w:w="1799" w:type="dxa"/>
            <w:vAlign w:val="center"/>
          </w:tcPr>
          <w:p w14:paraId="0EA53B94">
            <w:pPr>
              <w:widowControl/>
              <w:spacing w:line="360" w:lineRule="auto"/>
              <w:jc w:val="center"/>
              <w:rPr>
                <w:rFonts w:eastAsia="宋体"/>
                <w:kern w:val="2"/>
                <w:sz w:val="21"/>
                <w:lang w:eastAsia="zh-CN"/>
              </w:rPr>
            </w:pPr>
            <w:r>
              <w:rPr>
                <w:rFonts w:hint="eastAsia" w:eastAsia="宋体"/>
                <w:kern w:val="2"/>
                <w:sz w:val="21"/>
                <w:lang w:eastAsia="zh-CN"/>
              </w:rPr>
              <w:t>1.5%</w:t>
            </w:r>
          </w:p>
        </w:tc>
        <w:tc>
          <w:tcPr>
            <w:tcW w:w="1799" w:type="dxa"/>
            <w:vAlign w:val="center"/>
          </w:tcPr>
          <w:p w14:paraId="16D46BCF">
            <w:pPr>
              <w:widowControl/>
              <w:spacing w:line="360" w:lineRule="auto"/>
              <w:jc w:val="center"/>
              <w:rPr>
                <w:rFonts w:eastAsia="宋体"/>
                <w:kern w:val="2"/>
                <w:sz w:val="21"/>
                <w:lang w:eastAsia="zh-CN"/>
              </w:rPr>
            </w:pPr>
            <w:r>
              <w:rPr>
                <w:rFonts w:hint="eastAsia" w:eastAsia="宋体"/>
                <w:kern w:val="2"/>
                <w:sz w:val="21"/>
                <w:lang w:eastAsia="zh-CN"/>
              </w:rPr>
              <w:t>1.5%</w:t>
            </w:r>
          </w:p>
        </w:tc>
        <w:tc>
          <w:tcPr>
            <w:tcW w:w="1799" w:type="dxa"/>
            <w:vAlign w:val="center"/>
          </w:tcPr>
          <w:p w14:paraId="170F6CCB">
            <w:pPr>
              <w:widowControl/>
              <w:spacing w:line="360" w:lineRule="auto"/>
              <w:jc w:val="center"/>
              <w:rPr>
                <w:rFonts w:eastAsia="宋体"/>
                <w:kern w:val="2"/>
                <w:sz w:val="21"/>
                <w:lang w:eastAsia="zh-CN"/>
              </w:rPr>
            </w:pPr>
            <w:r>
              <w:rPr>
                <w:rFonts w:hint="eastAsia" w:eastAsia="宋体"/>
                <w:kern w:val="2"/>
                <w:sz w:val="21"/>
                <w:lang w:eastAsia="zh-CN"/>
              </w:rPr>
              <w:t>1.0%</w:t>
            </w:r>
          </w:p>
        </w:tc>
      </w:tr>
      <w:tr w14:paraId="7E80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00DBD127">
            <w:pPr>
              <w:widowControl/>
              <w:spacing w:line="360" w:lineRule="auto"/>
              <w:jc w:val="center"/>
              <w:rPr>
                <w:rFonts w:eastAsia="宋体"/>
                <w:kern w:val="2"/>
                <w:sz w:val="21"/>
                <w:lang w:eastAsia="zh-CN"/>
              </w:rPr>
            </w:pPr>
            <w:r>
              <w:rPr>
                <w:rFonts w:hint="eastAsia" w:eastAsia="宋体"/>
                <w:kern w:val="2"/>
                <w:sz w:val="21"/>
                <w:lang w:eastAsia="zh-CN"/>
              </w:rPr>
              <w:t>100万元（含）-500万元</w:t>
            </w:r>
          </w:p>
        </w:tc>
        <w:tc>
          <w:tcPr>
            <w:tcW w:w="1799" w:type="dxa"/>
            <w:vAlign w:val="center"/>
          </w:tcPr>
          <w:p w14:paraId="509AB6A7">
            <w:pPr>
              <w:widowControl/>
              <w:spacing w:line="360" w:lineRule="auto"/>
              <w:jc w:val="center"/>
              <w:rPr>
                <w:rFonts w:eastAsia="宋体"/>
                <w:kern w:val="2"/>
                <w:sz w:val="21"/>
                <w:lang w:eastAsia="zh-CN"/>
              </w:rPr>
            </w:pPr>
            <w:r>
              <w:rPr>
                <w:rFonts w:hint="eastAsia" w:eastAsia="宋体"/>
                <w:kern w:val="2"/>
                <w:sz w:val="21"/>
                <w:lang w:eastAsia="zh-CN"/>
              </w:rPr>
              <w:t>1.1%</w:t>
            </w:r>
          </w:p>
        </w:tc>
        <w:tc>
          <w:tcPr>
            <w:tcW w:w="1799" w:type="dxa"/>
            <w:vAlign w:val="center"/>
          </w:tcPr>
          <w:p w14:paraId="3C5230F3">
            <w:pPr>
              <w:widowControl/>
              <w:spacing w:line="360" w:lineRule="auto"/>
              <w:jc w:val="center"/>
              <w:rPr>
                <w:rFonts w:eastAsia="宋体"/>
                <w:kern w:val="2"/>
                <w:sz w:val="21"/>
                <w:lang w:eastAsia="zh-CN"/>
              </w:rPr>
            </w:pPr>
            <w:r>
              <w:rPr>
                <w:rFonts w:hint="eastAsia" w:eastAsia="宋体"/>
                <w:kern w:val="2"/>
                <w:sz w:val="21"/>
                <w:lang w:eastAsia="zh-CN"/>
              </w:rPr>
              <w:t>0.8%</w:t>
            </w:r>
          </w:p>
        </w:tc>
        <w:tc>
          <w:tcPr>
            <w:tcW w:w="1799" w:type="dxa"/>
            <w:vAlign w:val="center"/>
          </w:tcPr>
          <w:p w14:paraId="693BF39E">
            <w:pPr>
              <w:widowControl/>
              <w:spacing w:line="360" w:lineRule="auto"/>
              <w:jc w:val="center"/>
              <w:rPr>
                <w:rFonts w:eastAsia="宋体"/>
                <w:kern w:val="2"/>
                <w:sz w:val="21"/>
                <w:lang w:eastAsia="zh-CN"/>
              </w:rPr>
            </w:pPr>
            <w:r>
              <w:rPr>
                <w:rFonts w:hint="eastAsia" w:eastAsia="宋体"/>
                <w:kern w:val="2"/>
                <w:sz w:val="21"/>
                <w:lang w:eastAsia="zh-CN"/>
              </w:rPr>
              <w:t>0.7%</w:t>
            </w:r>
          </w:p>
        </w:tc>
      </w:tr>
      <w:tr w14:paraId="6009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680CDB6C">
            <w:pPr>
              <w:widowControl/>
              <w:spacing w:line="360" w:lineRule="auto"/>
              <w:jc w:val="center"/>
              <w:rPr>
                <w:rFonts w:eastAsia="宋体"/>
                <w:kern w:val="2"/>
                <w:sz w:val="21"/>
                <w:lang w:eastAsia="zh-CN"/>
              </w:rPr>
            </w:pPr>
            <w:r>
              <w:rPr>
                <w:rFonts w:hint="eastAsia" w:eastAsia="宋体"/>
                <w:kern w:val="2"/>
                <w:sz w:val="21"/>
                <w:lang w:eastAsia="zh-CN"/>
              </w:rPr>
              <w:t>500万元（含）-1000万元</w:t>
            </w:r>
          </w:p>
        </w:tc>
        <w:tc>
          <w:tcPr>
            <w:tcW w:w="1799" w:type="dxa"/>
            <w:vAlign w:val="center"/>
          </w:tcPr>
          <w:p w14:paraId="0C774572">
            <w:pPr>
              <w:widowControl/>
              <w:spacing w:line="360" w:lineRule="auto"/>
              <w:jc w:val="center"/>
              <w:rPr>
                <w:rFonts w:eastAsia="宋体"/>
                <w:kern w:val="2"/>
                <w:sz w:val="21"/>
                <w:lang w:eastAsia="zh-CN"/>
              </w:rPr>
            </w:pPr>
            <w:r>
              <w:rPr>
                <w:rFonts w:hint="eastAsia" w:eastAsia="宋体"/>
                <w:kern w:val="2"/>
                <w:sz w:val="21"/>
                <w:lang w:eastAsia="zh-CN"/>
              </w:rPr>
              <w:t>0.8%</w:t>
            </w:r>
          </w:p>
        </w:tc>
        <w:tc>
          <w:tcPr>
            <w:tcW w:w="1799" w:type="dxa"/>
            <w:vAlign w:val="center"/>
          </w:tcPr>
          <w:p w14:paraId="0CD13A87">
            <w:pPr>
              <w:widowControl/>
              <w:spacing w:line="360" w:lineRule="auto"/>
              <w:jc w:val="center"/>
              <w:rPr>
                <w:rFonts w:eastAsia="宋体"/>
                <w:kern w:val="2"/>
                <w:sz w:val="21"/>
                <w:lang w:eastAsia="zh-CN"/>
              </w:rPr>
            </w:pPr>
            <w:r>
              <w:rPr>
                <w:rFonts w:hint="eastAsia" w:eastAsia="宋体"/>
                <w:kern w:val="2"/>
                <w:sz w:val="21"/>
                <w:lang w:eastAsia="zh-CN"/>
              </w:rPr>
              <w:t>0.45%</w:t>
            </w:r>
          </w:p>
        </w:tc>
        <w:tc>
          <w:tcPr>
            <w:tcW w:w="1799" w:type="dxa"/>
            <w:vAlign w:val="center"/>
          </w:tcPr>
          <w:p w14:paraId="1CABABCF">
            <w:pPr>
              <w:widowControl/>
              <w:spacing w:line="360" w:lineRule="auto"/>
              <w:jc w:val="center"/>
              <w:rPr>
                <w:rFonts w:eastAsia="宋体"/>
                <w:kern w:val="2"/>
                <w:sz w:val="21"/>
                <w:lang w:eastAsia="zh-CN"/>
              </w:rPr>
            </w:pPr>
            <w:r>
              <w:rPr>
                <w:rFonts w:hint="eastAsia" w:eastAsia="宋体"/>
                <w:kern w:val="2"/>
                <w:sz w:val="21"/>
                <w:lang w:eastAsia="zh-CN"/>
              </w:rPr>
              <w:t>0.55%</w:t>
            </w:r>
          </w:p>
        </w:tc>
      </w:tr>
      <w:tr w14:paraId="7706D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7E0A7AA">
            <w:pPr>
              <w:widowControl/>
              <w:spacing w:line="360" w:lineRule="auto"/>
              <w:jc w:val="center"/>
              <w:rPr>
                <w:rFonts w:eastAsia="宋体"/>
                <w:kern w:val="2"/>
                <w:sz w:val="21"/>
                <w:lang w:eastAsia="zh-CN"/>
              </w:rPr>
            </w:pPr>
            <w:r>
              <w:rPr>
                <w:rFonts w:hint="eastAsia" w:eastAsia="宋体"/>
                <w:kern w:val="2"/>
                <w:sz w:val="21"/>
                <w:lang w:eastAsia="zh-CN"/>
              </w:rPr>
              <w:t>1000万元（含）-5000万元</w:t>
            </w:r>
          </w:p>
        </w:tc>
        <w:tc>
          <w:tcPr>
            <w:tcW w:w="1799" w:type="dxa"/>
            <w:vAlign w:val="center"/>
          </w:tcPr>
          <w:p w14:paraId="6F2E671C">
            <w:pPr>
              <w:widowControl/>
              <w:spacing w:line="360" w:lineRule="auto"/>
              <w:jc w:val="center"/>
              <w:rPr>
                <w:rFonts w:eastAsia="宋体"/>
                <w:kern w:val="2"/>
                <w:sz w:val="21"/>
                <w:lang w:eastAsia="zh-CN"/>
              </w:rPr>
            </w:pPr>
            <w:r>
              <w:rPr>
                <w:rFonts w:hint="eastAsia" w:eastAsia="宋体"/>
                <w:kern w:val="2"/>
                <w:sz w:val="21"/>
                <w:lang w:eastAsia="zh-CN"/>
              </w:rPr>
              <w:t>0.5%</w:t>
            </w:r>
          </w:p>
        </w:tc>
        <w:tc>
          <w:tcPr>
            <w:tcW w:w="1799" w:type="dxa"/>
            <w:vAlign w:val="center"/>
          </w:tcPr>
          <w:p w14:paraId="7C498D39">
            <w:pPr>
              <w:widowControl/>
              <w:spacing w:line="360" w:lineRule="auto"/>
              <w:jc w:val="center"/>
              <w:rPr>
                <w:rFonts w:eastAsia="宋体"/>
                <w:kern w:val="2"/>
                <w:sz w:val="21"/>
                <w:lang w:eastAsia="zh-CN"/>
              </w:rPr>
            </w:pPr>
            <w:r>
              <w:rPr>
                <w:rFonts w:hint="eastAsia" w:eastAsia="宋体"/>
                <w:kern w:val="2"/>
                <w:sz w:val="21"/>
                <w:lang w:eastAsia="zh-CN"/>
              </w:rPr>
              <w:t>0.25%</w:t>
            </w:r>
          </w:p>
        </w:tc>
        <w:tc>
          <w:tcPr>
            <w:tcW w:w="1799" w:type="dxa"/>
            <w:vAlign w:val="center"/>
          </w:tcPr>
          <w:p w14:paraId="025966E3">
            <w:pPr>
              <w:widowControl/>
              <w:spacing w:line="360" w:lineRule="auto"/>
              <w:jc w:val="center"/>
              <w:rPr>
                <w:rFonts w:eastAsia="宋体"/>
                <w:kern w:val="2"/>
                <w:sz w:val="21"/>
                <w:lang w:eastAsia="zh-CN"/>
              </w:rPr>
            </w:pPr>
            <w:r>
              <w:rPr>
                <w:rFonts w:hint="eastAsia" w:eastAsia="宋体"/>
                <w:kern w:val="2"/>
                <w:sz w:val="21"/>
                <w:lang w:eastAsia="zh-CN"/>
              </w:rPr>
              <w:t>0.35%</w:t>
            </w:r>
          </w:p>
        </w:tc>
      </w:tr>
      <w:tr w14:paraId="5854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30D60DF0">
            <w:pPr>
              <w:widowControl/>
              <w:spacing w:line="360" w:lineRule="auto"/>
              <w:jc w:val="center"/>
              <w:rPr>
                <w:rFonts w:eastAsia="宋体"/>
                <w:kern w:val="2"/>
                <w:sz w:val="21"/>
                <w:lang w:eastAsia="zh-CN"/>
              </w:rPr>
            </w:pPr>
            <w:r>
              <w:rPr>
                <w:rFonts w:hint="eastAsia" w:eastAsia="宋体"/>
                <w:kern w:val="2"/>
                <w:sz w:val="21"/>
                <w:lang w:eastAsia="zh-CN"/>
              </w:rPr>
              <w:t>5000万元（含）-1亿元</w:t>
            </w:r>
          </w:p>
        </w:tc>
        <w:tc>
          <w:tcPr>
            <w:tcW w:w="1799" w:type="dxa"/>
            <w:vAlign w:val="center"/>
          </w:tcPr>
          <w:p w14:paraId="086A4E73">
            <w:pPr>
              <w:widowControl/>
              <w:spacing w:line="360" w:lineRule="auto"/>
              <w:jc w:val="center"/>
              <w:rPr>
                <w:rFonts w:eastAsia="宋体"/>
                <w:kern w:val="2"/>
                <w:sz w:val="21"/>
                <w:lang w:eastAsia="zh-CN"/>
              </w:rPr>
            </w:pPr>
            <w:r>
              <w:rPr>
                <w:rFonts w:hint="eastAsia" w:eastAsia="宋体"/>
                <w:kern w:val="2"/>
                <w:sz w:val="21"/>
                <w:lang w:eastAsia="zh-CN"/>
              </w:rPr>
              <w:t>0.25%</w:t>
            </w:r>
          </w:p>
        </w:tc>
        <w:tc>
          <w:tcPr>
            <w:tcW w:w="1799" w:type="dxa"/>
            <w:vAlign w:val="center"/>
          </w:tcPr>
          <w:p w14:paraId="0079A548">
            <w:pPr>
              <w:widowControl/>
              <w:spacing w:line="360" w:lineRule="auto"/>
              <w:jc w:val="center"/>
              <w:rPr>
                <w:rFonts w:eastAsia="宋体"/>
                <w:kern w:val="2"/>
                <w:sz w:val="21"/>
                <w:lang w:eastAsia="zh-CN"/>
              </w:rPr>
            </w:pPr>
            <w:r>
              <w:rPr>
                <w:rFonts w:hint="eastAsia" w:eastAsia="宋体"/>
                <w:kern w:val="2"/>
                <w:sz w:val="21"/>
                <w:lang w:eastAsia="zh-CN"/>
              </w:rPr>
              <w:t>0.1%</w:t>
            </w:r>
          </w:p>
        </w:tc>
        <w:tc>
          <w:tcPr>
            <w:tcW w:w="1799" w:type="dxa"/>
            <w:vAlign w:val="center"/>
          </w:tcPr>
          <w:p w14:paraId="563B40A7">
            <w:pPr>
              <w:widowControl/>
              <w:spacing w:line="360" w:lineRule="auto"/>
              <w:jc w:val="center"/>
              <w:rPr>
                <w:rFonts w:eastAsia="宋体"/>
                <w:kern w:val="2"/>
                <w:sz w:val="21"/>
                <w:lang w:eastAsia="zh-CN"/>
              </w:rPr>
            </w:pPr>
            <w:r>
              <w:rPr>
                <w:rFonts w:hint="eastAsia" w:eastAsia="宋体"/>
                <w:kern w:val="2"/>
                <w:sz w:val="21"/>
                <w:lang w:eastAsia="zh-CN"/>
              </w:rPr>
              <w:t>0.2%</w:t>
            </w:r>
          </w:p>
        </w:tc>
      </w:tr>
      <w:tr w14:paraId="170A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1AC03B74">
            <w:pPr>
              <w:widowControl/>
              <w:spacing w:line="360" w:lineRule="auto"/>
              <w:jc w:val="center"/>
              <w:rPr>
                <w:rFonts w:eastAsia="宋体"/>
                <w:kern w:val="2"/>
                <w:sz w:val="21"/>
                <w:lang w:eastAsia="zh-CN"/>
              </w:rPr>
            </w:pPr>
            <w:r>
              <w:rPr>
                <w:rFonts w:hint="eastAsia" w:eastAsia="宋体"/>
                <w:kern w:val="2"/>
                <w:sz w:val="21"/>
                <w:lang w:eastAsia="zh-CN"/>
              </w:rPr>
              <w:t>1亿元（含）-5亿元</w:t>
            </w:r>
          </w:p>
        </w:tc>
        <w:tc>
          <w:tcPr>
            <w:tcW w:w="1799" w:type="dxa"/>
            <w:vAlign w:val="center"/>
          </w:tcPr>
          <w:p w14:paraId="79E909F1">
            <w:pPr>
              <w:widowControl/>
              <w:spacing w:line="360" w:lineRule="auto"/>
              <w:jc w:val="center"/>
              <w:rPr>
                <w:rFonts w:eastAsia="宋体"/>
                <w:kern w:val="2"/>
                <w:sz w:val="21"/>
                <w:lang w:eastAsia="zh-CN"/>
              </w:rPr>
            </w:pPr>
            <w:r>
              <w:rPr>
                <w:rFonts w:hint="eastAsia" w:eastAsia="宋体"/>
                <w:kern w:val="2"/>
                <w:sz w:val="21"/>
                <w:lang w:eastAsia="zh-CN"/>
              </w:rPr>
              <w:t>0.05%</w:t>
            </w:r>
          </w:p>
        </w:tc>
        <w:tc>
          <w:tcPr>
            <w:tcW w:w="1799" w:type="dxa"/>
            <w:vAlign w:val="center"/>
          </w:tcPr>
          <w:p w14:paraId="1F17E7E9">
            <w:pPr>
              <w:widowControl/>
              <w:spacing w:line="360" w:lineRule="auto"/>
              <w:jc w:val="center"/>
              <w:rPr>
                <w:rFonts w:eastAsia="宋体"/>
                <w:kern w:val="2"/>
                <w:sz w:val="21"/>
                <w:lang w:eastAsia="zh-CN"/>
              </w:rPr>
            </w:pPr>
            <w:r>
              <w:rPr>
                <w:rFonts w:hint="eastAsia" w:eastAsia="宋体"/>
                <w:kern w:val="2"/>
                <w:sz w:val="21"/>
                <w:lang w:eastAsia="zh-CN"/>
              </w:rPr>
              <w:t>0.05%</w:t>
            </w:r>
          </w:p>
        </w:tc>
        <w:tc>
          <w:tcPr>
            <w:tcW w:w="1799" w:type="dxa"/>
            <w:vAlign w:val="center"/>
          </w:tcPr>
          <w:p w14:paraId="3E766652">
            <w:pPr>
              <w:widowControl/>
              <w:spacing w:line="360" w:lineRule="auto"/>
              <w:jc w:val="center"/>
              <w:rPr>
                <w:rFonts w:eastAsia="宋体"/>
                <w:kern w:val="2"/>
                <w:sz w:val="21"/>
                <w:lang w:eastAsia="zh-CN"/>
              </w:rPr>
            </w:pPr>
            <w:r>
              <w:rPr>
                <w:rFonts w:hint="eastAsia" w:eastAsia="宋体"/>
                <w:kern w:val="2"/>
                <w:sz w:val="21"/>
                <w:lang w:eastAsia="zh-CN"/>
              </w:rPr>
              <w:t>0.05%</w:t>
            </w:r>
          </w:p>
        </w:tc>
      </w:tr>
      <w:tr w14:paraId="3C7C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46969803">
            <w:pPr>
              <w:widowControl/>
              <w:spacing w:line="360" w:lineRule="auto"/>
              <w:jc w:val="center"/>
              <w:rPr>
                <w:rFonts w:eastAsia="宋体"/>
                <w:kern w:val="2"/>
                <w:sz w:val="21"/>
                <w:lang w:eastAsia="zh-CN"/>
              </w:rPr>
            </w:pPr>
            <w:r>
              <w:rPr>
                <w:rFonts w:hint="eastAsia" w:eastAsia="宋体"/>
                <w:kern w:val="2"/>
                <w:sz w:val="21"/>
                <w:lang w:eastAsia="zh-CN"/>
              </w:rPr>
              <w:t>5亿元（含）-10亿元</w:t>
            </w:r>
          </w:p>
        </w:tc>
        <w:tc>
          <w:tcPr>
            <w:tcW w:w="1799" w:type="dxa"/>
            <w:vAlign w:val="center"/>
          </w:tcPr>
          <w:p w14:paraId="2C4FF055">
            <w:pPr>
              <w:widowControl/>
              <w:spacing w:line="360" w:lineRule="auto"/>
              <w:jc w:val="center"/>
              <w:rPr>
                <w:rFonts w:eastAsia="宋体"/>
                <w:kern w:val="2"/>
                <w:sz w:val="21"/>
                <w:lang w:eastAsia="zh-CN"/>
              </w:rPr>
            </w:pPr>
            <w:r>
              <w:rPr>
                <w:rFonts w:hint="eastAsia" w:eastAsia="宋体"/>
                <w:kern w:val="2"/>
                <w:sz w:val="21"/>
                <w:lang w:eastAsia="zh-CN"/>
              </w:rPr>
              <w:t>0.035%</w:t>
            </w:r>
          </w:p>
        </w:tc>
        <w:tc>
          <w:tcPr>
            <w:tcW w:w="1799" w:type="dxa"/>
            <w:vAlign w:val="center"/>
          </w:tcPr>
          <w:p w14:paraId="0C5D3FAD">
            <w:pPr>
              <w:widowControl/>
              <w:spacing w:line="360" w:lineRule="auto"/>
              <w:jc w:val="center"/>
              <w:rPr>
                <w:rFonts w:eastAsia="宋体"/>
                <w:kern w:val="2"/>
                <w:sz w:val="21"/>
                <w:lang w:eastAsia="zh-CN"/>
              </w:rPr>
            </w:pPr>
            <w:r>
              <w:rPr>
                <w:rFonts w:hint="eastAsia" w:eastAsia="宋体"/>
                <w:kern w:val="2"/>
                <w:sz w:val="21"/>
                <w:lang w:eastAsia="zh-CN"/>
              </w:rPr>
              <w:t>0.035%</w:t>
            </w:r>
          </w:p>
        </w:tc>
        <w:tc>
          <w:tcPr>
            <w:tcW w:w="1799" w:type="dxa"/>
            <w:vAlign w:val="center"/>
          </w:tcPr>
          <w:p w14:paraId="5E4B62FC">
            <w:pPr>
              <w:widowControl/>
              <w:spacing w:line="360" w:lineRule="auto"/>
              <w:jc w:val="center"/>
              <w:rPr>
                <w:rFonts w:eastAsia="宋体"/>
                <w:kern w:val="2"/>
                <w:sz w:val="21"/>
                <w:lang w:eastAsia="zh-CN"/>
              </w:rPr>
            </w:pPr>
            <w:r>
              <w:rPr>
                <w:rFonts w:hint="eastAsia" w:eastAsia="宋体"/>
                <w:kern w:val="2"/>
                <w:sz w:val="21"/>
                <w:lang w:eastAsia="zh-CN"/>
              </w:rPr>
              <w:t>0.035%</w:t>
            </w:r>
          </w:p>
        </w:tc>
      </w:tr>
      <w:tr w14:paraId="00541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25" w:type="dxa"/>
            <w:vAlign w:val="center"/>
          </w:tcPr>
          <w:p w14:paraId="1C1D9740">
            <w:pPr>
              <w:widowControl/>
              <w:spacing w:line="360" w:lineRule="auto"/>
              <w:jc w:val="center"/>
              <w:rPr>
                <w:rFonts w:eastAsia="宋体"/>
                <w:kern w:val="2"/>
                <w:sz w:val="21"/>
                <w:lang w:eastAsia="zh-CN"/>
              </w:rPr>
            </w:pPr>
            <w:r>
              <w:rPr>
                <w:rFonts w:hint="eastAsia" w:eastAsia="宋体"/>
                <w:kern w:val="2"/>
                <w:sz w:val="21"/>
                <w:lang w:eastAsia="zh-CN"/>
              </w:rPr>
              <w:t>10亿元（含）-50亿元</w:t>
            </w:r>
          </w:p>
        </w:tc>
        <w:tc>
          <w:tcPr>
            <w:tcW w:w="1799" w:type="dxa"/>
            <w:vAlign w:val="center"/>
          </w:tcPr>
          <w:p w14:paraId="325136C3">
            <w:pPr>
              <w:widowControl/>
              <w:spacing w:line="360" w:lineRule="auto"/>
              <w:jc w:val="center"/>
              <w:rPr>
                <w:rFonts w:eastAsia="宋体"/>
                <w:kern w:val="2"/>
                <w:sz w:val="21"/>
                <w:lang w:eastAsia="zh-CN"/>
              </w:rPr>
            </w:pPr>
            <w:r>
              <w:rPr>
                <w:rFonts w:hint="eastAsia" w:eastAsia="宋体"/>
                <w:kern w:val="2"/>
                <w:sz w:val="21"/>
                <w:lang w:eastAsia="zh-CN"/>
              </w:rPr>
              <w:t>0.008%</w:t>
            </w:r>
          </w:p>
        </w:tc>
        <w:tc>
          <w:tcPr>
            <w:tcW w:w="1799" w:type="dxa"/>
            <w:vAlign w:val="center"/>
          </w:tcPr>
          <w:p w14:paraId="04BC2DC3">
            <w:pPr>
              <w:widowControl/>
              <w:spacing w:line="360" w:lineRule="auto"/>
              <w:jc w:val="center"/>
              <w:rPr>
                <w:rFonts w:eastAsia="宋体"/>
                <w:kern w:val="2"/>
                <w:sz w:val="21"/>
                <w:lang w:eastAsia="zh-CN"/>
              </w:rPr>
            </w:pPr>
            <w:r>
              <w:rPr>
                <w:rFonts w:hint="eastAsia" w:eastAsia="宋体"/>
                <w:kern w:val="2"/>
                <w:sz w:val="21"/>
                <w:lang w:eastAsia="zh-CN"/>
              </w:rPr>
              <w:t>0.008%</w:t>
            </w:r>
          </w:p>
        </w:tc>
        <w:tc>
          <w:tcPr>
            <w:tcW w:w="1799" w:type="dxa"/>
            <w:vAlign w:val="center"/>
          </w:tcPr>
          <w:p w14:paraId="38CC74EC">
            <w:pPr>
              <w:widowControl/>
              <w:spacing w:line="360" w:lineRule="auto"/>
              <w:jc w:val="center"/>
              <w:rPr>
                <w:rFonts w:eastAsia="宋体"/>
                <w:kern w:val="2"/>
                <w:sz w:val="21"/>
                <w:lang w:eastAsia="zh-CN"/>
              </w:rPr>
            </w:pPr>
            <w:r>
              <w:rPr>
                <w:rFonts w:hint="eastAsia" w:eastAsia="宋体"/>
                <w:kern w:val="2"/>
                <w:sz w:val="21"/>
                <w:lang w:eastAsia="zh-CN"/>
              </w:rPr>
              <w:t>0.008%</w:t>
            </w:r>
          </w:p>
        </w:tc>
      </w:tr>
      <w:tr w14:paraId="34FAE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77A1FC60">
            <w:pPr>
              <w:widowControl/>
              <w:spacing w:line="360" w:lineRule="auto"/>
              <w:jc w:val="center"/>
              <w:rPr>
                <w:rFonts w:eastAsia="宋体"/>
                <w:kern w:val="2"/>
                <w:sz w:val="21"/>
                <w:lang w:eastAsia="zh-CN"/>
              </w:rPr>
            </w:pPr>
            <w:r>
              <w:rPr>
                <w:rFonts w:hint="eastAsia" w:eastAsia="宋体"/>
                <w:kern w:val="2"/>
                <w:sz w:val="21"/>
                <w:lang w:eastAsia="zh-CN"/>
              </w:rPr>
              <w:t>50亿元（含）-100亿元</w:t>
            </w:r>
          </w:p>
        </w:tc>
        <w:tc>
          <w:tcPr>
            <w:tcW w:w="1799" w:type="dxa"/>
            <w:vAlign w:val="center"/>
          </w:tcPr>
          <w:p w14:paraId="2B4FAF1B">
            <w:pPr>
              <w:widowControl/>
              <w:spacing w:line="360" w:lineRule="auto"/>
              <w:jc w:val="center"/>
              <w:rPr>
                <w:rFonts w:eastAsia="宋体"/>
                <w:kern w:val="2"/>
                <w:sz w:val="21"/>
                <w:lang w:eastAsia="zh-CN"/>
              </w:rPr>
            </w:pPr>
            <w:r>
              <w:rPr>
                <w:rFonts w:hint="eastAsia" w:eastAsia="宋体"/>
                <w:kern w:val="2"/>
                <w:sz w:val="21"/>
                <w:lang w:eastAsia="zh-CN"/>
              </w:rPr>
              <w:t>0.006%</w:t>
            </w:r>
          </w:p>
        </w:tc>
        <w:tc>
          <w:tcPr>
            <w:tcW w:w="1799" w:type="dxa"/>
            <w:vAlign w:val="center"/>
          </w:tcPr>
          <w:p w14:paraId="7F933DCC">
            <w:pPr>
              <w:widowControl/>
              <w:spacing w:line="360" w:lineRule="auto"/>
              <w:jc w:val="center"/>
              <w:rPr>
                <w:rFonts w:eastAsia="宋体"/>
                <w:kern w:val="2"/>
                <w:sz w:val="21"/>
                <w:lang w:eastAsia="zh-CN"/>
              </w:rPr>
            </w:pPr>
            <w:r>
              <w:rPr>
                <w:rFonts w:hint="eastAsia" w:eastAsia="宋体"/>
                <w:kern w:val="2"/>
                <w:sz w:val="21"/>
                <w:lang w:eastAsia="zh-CN"/>
              </w:rPr>
              <w:t>0.006%</w:t>
            </w:r>
          </w:p>
        </w:tc>
        <w:tc>
          <w:tcPr>
            <w:tcW w:w="1799" w:type="dxa"/>
            <w:vAlign w:val="center"/>
          </w:tcPr>
          <w:p w14:paraId="0A9A8A8E">
            <w:pPr>
              <w:widowControl/>
              <w:spacing w:line="360" w:lineRule="auto"/>
              <w:jc w:val="center"/>
              <w:rPr>
                <w:rFonts w:eastAsia="宋体"/>
                <w:kern w:val="2"/>
                <w:sz w:val="21"/>
                <w:lang w:eastAsia="zh-CN"/>
              </w:rPr>
            </w:pPr>
            <w:r>
              <w:rPr>
                <w:rFonts w:hint="eastAsia" w:eastAsia="宋体"/>
                <w:kern w:val="2"/>
                <w:sz w:val="21"/>
                <w:lang w:eastAsia="zh-CN"/>
              </w:rPr>
              <w:t>0.006%</w:t>
            </w:r>
          </w:p>
        </w:tc>
      </w:tr>
      <w:tr w14:paraId="7501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25" w:type="dxa"/>
            <w:vAlign w:val="center"/>
          </w:tcPr>
          <w:p w14:paraId="5BB0466E">
            <w:pPr>
              <w:widowControl/>
              <w:spacing w:line="360" w:lineRule="auto"/>
              <w:jc w:val="center"/>
              <w:rPr>
                <w:rFonts w:eastAsia="宋体"/>
                <w:kern w:val="2"/>
                <w:sz w:val="21"/>
                <w:lang w:eastAsia="zh-CN"/>
              </w:rPr>
            </w:pPr>
            <w:r>
              <w:rPr>
                <w:rFonts w:hint="eastAsia" w:eastAsia="宋体"/>
                <w:kern w:val="2"/>
                <w:sz w:val="21"/>
                <w:lang w:eastAsia="zh-CN"/>
              </w:rPr>
              <w:t>100亿元（含）以上</w:t>
            </w:r>
          </w:p>
        </w:tc>
        <w:tc>
          <w:tcPr>
            <w:tcW w:w="1799" w:type="dxa"/>
            <w:vAlign w:val="center"/>
          </w:tcPr>
          <w:p w14:paraId="32C07F20">
            <w:pPr>
              <w:widowControl/>
              <w:spacing w:line="360" w:lineRule="auto"/>
              <w:jc w:val="center"/>
              <w:rPr>
                <w:rFonts w:eastAsia="宋体"/>
                <w:kern w:val="2"/>
                <w:sz w:val="21"/>
                <w:lang w:eastAsia="zh-CN"/>
              </w:rPr>
            </w:pPr>
            <w:r>
              <w:rPr>
                <w:rFonts w:hint="eastAsia" w:eastAsia="宋体"/>
                <w:kern w:val="2"/>
                <w:sz w:val="21"/>
                <w:lang w:eastAsia="zh-CN"/>
              </w:rPr>
              <w:t>0.004%</w:t>
            </w:r>
          </w:p>
        </w:tc>
        <w:tc>
          <w:tcPr>
            <w:tcW w:w="1799" w:type="dxa"/>
            <w:vAlign w:val="center"/>
          </w:tcPr>
          <w:p w14:paraId="4B1ED662">
            <w:pPr>
              <w:widowControl/>
              <w:spacing w:line="360" w:lineRule="auto"/>
              <w:jc w:val="center"/>
              <w:rPr>
                <w:rFonts w:eastAsia="宋体"/>
                <w:kern w:val="2"/>
                <w:sz w:val="21"/>
                <w:lang w:eastAsia="zh-CN"/>
              </w:rPr>
            </w:pPr>
            <w:r>
              <w:rPr>
                <w:rFonts w:hint="eastAsia" w:eastAsia="宋体"/>
                <w:kern w:val="2"/>
                <w:sz w:val="21"/>
                <w:lang w:eastAsia="zh-CN"/>
              </w:rPr>
              <w:t>0.004%</w:t>
            </w:r>
          </w:p>
        </w:tc>
        <w:tc>
          <w:tcPr>
            <w:tcW w:w="1799" w:type="dxa"/>
            <w:vAlign w:val="center"/>
          </w:tcPr>
          <w:p w14:paraId="4E718868">
            <w:pPr>
              <w:widowControl/>
              <w:spacing w:line="360" w:lineRule="auto"/>
              <w:jc w:val="center"/>
              <w:rPr>
                <w:rFonts w:eastAsia="宋体"/>
                <w:kern w:val="2"/>
                <w:sz w:val="21"/>
                <w:lang w:eastAsia="zh-CN"/>
              </w:rPr>
            </w:pPr>
            <w:r>
              <w:rPr>
                <w:rFonts w:hint="eastAsia" w:eastAsia="宋体"/>
                <w:kern w:val="2"/>
                <w:sz w:val="21"/>
                <w:lang w:eastAsia="zh-CN"/>
              </w:rPr>
              <w:t>0.004%</w:t>
            </w:r>
          </w:p>
        </w:tc>
      </w:tr>
    </w:tbl>
    <w:p w14:paraId="3F038C28">
      <w:pPr>
        <w:widowControl w:val="0"/>
        <w:ind w:firstLine="420" w:firstLineChars="200"/>
        <w:jc w:val="both"/>
        <w:rPr>
          <w:rFonts w:eastAsia="宋体"/>
          <w:kern w:val="2"/>
          <w:sz w:val="21"/>
          <w:lang w:eastAsia="zh-CN"/>
        </w:rPr>
      </w:pPr>
      <w:r>
        <w:rPr>
          <w:rFonts w:hint="eastAsia" w:eastAsia="宋体"/>
          <w:kern w:val="2"/>
          <w:sz w:val="21"/>
          <w:lang w:eastAsia="zh-CN"/>
        </w:rPr>
        <w:t>备注：1.每宗交易代理服务费不低于 5000 元；</w:t>
      </w:r>
    </w:p>
    <w:p w14:paraId="270D09B9">
      <w:pPr>
        <w:widowControl w:val="0"/>
        <w:ind w:firstLine="420" w:firstLineChars="200"/>
        <w:jc w:val="both"/>
        <w:rPr>
          <w:rFonts w:eastAsia="宋体"/>
          <w:kern w:val="2"/>
          <w:sz w:val="21"/>
          <w:lang w:eastAsia="zh-CN"/>
        </w:rPr>
      </w:pPr>
      <w:r>
        <w:rPr>
          <w:rFonts w:hint="eastAsia" w:eastAsia="宋体"/>
          <w:kern w:val="2"/>
          <w:sz w:val="21"/>
          <w:lang w:eastAsia="zh-CN"/>
        </w:rPr>
        <w:t>2.对于报总价的采购类项目，中标（成交）价为中标（成交）金额；对于报单价、折扣或费率的采购类项目，中标（成交）价为预算上限金额或经委托方与代理方确定的支付上限金额；</w:t>
      </w:r>
    </w:p>
    <w:p w14:paraId="427BFED5">
      <w:pPr>
        <w:widowControl w:val="0"/>
        <w:ind w:firstLine="420" w:firstLineChars="200"/>
        <w:jc w:val="both"/>
        <w:rPr>
          <w:rFonts w:eastAsia="宋体"/>
          <w:kern w:val="2"/>
          <w:sz w:val="21"/>
          <w:lang w:eastAsia="zh-CN"/>
        </w:rPr>
      </w:pPr>
      <w:r>
        <w:rPr>
          <w:rFonts w:hint="eastAsia" w:eastAsia="宋体"/>
          <w:kern w:val="2"/>
          <w:sz w:val="21"/>
          <w:lang w:eastAsia="zh-CN"/>
        </w:rPr>
        <w:t>如某货物采购项目，中标（成交）金额为600万元，总共交纳的代理服务费的具体计算过程如下：</w:t>
      </w:r>
    </w:p>
    <w:p w14:paraId="5F2E03E9">
      <w:pPr>
        <w:widowControl w:val="0"/>
        <w:ind w:firstLine="420" w:firstLineChars="200"/>
        <w:jc w:val="both"/>
        <w:rPr>
          <w:rFonts w:eastAsia="宋体"/>
          <w:kern w:val="2"/>
          <w:sz w:val="21"/>
          <w:lang w:eastAsia="zh-CN"/>
        </w:rPr>
      </w:pPr>
      <w:r>
        <w:rPr>
          <w:rFonts w:hint="eastAsia" w:eastAsia="宋体"/>
          <w:kern w:val="2"/>
          <w:sz w:val="21"/>
          <w:lang w:eastAsia="zh-CN"/>
        </w:rPr>
        <w:t>标准代理服务费＝（100万以下部分的代理服务费）+（100万～500万部分的代理服务费）+（500万～600万部分的代理服务费）＝100万元×1.5%+（500-100）万元×1.1%+（600-500）万元×0.8%=1.5万元+4.4万元+0.8万元＝6.7万元</w:t>
      </w:r>
    </w:p>
    <w:p w14:paraId="02D0AA20">
      <w:pPr>
        <w:widowControl w:val="0"/>
        <w:ind w:firstLine="420" w:firstLineChars="200"/>
        <w:jc w:val="both"/>
        <w:rPr>
          <w:rFonts w:eastAsia="宋体"/>
          <w:kern w:val="2"/>
          <w:sz w:val="21"/>
          <w:lang w:eastAsia="zh-CN"/>
        </w:rPr>
      </w:pPr>
      <w:r>
        <w:rPr>
          <w:rFonts w:hint="eastAsia" w:eastAsia="宋体"/>
          <w:kern w:val="2"/>
          <w:sz w:val="21"/>
          <w:lang w:eastAsia="zh-CN"/>
        </w:rPr>
        <w:t>（3）中标（成交）供应商中标（成交）后，必须按规定采用银行对公转账方式向深圳交易集团有限公司直接交纳代理服务费，交纳信息及要求：</w:t>
      </w:r>
    </w:p>
    <w:p w14:paraId="709C0DF7">
      <w:pPr>
        <w:widowControl w:val="0"/>
        <w:ind w:firstLine="422" w:firstLineChars="200"/>
        <w:jc w:val="both"/>
        <w:rPr>
          <w:rFonts w:ascii="宋体" w:hAnsi="宋体" w:eastAsia="宋体" w:cs="宋体"/>
          <w:bCs/>
          <w:color w:val="FF0000"/>
          <w:kern w:val="2"/>
          <w:sz w:val="21"/>
          <w:szCs w:val="21"/>
          <w:lang w:eastAsia="zh-CN"/>
        </w:rPr>
      </w:pPr>
      <w:r>
        <w:rPr>
          <w:rFonts w:hint="eastAsia" w:ascii="宋体" w:hAnsi="宋体" w:eastAsia="宋体" w:cs="宋体"/>
          <w:b/>
          <w:bCs/>
          <w:color w:val="FF0000"/>
          <w:kern w:val="2"/>
          <w:sz w:val="21"/>
          <w:szCs w:val="21"/>
          <w:lang w:eastAsia="zh-CN"/>
        </w:rPr>
        <w:t>基本户信息：</w:t>
      </w:r>
    </w:p>
    <w:p w14:paraId="66BD8A21">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账户名：深圳交易集团有限公司</w:t>
      </w:r>
    </w:p>
    <w:p w14:paraId="00EE48B1">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账号：632765883</w:t>
      </w:r>
    </w:p>
    <w:p w14:paraId="5B666C48">
      <w:pPr>
        <w:widowControl w:val="0"/>
        <w:ind w:firstLine="420" w:firstLineChars="2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rPr>
        <w:t>开户行：民生银行深圳五洲支行</w:t>
      </w:r>
    </w:p>
    <w:p w14:paraId="16CEF19F">
      <w:pPr>
        <w:widowControl w:val="0"/>
        <w:ind w:firstLine="422" w:firstLineChars="200"/>
        <w:jc w:val="both"/>
        <w:rPr>
          <w:rFonts w:ascii="宋体" w:hAnsi="宋体" w:eastAsia="宋体" w:cs="宋体"/>
          <w:bCs/>
          <w:color w:val="FF0000"/>
          <w:kern w:val="2"/>
          <w:sz w:val="21"/>
          <w:szCs w:val="21"/>
          <w:lang w:eastAsia="zh-CN"/>
        </w:rPr>
      </w:pPr>
      <w:r>
        <w:rPr>
          <w:rFonts w:hint="eastAsia" w:ascii="宋体" w:hAnsi="宋体" w:eastAsia="宋体" w:cs="宋体"/>
          <w:b/>
          <w:bCs/>
          <w:color w:val="FF0000"/>
          <w:kern w:val="2"/>
          <w:sz w:val="21"/>
          <w:szCs w:val="21"/>
          <w:lang w:eastAsia="zh-CN"/>
        </w:rPr>
        <w:t>转账备注：</w:t>
      </w:r>
    </w:p>
    <w:p w14:paraId="51325576">
      <w:pPr>
        <w:widowControl w:val="0"/>
        <w:ind w:firstLine="420" w:firstLineChars="200"/>
        <w:jc w:val="both"/>
        <w:rPr>
          <w:rFonts w:ascii="宋体" w:hAnsi="宋体" w:eastAsia="宋体" w:cs="宋体"/>
          <w:bCs/>
          <w:color w:val="FF0000"/>
          <w:kern w:val="2"/>
          <w:sz w:val="21"/>
          <w:szCs w:val="21"/>
          <w:lang w:eastAsia="zh-CN"/>
        </w:rPr>
      </w:pPr>
      <w:r>
        <w:rPr>
          <w:rFonts w:hint="eastAsia" w:ascii="宋体" w:hAnsi="宋体" w:eastAsia="宋体" w:cs="宋体"/>
          <w:bCs/>
          <w:color w:val="FF0000"/>
          <w:kern w:val="2"/>
          <w:sz w:val="21"/>
          <w:szCs w:val="21"/>
          <w:lang w:eastAsia="zh-CN"/>
        </w:rPr>
        <w:t>项目编号+项目名称</w:t>
      </w:r>
    </w:p>
    <w:p w14:paraId="534CB907">
      <w:pPr>
        <w:widowControl w:val="0"/>
        <w:ind w:firstLine="422" w:firstLineChars="200"/>
        <w:jc w:val="left"/>
        <w:rPr>
          <w:rFonts w:eastAsia="宋体"/>
          <w:b/>
          <w:bCs/>
          <w:kern w:val="2"/>
          <w:sz w:val="21"/>
          <w:lang w:eastAsia="zh-CN"/>
        </w:rPr>
      </w:pPr>
      <w:r>
        <w:rPr>
          <w:rFonts w:hint="eastAsia" w:eastAsia="宋体"/>
          <w:b/>
          <w:bCs/>
          <w:kern w:val="2"/>
          <w:sz w:val="21"/>
          <w:lang w:eastAsia="zh-CN"/>
        </w:rPr>
        <w:t>3、长期服务采购项目</w:t>
      </w:r>
    </w:p>
    <w:p w14:paraId="09214136">
      <w:pPr>
        <w:widowControl w:val="0"/>
        <w:ind w:firstLine="420" w:firstLineChars="200"/>
        <w:jc w:val="left"/>
        <w:rPr>
          <w:rFonts w:eastAsia="宋体"/>
          <w:kern w:val="2"/>
          <w:sz w:val="21"/>
          <w:lang w:eastAsia="zh-CN"/>
        </w:rPr>
      </w:pPr>
      <w:r>
        <w:rPr>
          <w:rFonts w:hint="eastAsia" w:eastAsia="宋体"/>
          <w:kern w:val="2"/>
          <w:sz w:val="21"/>
          <w:lang w:eastAsia="zh-CN"/>
        </w:rPr>
        <w:t>本项目为长期服务项目，合同期满可以续签，但合同履行期限最长不得超过三十六个月。如甲方对履约情况不满意，甲方不再续约。</w:t>
      </w:r>
    </w:p>
    <w:p w14:paraId="23B916CE">
      <w:pPr>
        <w:widowControl w:val="0"/>
        <w:bidi w:val="0"/>
        <w:spacing w:before="260" w:after="260"/>
        <w:jc w:val="center"/>
        <w:outlineLvl w:val="2"/>
        <w:rPr>
          <w:rFonts w:ascii="宋体" w:hAnsi="宋体" w:eastAsia="宋体"/>
          <w:b/>
          <w:bCs/>
          <w:kern w:val="2"/>
          <w:sz w:val="21"/>
          <w:szCs w:val="28"/>
          <w:lang w:eastAsia="zh-CN"/>
        </w:rPr>
      </w:pPr>
      <w:bookmarkStart w:id="35" w:name="_Toc128884461"/>
      <w:r>
        <w:rPr>
          <w:rFonts w:hint="eastAsia" w:ascii="宋体" w:hAnsi="宋体" w:eastAsia="宋体"/>
          <w:kern w:val="2"/>
          <w:sz w:val="21"/>
          <w:szCs w:val="28"/>
          <w:lang w:eastAsia="zh-CN"/>
        </w:rPr>
        <w:br w:type="page"/>
      </w:r>
      <w:r>
        <w:rPr>
          <w:rFonts w:hint="eastAsia" w:ascii="宋体" w:hAnsi="宋体" w:eastAsia="宋体"/>
          <w:b/>
          <w:bCs/>
          <w:kern w:val="2"/>
          <w:sz w:val="28"/>
          <w:szCs w:val="44"/>
          <w:lang w:eastAsia="zh-CN"/>
        </w:rPr>
        <w:t>第三章 用户需求书</w:t>
      </w:r>
    </w:p>
    <w:p w14:paraId="16682702">
      <w:pPr>
        <w:widowControl w:val="0"/>
        <w:adjustRightInd w:val="0"/>
        <w:spacing w:before="156" w:beforeLines="50" w:after="156" w:afterLines="50"/>
        <w:jc w:val="center"/>
        <w:textAlignment w:val="baseline"/>
        <w:outlineLvl w:val="1"/>
        <w:rPr>
          <w:rFonts w:ascii="宋体" w:hAnsi="宋体" w:eastAsia="宋体"/>
          <w:b/>
          <w:bCs/>
          <w:lang w:eastAsia="zh-CN"/>
        </w:rPr>
      </w:pPr>
      <w:r>
        <w:rPr>
          <w:rFonts w:hint="eastAsia" w:ascii="宋体" w:hAnsi="宋体" w:eastAsia="宋体"/>
          <w:b/>
          <w:bCs/>
          <w:lang w:eastAsia="zh-CN"/>
        </w:rPr>
        <w:t>一、项目基本信息</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6077"/>
        <w:gridCol w:w="2103"/>
      </w:tblGrid>
      <w:tr w14:paraId="43105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814" w:type="dxa"/>
            <w:vAlign w:val="center"/>
          </w:tcPr>
          <w:p w14:paraId="1B73EE2B">
            <w:pPr>
              <w:widowControl w:val="0"/>
              <w:jc w:val="center"/>
              <w:rPr>
                <w:rFonts w:eastAsia="宋体"/>
                <w:bCs/>
                <w:kern w:val="2"/>
                <w:sz w:val="21"/>
                <w:szCs w:val="21"/>
                <w:lang w:eastAsia="zh-CN"/>
              </w:rPr>
            </w:pPr>
            <w:r>
              <w:rPr>
                <w:rFonts w:hint="eastAsia" w:eastAsia="宋体"/>
                <w:bCs/>
                <w:kern w:val="2"/>
                <w:sz w:val="21"/>
                <w:szCs w:val="21"/>
                <w:lang w:eastAsia="zh-CN"/>
              </w:rPr>
              <w:t>序号</w:t>
            </w:r>
          </w:p>
        </w:tc>
        <w:tc>
          <w:tcPr>
            <w:tcW w:w="6000" w:type="dxa"/>
            <w:vAlign w:val="center"/>
          </w:tcPr>
          <w:p w14:paraId="172AD073">
            <w:pPr>
              <w:widowControl w:val="0"/>
              <w:jc w:val="center"/>
              <w:rPr>
                <w:rFonts w:eastAsia="宋体"/>
                <w:bCs/>
                <w:kern w:val="2"/>
                <w:sz w:val="21"/>
                <w:szCs w:val="21"/>
                <w:lang w:eastAsia="zh-CN"/>
              </w:rPr>
            </w:pPr>
            <w:r>
              <w:rPr>
                <w:rFonts w:hint="eastAsia" w:eastAsia="宋体"/>
                <w:bCs/>
                <w:kern w:val="2"/>
                <w:sz w:val="21"/>
                <w:szCs w:val="21"/>
                <w:lang w:eastAsia="zh-CN"/>
              </w:rPr>
              <w:t>采购项目名称</w:t>
            </w:r>
          </w:p>
        </w:tc>
        <w:tc>
          <w:tcPr>
            <w:tcW w:w="2076" w:type="dxa"/>
            <w:vAlign w:val="center"/>
          </w:tcPr>
          <w:p w14:paraId="1AEC3EEC">
            <w:pPr>
              <w:widowControl w:val="0"/>
              <w:jc w:val="center"/>
              <w:rPr>
                <w:rFonts w:eastAsia="宋体"/>
                <w:b/>
                <w:bCs/>
                <w:color w:val="FF0000"/>
                <w:kern w:val="2"/>
                <w:sz w:val="21"/>
                <w:szCs w:val="21"/>
                <w:lang w:eastAsia="zh-CN"/>
              </w:rPr>
            </w:pPr>
            <w:r>
              <w:rPr>
                <w:rFonts w:hint="eastAsia" w:eastAsia="宋体"/>
                <w:b/>
                <w:bCs/>
                <w:color w:val="FF0000"/>
                <w:kern w:val="2"/>
                <w:sz w:val="21"/>
                <w:szCs w:val="21"/>
                <w:lang w:eastAsia="zh-CN"/>
              </w:rPr>
              <w:t>预算金额（元）</w:t>
            </w:r>
          </w:p>
        </w:tc>
      </w:tr>
      <w:tr w14:paraId="3237E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14" w:type="dxa"/>
            <w:vAlign w:val="center"/>
          </w:tcPr>
          <w:p w14:paraId="47F265BB">
            <w:pPr>
              <w:widowControl w:val="0"/>
              <w:jc w:val="center"/>
              <w:rPr>
                <w:rFonts w:eastAsia="宋体"/>
                <w:bCs/>
                <w:kern w:val="2"/>
                <w:sz w:val="21"/>
                <w:szCs w:val="21"/>
                <w:lang w:eastAsia="zh-CN"/>
              </w:rPr>
            </w:pPr>
            <w:r>
              <w:rPr>
                <w:rFonts w:hint="eastAsia" w:eastAsia="宋体"/>
                <w:bCs/>
                <w:kern w:val="2"/>
                <w:sz w:val="21"/>
                <w:szCs w:val="21"/>
                <w:lang w:eastAsia="zh-CN"/>
              </w:rPr>
              <w:t>1</w:t>
            </w:r>
          </w:p>
        </w:tc>
        <w:tc>
          <w:tcPr>
            <w:tcW w:w="6000" w:type="dxa"/>
            <w:vAlign w:val="center"/>
          </w:tcPr>
          <w:p w14:paraId="6EB721EB">
            <w:pPr>
              <w:widowControl w:val="0"/>
              <w:jc w:val="center"/>
              <w:rPr>
                <w:rFonts w:eastAsia="宋体"/>
                <w:bCs/>
                <w:kern w:val="2"/>
                <w:sz w:val="21"/>
                <w:szCs w:val="21"/>
                <w:lang w:val="en" w:eastAsia="zh-CN"/>
              </w:rPr>
            </w:pPr>
            <w:r>
              <w:rPr>
                <w:rFonts w:eastAsia="宋体"/>
                <w:bCs/>
                <w:kern w:val="2"/>
                <w:sz w:val="21"/>
                <w:szCs w:val="21"/>
                <w:lang w:val="en" w:eastAsia="zh-CN"/>
              </w:rPr>
              <w:t>深圳市急救指挥中心管理系统及深圳市医疗优先分级调度系统项目单位政务信息化运维服务（2025年度）项目</w:t>
            </w:r>
          </w:p>
        </w:tc>
        <w:tc>
          <w:tcPr>
            <w:tcW w:w="2076" w:type="dxa"/>
            <w:vAlign w:val="center"/>
          </w:tcPr>
          <w:p w14:paraId="4B19E525">
            <w:pPr>
              <w:widowControl w:val="0"/>
              <w:jc w:val="center"/>
              <w:rPr>
                <w:rFonts w:eastAsia="宋体"/>
                <w:b/>
                <w:bCs/>
                <w:color w:val="FF0000"/>
                <w:kern w:val="2"/>
                <w:sz w:val="21"/>
                <w:szCs w:val="21"/>
                <w:lang w:eastAsia="zh-CN"/>
              </w:rPr>
            </w:pPr>
            <w:r>
              <w:rPr>
                <w:rFonts w:eastAsia="宋体"/>
                <w:b/>
                <w:bCs/>
                <w:color w:val="FF0000"/>
                <w:kern w:val="2"/>
                <w:sz w:val="21"/>
                <w:szCs w:val="21"/>
                <w:lang w:eastAsia="zh-CN"/>
              </w:rPr>
              <w:t>567181.65</w:t>
            </w:r>
          </w:p>
        </w:tc>
      </w:tr>
    </w:tbl>
    <w:p w14:paraId="46B33275">
      <w:pPr>
        <w:widowControl w:val="0"/>
        <w:adjustRightInd w:val="0"/>
        <w:spacing w:before="156" w:beforeLines="50" w:after="156" w:afterLines="50"/>
        <w:jc w:val="center"/>
        <w:textAlignment w:val="baseline"/>
        <w:outlineLvl w:val="1"/>
        <w:rPr>
          <w:rFonts w:ascii="宋体" w:hAnsi="宋体" w:eastAsia="宋体"/>
          <w:b/>
          <w:bCs/>
          <w:lang w:eastAsia="zh-CN"/>
        </w:rPr>
      </w:pPr>
      <w:r>
        <w:rPr>
          <w:rFonts w:hint="eastAsia" w:ascii="宋体" w:hAnsi="宋体" w:eastAsia="宋体"/>
          <w:b/>
          <w:bCs/>
          <w:lang w:eastAsia="zh-CN"/>
        </w:rPr>
        <w:t>二、</w:t>
      </w:r>
      <w:bookmarkStart w:id="36" w:name="_Hlk72073432"/>
      <w:r>
        <w:rPr>
          <w:rFonts w:hint="eastAsia" w:ascii="宋体" w:hAnsi="宋体" w:eastAsia="宋体"/>
          <w:b/>
          <w:bCs/>
          <w:lang w:eastAsia="zh-CN"/>
        </w:rPr>
        <w:t>服务需求明细</w:t>
      </w:r>
      <w:bookmarkEnd w:id="36"/>
    </w:p>
    <w:tbl>
      <w:tblPr>
        <w:tblStyle w:val="6"/>
        <w:tblpPr w:leftFromText="180" w:rightFromText="180" w:vertAnchor="text" w:horzAnchor="margin" w:tblpXSpec="center" w:tblpY="17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4428"/>
        <w:gridCol w:w="804"/>
        <w:gridCol w:w="891"/>
        <w:gridCol w:w="2093"/>
      </w:tblGrid>
      <w:tr w14:paraId="10BB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76" w:type="dxa"/>
            <w:vAlign w:val="center"/>
          </w:tcPr>
          <w:p w14:paraId="20C78378">
            <w:pPr>
              <w:widowControl w:val="0"/>
              <w:jc w:val="center"/>
              <w:rPr>
                <w:rFonts w:eastAsia="宋体"/>
                <w:bCs/>
                <w:kern w:val="2"/>
                <w:sz w:val="21"/>
                <w:szCs w:val="21"/>
                <w:lang w:eastAsia="zh-CN"/>
              </w:rPr>
            </w:pPr>
            <w:r>
              <w:rPr>
                <w:rFonts w:hint="eastAsia" w:eastAsia="宋体"/>
                <w:bCs/>
                <w:kern w:val="2"/>
                <w:sz w:val="21"/>
                <w:szCs w:val="21"/>
                <w:lang w:eastAsia="zh-CN"/>
              </w:rPr>
              <w:t>序号</w:t>
            </w:r>
          </w:p>
        </w:tc>
        <w:tc>
          <w:tcPr>
            <w:tcW w:w="4367" w:type="dxa"/>
            <w:vAlign w:val="center"/>
          </w:tcPr>
          <w:p w14:paraId="4541A0FF">
            <w:pPr>
              <w:widowControl w:val="0"/>
              <w:jc w:val="center"/>
              <w:rPr>
                <w:rFonts w:eastAsia="宋体"/>
                <w:bCs/>
                <w:kern w:val="2"/>
                <w:sz w:val="21"/>
                <w:szCs w:val="21"/>
                <w:lang w:eastAsia="zh-CN"/>
              </w:rPr>
            </w:pPr>
            <w:r>
              <w:rPr>
                <w:rFonts w:hint="eastAsia" w:eastAsia="宋体"/>
                <w:bCs/>
                <w:kern w:val="2"/>
                <w:sz w:val="21"/>
                <w:szCs w:val="21"/>
                <w:lang w:eastAsia="zh-CN"/>
              </w:rPr>
              <w:t>服务需求名称（标的名称）</w:t>
            </w:r>
          </w:p>
        </w:tc>
        <w:tc>
          <w:tcPr>
            <w:tcW w:w="793" w:type="dxa"/>
            <w:vAlign w:val="center"/>
          </w:tcPr>
          <w:p w14:paraId="078C12A7">
            <w:pPr>
              <w:widowControl w:val="0"/>
              <w:jc w:val="center"/>
              <w:rPr>
                <w:rFonts w:eastAsia="宋体"/>
                <w:bCs/>
                <w:kern w:val="2"/>
                <w:sz w:val="21"/>
                <w:szCs w:val="21"/>
                <w:lang w:eastAsia="zh-CN"/>
              </w:rPr>
            </w:pPr>
            <w:r>
              <w:rPr>
                <w:rFonts w:hint="eastAsia" w:eastAsia="宋体"/>
                <w:bCs/>
                <w:kern w:val="2"/>
                <w:sz w:val="21"/>
                <w:szCs w:val="21"/>
                <w:lang w:eastAsia="zh-CN"/>
              </w:rPr>
              <w:t>数量</w:t>
            </w:r>
          </w:p>
        </w:tc>
        <w:tc>
          <w:tcPr>
            <w:tcW w:w="879" w:type="dxa"/>
            <w:vAlign w:val="center"/>
          </w:tcPr>
          <w:p w14:paraId="6167073F">
            <w:pPr>
              <w:widowControl w:val="0"/>
              <w:jc w:val="center"/>
              <w:rPr>
                <w:rFonts w:eastAsia="宋体"/>
                <w:bCs/>
                <w:kern w:val="2"/>
                <w:sz w:val="21"/>
                <w:szCs w:val="21"/>
                <w:lang w:eastAsia="zh-CN"/>
              </w:rPr>
            </w:pPr>
            <w:r>
              <w:rPr>
                <w:rFonts w:hint="eastAsia" w:eastAsia="宋体"/>
                <w:bCs/>
                <w:kern w:val="2"/>
                <w:sz w:val="21"/>
                <w:szCs w:val="21"/>
                <w:lang w:eastAsia="zh-CN"/>
              </w:rPr>
              <w:t>单位</w:t>
            </w:r>
          </w:p>
        </w:tc>
        <w:tc>
          <w:tcPr>
            <w:tcW w:w="2064" w:type="dxa"/>
            <w:vAlign w:val="center"/>
          </w:tcPr>
          <w:p w14:paraId="2AADBB36">
            <w:pPr>
              <w:widowControl w:val="0"/>
              <w:jc w:val="center"/>
              <w:rPr>
                <w:rFonts w:eastAsia="宋体"/>
                <w:bCs/>
                <w:kern w:val="2"/>
                <w:sz w:val="21"/>
                <w:szCs w:val="21"/>
                <w:lang w:eastAsia="zh-CN"/>
              </w:rPr>
            </w:pPr>
            <w:r>
              <w:rPr>
                <w:rFonts w:hint="eastAsia" w:eastAsia="宋体" w:cs="宋体"/>
                <w:b/>
                <w:bCs/>
                <w:color w:val="FF0000"/>
                <w:kern w:val="2"/>
                <w:sz w:val="21"/>
                <w:szCs w:val="21"/>
                <w:lang w:eastAsia="zh-CN"/>
              </w:rPr>
              <w:t>标的所属行业</w:t>
            </w:r>
          </w:p>
        </w:tc>
      </w:tr>
      <w:tr w14:paraId="162DC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76" w:type="dxa"/>
            <w:vAlign w:val="center"/>
          </w:tcPr>
          <w:p w14:paraId="52C45615">
            <w:pPr>
              <w:widowControl w:val="0"/>
              <w:jc w:val="center"/>
              <w:rPr>
                <w:rFonts w:eastAsia="宋体"/>
                <w:bCs/>
                <w:kern w:val="2"/>
                <w:sz w:val="21"/>
                <w:szCs w:val="21"/>
                <w:lang w:eastAsia="zh-CN"/>
              </w:rPr>
            </w:pPr>
            <w:r>
              <w:rPr>
                <w:rFonts w:hint="eastAsia" w:eastAsia="宋体"/>
                <w:bCs/>
                <w:kern w:val="2"/>
                <w:sz w:val="21"/>
                <w:szCs w:val="21"/>
                <w:lang w:eastAsia="zh-CN"/>
              </w:rPr>
              <w:t>1</w:t>
            </w:r>
          </w:p>
        </w:tc>
        <w:tc>
          <w:tcPr>
            <w:tcW w:w="4367" w:type="dxa"/>
            <w:vAlign w:val="center"/>
          </w:tcPr>
          <w:p w14:paraId="0455F576">
            <w:pPr>
              <w:widowControl w:val="0"/>
              <w:jc w:val="center"/>
              <w:rPr>
                <w:rFonts w:eastAsia="宋体"/>
                <w:bCs/>
                <w:kern w:val="2"/>
                <w:sz w:val="21"/>
                <w:szCs w:val="21"/>
                <w:lang w:val="en" w:eastAsia="zh-CN"/>
              </w:rPr>
            </w:pPr>
            <w:r>
              <w:rPr>
                <w:rFonts w:eastAsia="宋体"/>
                <w:bCs/>
                <w:kern w:val="2"/>
                <w:sz w:val="21"/>
                <w:szCs w:val="21"/>
                <w:lang w:val="en" w:eastAsia="zh-CN"/>
              </w:rPr>
              <w:t>深圳市急救指挥中心管理系统及深圳市医疗优先分级调度系统项目单位政务信息化运维服务（2025年度）项目</w:t>
            </w:r>
          </w:p>
        </w:tc>
        <w:tc>
          <w:tcPr>
            <w:tcW w:w="793" w:type="dxa"/>
            <w:vAlign w:val="center"/>
          </w:tcPr>
          <w:p w14:paraId="0A5B1161">
            <w:pPr>
              <w:widowControl w:val="0"/>
              <w:jc w:val="center"/>
              <w:rPr>
                <w:rFonts w:eastAsia="宋体"/>
                <w:bCs/>
                <w:kern w:val="2"/>
                <w:sz w:val="21"/>
                <w:szCs w:val="21"/>
                <w:lang w:eastAsia="zh-CN"/>
              </w:rPr>
            </w:pPr>
            <w:r>
              <w:rPr>
                <w:rFonts w:hint="eastAsia" w:eastAsia="宋体"/>
                <w:bCs/>
                <w:kern w:val="2"/>
                <w:sz w:val="21"/>
                <w:szCs w:val="21"/>
                <w:lang w:eastAsia="zh-CN"/>
              </w:rPr>
              <w:t>1</w:t>
            </w:r>
          </w:p>
        </w:tc>
        <w:tc>
          <w:tcPr>
            <w:tcW w:w="879" w:type="dxa"/>
            <w:vAlign w:val="center"/>
          </w:tcPr>
          <w:p w14:paraId="295C7216">
            <w:pPr>
              <w:widowControl w:val="0"/>
              <w:jc w:val="center"/>
              <w:rPr>
                <w:rFonts w:eastAsia="宋体"/>
                <w:bCs/>
                <w:kern w:val="2"/>
                <w:sz w:val="21"/>
                <w:szCs w:val="21"/>
                <w:lang w:eastAsia="zh-CN"/>
              </w:rPr>
            </w:pPr>
            <w:r>
              <w:rPr>
                <w:rFonts w:hint="eastAsia" w:eastAsia="宋体"/>
                <w:bCs/>
                <w:kern w:val="2"/>
                <w:sz w:val="21"/>
                <w:szCs w:val="21"/>
                <w:lang w:eastAsia="zh-CN"/>
              </w:rPr>
              <w:t>项</w:t>
            </w:r>
          </w:p>
        </w:tc>
        <w:tc>
          <w:tcPr>
            <w:tcW w:w="2064" w:type="dxa"/>
            <w:vAlign w:val="center"/>
          </w:tcPr>
          <w:p w14:paraId="3ADD9C57">
            <w:pPr>
              <w:widowControl w:val="0"/>
              <w:jc w:val="center"/>
              <w:rPr>
                <w:rFonts w:eastAsia="宋体"/>
                <w:bCs/>
                <w:kern w:val="2"/>
                <w:sz w:val="21"/>
                <w:szCs w:val="21"/>
                <w:lang w:eastAsia="zh-CN"/>
              </w:rPr>
            </w:pPr>
            <w:r>
              <w:rPr>
                <w:rFonts w:hint="eastAsia" w:eastAsia="宋体"/>
                <w:b/>
                <w:color w:val="FF0000"/>
                <w:kern w:val="2"/>
                <w:sz w:val="21"/>
                <w:szCs w:val="21"/>
                <w:lang w:eastAsia="zh-CN"/>
              </w:rPr>
              <w:t>软件和信息技术服务业</w:t>
            </w:r>
          </w:p>
        </w:tc>
      </w:tr>
    </w:tbl>
    <w:p w14:paraId="552CEDDE">
      <w:pPr>
        <w:widowControl w:val="0"/>
        <w:jc w:val="both"/>
        <w:rPr>
          <w:rFonts w:ascii="宋体" w:hAnsi="宋体" w:eastAsia="宋体"/>
          <w:b/>
          <w:color w:val="FF0000"/>
          <w:kern w:val="2"/>
          <w:sz w:val="21"/>
          <w:szCs w:val="21"/>
          <w:lang w:eastAsia="zh-CN"/>
        </w:rPr>
      </w:pPr>
    </w:p>
    <w:p w14:paraId="510F2ED3">
      <w:pPr>
        <w:widowControl w:val="0"/>
        <w:adjustRightInd w:val="0"/>
        <w:spacing w:before="156" w:beforeLines="50" w:after="156" w:afterLines="50"/>
        <w:jc w:val="center"/>
        <w:textAlignment w:val="baseline"/>
        <w:outlineLvl w:val="1"/>
        <w:rPr>
          <w:rFonts w:ascii="宋体" w:hAnsi="宋体" w:eastAsia="宋体"/>
          <w:b/>
          <w:bCs/>
          <w:lang w:eastAsia="zh-CN"/>
        </w:rPr>
      </w:pPr>
      <w:r>
        <w:rPr>
          <w:rFonts w:hint="eastAsia" w:ascii="宋体" w:hAnsi="宋体" w:eastAsia="宋体"/>
          <w:b/>
          <w:bCs/>
          <w:lang w:eastAsia="zh-CN"/>
        </w:rPr>
        <w:t>三、实质性条款</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184"/>
      </w:tblGrid>
      <w:tr w14:paraId="13362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18E9B9FA">
            <w:pPr>
              <w:widowControl w:val="0"/>
              <w:adjustRightInd w:val="0"/>
              <w:snapToGrid w:val="0"/>
              <w:spacing w:line="360" w:lineRule="auto"/>
              <w:jc w:val="center"/>
              <w:rPr>
                <w:rFonts w:ascii="宋体" w:hAnsi="宋体" w:eastAsia="宋体"/>
                <w:sz w:val="21"/>
                <w:szCs w:val="21"/>
                <w:lang w:eastAsia="zh-CN"/>
              </w:rPr>
            </w:pPr>
            <w:r>
              <w:rPr>
                <w:rFonts w:hint="eastAsia" w:ascii="宋体" w:hAnsi="宋体" w:eastAsia="宋体"/>
                <w:sz w:val="21"/>
                <w:szCs w:val="21"/>
                <w:lang w:eastAsia="zh-CN"/>
              </w:rPr>
              <w:t>序号</w:t>
            </w:r>
          </w:p>
        </w:tc>
        <w:tc>
          <w:tcPr>
            <w:tcW w:w="8119" w:type="dxa"/>
            <w:vAlign w:val="center"/>
          </w:tcPr>
          <w:p w14:paraId="41950F08">
            <w:pPr>
              <w:widowControl w:val="0"/>
              <w:adjustRightInd w:val="0"/>
              <w:snapToGrid w:val="0"/>
              <w:spacing w:line="360" w:lineRule="auto"/>
              <w:jc w:val="center"/>
              <w:rPr>
                <w:rFonts w:ascii="宋体" w:hAnsi="宋体" w:eastAsia="宋体"/>
                <w:sz w:val="21"/>
                <w:szCs w:val="21"/>
                <w:lang w:eastAsia="zh-CN"/>
              </w:rPr>
            </w:pPr>
            <w:r>
              <w:rPr>
                <w:rFonts w:hint="eastAsia" w:ascii="宋体" w:hAnsi="宋体" w:eastAsia="宋体"/>
                <w:kern w:val="2"/>
                <w:sz w:val="21"/>
                <w:szCs w:val="21"/>
                <w:lang w:eastAsia="zh-CN" w:bidi="ar"/>
              </w:rPr>
              <w:t>实质性条款具体内容</w:t>
            </w:r>
          </w:p>
        </w:tc>
      </w:tr>
      <w:tr w14:paraId="10BEF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4B4B7973">
            <w:pPr>
              <w:widowControl w:val="0"/>
              <w:adjustRightInd w:val="0"/>
              <w:snapToGrid w:val="0"/>
              <w:spacing w:line="360" w:lineRule="auto"/>
              <w:jc w:val="center"/>
              <w:rPr>
                <w:rFonts w:ascii="宋体" w:hAnsi="宋体" w:eastAsia="宋体"/>
                <w:sz w:val="21"/>
                <w:szCs w:val="21"/>
                <w:lang w:eastAsia="zh-CN"/>
              </w:rPr>
            </w:pPr>
            <w:r>
              <w:rPr>
                <w:rFonts w:hint="eastAsia" w:ascii="宋体" w:hAnsi="宋体" w:eastAsia="宋体"/>
                <w:sz w:val="21"/>
                <w:szCs w:val="21"/>
                <w:lang w:eastAsia="zh-CN"/>
              </w:rPr>
              <w:t>1</w:t>
            </w:r>
          </w:p>
        </w:tc>
        <w:tc>
          <w:tcPr>
            <w:tcW w:w="8119" w:type="dxa"/>
          </w:tcPr>
          <w:p w14:paraId="57464C72">
            <w:pPr>
              <w:widowControl w:val="0"/>
              <w:jc w:val="both"/>
              <w:rPr>
                <w:rFonts w:hAnsi="宋体" w:eastAsia="宋体"/>
                <w:sz w:val="21"/>
                <w:szCs w:val="21"/>
                <w:lang w:eastAsia="zh-CN"/>
              </w:rPr>
            </w:pPr>
            <w:r>
              <w:rPr>
                <w:rFonts w:hint="eastAsia" w:hAnsi="宋体" w:eastAsia="宋体"/>
                <w:sz w:val="21"/>
                <w:szCs w:val="21"/>
                <w:lang w:eastAsia="zh-CN"/>
              </w:rPr>
              <w:t>满足本项目标★的条款要求。</w:t>
            </w:r>
          </w:p>
        </w:tc>
      </w:tr>
      <w:bookmarkEnd w:id="35"/>
    </w:tbl>
    <w:p w14:paraId="5E72FEDA">
      <w:pPr>
        <w:widowControl w:val="0"/>
        <w:jc w:val="both"/>
        <w:rPr>
          <w:rFonts w:eastAsia="宋体"/>
          <w:b/>
          <w:bCs/>
          <w:kern w:val="2"/>
          <w:sz w:val="21"/>
          <w:lang w:eastAsia="zh-CN"/>
        </w:rPr>
      </w:pPr>
      <w:r>
        <w:rPr>
          <w:rFonts w:ascii="宋体" w:eastAsia="宋体"/>
          <w:b/>
          <w:szCs w:val="20"/>
          <w:lang w:eastAsia="zh-CN"/>
        </w:rPr>
        <w:t>注：上表所列内容为不可负偏离条款，负偏离将视为未实质性满足</w:t>
      </w:r>
      <w:r>
        <w:rPr>
          <w:rFonts w:hint="eastAsia" w:ascii="宋体" w:eastAsia="宋体"/>
          <w:b/>
          <w:szCs w:val="20"/>
          <w:lang w:eastAsia="zh-CN"/>
        </w:rPr>
        <w:t>招标</w:t>
      </w:r>
      <w:r>
        <w:rPr>
          <w:rFonts w:ascii="宋体" w:eastAsia="宋体"/>
          <w:b/>
          <w:szCs w:val="20"/>
          <w:lang w:eastAsia="zh-CN"/>
        </w:rPr>
        <w:t>文件要求和条件作投标无效处理。</w:t>
      </w:r>
    </w:p>
    <w:p w14:paraId="19967012">
      <w:pPr>
        <w:widowControl/>
        <w:adjustRightInd w:val="0"/>
        <w:spacing w:before="156" w:beforeLines="50" w:after="156" w:afterLines="50"/>
        <w:jc w:val="center"/>
        <w:textAlignment w:val="baseline"/>
        <w:outlineLvl w:val="1"/>
        <w:rPr>
          <w:rFonts w:ascii="宋体" w:hAnsi="宋体" w:eastAsia="宋体"/>
          <w:b/>
          <w:bCs/>
          <w:lang w:eastAsia="zh-CN"/>
        </w:rPr>
      </w:pPr>
      <w:r>
        <w:rPr>
          <w:rFonts w:hint="eastAsia" w:ascii="宋体" w:hAnsi="宋体" w:eastAsia="宋体"/>
          <w:b/>
          <w:bCs/>
          <w:lang w:eastAsia="zh-CN"/>
        </w:rPr>
        <w:t>四</w:t>
      </w:r>
      <w:r>
        <w:rPr>
          <w:rFonts w:ascii="宋体" w:hAnsi="宋体" w:eastAsia="宋体"/>
          <w:b/>
          <w:bCs/>
          <w:lang w:eastAsia="zh-CN"/>
        </w:rPr>
        <w:t>、技术要求</w:t>
      </w:r>
    </w:p>
    <w:p w14:paraId="70E9F770">
      <w:pPr>
        <w:widowControl w:val="0"/>
        <w:numPr>
          <w:ilvl w:val="12"/>
          <w:numId w:val="0"/>
        </w:numPr>
        <w:spacing w:line="52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 xml:space="preserve">1.服务范围：深圳市急救指挥中心管理系统、深圳市医疗优先分级调度系统软硬件的运行维护。 </w:t>
      </w:r>
    </w:p>
    <w:p w14:paraId="0A45EE9C">
      <w:pPr>
        <w:widowControl w:val="0"/>
        <w:numPr>
          <w:ilvl w:val="12"/>
          <w:numId w:val="0"/>
        </w:numPr>
        <w:spacing w:line="52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2.服务期限：</w:t>
      </w:r>
    </w:p>
    <w:p w14:paraId="09757703">
      <w:pPr>
        <w:widowControl w:val="0"/>
        <w:numPr>
          <w:ilvl w:val="12"/>
          <w:numId w:val="0"/>
        </w:numPr>
        <w:spacing w:line="52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（1）深圳市急救指挥中心管理系统维护服务的服务期限为2025年10月10日至2026年10月9日止；</w:t>
      </w:r>
    </w:p>
    <w:p w14:paraId="26D0D7CB">
      <w:pPr>
        <w:widowControl w:val="0"/>
        <w:numPr>
          <w:ilvl w:val="12"/>
          <w:numId w:val="0"/>
        </w:numPr>
        <w:spacing w:line="52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（2）深圳市医疗优先分级调度系统维护服务的服务期限为2025年8月14日（以合同实际签订之日起）至2026年10月9日止；</w:t>
      </w:r>
    </w:p>
    <w:p w14:paraId="56EB41A6">
      <w:pPr>
        <w:widowControl w:val="0"/>
        <w:numPr>
          <w:ilvl w:val="12"/>
          <w:numId w:val="0"/>
        </w:numPr>
        <w:spacing w:line="52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3.服务内容：</w:t>
      </w:r>
    </w:p>
    <w:p w14:paraId="665BFB25">
      <w:pPr>
        <w:widowControl w:val="0"/>
        <w:numPr>
          <w:ilvl w:val="12"/>
          <w:numId w:val="0"/>
        </w:numPr>
        <w:spacing w:line="52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（1）软件系统运维服务清单：</w:t>
      </w:r>
    </w:p>
    <w:p w14:paraId="245B3091">
      <w:pPr>
        <w:widowControl w:val="0"/>
        <w:numPr>
          <w:ilvl w:val="12"/>
          <w:numId w:val="0"/>
        </w:numPr>
        <w:pBdr>
          <w:bottom w:val="single" w:color="auto" w:sz="6" w:space="1"/>
        </w:pBdr>
        <w:tabs>
          <w:tab w:val="center" w:pos="4153"/>
          <w:tab w:val="right" w:pos="8306"/>
        </w:tabs>
        <w:snapToGrid w:val="0"/>
        <w:ind w:left="0" w:firstLine="0"/>
        <w:jc w:val="center"/>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第一部分 深圳市急救指挥中心管理系统</w:t>
      </w:r>
    </w:p>
    <w:tbl>
      <w:tblPr>
        <w:tblStyle w:val="6"/>
        <w:tblW w:w="5000" w:type="pct"/>
        <w:tblInd w:w="0" w:type="dxa"/>
        <w:tblLayout w:type="fixed"/>
        <w:tblCellMar>
          <w:top w:w="0" w:type="dxa"/>
          <w:left w:w="108" w:type="dxa"/>
          <w:bottom w:w="0" w:type="dxa"/>
          <w:right w:w="108" w:type="dxa"/>
        </w:tblCellMar>
      </w:tblPr>
      <w:tblGrid>
        <w:gridCol w:w="700"/>
        <w:gridCol w:w="3029"/>
        <w:gridCol w:w="2986"/>
        <w:gridCol w:w="792"/>
        <w:gridCol w:w="699"/>
        <w:gridCol w:w="798"/>
      </w:tblGrid>
      <w:tr w14:paraId="5AB98FC9">
        <w:tblPrEx>
          <w:tblCellMar>
            <w:top w:w="0" w:type="dxa"/>
            <w:left w:w="108" w:type="dxa"/>
            <w:bottom w:w="0" w:type="dxa"/>
            <w:right w:w="108" w:type="dxa"/>
          </w:tblCellMar>
        </w:tblPrEx>
        <w:trPr>
          <w:trHeight w:val="531"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E0E515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序号</w:t>
            </w:r>
          </w:p>
        </w:tc>
        <w:tc>
          <w:tcPr>
            <w:tcW w:w="1681" w:type="pct"/>
            <w:tcBorders>
              <w:top w:val="single" w:color="auto" w:sz="4" w:space="0"/>
              <w:left w:val="nil"/>
              <w:bottom w:val="single" w:color="auto" w:sz="4" w:space="0"/>
              <w:right w:val="single" w:color="auto" w:sz="4" w:space="0"/>
            </w:tcBorders>
            <w:shd w:val="clear" w:color="auto" w:fill="auto"/>
            <w:noWrap/>
            <w:vAlign w:val="center"/>
          </w:tcPr>
          <w:p w14:paraId="134EB8CA">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运维服务内容</w:t>
            </w:r>
          </w:p>
        </w:tc>
        <w:tc>
          <w:tcPr>
            <w:tcW w:w="1657" w:type="pct"/>
            <w:tcBorders>
              <w:top w:val="single" w:color="auto" w:sz="4" w:space="0"/>
              <w:left w:val="nil"/>
              <w:bottom w:val="single" w:color="auto" w:sz="4" w:space="0"/>
              <w:right w:val="single" w:color="auto" w:sz="4" w:space="0"/>
            </w:tcBorders>
            <w:shd w:val="clear" w:color="auto" w:fill="auto"/>
            <w:vAlign w:val="center"/>
          </w:tcPr>
          <w:p w14:paraId="22B85491">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型号规格</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73C49712">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单位</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D86099E">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数量</w:t>
            </w:r>
          </w:p>
        </w:tc>
        <w:tc>
          <w:tcPr>
            <w:tcW w:w="443" w:type="pct"/>
            <w:tcBorders>
              <w:top w:val="single" w:color="auto" w:sz="4" w:space="0"/>
              <w:left w:val="nil"/>
              <w:bottom w:val="single" w:color="auto" w:sz="4" w:space="0"/>
              <w:right w:val="single" w:color="auto" w:sz="4" w:space="0"/>
            </w:tcBorders>
            <w:shd w:val="clear" w:color="auto" w:fill="auto"/>
            <w:noWrap/>
            <w:vAlign w:val="center"/>
          </w:tcPr>
          <w:p w14:paraId="1807915A">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备注</w:t>
            </w:r>
          </w:p>
        </w:tc>
      </w:tr>
      <w:tr w14:paraId="08876D44">
        <w:tblPrEx>
          <w:tblCellMar>
            <w:top w:w="0" w:type="dxa"/>
            <w:left w:w="108" w:type="dxa"/>
            <w:bottom w:w="0" w:type="dxa"/>
            <w:right w:w="108" w:type="dxa"/>
          </w:tblCellMar>
        </w:tblPrEx>
        <w:trPr>
          <w:trHeight w:val="553"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24E368F">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0DED81">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急救指挥管理应用支撑平台</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6293BD26">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1397331">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010B32">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nil"/>
              <w:left w:val="nil"/>
              <w:bottom w:val="single" w:color="auto" w:sz="4" w:space="0"/>
              <w:right w:val="single" w:color="auto" w:sz="4" w:space="0"/>
            </w:tcBorders>
            <w:shd w:val="clear" w:color="auto" w:fill="auto"/>
            <w:noWrap/>
            <w:vAlign w:val="center"/>
          </w:tcPr>
          <w:p w14:paraId="154693D0">
            <w:pPr>
              <w:widowControl/>
              <w:jc w:val="left"/>
              <w:rPr>
                <w:rFonts w:ascii="仿宋" w:hAnsi="仿宋" w:eastAsia="仿宋" w:cs="仿宋"/>
                <w:color w:val="000000"/>
                <w:sz w:val="21"/>
                <w:szCs w:val="21"/>
                <w:lang w:eastAsia="zh-CN"/>
              </w:rPr>
            </w:pPr>
          </w:p>
        </w:tc>
      </w:tr>
      <w:tr w14:paraId="7227EF2C">
        <w:tblPrEx>
          <w:tblCellMar>
            <w:top w:w="0" w:type="dxa"/>
            <w:left w:w="108" w:type="dxa"/>
            <w:bottom w:w="0" w:type="dxa"/>
            <w:right w:w="108" w:type="dxa"/>
          </w:tblCellMar>
        </w:tblPrEx>
        <w:trPr>
          <w:trHeight w:val="561"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B6D32E4">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1C1C13F">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急救分站管理子系统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3161DB9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3300A63D">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82D82CD">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ABF1602">
            <w:pPr>
              <w:widowControl/>
              <w:jc w:val="left"/>
              <w:rPr>
                <w:rFonts w:ascii="仿宋" w:hAnsi="仿宋" w:eastAsia="仿宋" w:cs="仿宋"/>
                <w:color w:val="000000"/>
                <w:sz w:val="21"/>
                <w:szCs w:val="21"/>
                <w:lang w:eastAsia="zh-CN"/>
              </w:rPr>
            </w:pPr>
          </w:p>
        </w:tc>
      </w:tr>
      <w:tr w14:paraId="2BEEC404">
        <w:tblPrEx>
          <w:tblCellMar>
            <w:top w:w="0" w:type="dxa"/>
            <w:left w:w="108" w:type="dxa"/>
            <w:bottom w:w="0" w:type="dxa"/>
            <w:right w:w="108" w:type="dxa"/>
          </w:tblCellMar>
        </w:tblPrEx>
        <w:trPr>
          <w:trHeight w:val="413"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8A2C13">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3</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43DB53">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急救人员管理子系统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540D6C85">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39978F8F">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E017F3">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8324A5">
            <w:pPr>
              <w:widowControl/>
              <w:jc w:val="left"/>
              <w:rPr>
                <w:rFonts w:ascii="仿宋" w:hAnsi="仿宋" w:eastAsia="仿宋" w:cs="仿宋"/>
                <w:color w:val="000000"/>
                <w:sz w:val="21"/>
                <w:szCs w:val="21"/>
                <w:lang w:eastAsia="zh-CN"/>
              </w:rPr>
            </w:pPr>
          </w:p>
        </w:tc>
      </w:tr>
      <w:tr w14:paraId="2F00F9A7">
        <w:tblPrEx>
          <w:tblCellMar>
            <w:top w:w="0" w:type="dxa"/>
            <w:left w:w="108" w:type="dxa"/>
            <w:bottom w:w="0" w:type="dxa"/>
            <w:right w:w="108" w:type="dxa"/>
          </w:tblCellMar>
        </w:tblPrEx>
        <w:trPr>
          <w:trHeight w:val="405"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2A7C720">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4</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0769883">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急救质控管理子系统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69F4848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3093DA6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35F99E">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C8A0A48">
            <w:pPr>
              <w:widowControl/>
              <w:jc w:val="left"/>
              <w:rPr>
                <w:rFonts w:ascii="仿宋" w:hAnsi="仿宋" w:eastAsia="仿宋" w:cs="仿宋"/>
                <w:color w:val="000000"/>
                <w:sz w:val="21"/>
                <w:szCs w:val="21"/>
                <w:lang w:eastAsia="zh-CN"/>
              </w:rPr>
            </w:pPr>
          </w:p>
        </w:tc>
      </w:tr>
      <w:tr w14:paraId="4BCCB23F">
        <w:tblPrEx>
          <w:tblCellMar>
            <w:top w:w="0" w:type="dxa"/>
            <w:left w:w="108" w:type="dxa"/>
            <w:bottom w:w="0" w:type="dxa"/>
            <w:right w:w="108" w:type="dxa"/>
          </w:tblCellMar>
        </w:tblPrEx>
        <w:trPr>
          <w:trHeight w:val="424"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4A24A80">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5</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64DFB2C">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急救车辆管理子系统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14986C30">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9595CCA">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5D83FA">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ABF28A">
            <w:pPr>
              <w:widowControl/>
              <w:jc w:val="left"/>
              <w:rPr>
                <w:rFonts w:ascii="仿宋" w:hAnsi="仿宋" w:eastAsia="仿宋" w:cs="仿宋"/>
                <w:color w:val="000000"/>
                <w:sz w:val="21"/>
                <w:szCs w:val="21"/>
                <w:lang w:eastAsia="zh-CN"/>
              </w:rPr>
            </w:pPr>
          </w:p>
        </w:tc>
      </w:tr>
      <w:tr w14:paraId="2FBDAB42">
        <w:tblPrEx>
          <w:tblCellMar>
            <w:top w:w="0" w:type="dxa"/>
            <w:left w:w="108" w:type="dxa"/>
            <w:bottom w:w="0" w:type="dxa"/>
            <w:right w:w="108" w:type="dxa"/>
          </w:tblCellMar>
        </w:tblPrEx>
        <w:trPr>
          <w:trHeight w:val="416"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C21E1B">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6</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58E100">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急救信息管理子系统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01D40DBD">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261D26CD">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3823106">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4986CAD">
            <w:pPr>
              <w:widowControl/>
              <w:jc w:val="left"/>
              <w:rPr>
                <w:rFonts w:ascii="仿宋" w:hAnsi="仿宋" w:eastAsia="仿宋" w:cs="仿宋"/>
                <w:color w:val="000000"/>
                <w:sz w:val="21"/>
                <w:szCs w:val="21"/>
                <w:lang w:eastAsia="zh-CN"/>
              </w:rPr>
            </w:pPr>
          </w:p>
        </w:tc>
      </w:tr>
      <w:tr w14:paraId="51B1275E">
        <w:tblPrEx>
          <w:tblCellMar>
            <w:top w:w="0" w:type="dxa"/>
            <w:left w:w="108" w:type="dxa"/>
            <w:bottom w:w="0" w:type="dxa"/>
            <w:right w:w="108" w:type="dxa"/>
          </w:tblCellMar>
        </w:tblPrEx>
        <w:trPr>
          <w:trHeight w:val="409"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A5F8175">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7</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B3A05FC">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医疗护送服务管理子系统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1DBB09EB">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1041A0B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192423">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BF99FD9">
            <w:pPr>
              <w:widowControl/>
              <w:jc w:val="left"/>
              <w:rPr>
                <w:rFonts w:ascii="仿宋" w:hAnsi="仿宋" w:eastAsia="仿宋" w:cs="仿宋"/>
                <w:color w:val="000000"/>
                <w:sz w:val="21"/>
                <w:szCs w:val="21"/>
                <w:lang w:eastAsia="zh-CN"/>
              </w:rPr>
            </w:pPr>
          </w:p>
        </w:tc>
      </w:tr>
      <w:tr w14:paraId="4E108ED8">
        <w:tblPrEx>
          <w:tblCellMar>
            <w:top w:w="0" w:type="dxa"/>
            <w:left w:w="108" w:type="dxa"/>
            <w:bottom w:w="0" w:type="dxa"/>
            <w:right w:w="108" w:type="dxa"/>
          </w:tblCellMar>
        </w:tblPrEx>
        <w:trPr>
          <w:trHeight w:val="415"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392BB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8</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851268A">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急救指挥大数据分析</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1FB021A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C43255B">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068C33">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9E868B2">
            <w:pPr>
              <w:widowControl/>
              <w:jc w:val="left"/>
              <w:rPr>
                <w:rFonts w:ascii="仿宋" w:hAnsi="仿宋" w:eastAsia="仿宋" w:cs="仿宋"/>
                <w:color w:val="000000"/>
                <w:sz w:val="21"/>
                <w:szCs w:val="21"/>
                <w:lang w:eastAsia="zh-CN"/>
              </w:rPr>
            </w:pPr>
          </w:p>
        </w:tc>
      </w:tr>
      <w:tr w14:paraId="603129BF">
        <w:tblPrEx>
          <w:tblCellMar>
            <w:top w:w="0" w:type="dxa"/>
            <w:left w:w="108" w:type="dxa"/>
            <w:bottom w:w="0" w:type="dxa"/>
            <w:right w:w="108" w:type="dxa"/>
          </w:tblCellMar>
        </w:tblPrEx>
        <w:trPr>
          <w:trHeight w:val="420"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3F9B96">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9</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7793A1">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急救培训管理子系统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665CE590">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B90C8CE">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7D986C">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B4C63EA">
            <w:pPr>
              <w:widowControl/>
              <w:jc w:val="left"/>
              <w:rPr>
                <w:rFonts w:ascii="仿宋" w:hAnsi="仿宋" w:eastAsia="仿宋" w:cs="仿宋"/>
                <w:color w:val="000000"/>
                <w:sz w:val="21"/>
                <w:szCs w:val="21"/>
                <w:lang w:eastAsia="zh-CN"/>
              </w:rPr>
            </w:pPr>
          </w:p>
        </w:tc>
      </w:tr>
      <w:tr w14:paraId="57E99F72">
        <w:tblPrEx>
          <w:tblCellMar>
            <w:top w:w="0" w:type="dxa"/>
            <w:left w:w="108" w:type="dxa"/>
            <w:bottom w:w="0" w:type="dxa"/>
            <w:right w:w="108" w:type="dxa"/>
          </w:tblCellMar>
        </w:tblPrEx>
        <w:trPr>
          <w:trHeight w:val="412"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CE7B060">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10</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0A72BD5">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急救中心事务管理子系统</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3C7E2B1B">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5A1914A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1D39146">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BD3953">
            <w:pPr>
              <w:widowControl/>
              <w:jc w:val="left"/>
              <w:rPr>
                <w:rFonts w:ascii="仿宋" w:hAnsi="仿宋" w:eastAsia="仿宋" w:cs="仿宋"/>
                <w:color w:val="000000"/>
                <w:sz w:val="21"/>
                <w:szCs w:val="21"/>
                <w:lang w:eastAsia="zh-CN"/>
              </w:rPr>
            </w:pPr>
          </w:p>
        </w:tc>
      </w:tr>
      <w:tr w14:paraId="7ECA5CD0">
        <w:tblPrEx>
          <w:tblCellMar>
            <w:top w:w="0" w:type="dxa"/>
            <w:left w:w="108" w:type="dxa"/>
            <w:bottom w:w="0" w:type="dxa"/>
            <w:right w:w="108" w:type="dxa"/>
          </w:tblCellMar>
        </w:tblPrEx>
        <w:trPr>
          <w:trHeight w:val="419" w:hRule="atLeast"/>
        </w:trPr>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A92D6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11</w:t>
            </w:r>
          </w:p>
        </w:tc>
        <w:tc>
          <w:tcPr>
            <w:tcW w:w="168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84A888">
            <w:pPr>
              <w:widowControl/>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数据接口</w:t>
            </w:r>
          </w:p>
        </w:tc>
        <w:tc>
          <w:tcPr>
            <w:tcW w:w="1657" w:type="pct"/>
            <w:tcBorders>
              <w:top w:val="single" w:color="auto" w:sz="4" w:space="0"/>
              <w:left w:val="single" w:color="auto" w:sz="4" w:space="0"/>
              <w:bottom w:val="single" w:color="auto" w:sz="4" w:space="0"/>
              <w:right w:val="single" w:color="auto" w:sz="4" w:space="0"/>
            </w:tcBorders>
            <w:shd w:val="clear" w:color="auto" w:fill="auto"/>
            <w:vAlign w:val="center"/>
          </w:tcPr>
          <w:p w14:paraId="62DB2532">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定制</w:t>
            </w:r>
          </w:p>
        </w:tc>
        <w:tc>
          <w:tcPr>
            <w:tcW w:w="440" w:type="pct"/>
            <w:tcBorders>
              <w:top w:val="single" w:color="auto" w:sz="4" w:space="0"/>
              <w:left w:val="single" w:color="auto" w:sz="4" w:space="0"/>
              <w:bottom w:val="single" w:color="auto" w:sz="4" w:space="0"/>
              <w:right w:val="single" w:color="auto" w:sz="4" w:space="0"/>
            </w:tcBorders>
            <w:shd w:val="clear" w:color="auto" w:fill="auto"/>
            <w:vAlign w:val="center"/>
          </w:tcPr>
          <w:p w14:paraId="1E91AF81">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86F257">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1DC9334">
            <w:pPr>
              <w:widowControl/>
              <w:jc w:val="left"/>
              <w:rPr>
                <w:rFonts w:ascii="仿宋" w:hAnsi="仿宋" w:eastAsia="仿宋" w:cs="仿宋"/>
                <w:color w:val="000000"/>
                <w:sz w:val="21"/>
                <w:szCs w:val="21"/>
                <w:lang w:eastAsia="zh-CN"/>
              </w:rPr>
            </w:pPr>
          </w:p>
        </w:tc>
      </w:tr>
    </w:tbl>
    <w:p w14:paraId="242AFF7B">
      <w:pPr>
        <w:widowControl w:val="0"/>
        <w:spacing w:line="520" w:lineRule="exact"/>
        <w:jc w:val="center"/>
        <w:rPr>
          <w:rFonts w:ascii="仿宋" w:hAnsi="仿宋" w:eastAsia="仿宋_GB2312" w:cs="仿宋"/>
          <w:color w:val="000000"/>
          <w:kern w:val="2"/>
          <w:sz w:val="21"/>
          <w:szCs w:val="21"/>
          <w:lang w:eastAsia="zh-CN"/>
        </w:rPr>
      </w:pPr>
      <w:r>
        <w:rPr>
          <w:rFonts w:hint="eastAsia" w:ascii="仿宋_GB2312" w:hAnsi="华文仿宋" w:eastAsia="仿宋_GB2312"/>
          <w:color w:val="000000"/>
          <w:kern w:val="2"/>
          <w:sz w:val="21"/>
          <w:szCs w:val="21"/>
          <w:lang w:eastAsia="zh-CN"/>
        </w:rPr>
        <w:t>第二部分 深圳市医疗优先分级调度系统</w:t>
      </w:r>
    </w:p>
    <w:tbl>
      <w:tblPr>
        <w:tblStyle w:val="6"/>
        <w:tblW w:w="5000" w:type="pct"/>
        <w:tblInd w:w="0" w:type="dxa"/>
        <w:tblLayout w:type="fixed"/>
        <w:tblCellMar>
          <w:top w:w="0" w:type="dxa"/>
          <w:left w:w="108" w:type="dxa"/>
          <w:bottom w:w="0" w:type="dxa"/>
          <w:right w:w="108" w:type="dxa"/>
        </w:tblCellMar>
      </w:tblPr>
      <w:tblGrid>
        <w:gridCol w:w="892"/>
        <w:gridCol w:w="2815"/>
        <w:gridCol w:w="3061"/>
        <w:gridCol w:w="737"/>
        <w:gridCol w:w="699"/>
        <w:gridCol w:w="800"/>
      </w:tblGrid>
      <w:tr w14:paraId="02FF9CC8">
        <w:tblPrEx>
          <w:tblCellMar>
            <w:top w:w="0" w:type="dxa"/>
            <w:left w:w="108" w:type="dxa"/>
            <w:bottom w:w="0" w:type="dxa"/>
            <w:right w:w="108" w:type="dxa"/>
          </w:tblCellMar>
        </w:tblPrEx>
        <w:trPr>
          <w:trHeight w:val="531" w:hRule="atLeast"/>
        </w:trPr>
        <w:tc>
          <w:tcPr>
            <w:tcW w:w="4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28C5218">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序号</w:t>
            </w:r>
          </w:p>
        </w:tc>
        <w:tc>
          <w:tcPr>
            <w:tcW w:w="1562" w:type="pct"/>
            <w:tcBorders>
              <w:top w:val="single" w:color="auto" w:sz="4" w:space="0"/>
              <w:left w:val="nil"/>
              <w:bottom w:val="single" w:color="auto" w:sz="4" w:space="0"/>
              <w:right w:val="single" w:color="auto" w:sz="4" w:space="0"/>
            </w:tcBorders>
            <w:shd w:val="clear" w:color="auto" w:fill="auto"/>
            <w:noWrap/>
            <w:vAlign w:val="center"/>
          </w:tcPr>
          <w:p w14:paraId="6E41AEE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运维服务内容</w:t>
            </w:r>
          </w:p>
        </w:tc>
        <w:tc>
          <w:tcPr>
            <w:tcW w:w="1699" w:type="pct"/>
            <w:tcBorders>
              <w:top w:val="single" w:color="auto" w:sz="4" w:space="0"/>
              <w:left w:val="nil"/>
              <w:bottom w:val="single" w:color="auto" w:sz="4" w:space="0"/>
              <w:right w:val="single" w:color="auto" w:sz="4" w:space="0"/>
            </w:tcBorders>
            <w:shd w:val="clear" w:color="auto" w:fill="auto"/>
            <w:vAlign w:val="center"/>
          </w:tcPr>
          <w:p w14:paraId="34A7FCED">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型号规格</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14:paraId="2123BB1C">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单位</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F62E554">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数量</w:t>
            </w:r>
          </w:p>
        </w:tc>
        <w:tc>
          <w:tcPr>
            <w:tcW w:w="444" w:type="pct"/>
            <w:tcBorders>
              <w:top w:val="single" w:color="auto" w:sz="4" w:space="0"/>
              <w:left w:val="nil"/>
              <w:bottom w:val="single" w:color="auto" w:sz="4" w:space="0"/>
              <w:right w:val="single" w:color="auto" w:sz="4" w:space="0"/>
            </w:tcBorders>
            <w:shd w:val="clear" w:color="auto" w:fill="auto"/>
            <w:noWrap/>
            <w:vAlign w:val="center"/>
          </w:tcPr>
          <w:p w14:paraId="387947A9">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备注</w:t>
            </w:r>
          </w:p>
        </w:tc>
      </w:tr>
      <w:tr w14:paraId="3DC1F017">
        <w:tblPrEx>
          <w:tblCellMar>
            <w:top w:w="0" w:type="dxa"/>
            <w:left w:w="108" w:type="dxa"/>
            <w:bottom w:w="0" w:type="dxa"/>
            <w:right w:w="108" w:type="dxa"/>
          </w:tblCellMar>
        </w:tblPrEx>
        <w:trPr>
          <w:trHeight w:val="419" w:hRule="atLeast"/>
        </w:trPr>
        <w:tc>
          <w:tcPr>
            <w:tcW w:w="4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78F5444">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1562" w:type="pct"/>
            <w:tcBorders>
              <w:top w:val="single" w:color="auto" w:sz="4" w:space="0"/>
              <w:left w:val="nil"/>
              <w:bottom w:val="single" w:color="auto" w:sz="4" w:space="0"/>
              <w:right w:val="single" w:color="auto" w:sz="4" w:space="0"/>
            </w:tcBorders>
            <w:shd w:val="clear" w:color="auto" w:fill="auto"/>
            <w:noWrap/>
            <w:vAlign w:val="center"/>
          </w:tcPr>
          <w:p w14:paraId="461A65EA">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急救优先调度基础核心软件</w:t>
            </w:r>
          </w:p>
        </w:tc>
        <w:tc>
          <w:tcPr>
            <w:tcW w:w="1699" w:type="pct"/>
            <w:tcBorders>
              <w:top w:val="single" w:color="auto" w:sz="4" w:space="0"/>
              <w:left w:val="nil"/>
              <w:bottom w:val="single" w:color="auto" w:sz="4" w:space="0"/>
              <w:right w:val="single" w:color="auto" w:sz="4" w:space="0"/>
            </w:tcBorders>
            <w:shd w:val="clear" w:color="auto" w:fill="auto"/>
            <w:vAlign w:val="center"/>
          </w:tcPr>
          <w:p w14:paraId="40CA2EEE">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急救优先调度（MPDS）分级调派及改派CAD软件 V2.0</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14:paraId="3C11CE4C">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56F8397">
            <w:pPr>
              <w:widowControl/>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444" w:type="pct"/>
            <w:tcBorders>
              <w:top w:val="single" w:color="auto" w:sz="4" w:space="0"/>
              <w:left w:val="nil"/>
              <w:bottom w:val="single" w:color="auto" w:sz="4" w:space="0"/>
              <w:right w:val="single" w:color="auto" w:sz="4" w:space="0"/>
            </w:tcBorders>
            <w:shd w:val="clear" w:color="auto" w:fill="auto"/>
            <w:noWrap/>
            <w:vAlign w:val="center"/>
          </w:tcPr>
          <w:p w14:paraId="5DCC370E">
            <w:pPr>
              <w:widowControl/>
              <w:jc w:val="left"/>
              <w:rPr>
                <w:rFonts w:ascii="仿宋" w:hAnsi="仿宋" w:eastAsia="仿宋" w:cs="仿宋"/>
                <w:color w:val="000000"/>
                <w:sz w:val="21"/>
                <w:szCs w:val="21"/>
                <w:lang w:eastAsia="zh-CN"/>
              </w:rPr>
            </w:pPr>
          </w:p>
        </w:tc>
      </w:tr>
      <w:tr w14:paraId="5474643F">
        <w:tblPrEx>
          <w:tblCellMar>
            <w:top w:w="0" w:type="dxa"/>
            <w:left w:w="108" w:type="dxa"/>
            <w:bottom w:w="0" w:type="dxa"/>
            <w:right w:w="108" w:type="dxa"/>
          </w:tblCellMar>
        </w:tblPrEx>
        <w:trPr>
          <w:trHeight w:val="419" w:hRule="atLeast"/>
        </w:trPr>
        <w:tc>
          <w:tcPr>
            <w:tcW w:w="4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E95E346">
            <w:pPr>
              <w:widowControl/>
              <w:adjustRightInd w:val="0"/>
              <w:snapToGrid w:val="0"/>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2</w:t>
            </w:r>
          </w:p>
        </w:tc>
        <w:tc>
          <w:tcPr>
            <w:tcW w:w="1562" w:type="pct"/>
            <w:tcBorders>
              <w:top w:val="single" w:color="auto" w:sz="4" w:space="0"/>
              <w:left w:val="nil"/>
              <w:bottom w:val="single" w:color="auto" w:sz="4" w:space="0"/>
              <w:right w:val="single" w:color="auto" w:sz="4" w:space="0"/>
            </w:tcBorders>
            <w:shd w:val="clear" w:color="auto" w:fill="auto"/>
            <w:noWrap/>
            <w:vAlign w:val="center"/>
          </w:tcPr>
          <w:p w14:paraId="7C4A105A">
            <w:pPr>
              <w:widowControl/>
              <w:adjustRightInd w:val="0"/>
              <w:snapToGrid w:val="0"/>
              <w:jc w:val="left"/>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调度坐席软件</w:t>
            </w:r>
          </w:p>
        </w:tc>
        <w:tc>
          <w:tcPr>
            <w:tcW w:w="1699" w:type="pct"/>
            <w:tcBorders>
              <w:top w:val="single" w:color="auto" w:sz="4" w:space="0"/>
              <w:left w:val="nil"/>
              <w:bottom w:val="single" w:color="auto" w:sz="4" w:space="0"/>
              <w:right w:val="single" w:color="auto" w:sz="4" w:space="0"/>
            </w:tcBorders>
            <w:shd w:val="clear" w:color="auto" w:fill="auto"/>
            <w:vAlign w:val="center"/>
          </w:tcPr>
          <w:p w14:paraId="5A6E1234">
            <w:pPr>
              <w:widowControl/>
              <w:adjustRightInd w:val="0"/>
              <w:snapToGrid w:val="0"/>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急救优先调度（MPDS）分级调派及改派CAD软件 V2.0</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14:paraId="4C292877">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D9E232D">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14</w:t>
            </w:r>
          </w:p>
        </w:tc>
        <w:tc>
          <w:tcPr>
            <w:tcW w:w="444" w:type="pct"/>
            <w:tcBorders>
              <w:top w:val="single" w:color="auto" w:sz="4" w:space="0"/>
              <w:left w:val="nil"/>
              <w:bottom w:val="single" w:color="auto" w:sz="4" w:space="0"/>
              <w:right w:val="single" w:color="auto" w:sz="4" w:space="0"/>
            </w:tcBorders>
            <w:shd w:val="clear" w:color="auto" w:fill="auto"/>
            <w:noWrap/>
            <w:vAlign w:val="center"/>
          </w:tcPr>
          <w:p w14:paraId="27622291">
            <w:pPr>
              <w:widowControl/>
              <w:jc w:val="left"/>
              <w:rPr>
                <w:rFonts w:ascii="仿宋" w:hAnsi="仿宋" w:eastAsia="仿宋" w:cs="仿宋"/>
                <w:color w:val="000000"/>
                <w:sz w:val="21"/>
                <w:szCs w:val="21"/>
                <w:lang w:eastAsia="zh-CN"/>
              </w:rPr>
            </w:pPr>
          </w:p>
        </w:tc>
      </w:tr>
      <w:tr w14:paraId="157CF1C2">
        <w:tblPrEx>
          <w:tblCellMar>
            <w:top w:w="0" w:type="dxa"/>
            <w:left w:w="108" w:type="dxa"/>
            <w:bottom w:w="0" w:type="dxa"/>
            <w:right w:w="108" w:type="dxa"/>
          </w:tblCellMar>
        </w:tblPrEx>
        <w:trPr>
          <w:trHeight w:val="419" w:hRule="atLeast"/>
        </w:trPr>
        <w:tc>
          <w:tcPr>
            <w:tcW w:w="4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4BC21FA">
            <w:pPr>
              <w:widowControl/>
              <w:adjustRightInd w:val="0"/>
              <w:snapToGrid w:val="0"/>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3</w:t>
            </w:r>
          </w:p>
        </w:tc>
        <w:tc>
          <w:tcPr>
            <w:tcW w:w="1562" w:type="pct"/>
            <w:tcBorders>
              <w:top w:val="single" w:color="auto" w:sz="4" w:space="0"/>
              <w:left w:val="nil"/>
              <w:bottom w:val="single" w:color="auto" w:sz="4" w:space="0"/>
              <w:right w:val="single" w:color="auto" w:sz="4" w:space="0"/>
            </w:tcBorders>
            <w:shd w:val="clear" w:color="auto" w:fill="auto"/>
            <w:noWrap/>
            <w:vAlign w:val="center"/>
          </w:tcPr>
          <w:p w14:paraId="5FCDBB33">
            <w:pPr>
              <w:widowControl/>
              <w:adjustRightInd w:val="0"/>
              <w:snapToGrid w:val="0"/>
              <w:jc w:val="left"/>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质量管理坐席软件</w:t>
            </w:r>
          </w:p>
        </w:tc>
        <w:tc>
          <w:tcPr>
            <w:tcW w:w="1699" w:type="pct"/>
            <w:tcBorders>
              <w:top w:val="single" w:color="auto" w:sz="4" w:space="0"/>
              <w:left w:val="nil"/>
              <w:bottom w:val="single" w:color="auto" w:sz="4" w:space="0"/>
              <w:right w:val="single" w:color="auto" w:sz="4" w:space="0"/>
            </w:tcBorders>
            <w:shd w:val="clear" w:color="auto" w:fill="auto"/>
            <w:vAlign w:val="center"/>
          </w:tcPr>
          <w:p w14:paraId="29CA52C0">
            <w:pPr>
              <w:widowControl/>
              <w:adjustRightInd w:val="0"/>
              <w:snapToGrid w:val="0"/>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急救优先调度（MPDS）分级调派及改派CAD软件 V2.0</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14:paraId="72290F7A">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BAAA539">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2</w:t>
            </w:r>
          </w:p>
        </w:tc>
        <w:tc>
          <w:tcPr>
            <w:tcW w:w="444" w:type="pct"/>
            <w:tcBorders>
              <w:top w:val="single" w:color="auto" w:sz="4" w:space="0"/>
              <w:left w:val="nil"/>
              <w:bottom w:val="single" w:color="auto" w:sz="4" w:space="0"/>
              <w:right w:val="single" w:color="auto" w:sz="4" w:space="0"/>
            </w:tcBorders>
            <w:shd w:val="clear" w:color="auto" w:fill="auto"/>
            <w:noWrap/>
            <w:vAlign w:val="center"/>
          </w:tcPr>
          <w:p w14:paraId="4E8865F4">
            <w:pPr>
              <w:widowControl/>
              <w:jc w:val="left"/>
              <w:rPr>
                <w:rFonts w:ascii="仿宋" w:hAnsi="仿宋" w:eastAsia="仿宋" w:cs="仿宋"/>
                <w:color w:val="000000"/>
                <w:sz w:val="21"/>
                <w:szCs w:val="21"/>
                <w:lang w:eastAsia="zh-CN"/>
              </w:rPr>
            </w:pPr>
          </w:p>
        </w:tc>
      </w:tr>
      <w:tr w14:paraId="676C0D05">
        <w:tblPrEx>
          <w:tblCellMar>
            <w:top w:w="0" w:type="dxa"/>
            <w:left w:w="108" w:type="dxa"/>
            <w:bottom w:w="0" w:type="dxa"/>
            <w:right w:w="108" w:type="dxa"/>
          </w:tblCellMar>
        </w:tblPrEx>
        <w:trPr>
          <w:trHeight w:val="419" w:hRule="atLeast"/>
        </w:trPr>
        <w:tc>
          <w:tcPr>
            <w:tcW w:w="49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53B99D">
            <w:pPr>
              <w:widowControl/>
              <w:adjustRightInd w:val="0"/>
              <w:snapToGrid w:val="0"/>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4</w:t>
            </w:r>
          </w:p>
        </w:tc>
        <w:tc>
          <w:tcPr>
            <w:tcW w:w="1562" w:type="pct"/>
            <w:tcBorders>
              <w:top w:val="single" w:color="auto" w:sz="4" w:space="0"/>
              <w:left w:val="nil"/>
              <w:bottom w:val="single" w:color="auto" w:sz="4" w:space="0"/>
              <w:right w:val="single" w:color="auto" w:sz="4" w:space="0"/>
            </w:tcBorders>
            <w:shd w:val="clear" w:color="auto" w:fill="auto"/>
            <w:noWrap/>
            <w:vAlign w:val="center"/>
          </w:tcPr>
          <w:p w14:paraId="7B423AAA">
            <w:pPr>
              <w:widowControl/>
              <w:adjustRightInd w:val="0"/>
              <w:snapToGrid w:val="0"/>
              <w:jc w:val="left"/>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讲师工具箱软件</w:t>
            </w:r>
          </w:p>
        </w:tc>
        <w:tc>
          <w:tcPr>
            <w:tcW w:w="1699" w:type="pct"/>
            <w:tcBorders>
              <w:top w:val="single" w:color="auto" w:sz="4" w:space="0"/>
              <w:left w:val="nil"/>
              <w:bottom w:val="single" w:color="auto" w:sz="4" w:space="0"/>
              <w:right w:val="single" w:color="auto" w:sz="4" w:space="0"/>
            </w:tcBorders>
            <w:shd w:val="clear" w:color="auto" w:fill="auto"/>
            <w:vAlign w:val="center"/>
          </w:tcPr>
          <w:p w14:paraId="2FDC100D">
            <w:pPr>
              <w:widowControl/>
              <w:adjustRightInd w:val="0"/>
              <w:snapToGrid w:val="0"/>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急救优先调度（MPDS）分级调派及改派CAD软件 V2.0</w:t>
            </w:r>
          </w:p>
        </w:tc>
        <w:tc>
          <w:tcPr>
            <w:tcW w:w="409" w:type="pct"/>
            <w:tcBorders>
              <w:top w:val="single" w:color="auto" w:sz="4" w:space="0"/>
              <w:left w:val="single" w:color="auto" w:sz="4" w:space="0"/>
              <w:bottom w:val="single" w:color="auto" w:sz="4" w:space="0"/>
              <w:right w:val="single" w:color="auto" w:sz="4" w:space="0"/>
            </w:tcBorders>
            <w:shd w:val="clear" w:color="auto" w:fill="auto"/>
            <w:vAlign w:val="center"/>
          </w:tcPr>
          <w:p w14:paraId="0AC62F82">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套</w:t>
            </w:r>
          </w:p>
        </w:tc>
        <w:tc>
          <w:tcPr>
            <w:tcW w:w="38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9AF27EF">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1</w:t>
            </w:r>
          </w:p>
        </w:tc>
        <w:tc>
          <w:tcPr>
            <w:tcW w:w="444" w:type="pct"/>
            <w:tcBorders>
              <w:top w:val="single" w:color="auto" w:sz="4" w:space="0"/>
              <w:left w:val="nil"/>
              <w:bottom w:val="single" w:color="auto" w:sz="4" w:space="0"/>
              <w:right w:val="single" w:color="auto" w:sz="4" w:space="0"/>
            </w:tcBorders>
            <w:shd w:val="clear" w:color="auto" w:fill="auto"/>
            <w:noWrap/>
            <w:vAlign w:val="center"/>
          </w:tcPr>
          <w:p w14:paraId="6B15B6CA">
            <w:pPr>
              <w:widowControl/>
              <w:jc w:val="left"/>
              <w:rPr>
                <w:rFonts w:ascii="仿宋" w:hAnsi="仿宋" w:eastAsia="仿宋" w:cs="仿宋"/>
                <w:color w:val="000000"/>
                <w:sz w:val="21"/>
                <w:szCs w:val="21"/>
                <w:lang w:eastAsia="zh-CN"/>
              </w:rPr>
            </w:pPr>
          </w:p>
        </w:tc>
      </w:tr>
    </w:tbl>
    <w:p w14:paraId="54F9ADBF">
      <w:pPr>
        <w:widowControl w:val="0"/>
        <w:jc w:val="both"/>
        <w:rPr>
          <w:rFonts w:eastAsia="宋体"/>
          <w:color w:val="000000"/>
          <w:kern w:val="2"/>
          <w:sz w:val="21"/>
          <w:szCs w:val="21"/>
          <w:lang w:eastAsia="zh-CN"/>
        </w:rPr>
      </w:pPr>
    </w:p>
    <w:p w14:paraId="1DCB91B2">
      <w:pPr>
        <w:widowControl w:val="0"/>
        <w:spacing w:line="520" w:lineRule="exact"/>
        <w:ind w:firstLine="420" w:firstLineChars="200"/>
        <w:jc w:val="left"/>
        <w:rPr>
          <w:rFonts w:ascii="仿宋" w:hAnsi="仿宋" w:eastAsia="仿宋" w:cs="仿宋"/>
          <w:color w:val="000000"/>
          <w:kern w:val="2"/>
          <w:sz w:val="21"/>
          <w:szCs w:val="21"/>
          <w:lang w:eastAsia="zh-CN"/>
        </w:rPr>
      </w:pPr>
      <w:r>
        <w:rPr>
          <w:rFonts w:hint="eastAsia" w:ascii="仿宋" w:hAnsi="仿宋" w:eastAsia="仿宋" w:cs="仿宋"/>
          <w:color w:val="000000"/>
          <w:kern w:val="2"/>
          <w:sz w:val="21"/>
          <w:szCs w:val="21"/>
          <w:lang w:eastAsia="zh-CN"/>
        </w:rPr>
        <w:t>（2）硬件设备维护服务清单：</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867"/>
        <w:gridCol w:w="4169"/>
        <w:gridCol w:w="654"/>
        <w:gridCol w:w="661"/>
      </w:tblGrid>
      <w:tr w14:paraId="061A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38D9BEB8">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序号</w:t>
            </w:r>
          </w:p>
        </w:tc>
        <w:tc>
          <w:tcPr>
            <w:tcW w:w="1592" w:type="pct"/>
            <w:shd w:val="clear" w:color="auto" w:fill="auto"/>
            <w:vAlign w:val="center"/>
          </w:tcPr>
          <w:p w14:paraId="2F5E2C9D">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设备名称</w:t>
            </w:r>
          </w:p>
        </w:tc>
        <w:tc>
          <w:tcPr>
            <w:tcW w:w="2315" w:type="pct"/>
            <w:shd w:val="clear" w:color="auto" w:fill="auto"/>
            <w:vAlign w:val="center"/>
          </w:tcPr>
          <w:p w14:paraId="661CDF7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规格/型号</w:t>
            </w:r>
          </w:p>
        </w:tc>
        <w:tc>
          <w:tcPr>
            <w:tcW w:w="363" w:type="pct"/>
            <w:shd w:val="clear" w:color="auto" w:fill="auto"/>
            <w:vAlign w:val="center"/>
          </w:tcPr>
          <w:p w14:paraId="11F884DF">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数量</w:t>
            </w:r>
          </w:p>
        </w:tc>
        <w:tc>
          <w:tcPr>
            <w:tcW w:w="364" w:type="pct"/>
            <w:shd w:val="clear" w:color="auto" w:fill="auto"/>
            <w:vAlign w:val="center"/>
          </w:tcPr>
          <w:p w14:paraId="741B5CBD">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单位</w:t>
            </w:r>
          </w:p>
        </w:tc>
      </w:tr>
      <w:tr w14:paraId="7303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0A23EC1E">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1592" w:type="pct"/>
            <w:shd w:val="clear" w:color="auto" w:fill="auto"/>
            <w:vAlign w:val="center"/>
          </w:tcPr>
          <w:p w14:paraId="6DE29076">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120电话呼叫中心系统设备</w:t>
            </w:r>
          </w:p>
        </w:tc>
        <w:tc>
          <w:tcPr>
            <w:tcW w:w="2315" w:type="pct"/>
            <w:shd w:val="clear" w:color="auto" w:fill="auto"/>
            <w:vAlign w:val="center"/>
          </w:tcPr>
          <w:p w14:paraId="3E50EA20">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阿尔卡特 OmniPCX Enterprise</w:t>
            </w:r>
          </w:p>
        </w:tc>
        <w:tc>
          <w:tcPr>
            <w:tcW w:w="363" w:type="pct"/>
            <w:shd w:val="clear" w:color="auto" w:fill="auto"/>
            <w:vAlign w:val="center"/>
          </w:tcPr>
          <w:p w14:paraId="40443D30">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364" w:type="pct"/>
            <w:shd w:val="clear" w:color="auto" w:fill="auto"/>
            <w:vAlign w:val="center"/>
          </w:tcPr>
          <w:p w14:paraId="2B0216C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529EE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310B3A43">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1592" w:type="pct"/>
            <w:shd w:val="clear" w:color="auto" w:fill="auto"/>
            <w:vAlign w:val="center"/>
          </w:tcPr>
          <w:p w14:paraId="6558135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数字录音设备</w:t>
            </w:r>
          </w:p>
        </w:tc>
        <w:tc>
          <w:tcPr>
            <w:tcW w:w="2315" w:type="pct"/>
            <w:shd w:val="clear" w:color="auto" w:fill="auto"/>
            <w:vAlign w:val="center"/>
          </w:tcPr>
          <w:p w14:paraId="48E4BDAF">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华为 2288H V5</w:t>
            </w:r>
          </w:p>
        </w:tc>
        <w:tc>
          <w:tcPr>
            <w:tcW w:w="363" w:type="pct"/>
            <w:shd w:val="clear" w:color="auto" w:fill="auto"/>
            <w:vAlign w:val="center"/>
          </w:tcPr>
          <w:p w14:paraId="414CBD43">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364" w:type="pct"/>
            <w:shd w:val="clear" w:color="auto" w:fill="auto"/>
            <w:vAlign w:val="center"/>
          </w:tcPr>
          <w:p w14:paraId="2DB3EA7E">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5B32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32297B06">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3</w:t>
            </w:r>
          </w:p>
        </w:tc>
        <w:tc>
          <w:tcPr>
            <w:tcW w:w="1592" w:type="pct"/>
            <w:shd w:val="clear" w:color="auto" w:fill="auto"/>
            <w:vAlign w:val="center"/>
          </w:tcPr>
          <w:p w14:paraId="58D250F5">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调度员终端设备</w:t>
            </w:r>
          </w:p>
        </w:tc>
        <w:tc>
          <w:tcPr>
            <w:tcW w:w="2315" w:type="pct"/>
            <w:shd w:val="clear" w:color="auto" w:fill="auto"/>
            <w:vAlign w:val="center"/>
          </w:tcPr>
          <w:p w14:paraId="1D4BB470">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阿尔卡特 8039</w:t>
            </w:r>
          </w:p>
        </w:tc>
        <w:tc>
          <w:tcPr>
            <w:tcW w:w="363" w:type="pct"/>
            <w:shd w:val="clear" w:color="auto" w:fill="auto"/>
            <w:vAlign w:val="center"/>
          </w:tcPr>
          <w:p w14:paraId="7EA1BC9F">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16</w:t>
            </w:r>
          </w:p>
        </w:tc>
        <w:tc>
          <w:tcPr>
            <w:tcW w:w="364" w:type="pct"/>
            <w:shd w:val="clear" w:color="auto" w:fill="auto"/>
            <w:vAlign w:val="center"/>
          </w:tcPr>
          <w:p w14:paraId="050D3AA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66008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584653DA">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4</w:t>
            </w:r>
          </w:p>
        </w:tc>
        <w:tc>
          <w:tcPr>
            <w:tcW w:w="1592" w:type="pct"/>
            <w:shd w:val="clear" w:color="auto" w:fill="auto"/>
            <w:vAlign w:val="center"/>
          </w:tcPr>
          <w:p w14:paraId="794D3805">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服务器</w:t>
            </w:r>
          </w:p>
        </w:tc>
        <w:tc>
          <w:tcPr>
            <w:tcW w:w="2315" w:type="pct"/>
            <w:shd w:val="clear" w:color="auto" w:fill="auto"/>
            <w:vAlign w:val="center"/>
          </w:tcPr>
          <w:p w14:paraId="1DE0A29C">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华为 2288H V5</w:t>
            </w:r>
          </w:p>
        </w:tc>
        <w:tc>
          <w:tcPr>
            <w:tcW w:w="363" w:type="pct"/>
            <w:shd w:val="clear" w:color="auto" w:fill="auto"/>
            <w:vAlign w:val="center"/>
          </w:tcPr>
          <w:p w14:paraId="16F4F45E">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364" w:type="pct"/>
            <w:shd w:val="clear" w:color="auto" w:fill="auto"/>
            <w:vAlign w:val="center"/>
          </w:tcPr>
          <w:p w14:paraId="545634EC">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6033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3BC97C62">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5</w:t>
            </w:r>
          </w:p>
        </w:tc>
        <w:tc>
          <w:tcPr>
            <w:tcW w:w="1592" w:type="pct"/>
            <w:shd w:val="clear" w:color="auto" w:fill="auto"/>
            <w:vAlign w:val="center"/>
          </w:tcPr>
          <w:p w14:paraId="7F92C938">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视频存储服务器</w:t>
            </w:r>
          </w:p>
        </w:tc>
        <w:tc>
          <w:tcPr>
            <w:tcW w:w="2315" w:type="pct"/>
            <w:shd w:val="clear" w:color="auto" w:fill="auto"/>
            <w:vAlign w:val="center"/>
          </w:tcPr>
          <w:p w14:paraId="6DB1F4D1">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大华DH-EVS7124S</w:t>
            </w:r>
          </w:p>
        </w:tc>
        <w:tc>
          <w:tcPr>
            <w:tcW w:w="363" w:type="pct"/>
            <w:shd w:val="clear" w:color="auto" w:fill="auto"/>
            <w:vAlign w:val="center"/>
          </w:tcPr>
          <w:p w14:paraId="4118612F">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355280E9">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r>
      <w:tr w14:paraId="0A18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07FF8D28">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6</w:t>
            </w:r>
          </w:p>
        </w:tc>
        <w:tc>
          <w:tcPr>
            <w:tcW w:w="1592" w:type="pct"/>
            <w:shd w:val="clear" w:color="auto" w:fill="auto"/>
            <w:vAlign w:val="center"/>
          </w:tcPr>
          <w:p w14:paraId="5CD8930D">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数据备份一体机</w:t>
            </w:r>
          </w:p>
        </w:tc>
        <w:tc>
          <w:tcPr>
            <w:tcW w:w="2315" w:type="pct"/>
            <w:shd w:val="clear" w:color="auto" w:fill="auto"/>
            <w:vAlign w:val="center"/>
          </w:tcPr>
          <w:p w14:paraId="15DF6EE5">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美创数据备份与恢复系统V3.0</w:t>
            </w:r>
          </w:p>
        </w:tc>
        <w:tc>
          <w:tcPr>
            <w:tcW w:w="363" w:type="pct"/>
            <w:shd w:val="clear" w:color="auto" w:fill="auto"/>
            <w:vAlign w:val="center"/>
          </w:tcPr>
          <w:p w14:paraId="18EF209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499BBD2A">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r>
      <w:tr w14:paraId="646D0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2CA9FC72">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7</w:t>
            </w:r>
          </w:p>
        </w:tc>
        <w:tc>
          <w:tcPr>
            <w:tcW w:w="1592" w:type="pct"/>
            <w:shd w:val="clear" w:color="auto" w:fill="auto"/>
            <w:vAlign w:val="center"/>
          </w:tcPr>
          <w:p w14:paraId="420B55B0">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机柜</w:t>
            </w:r>
          </w:p>
        </w:tc>
        <w:tc>
          <w:tcPr>
            <w:tcW w:w="2315" w:type="pct"/>
            <w:shd w:val="clear" w:color="auto" w:fill="auto"/>
            <w:vAlign w:val="center"/>
          </w:tcPr>
          <w:p w14:paraId="2432C256">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大唐卫士 T6-8042</w:t>
            </w:r>
          </w:p>
        </w:tc>
        <w:tc>
          <w:tcPr>
            <w:tcW w:w="363" w:type="pct"/>
            <w:shd w:val="clear" w:color="auto" w:fill="auto"/>
            <w:vAlign w:val="center"/>
          </w:tcPr>
          <w:p w14:paraId="342B36F9">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5</w:t>
            </w:r>
          </w:p>
        </w:tc>
        <w:tc>
          <w:tcPr>
            <w:tcW w:w="364" w:type="pct"/>
            <w:shd w:val="clear" w:color="auto" w:fill="auto"/>
            <w:vAlign w:val="center"/>
          </w:tcPr>
          <w:p w14:paraId="3F06D4E6">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个</w:t>
            </w:r>
          </w:p>
        </w:tc>
      </w:tr>
      <w:tr w14:paraId="45B9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153F4262">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8</w:t>
            </w:r>
          </w:p>
        </w:tc>
        <w:tc>
          <w:tcPr>
            <w:tcW w:w="1592" w:type="pct"/>
            <w:shd w:val="clear" w:color="auto" w:fill="auto"/>
            <w:vAlign w:val="center"/>
          </w:tcPr>
          <w:p w14:paraId="767A6470">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多电脑共享器</w:t>
            </w:r>
          </w:p>
        </w:tc>
        <w:tc>
          <w:tcPr>
            <w:tcW w:w="2315" w:type="pct"/>
            <w:shd w:val="clear" w:color="auto" w:fill="auto"/>
            <w:vAlign w:val="center"/>
          </w:tcPr>
          <w:p w14:paraId="4421357E">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大唐卫士 DL6916-B</w:t>
            </w:r>
          </w:p>
        </w:tc>
        <w:tc>
          <w:tcPr>
            <w:tcW w:w="363" w:type="pct"/>
            <w:shd w:val="clear" w:color="auto" w:fill="auto"/>
            <w:vAlign w:val="center"/>
          </w:tcPr>
          <w:p w14:paraId="12C12E6F">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364" w:type="pct"/>
            <w:shd w:val="clear" w:color="auto" w:fill="auto"/>
            <w:vAlign w:val="center"/>
          </w:tcPr>
          <w:p w14:paraId="7D4A9334">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18C5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313D8BF7">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9</w:t>
            </w:r>
          </w:p>
        </w:tc>
        <w:tc>
          <w:tcPr>
            <w:tcW w:w="1592" w:type="pct"/>
            <w:shd w:val="clear" w:color="auto" w:fill="auto"/>
            <w:vAlign w:val="center"/>
          </w:tcPr>
          <w:p w14:paraId="7AFD6C82">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硬盘录像机</w:t>
            </w:r>
          </w:p>
        </w:tc>
        <w:tc>
          <w:tcPr>
            <w:tcW w:w="2315" w:type="pct"/>
            <w:shd w:val="clear" w:color="auto" w:fill="auto"/>
            <w:vAlign w:val="center"/>
          </w:tcPr>
          <w:p w14:paraId="06BF2726">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大华 DH-NVR4208-8P-HDS2</w:t>
            </w:r>
          </w:p>
        </w:tc>
        <w:tc>
          <w:tcPr>
            <w:tcW w:w="363" w:type="pct"/>
            <w:shd w:val="clear" w:color="auto" w:fill="auto"/>
            <w:vAlign w:val="center"/>
          </w:tcPr>
          <w:p w14:paraId="317050BC">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93</w:t>
            </w:r>
          </w:p>
        </w:tc>
        <w:tc>
          <w:tcPr>
            <w:tcW w:w="364" w:type="pct"/>
            <w:shd w:val="clear" w:color="auto" w:fill="auto"/>
            <w:vAlign w:val="center"/>
          </w:tcPr>
          <w:p w14:paraId="14F8E1A8">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7F5AD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23F8E50D">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10</w:t>
            </w:r>
          </w:p>
        </w:tc>
        <w:tc>
          <w:tcPr>
            <w:tcW w:w="1592" w:type="pct"/>
            <w:shd w:val="clear" w:color="auto" w:fill="auto"/>
            <w:vAlign w:val="center"/>
          </w:tcPr>
          <w:p w14:paraId="330D5427">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调度台坐席工作站</w:t>
            </w:r>
          </w:p>
        </w:tc>
        <w:tc>
          <w:tcPr>
            <w:tcW w:w="2315" w:type="pct"/>
            <w:shd w:val="clear" w:color="auto" w:fill="auto"/>
            <w:vAlign w:val="center"/>
          </w:tcPr>
          <w:p w14:paraId="0FC4068A">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戴尔 OptiPlex 7080（显示器：P1917S）</w:t>
            </w:r>
          </w:p>
        </w:tc>
        <w:tc>
          <w:tcPr>
            <w:tcW w:w="363" w:type="pct"/>
            <w:shd w:val="clear" w:color="auto" w:fill="auto"/>
            <w:vAlign w:val="center"/>
          </w:tcPr>
          <w:p w14:paraId="5BB6C57A">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16</w:t>
            </w:r>
          </w:p>
        </w:tc>
        <w:tc>
          <w:tcPr>
            <w:tcW w:w="364" w:type="pct"/>
            <w:shd w:val="clear" w:color="auto" w:fill="auto"/>
            <w:vAlign w:val="center"/>
          </w:tcPr>
          <w:p w14:paraId="4553848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r>
      <w:tr w14:paraId="54CD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1D4A1427">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11</w:t>
            </w:r>
          </w:p>
        </w:tc>
        <w:tc>
          <w:tcPr>
            <w:tcW w:w="1592" w:type="pct"/>
            <w:shd w:val="clear" w:color="auto" w:fill="auto"/>
            <w:vAlign w:val="center"/>
          </w:tcPr>
          <w:p w14:paraId="1EB17766">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服务器汇聚交换机</w:t>
            </w:r>
          </w:p>
        </w:tc>
        <w:tc>
          <w:tcPr>
            <w:tcW w:w="2315" w:type="pct"/>
            <w:shd w:val="clear" w:color="auto" w:fill="auto"/>
            <w:vAlign w:val="center"/>
          </w:tcPr>
          <w:p w14:paraId="77ED8885">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华为 CE6810-48S4Q-LI</w:t>
            </w:r>
          </w:p>
        </w:tc>
        <w:tc>
          <w:tcPr>
            <w:tcW w:w="363" w:type="pct"/>
            <w:shd w:val="clear" w:color="auto" w:fill="auto"/>
            <w:vAlign w:val="center"/>
          </w:tcPr>
          <w:p w14:paraId="5799B043">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1250F45E">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4E5E6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4013629B">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12</w:t>
            </w:r>
          </w:p>
        </w:tc>
        <w:tc>
          <w:tcPr>
            <w:tcW w:w="1592" w:type="pct"/>
            <w:shd w:val="clear" w:color="auto" w:fill="auto"/>
            <w:vAlign w:val="center"/>
          </w:tcPr>
          <w:p w14:paraId="5A2F5EB2">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接入交换机</w:t>
            </w:r>
          </w:p>
        </w:tc>
        <w:tc>
          <w:tcPr>
            <w:tcW w:w="2315" w:type="pct"/>
            <w:shd w:val="clear" w:color="auto" w:fill="auto"/>
            <w:vAlign w:val="center"/>
          </w:tcPr>
          <w:p w14:paraId="5A8CD56F">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华为 S5735S-L48T4S-A</w:t>
            </w:r>
          </w:p>
        </w:tc>
        <w:tc>
          <w:tcPr>
            <w:tcW w:w="363" w:type="pct"/>
            <w:shd w:val="clear" w:color="auto" w:fill="auto"/>
            <w:vAlign w:val="center"/>
          </w:tcPr>
          <w:p w14:paraId="3B74F560">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2AC25D8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67281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30A81420">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13</w:t>
            </w:r>
          </w:p>
        </w:tc>
        <w:tc>
          <w:tcPr>
            <w:tcW w:w="1592" w:type="pct"/>
            <w:shd w:val="clear" w:color="auto" w:fill="auto"/>
            <w:vAlign w:val="center"/>
          </w:tcPr>
          <w:p w14:paraId="358CE7DB">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边界防火墙（应用支持系统）</w:t>
            </w:r>
          </w:p>
        </w:tc>
        <w:tc>
          <w:tcPr>
            <w:tcW w:w="2315" w:type="pct"/>
            <w:shd w:val="clear" w:color="auto" w:fill="auto"/>
            <w:vAlign w:val="center"/>
          </w:tcPr>
          <w:p w14:paraId="385599FF">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深信服 AF-1000-B1600</w:t>
            </w:r>
          </w:p>
        </w:tc>
        <w:tc>
          <w:tcPr>
            <w:tcW w:w="363" w:type="pct"/>
            <w:shd w:val="clear" w:color="auto" w:fill="auto"/>
            <w:vAlign w:val="center"/>
          </w:tcPr>
          <w:p w14:paraId="4CF29F6D">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2</w:t>
            </w:r>
          </w:p>
        </w:tc>
        <w:tc>
          <w:tcPr>
            <w:tcW w:w="364" w:type="pct"/>
            <w:shd w:val="clear" w:color="auto" w:fill="auto"/>
            <w:vAlign w:val="center"/>
          </w:tcPr>
          <w:p w14:paraId="264FAFAE">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台</w:t>
            </w:r>
          </w:p>
        </w:tc>
      </w:tr>
      <w:tr w14:paraId="5ECC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625062FB">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14</w:t>
            </w:r>
          </w:p>
        </w:tc>
        <w:tc>
          <w:tcPr>
            <w:tcW w:w="1592" w:type="pct"/>
            <w:shd w:val="clear" w:color="auto" w:fill="auto"/>
            <w:vAlign w:val="center"/>
          </w:tcPr>
          <w:p w14:paraId="7574511A">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漏洞扫描</w:t>
            </w:r>
          </w:p>
        </w:tc>
        <w:tc>
          <w:tcPr>
            <w:tcW w:w="2315" w:type="pct"/>
            <w:shd w:val="clear" w:color="auto" w:fill="auto"/>
            <w:vAlign w:val="center"/>
          </w:tcPr>
          <w:p w14:paraId="5B6575A5">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深信服 BVT-1000-A620</w:t>
            </w:r>
          </w:p>
        </w:tc>
        <w:tc>
          <w:tcPr>
            <w:tcW w:w="363" w:type="pct"/>
            <w:shd w:val="clear" w:color="auto" w:fill="auto"/>
            <w:vAlign w:val="center"/>
          </w:tcPr>
          <w:p w14:paraId="312393C4">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52299C4D">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r>
      <w:tr w14:paraId="648BF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362" w:type="pct"/>
            <w:shd w:val="clear" w:color="auto" w:fill="auto"/>
            <w:noWrap/>
            <w:vAlign w:val="center"/>
          </w:tcPr>
          <w:p w14:paraId="146CBE6A">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15</w:t>
            </w:r>
          </w:p>
        </w:tc>
        <w:tc>
          <w:tcPr>
            <w:tcW w:w="1592" w:type="pct"/>
            <w:shd w:val="clear" w:color="auto" w:fill="auto"/>
            <w:noWrap/>
            <w:vAlign w:val="center"/>
          </w:tcPr>
          <w:p w14:paraId="49C7FD70">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防病毒系统</w:t>
            </w:r>
          </w:p>
        </w:tc>
        <w:tc>
          <w:tcPr>
            <w:tcW w:w="2315" w:type="pct"/>
            <w:shd w:val="clear" w:color="auto" w:fill="auto"/>
            <w:vAlign w:val="center"/>
          </w:tcPr>
          <w:p w14:paraId="2B82C77F">
            <w:pPr>
              <w:widowControl/>
              <w:jc w:val="both"/>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深信服 端点安全软件V3.0</w:t>
            </w:r>
          </w:p>
        </w:tc>
        <w:tc>
          <w:tcPr>
            <w:tcW w:w="363" w:type="pct"/>
            <w:shd w:val="clear" w:color="auto" w:fill="auto"/>
            <w:vAlign w:val="center"/>
          </w:tcPr>
          <w:p w14:paraId="4206345B">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204</w:t>
            </w:r>
          </w:p>
        </w:tc>
        <w:tc>
          <w:tcPr>
            <w:tcW w:w="367" w:type="pct"/>
            <w:shd w:val="clear" w:color="auto" w:fill="auto"/>
            <w:noWrap/>
            <w:vAlign w:val="center"/>
          </w:tcPr>
          <w:p w14:paraId="46C664E8">
            <w:pPr>
              <w:widowControl/>
              <w:jc w:val="center"/>
              <w:rPr>
                <w:rFonts w:ascii="仿宋" w:hAnsi="仿宋" w:eastAsia="仿宋" w:cs="仿宋"/>
                <w:color w:val="000000"/>
                <w:sz w:val="21"/>
                <w:szCs w:val="21"/>
                <w:lang w:eastAsia="zh-CN" w:bidi="ar"/>
              </w:rPr>
            </w:pPr>
            <w:r>
              <w:rPr>
                <w:rFonts w:hint="eastAsia" w:ascii="仿宋" w:hAnsi="仿宋" w:eastAsia="仿宋" w:cs="仿宋"/>
                <w:color w:val="000000"/>
                <w:sz w:val="21"/>
                <w:szCs w:val="21"/>
                <w:lang w:eastAsia="zh-CN" w:bidi="ar"/>
              </w:rPr>
              <w:t>点</w:t>
            </w:r>
          </w:p>
        </w:tc>
      </w:tr>
      <w:tr w14:paraId="3CB09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098E963B">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16</w:t>
            </w:r>
          </w:p>
        </w:tc>
        <w:tc>
          <w:tcPr>
            <w:tcW w:w="1592" w:type="pct"/>
            <w:shd w:val="clear" w:color="auto" w:fill="auto"/>
            <w:vAlign w:val="center"/>
          </w:tcPr>
          <w:p w14:paraId="07871FF9">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数据库审计</w:t>
            </w:r>
          </w:p>
        </w:tc>
        <w:tc>
          <w:tcPr>
            <w:tcW w:w="2315" w:type="pct"/>
            <w:shd w:val="clear" w:color="auto" w:fill="auto"/>
            <w:vAlign w:val="center"/>
          </w:tcPr>
          <w:p w14:paraId="511388C2">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深信服 DAS-1000-A620</w:t>
            </w:r>
          </w:p>
        </w:tc>
        <w:tc>
          <w:tcPr>
            <w:tcW w:w="363" w:type="pct"/>
            <w:shd w:val="clear" w:color="auto" w:fill="auto"/>
            <w:vAlign w:val="center"/>
          </w:tcPr>
          <w:p w14:paraId="5BF12236">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33775BF0">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r>
      <w:tr w14:paraId="7313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 w:type="pct"/>
            <w:shd w:val="clear" w:color="auto" w:fill="auto"/>
            <w:vAlign w:val="center"/>
          </w:tcPr>
          <w:p w14:paraId="5C8F86F2">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17</w:t>
            </w:r>
          </w:p>
        </w:tc>
        <w:tc>
          <w:tcPr>
            <w:tcW w:w="1592" w:type="pct"/>
            <w:shd w:val="clear" w:color="auto" w:fill="auto"/>
            <w:vAlign w:val="center"/>
          </w:tcPr>
          <w:p w14:paraId="4A11BCE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SSL VPN</w:t>
            </w:r>
          </w:p>
        </w:tc>
        <w:tc>
          <w:tcPr>
            <w:tcW w:w="2315" w:type="pct"/>
            <w:shd w:val="clear" w:color="auto" w:fill="auto"/>
            <w:vAlign w:val="center"/>
          </w:tcPr>
          <w:p w14:paraId="5CC6FBDF">
            <w:pPr>
              <w:widowControl/>
              <w:adjustRightInd w:val="0"/>
              <w:snapToGrid w:val="0"/>
              <w:jc w:val="left"/>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深信服 VPN-1000-B1200</w:t>
            </w:r>
          </w:p>
        </w:tc>
        <w:tc>
          <w:tcPr>
            <w:tcW w:w="363" w:type="pct"/>
            <w:shd w:val="clear" w:color="auto" w:fill="auto"/>
            <w:vAlign w:val="center"/>
          </w:tcPr>
          <w:p w14:paraId="7B65FF83">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1</w:t>
            </w:r>
          </w:p>
        </w:tc>
        <w:tc>
          <w:tcPr>
            <w:tcW w:w="364" w:type="pct"/>
            <w:shd w:val="clear" w:color="auto" w:fill="auto"/>
            <w:vAlign w:val="center"/>
          </w:tcPr>
          <w:p w14:paraId="2E293031">
            <w:pPr>
              <w:widowControl/>
              <w:adjustRightInd w:val="0"/>
              <w:snapToGrid w:val="0"/>
              <w:jc w:val="center"/>
              <w:rPr>
                <w:rFonts w:ascii="仿宋" w:hAnsi="仿宋" w:eastAsia="仿宋" w:cs="仿宋"/>
                <w:color w:val="000000"/>
                <w:sz w:val="21"/>
                <w:szCs w:val="21"/>
                <w:lang w:eastAsia="zh-CN"/>
              </w:rPr>
            </w:pPr>
            <w:r>
              <w:rPr>
                <w:rFonts w:hint="eastAsia" w:ascii="仿宋" w:hAnsi="仿宋" w:eastAsia="仿宋" w:cs="仿宋"/>
                <w:color w:val="000000"/>
                <w:sz w:val="21"/>
                <w:szCs w:val="21"/>
                <w:lang w:eastAsia="zh-CN" w:bidi="ar"/>
              </w:rPr>
              <w:t>套</w:t>
            </w:r>
          </w:p>
        </w:tc>
      </w:tr>
    </w:tbl>
    <w:p w14:paraId="4C50D179">
      <w:pPr>
        <w:widowControl w:val="0"/>
        <w:ind w:firstLine="420" w:firstLineChars="200"/>
        <w:jc w:val="both"/>
        <w:rPr>
          <w:rFonts w:ascii="仿宋" w:hAnsi="仿宋" w:eastAsia="仿宋" w:cs="仿宋"/>
          <w:kern w:val="2"/>
          <w:sz w:val="21"/>
          <w:szCs w:val="21"/>
          <w:lang w:eastAsia="zh-CN"/>
        </w:rPr>
      </w:pPr>
      <w:r>
        <w:rPr>
          <w:rFonts w:hint="eastAsia" w:ascii="仿宋" w:hAnsi="仿宋" w:eastAsia="仿宋" w:cs="仿宋"/>
          <w:kern w:val="2"/>
          <w:sz w:val="21"/>
          <w:szCs w:val="21"/>
          <w:lang w:eastAsia="zh-CN"/>
        </w:rPr>
        <w:t>4.运维服务要求</w:t>
      </w:r>
    </w:p>
    <w:p w14:paraId="10181C62">
      <w:pPr>
        <w:widowControl w:val="0"/>
        <w:ind w:firstLine="420" w:firstLineChars="200"/>
        <w:jc w:val="both"/>
        <w:rPr>
          <w:rFonts w:ascii="仿宋_GB2312" w:hAnsi="仿宋_GB2312" w:eastAsia="仿宋_GB2312" w:cs="仿宋_GB2312"/>
          <w:color w:val="000000"/>
          <w:kern w:val="2"/>
          <w:sz w:val="21"/>
          <w:szCs w:val="21"/>
          <w:lang w:eastAsia="zh-CN" w:bidi="ar"/>
        </w:rPr>
      </w:pPr>
      <w:bookmarkStart w:id="37" w:name="OLE_LINK5"/>
      <w:bookmarkStart w:id="38" w:name="_Toc396531639"/>
      <w:bookmarkStart w:id="39" w:name="_Toc487627407"/>
      <w:bookmarkStart w:id="40" w:name="_Toc381168036"/>
      <w:bookmarkStart w:id="41" w:name="_Toc392023969"/>
      <w:bookmarkStart w:id="42" w:name="_Toc381495037"/>
      <w:r>
        <w:rPr>
          <w:rFonts w:hint="eastAsia" w:ascii="仿宋_GB2312" w:hAnsi="仿宋_GB2312" w:eastAsia="仿宋_GB2312" w:cs="仿宋_GB2312"/>
          <w:color w:val="000000"/>
          <w:kern w:val="2"/>
          <w:sz w:val="21"/>
          <w:szCs w:val="21"/>
          <w:lang w:eastAsia="zh-CN" w:bidi="ar"/>
        </w:rPr>
        <w:t>运维服务主要对“软件系统运维服务清单”和“硬件设备维护服务清单”进行维护服务，维护包括驻场服务和远程技术支持。投标人需组建专业的技术团队，需要不少于2名专业技术人员提供驻场服务，同时应安排足够数量的远程技术支持人员、项目经理及技术专家，确保软硬件正常运行。其中，驻场服务包括日常巡检、系统检测、应急故障处理及协助日常系统管理等；远程技术支持通过电话、网络等方式，及时响应并解决用户问题。</w:t>
      </w:r>
      <w:bookmarkEnd w:id="37"/>
    </w:p>
    <w:p w14:paraId="7633369B">
      <w:pPr>
        <w:widowControl w:val="0"/>
        <w:ind w:firstLine="420" w:firstLineChars="20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★（1）驻场支持服务要求</w:t>
      </w:r>
    </w:p>
    <w:p w14:paraId="3C704E9E">
      <w:pPr>
        <w:widowControl w:val="0"/>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人员配置：保证每个工作日派遣驻点工程师至少2名（计算机相关专业，大专或以上学历），对“软件系统运维服务清单”和“硬件设备维护服务清单”内容进行维护、保养、维修和巡查等工作，并向中心提供专线电话进行技术支持。非工作日接到客户需求通知，应提供现场技术支持及维护，工程师应在1个小时内到达现场，并按时保质完成工作。在特殊情况（如敏感时期、大型活动、节日、灾害天气）时，驻场工程师需服从采购人安排，随时到岗值守。驻点工程师原则上至少工作满半年，若需更换，须提前30个工作日向采购人提交书面申请，经采购人同意后方可进行，且新派驻工程师应具备不低于原工程师的专业能力和工作经验。</w:t>
      </w:r>
    </w:p>
    <w:p w14:paraId="29B994C3">
      <w:pPr>
        <w:widowControl w:val="0"/>
        <w:ind w:firstLine="420" w:firstLineChars="20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2）工作规范：驻场工程师须严格遵守采购人制定的考勤、工作流程、安全管理等各项规章制度，接受采购人的日常工作监督与考核；对采购人提出需求、问题等，详细说明问题处理情况、工作进展及后续工作计划。</w:t>
      </w:r>
    </w:p>
    <w:p w14:paraId="644503B6">
      <w:pPr>
        <w:widowControl w:val="0"/>
        <w:ind w:firstLine="420" w:firstLineChars="20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（2）可靠性服务（性能调优、性能诊断）要求</w:t>
      </w:r>
    </w:p>
    <w:p w14:paraId="09A73D1E">
      <w:pPr>
        <w:widowControl w:val="0"/>
        <w:ind w:firstLine="48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 xml:space="preserve">本服务指对“硬件设备维护服务清单”内设备进行性能方面的分析、评估、调整，以提高设备系统的整体性能。工作内容： </w:t>
      </w:r>
    </w:p>
    <w:p w14:paraId="53CFFCC2">
      <w:pPr>
        <w:widowControl w:val="0"/>
        <w:ind w:firstLine="420" w:firstLineChars="20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1）信息收集：定期收集设备的运行参数（如CPU使用率、内存占用率、磁盘I/O、网络带宽等）、配置信息、故障记录等数据，建立详细的设备性能档案，为后续分析提供依据；</w:t>
      </w:r>
    </w:p>
    <w:p w14:paraId="4BD780A2">
      <w:pPr>
        <w:widowControl w:val="0"/>
        <w:ind w:firstLine="48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2）问题诊断：运用专业工具和技术手段，深入分析导致性能下降的硬件故障、软件瓶颈、配置不合理等各类原因，形成详细的性能问题诊断报告，并制定针对性解决方案；</w:t>
      </w:r>
    </w:p>
    <w:p w14:paraId="4ED28DC9">
      <w:pPr>
        <w:widowControl w:val="0"/>
        <w:ind w:firstLine="48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3）调优方案制定：结合业务特点、设备现状及性能需求，制定科学合理的设备调优方案，明确调优目标、步骤、预期效果及风险应对措施；</w:t>
      </w:r>
    </w:p>
    <w:p w14:paraId="5B4D0E2E">
      <w:pPr>
        <w:widowControl w:val="0"/>
        <w:ind w:firstLine="48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4）备份准备：在业务允许的时间段内，提前做好系统数据、配置文件等的备份工作，确保数据安全，避免调优过程中出现数据丢失或系统故障；</w:t>
      </w:r>
    </w:p>
    <w:p w14:paraId="57295EE2">
      <w:pPr>
        <w:widowControl w:val="0"/>
        <w:ind w:firstLine="480"/>
        <w:jc w:val="both"/>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5）调优实施与验证：严格按照调优方案执行操作，在调优过程中实时监控设备运行状态。调优完成后，协助测试应用软件，通过压力测试、功能测试等多种方式，全面检测调优的有效性，并形成性能调优效果验证报告。</w:t>
      </w:r>
    </w:p>
    <w:p w14:paraId="5A4A3C72">
      <w:pPr>
        <w:widowControl w:val="0"/>
        <w:ind w:firstLine="422" w:firstLineChars="20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★（3）软件系统补丁包服务要求</w:t>
      </w:r>
    </w:p>
    <w:p w14:paraId="0852DDC4">
      <w:pPr>
        <w:widowControl w:val="0"/>
        <w:ind w:firstLine="48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 xml:space="preserve">本服务主要完成“软件系统运维服务清单”内软件系统增打补丁和小问题修改的需求，使打完补丁或修改后的软件系统能够正常运作，发挥软件系统应有的功能。工作内容： </w:t>
      </w:r>
    </w:p>
    <w:p w14:paraId="258AF36C">
      <w:pPr>
        <w:widowControl w:val="0"/>
        <w:ind w:firstLine="48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1）补丁评估：对拟安装的补丁进行全面分析，评估其与现有软件系统的兼容性、可用性及潜在风险，形成补丁评估报告，明确补丁安装的必要性、可行性及风险应对策略；</w:t>
      </w:r>
    </w:p>
    <w:p w14:paraId="7FACC93F">
      <w:pPr>
        <w:widowControl w:val="0"/>
        <w:ind w:firstLine="48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2）备份准备：在安装补丁前，对软件系统数据、配置文件、数据库等进行完整备份，并验证备份数据的完整性和可用性，确保在出现问题时能够快速恢复系统；</w:t>
      </w:r>
    </w:p>
    <w:p w14:paraId="6AE52992">
      <w:pPr>
        <w:widowControl w:val="0"/>
        <w:ind w:firstLine="48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3）补丁安装：严格按照补丁安装说明和操作流程，在规定时间内完成软件升级包的安装工作，安装过程中做好详细记录；</w:t>
      </w:r>
    </w:p>
    <w:p w14:paraId="15254A75">
      <w:pPr>
        <w:widowControl w:val="0"/>
        <w:ind w:firstLine="48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4）测试验证：安装完成后，对应用软件进行全面测试，包括功能测试、性能测试、兼容性测试等，检测升级的有效性，确保软件系统各项功能正常运行；</w:t>
      </w:r>
    </w:p>
    <w:p w14:paraId="1B3EED3A">
      <w:pPr>
        <w:widowControl w:val="0"/>
        <w:ind w:firstLine="480"/>
        <w:jc w:val="both"/>
        <w:rPr>
          <w:rFonts w:ascii="仿宋_GB2312" w:hAnsi="仿宋_GB2312" w:eastAsia="仿宋_GB2312" w:cs="仿宋_GB2312"/>
          <w:b/>
          <w:bCs/>
          <w:color w:val="FF0000"/>
          <w:kern w:val="2"/>
          <w:sz w:val="21"/>
          <w:szCs w:val="21"/>
          <w:lang w:eastAsia="zh-CN"/>
        </w:rPr>
      </w:pPr>
      <w:r>
        <w:rPr>
          <w:rFonts w:hint="eastAsia" w:ascii="仿宋_GB2312" w:hAnsi="仿宋_GB2312" w:eastAsia="仿宋_GB2312" w:cs="仿宋_GB2312"/>
          <w:b/>
          <w:bCs/>
          <w:color w:val="FF0000"/>
          <w:kern w:val="2"/>
          <w:sz w:val="21"/>
          <w:szCs w:val="21"/>
          <w:lang w:eastAsia="zh-CN" w:bidi="ar"/>
        </w:rPr>
        <w:t>5）回退处理：若升级失败，立即启动系统回退方案，利用备份数据将系统恢复至升级前状态，并对回退过程进行记录和分析，查找升级失败原因，重新制定解决方案。</w:t>
      </w:r>
    </w:p>
    <w:p w14:paraId="5CB1037F">
      <w:pPr>
        <w:widowControl w:val="0"/>
        <w:ind w:firstLine="480" w:firstLineChars="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b/>
          <w:bCs/>
          <w:color w:val="FF0000"/>
          <w:kern w:val="2"/>
          <w:sz w:val="21"/>
          <w:szCs w:val="21"/>
          <w:lang w:eastAsia="zh-CN" w:bidi="ar"/>
        </w:rPr>
        <w:t>（投标人需提供以上内容的服务承诺函，格式自拟，未提供承诺函或承诺内容不满足要求的，作投标无效处理）</w:t>
      </w:r>
    </w:p>
    <w:p w14:paraId="69DE7827">
      <w:pPr>
        <w:widowControl w:val="0"/>
        <w:ind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（4）巡检服务要求</w:t>
      </w:r>
    </w:p>
    <w:p w14:paraId="7647F8FB">
      <w:pPr>
        <w:widowControl w:val="0"/>
        <w:ind w:firstLine="48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1）巡检内容：每周工作日对中心系统（不含分站和车载）开展至少一次全面巡检，巡检内容包括但不限于服务器运行状态、网络设备连接情况、数据库运行性能、软件系统功能可用性、安全防护措施有效性等。</w:t>
      </w:r>
    </w:p>
    <w:p w14:paraId="62238220">
      <w:pPr>
        <w:widowControl w:val="0"/>
        <w:ind w:firstLine="48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2）问题处理：巡检过程中发现的问题，及时进行记录并制定解决方案，对于紧急问题应立即处理，确保系统正常运行；对于非紧急问题，应明确处理时间节点，并跟踪处理进度直至问题解决；</w:t>
      </w:r>
    </w:p>
    <w:p w14:paraId="59155249">
      <w:pPr>
        <w:widowControl w:val="0"/>
        <w:ind w:firstLine="48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3）报告提交：提供每周工作日不低于一次的中心系统巡检服务（不含分站和车载），并向用户每季度提供一次巡检报告和维修记录。</w:t>
      </w:r>
    </w:p>
    <w:p w14:paraId="2FF45815">
      <w:pPr>
        <w:widowControl w:val="0"/>
        <w:ind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（5）热线电话服务要求</w:t>
      </w:r>
    </w:p>
    <w:p w14:paraId="253325DF">
      <w:pPr>
        <w:widowControl w:val="0"/>
        <w:ind w:firstLine="48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bidi="ar"/>
        </w:rPr>
        <w:t>投标人提供7×24小时技术支持服务，用户在遇到问题时，可以通过电话与投标人技术服务工程师或项目经理联系，技术服务工程师将根据客户的问题情况决定向客户提供电话技术咨询、技术指导或到现场提供技术服务。</w:t>
      </w:r>
    </w:p>
    <w:bookmarkEnd w:id="38"/>
    <w:bookmarkEnd w:id="39"/>
    <w:bookmarkEnd w:id="40"/>
    <w:bookmarkEnd w:id="41"/>
    <w:bookmarkEnd w:id="42"/>
    <w:p w14:paraId="4CB7025D">
      <w:pPr>
        <w:widowControl w:val="0"/>
        <w:numPr>
          <w:ilvl w:val="12"/>
          <w:numId w:val="0"/>
        </w:numPr>
        <w:ind w:left="0" w:firstLine="48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★5.工作质量要求：</w:t>
      </w:r>
      <w:r>
        <w:rPr>
          <w:rFonts w:hint="eastAsia" w:ascii="仿宋_GB2312" w:hAnsi="仿宋_GB2312" w:eastAsia="仿宋_GB2312" w:cs="仿宋_GB2312"/>
          <w:color w:val="000000"/>
          <w:kern w:val="2"/>
          <w:sz w:val="21"/>
          <w:szCs w:val="21"/>
          <w:lang w:eastAsia="zh-CN" w:bidi="ar"/>
        </w:rPr>
        <w:br w:type="textWrapping"/>
      </w:r>
      <w:r>
        <w:rPr>
          <w:rFonts w:hint="eastAsia" w:ascii="仿宋_GB2312" w:hAnsi="仿宋_GB2312" w:eastAsia="仿宋_GB2312" w:cs="仿宋_GB2312"/>
          <w:color w:val="000000"/>
          <w:kern w:val="2"/>
          <w:sz w:val="21"/>
          <w:szCs w:val="21"/>
          <w:lang w:eastAsia="zh-CN" w:bidi="ar"/>
        </w:rPr>
        <w:t xml:space="preserve">    （1）必须完全遵守采购人的劳动制度和计算机网络保密制度；</w:t>
      </w:r>
    </w:p>
    <w:p w14:paraId="3381975A">
      <w:pPr>
        <w:widowControl w:val="0"/>
        <w:numPr>
          <w:ilvl w:val="12"/>
          <w:numId w:val="0"/>
        </w:numPr>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（2）必须听从采购人调遣，不得违反任何规章制度；</w:t>
      </w:r>
    </w:p>
    <w:p w14:paraId="2E5F005F">
      <w:pPr>
        <w:widowControl w:val="0"/>
        <w:numPr>
          <w:ilvl w:val="12"/>
          <w:numId w:val="0"/>
        </w:numPr>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（3）在工作工程中接触到的有关采购人业务及其他任何情况的资料妥善保管，不得自行复制带离本单位，绝对禁止对外泄露；服务商承诺并严守《关于禁止侵犯商业秘密行为的若干规定》。</w:t>
      </w:r>
    </w:p>
    <w:p w14:paraId="23945869">
      <w:pPr>
        <w:widowControl w:val="0"/>
        <w:numPr>
          <w:ilvl w:val="12"/>
          <w:numId w:val="0"/>
        </w:numPr>
        <w:ind w:left="0" w:firstLine="48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（4）驻场工程师需按采购人要求做好各项工作的资料归档、工作日志等。</w:t>
      </w:r>
    </w:p>
    <w:p w14:paraId="36FF0003">
      <w:pPr>
        <w:widowControl w:val="0"/>
        <w:numPr>
          <w:ilvl w:val="12"/>
          <w:numId w:val="0"/>
        </w:numPr>
        <w:ind w:left="0" w:firstLine="48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6.服务成果要求：</w:t>
      </w:r>
    </w:p>
    <w:p w14:paraId="64E728EB">
      <w:pPr>
        <w:widowControl w:val="0"/>
        <w:numPr>
          <w:ilvl w:val="12"/>
          <w:numId w:val="0"/>
        </w:numPr>
        <w:ind w:left="0" w:firstLine="48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（1）系统运行保障：通过全面、专业的运维服务，确保“软件系统运维服务清单”和“硬件设备维护服务清单”内所有系统软硬件的正常运行，系统可用性不低于99.9%，年故障停机时间累计不超过8小时。</w:t>
      </w:r>
    </w:p>
    <w:p w14:paraId="44A49636">
      <w:pPr>
        <w:widowControl w:val="0"/>
        <w:numPr>
          <w:ilvl w:val="12"/>
          <w:numId w:val="0"/>
        </w:numPr>
        <w:ind w:left="0" w:firstLine="48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（2）问题解决效率：一般故障在1小时内解决，重大故障在2小时内解决（特殊复杂故障需提前向采购人说明情况，并明确解决时间节点）。对于用户提出的服务请求，响应及时率达到100%。</w:t>
      </w:r>
    </w:p>
    <w:p w14:paraId="695C3FB8">
      <w:pPr>
        <w:widowControl w:val="0"/>
        <w:numPr>
          <w:ilvl w:val="12"/>
          <w:numId w:val="0"/>
        </w:numPr>
        <w:ind w:left="0" w:firstLine="48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（3）服务质量反馈：每半年开展一次用户满意度调查，用户满意度不低于95%。针对用户反馈的问题和建议，及时进行整改和优化，持续提升服务质量。</w:t>
      </w:r>
    </w:p>
    <w:p w14:paraId="6F33006F">
      <w:pPr>
        <w:widowControl w:val="0"/>
        <w:numPr>
          <w:ilvl w:val="12"/>
          <w:numId w:val="0"/>
        </w:numPr>
        <w:ind w:left="0" w:firstLine="48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★7.保密要求：</w:t>
      </w:r>
    </w:p>
    <w:p w14:paraId="100C9F4C">
      <w:pPr>
        <w:widowControl w:val="0"/>
        <w:numPr>
          <w:ilvl w:val="12"/>
          <w:numId w:val="0"/>
        </w:numPr>
        <w:ind w:left="0" w:firstLine="48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（1）采购人、中标人双方在采购和履行合同过程中所获悉的所有信息都属于保密的内容，采购人中标人双方均有保密义务。</w:t>
      </w:r>
    </w:p>
    <w:p w14:paraId="723FCDDE">
      <w:pPr>
        <w:widowControl w:val="0"/>
        <w:numPr>
          <w:ilvl w:val="12"/>
          <w:numId w:val="0"/>
        </w:numPr>
        <w:ind w:left="0" w:firstLine="48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中标人需与采购人签订安全保密协议书、安全责任书，中标人的维护服务人员需与采购人签订安全保密协议书。中标人及维护服务人员都不得将维护服务中产生的文档资料、技术资料及各党政机关有关资料提供给第三方。</w:t>
      </w:r>
    </w:p>
    <w:p w14:paraId="60AE108A">
      <w:pPr>
        <w:widowControl w:val="0"/>
        <w:numPr>
          <w:ilvl w:val="12"/>
          <w:numId w:val="0"/>
        </w:numPr>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8.考核办法/验收方式：</w:t>
      </w:r>
    </w:p>
    <w:p w14:paraId="267580B1">
      <w:pPr>
        <w:widowControl w:val="0"/>
        <w:numPr>
          <w:ilvl w:val="12"/>
          <w:numId w:val="0"/>
        </w:numPr>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（1）服务期满，中标人将项目各阶段服务文档汇集成册交付采购人，采购人组织项目验收，验收通过后，双方签订验收报告；</w:t>
      </w:r>
    </w:p>
    <w:p w14:paraId="1603E053">
      <w:pPr>
        <w:widowControl w:val="0"/>
        <w:numPr>
          <w:ilvl w:val="12"/>
          <w:numId w:val="0"/>
        </w:numPr>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（2）中标人需为验收提供必需的一切条件及相关费用，并提供本项目的相关服务文档和验收所需材料，积极配合采购人完成验收工作。</w:t>
      </w:r>
    </w:p>
    <w:p w14:paraId="1B84DD73">
      <w:pPr>
        <w:widowControl w:val="0"/>
        <w:jc w:val="center"/>
        <w:rPr>
          <w:rFonts w:ascii="宋体" w:hAnsi="宋体" w:eastAsia="宋体"/>
          <w:b/>
          <w:szCs w:val="20"/>
          <w:lang w:eastAsia="zh-CN"/>
        </w:rPr>
      </w:pPr>
      <w:r>
        <w:rPr>
          <w:rFonts w:hint="eastAsia" w:eastAsia="宋体"/>
          <w:kern w:val="2"/>
          <w:sz w:val="21"/>
          <w:lang w:eastAsia="zh-CN"/>
        </w:rPr>
        <w:br w:type="page"/>
      </w:r>
      <w:r>
        <w:rPr>
          <w:rFonts w:hint="eastAsia" w:ascii="宋体" w:hAnsi="宋体" w:eastAsia="宋体"/>
          <w:b/>
          <w:szCs w:val="20"/>
          <w:lang w:eastAsia="zh-CN"/>
        </w:rPr>
        <w:t>五、商务要求</w:t>
      </w:r>
    </w:p>
    <w:p w14:paraId="1B03B752">
      <w:pPr>
        <w:widowControl w:val="0"/>
        <w:numPr>
          <w:ilvl w:val="12"/>
          <w:numId w:val="0"/>
        </w:numPr>
        <w:spacing w:line="300" w:lineRule="exact"/>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★1.服务期限：</w:t>
      </w:r>
    </w:p>
    <w:p w14:paraId="7FEE64CB">
      <w:pPr>
        <w:widowControl w:val="0"/>
        <w:numPr>
          <w:ilvl w:val="12"/>
          <w:numId w:val="0"/>
        </w:numPr>
        <w:spacing w:line="300" w:lineRule="exact"/>
        <w:ind w:left="0" w:firstLine="420" w:firstLineChars="200"/>
        <w:jc w:val="left"/>
        <w:rPr>
          <w:rFonts w:ascii="仿宋_GB2312" w:hAnsi="仿宋_GB2312" w:eastAsia="仿宋_GB2312" w:cs="仿宋_GB2312"/>
          <w:color w:val="000000"/>
          <w:kern w:val="2"/>
          <w:sz w:val="21"/>
          <w:szCs w:val="21"/>
          <w:lang w:eastAsia="zh-CN"/>
        </w:rPr>
      </w:pPr>
      <w:r>
        <w:rPr>
          <w:rFonts w:hint="eastAsia" w:ascii="仿宋_GB2312" w:hAnsi="仿宋_GB2312" w:eastAsia="仿宋_GB2312" w:cs="仿宋_GB2312"/>
          <w:color w:val="000000"/>
          <w:kern w:val="2"/>
          <w:sz w:val="21"/>
          <w:szCs w:val="21"/>
          <w:lang w:eastAsia="zh-CN"/>
        </w:rPr>
        <w:t>（1）深圳市急救指挥中心管理系统维护服务的服务期限为2025年10月10日至2026年10月9日止；</w:t>
      </w:r>
    </w:p>
    <w:p w14:paraId="73B8A946">
      <w:pPr>
        <w:widowControl w:val="0"/>
        <w:numPr>
          <w:ilvl w:val="12"/>
          <w:numId w:val="0"/>
        </w:numPr>
        <w:spacing w:line="300" w:lineRule="exact"/>
        <w:ind w:left="0" w:firstLine="420" w:firstLineChars="200"/>
        <w:jc w:val="left"/>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rPr>
        <w:t>（2）深圳市医疗优先分级调度系统维护服务的服务期限为2025年8月14日（以合同实际签订之日起）至2026年10月9日止。</w:t>
      </w:r>
      <w:r>
        <w:rPr>
          <w:rFonts w:hint="eastAsia" w:ascii="仿宋_GB2312" w:hAnsi="仿宋_GB2312" w:eastAsia="仿宋_GB2312" w:cs="仿宋_GB2312"/>
          <w:color w:val="000000"/>
          <w:kern w:val="2"/>
          <w:sz w:val="21"/>
          <w:szCs w:val="21"/>
          <w:lang w:eastAsia="zh-CN" w:bidi="ar"/>
        </w:rPr>
        <w:t>该项目为长期服务项目，第一年为本次采购的中标服务期限，本合同期限届满前，采购人可根据项目需要和中标人的履约情况确定合同期限是否延长，合同一年一签，但合同履行期限最长不得超过三年。如采购人对履约情况不满意，采购人不再续约。</w:t>
      </w:r>
    </w:p>
    <w:p w14:paraId="71975308">
      <w:pPr>
        <w:keepNext w:val="0"/>
        <w:keepLines w:val="0"/>
        <w:pageBreakBefore w:val="0"/>
        <w:widowControl w:val="0"/>
        <w:numPr>
          <w:ilvl w:val="12"/>
          <w:numId w:val="0"/>
        </w:numPr>
        <w:kinsoku/>
        <w:wordWrap/>
        <w:overflowPunct/>
        <w:topLinePunct w:val="0"/>
        <w:autoSpaceDE/>
        <w:autoSpaceDN/>
        <w:bidi w:val="0"/>
        <w:adjustRightInd/>
        <w:snapToGrid/>
        <w:spacing w:line="240" w:lineRule="auto"/>
        <w:ind w:left="0" w:firstLine="420" w:firstLineChars="200"/>
        <w:jc w:val="both"/>
        <w:textAlignment w:val="auto"/>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★2.付款方式：</w:t>
      </w:r>
      <w:r>
        <w:rPr>
          <w:rFonts w:hint="eastAsia" w:ascii="仿宋_GB2312" w:hAnsi="仿宋_GB2312" w:eastAsia="仿宋_GB2312" w:cs="仿宋_GB2312"/>
          <w:color w:val="000000"/>
          <w:kern w:val="2"/>
          <w:sz w:val="21"/>
          <w:szCs w:val="21"/>
          <w:highlight w:val="yellow"/>
          <w:lang w:eastAsia="zh-CN" w:bidi="ar"/>
        </w:rPr>
        <w:t>采购人与中标人签订合同后,在中标人提供合法合规且符合采购人要求的等额发票后10个工作日内，采购人根据财政资金下达金额向中标人支付不超合同总额70%的预付款；项目完成后经采购人整体验收合格且履约评价中等（含中等）以上的，在中标人提供合法合规且符合采购人要求的等额发票后10个工作日内，采购人向中标人支付合同剩余尾款。</w:t>
      </w:r>
    </w:p>
    <w:p w14:paraId="2DE98E6E">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outlineLvl w:val="4"/>
        <w:rPr>
          <w:rFonts w:ascii="仿宋_GB2312" w:hAnsi="仿宋_GB2312" w:eastAsia="仿宋_GB2312" w:cs="仿宋_GB2312"/>
          <w:b/>
          <w:bCs/>
          <w:color w:val="000000"/>
          <w:kern w:val="2"/>
          <w:sz w:val="21"/>
          <w:szCs w:val="21"/>
          <w:highlight w:val="yellow"/>
          <w:lang w:val="en" w:eastAsia="zh-CN" w:bidi="ar"/>
        </w:rPr>
      </w:pPr>
      <w:r>
        <w:rPr>
          <w:rFonts w:hint="eastAsia" w:ascii="仿宋_GB2312" w:hAnsi="仿宋_GB2312" w:eastAsia="仿宋_GB2312" w:cs="仿宋_GB2312"/>
          <w:color w:val="000000"/>
          <w:kern w:val="2"/>
          <w:sz w:val="21"/>
          <w:szCs w:val="21"/>
          <w:lang w:eastAsia="zh-CN" w:bidi="ar"/>
        </w:rPr>
        <w:t>最终结算价以深圳市财政预算和投资评审中心审定的金额为准。</w:t>
      </w:r>
    </w:p>
    <w:p w14:paraId="15BA5A21">
      <w:pPr>
        <w:widowControl w:val="0"/>
        <w:numPr>
          <w:ilvl w:val="12"/>
          <w:numId w:val="0"/>
        </w:numPr>
        <w:spacing w:line="300" w:lineRule="exact"/>
        <w:ind w:left="0" w:firstLine="420" w:firstLineChars="200"/>
        <w:jc w:val="both"/>
        <w:rPr>
          <w:rFonts w:eastAsia="宋体"/>
          <w:kern w:val="2"/>
          <w:sz w:val="21"/>
          <w:lang w:eastAsia="zh-CN"/>
        </w:rPr>
      </w:pPr>
      <w:r>
        <w:rPr>
          <w:rFonts w:hint="eastAsia" w:ascii="仿宋_GB2312" w:hAnsi="仿宋_GB2312" w:eastAsia="仿宋_GB2312" w:cs="仿宋_GB2312"/>
          <w:color w:val="000000"/>
          <w:kern w:val="2"/>
          <w:sz w:val="21"/>
          <w:szCs w:val="21"/>
          <w:lang w:eastAsia="zh-CN" w:bidi="ar"/>
        </w:rPr>
        <w:t>因政策变化、财政审批流程、预算资金安排等非甲方原因造成的付款延迟，付款期限相应顺延，中标人不得以此作为不履行合同的理由，采购人不承担延迟付款的违约责任。</w:t>
      </w:r>
    </w:p>
    <w:p w14:paraId="51B35291">
      <w:pPr>
        <w:widowControl w:val="0"/>
        <w:numPr>
          <w:ilvl w:val="12"/>
          <w:numId w:val="0"/>
        </w:numPr>
        <w:spacing w:line="300" w:lineRule="exact"/>
        <w:ind w:left="0"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3.违约责任：</w:t>
      </w:r>
    </w:p>
    <w:p w14:paraId="060E6559">
      <w:pPr>
        <w:widowControl w:val="0"/>
        <w:numPr>
          <w:ilvl w:val="12"/>
          <w:numId w:val="0"/>
        </w:numPr>
        <w:spacing w:line="300" w:lineRule="exact"/>
        <w:ind w:left="0"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（1）由于中标人原因造成项目质量低劣，不能满足采购人要求时，应根据采购人要求继续完善，其费用由中标人承担。</w:t>
      </w:r>
    </w:p>
    <w:p w14:paraId="0AED4B29">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（2）发生以下情形之一，均视为中标人严重违约，中标人应按照本合同总金额 20%向采购人偿付违约金；除追究违约金外，采购人有权单方面解除合同，已支付的费用有权要求中标人退还，未支付的款项，采购人有权不予支付；给采购人造成损失的，由中标人赔偿全部损失：</w:t>
      </w:r>
    </w:p>
    <w:p w14:paraId="278E28AA">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1）中标人提供的服务存在侵犯第三方知识产权或其他权益的，致使采购人被相关权利人追责的；</w:t>
      </w:r>
    </w:p>
    <w:p w14:paraId="671E5B82">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2）因中标人原因，导致保密信息泄露，引起社会舆论，给采购人造成重大影响的；</w:t>
      </w:r>
    </w:p>
    <w:p w14:paraId="777B90C3">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3）因中标人或中标人技术人员原因，发生本合同约定的重大事故情形的；</w:t>
      </w:r>
    </w:p>
    <w:p w14:paraId="473F15DB">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4）中标人存在其他严重违约情形的。</w:t>
      </w:r>
    </w:p>
    <w:p w14:paraId="50023ECC">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5）中标人向采购人提出赔偿要求不能成立时，则应补偿由于提出该赔偿或其他要求所导致的采购人各种费用的支出，包括但不限于诉讼费、律师费、交通费、食宿费等。</w:t>
      </w:r>
    </w:p>
    <w:p w14:paraId="2B21DB86">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4.争议解决方式：采购人和中标人因合同履行发生争议，应当友好协商解决；如协商不成，任何一方均有权将争议向采购人所在地有管辖权的人民法院起诉。</w:t>
      </w:r>
    </w:p>
    <w:p w14:paraId="62E3B213">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5.知识产权:</w:t>
      </w:r>
    </w:p>
    <w:p w14:paraId="6044EBEF">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（1）中标人因提供本合同服务所产生的所有成果的知识产权归属采购人所有；</w:t>
      </w:r>
    </w:p>
    <w:p w14:paraId="246BB2B2">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中标人应保证本项目的投标技术、服务或其他任何一部分不会产生因第三方提出侵犯其专利权、商标权或其他知识产权而引起的法律或经济纠纷；如因第三方提出其专利权、商标权或其他知识产权的侵权之诉,则一切法律责任由中标人承担。</w:t>
      </w:r>
    </w:p>
    <w:p w14:paraId="6D08E8DA">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6.报价要求：</w:t>
      </w:r>
    </w:p>
    <w:p w14:paraId="7F8A72BF">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1）本项目投标报价采用包干制，应包括成本、法定税费和相应的利润，应涵盖本项目招标范围和招标文件所列的各项内容中所述的全部。由投标人根据招标需求自行测算投标报价；一经中标，投标报价即作为中标人与采购人签订的合同金额。</w:t>
      </w:r>
    </w:p>
    <w:p w14:paraId="7F2E8229">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（2）投标人应充分了解项目任何足以影响投标报价的情况，任何因忽视或误解项目情况而导致的索赔或服务期限延长申请将不获批准。</w:t>
      </w:r>
    </w:p>
    <w:p w14:paraId="0694ADFF">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3）投标人不得期望通过索赔等方式获取补偿，否则，除可能遭到拒绝外，还可能将被作为不良行为记录在案，并可能影响其以后参加政府采购的项目投标。各投标人在投标报价时，应充分考虑投标报价的风险。</w:t>
      </w:r>
    </w:p>
    <w:p w14:paraId="7346AA6A">
      <w:pPr>
        <w:widowControl w:val="0"/>
        <w:spacing w:line="300" w:lineRule="exact"/>
        <w:ind w:firstLine="420" w:firstLineChars="200"/>
        <w:jc w:val="both"/>
        <w:rPr>
          <w:rFonts w:ascii="仿宋_GB2312" w:hAnsi="仿宋_GB2312" w:eastAsia="仿宋_GB2312" w:cs="仿宋_GB2312"/>
          <w:color w:val="000000"/>
          <w:kern w:val="2"/>
          <w:sz w:val="21"/>
          <w:szCs w:val="21"/>
          <w:lang w:eastAsia="zh-CN" w:bidi="ar"/>
        </w:rPr>
      </w:pPr>
      <w:r>
        <w:rPr>
          <w:rFonts w:hint="eastAsia" w:ascii="仿宋_GB2312" w:hAnsi="仿宋_GB2312" w:eastAsia="仿宋_GB2312" w:cs="仿宋_GB2312"/>
          <w:color w:val="000000"/>
          <w:kern w:val="2"/>
          <w:sz w:val="21"/>
          <w:szCs w:val="21"/>
          <w:lang w:eastAsia="zh-CN" w:bidi="ar"/>
        </w:rPr>
        <w:t>（4）除政府采购合同继续履行将损害国家利益和社会公共利益外，双方当事人不得擅自变更、中止或者终止合同。</w:t>
      </w:r>
    </w:p>
    <w:p w14:paraId="588E1F95">
      <w:pPr>
        <w:widowControl w:val="0"/>
        <w:bidi w:val="0"/>
        <w:spacing w:before="260" w:after="260"/>
        <w:jc w:val="center"/>
        <w:outlineLvl w:val="2"/>
        <w:rPr>
          <w:rFonts w:ascii="宋体" w:hAnsi="宋体" w:eastAsia="宋体"/>
          <w:b/>
          <w:bCs/>
          <w:kern w:val="2"/>
          <w:sz w:val="21"/>
          <w:szCs w:val="28"/>
          <w:lang w:eastAsia="zh-CN"/>
        </w:rPr>
      </w:pPr>
      <w:r>
        <w:rPr>
          <w:rFonts w:hint="eastAsia" w:ascii="宋体" w:hAnsi="宋体" w:eastAsia="宋体"/>
          <w:b/>
          <w:bCs/>
          <w:kern w:val="2"/>
          <w:sz w:val="21"/>
          <w:szCs w:val="28"/>
          <w:lang w:eastAsia="zh-CN"/>
        </w:rPr>
        <w:br w:type="page"/>
      </w:r>
      <w:r>
        <w:rPr>
          <w:rFonts w:hint="eastAsia" w:ascii="宋体" w:hAnsi="宋体" w:eastAsia="宋体"/>
          <w:b/>
          <w:bCs/>
          <w:kern w:val="2"/>
          <w:sz w:val="28"/>
          <w:szCs w:val="44"/>
          <w:lang w:eastAsia="zh-CN"/>
        </w:rPr>
        <w:t>第四章 投标文件组成要求及格式</w:t>
      </w:r>
    </w:p>
    <w:p w14:paraId="660F98D7">
      <w:pPr>
        <w:widowControl w:val="0"/>
        <w:jc w:val="both"/>
        <w:rPr>
          <w:rFonts w:ascii="黑体" w:eastAsia="黑体"/>
          <w:bCs/>
          <w:kern w:val="2"/>
          <w:lang w:eastAsia="zh-CN"/>
        </w:rPr>
      </w:pPr>
      <w:r>
        <w:rPr>
          <w:rFonts w:hint="eastAsia" w:ascii="黑体" w:eastAsia="黑体"/>
          <w:bCs/>
          <w:kern w:val="2"/>
          <w:lang w:eastAsia="zh-CN"/>
        </w:rPr>
        <w:t>特别提醒：</w:t>
      </w:r>
    </w:p>
    <w:p w14:paraId="0DA8D6BF">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1.投标人在编辑投标文件时，在投标文件目录中属于本节点内容的需在对应节点中填写，填写到其他节点后果由供应商自行承担。</w:t>
      </w:r>
    </w:p>
    <w:p w14:paraId="0D26C7B5">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r>
        <w:rPr>
          <w:rFonts w:hint="eastAsia" w:ascii="宋体" w:hAnsi="宋体" w:eastAsia="宋体" w:cs="宋体"/>
          <w:b/>
          <w:color w:val="FF0000"/>
          <w:kern w:val="2"/>
          <w:lang w:eastAsia="zh-CN"/>
        </w:rPr>
        <w:t>2.投标文件均不对外公开。</w:t>
      </w:r>
    </w:p>
    <w:p w14:paraId="34892427">
      <w:pPr>
        <w:widowControl w:val="0"/>
        <w:tabs>
          <w:tab w:val="left" w:pos="1470"/>
        </w:tabs>
        <w:snapToGrid w:val="0"/>
        <w:spacing w:line="320" w:lineRule="atLeast"/>
        <w:ind w:firstLine="482" w:firstLineChars="200"/>
        <w:jc w:val="both"/>
        <w:rPr>
          <w:rFonts w:ascii="宋体" w:hAnsi="宋体" w:eastAsia="宋体" w:cs="宋体"/>
          <w:b/>
          <w:color w:val="FF0000"/>
          <w:kern w:val="2"/>
          <w:lang w:eastAsia="zh-CN"/>
        </w:rPr>
      </w:pPr>
    </w:p>
    <w:p w14:paraId="5132008B">
      <w:pPr>
        <w:widowControl w:val="0"/>
        <w:jc w:val="both"/>
        <w:rPr>
          <w:rFonts w:ascii="宋体" w:hAnsi="宋体" w:eastAsia="宋体"/>
          <w:b/>
          <w:bCs/>
          <w:kern w:val="2"/>
          <w:lang w:eastAsia="zh-CN"/>
        </w:rPr>
      </w:pPr>
      <w:r>
        <w:rPr>
          <w:rFonts w:hint="eastAsia" w:ascii="宋体" w:hAnsi="宋体" w:eastAsia="宋体"/>
          <w:b/>
          <w:bCs/>
          <w:kern w:val="2"/>
          <w:lang w:eastAsia="zh-CN"/>
        </w:rPr>
        <w:t>投标文件组成：</w:t>
      </w:r>
    </w:p>
    <w:p w14:paraId="15FE59F8">
      <w:pPr>
        <w:widowControl w:val="0"/>
        <w:ind w:firstLine="480" w:firstLineChars="200"/>
        <w:jc w:val="both"/>
        <w:outlineLvl w:val="0"/>
        <w:rPr>
          <w:rFonts w:ascii="宋体" w:hAnsi="宋体" w:eastAsia="宋体"/>
          <w:kern w:val="2"/>
          <w:lang w:eastAsia="zh-CN"/>
        </w:rPr>
      </w:pPr>
      <w:r>
        <w:rPr>
          <w:rFonts w:hint="eastAsia" w:ascii="宋体" w:hAnsi="宋体" w:eastAsia="宋体"/>
          <w:kern w:val="2"/>
          <w:lang w:eastAsia="zh-CN"/>
        </w:rPr>
        <w:t>投标文件主要包括以下内容：</w:t>
      </w:r>
    </w:p>
    <w:p w14:paraId="520CC435">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w:t>
      </w:r>
      <w:bookmarkStart w:id="43" w:name="_Hlk72070784"/>
      <w:r>
        <w:rPr>
          <w:rFonts w:hint="eastAsia" w:eastAsia="宋体"/>
          <w:kern w:val="2"/>
          <w:sz w:val="21"/>
          <w:szCs w:val="21"/>
          <w:lang w:eastAsia="zh-CN"/>
        </w:rPr>
        <w:t>投标函</w:t>
      </w:r>
      <w:bookmarkEnd w:id="43"/>
    </w:p>
    <w:p w14:paraId="07CE8BC2">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（2）采购投标及履约承诺函</w:t>
      </w:r>
    </w:p>
    <w:p w14:paraId="770809B2">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w:t>
      </w:r>
      <w:r>
        <w:rPr>
          <w:rFonts w:eastAsia="宋体"/>
          <w:kern w:val="2"/>
          <w:sz w:val="21"/>
          <w:szCs w:val="21"/>
          <w:lang w:eastAsia="zh-CN"/>
        </w:rPr>
        <w:t>3</w:t>
      </w:r>
      <w:r>
        <w:rPr>
          <w:rFonts w:hint="eastAsia" w:eastAsia="宋体"/>
          <w:kern w:val="2"/>
          <w:sz w:val="21"/>
          <w:szCs w:val="21"/>
          <w:lang w:eastAsia="zh-CN"/>
        </w:rPr>
        <w:t>）投标人情况及资格证明文件</w:t>
      </w:r>
    </w:p>
    <w:p w14:paraId="438E305A">
      <w:pPr>
        <w:widowControl w:val="0"/>
        <w:ind w:firstLine="840" w:firstLineChars="400"/>
        <w:jc w:val="both"/>
        <w:rPr>
          <w:rFonts w:eastAsia="宋体"/>
          <w:kern w:val="2"/>
          <w:sz w:val="21"/>
          <w:szCs w:val="21"/>
          <w:lang w:eastAsia="zh-CN"/>
        </w:rPr>
      </w:pPr>
      <w:bookmarkStart w:id="44" w:name="_Hlk72257201"/>
      <w:r>
        <w:rPr>
          <w:rFonts w:hint="eastAsia" w:eastAsia="宋体"/>
          <w:kern w:val="2"/>
          <w:sz w:val="21"/>
          <w:szCs w:val="21"/>
          <w:lang w:eastAsia="zh-CN"/>
        </w:rPr>
        <w:t>（</w:t>
      </w:r>
      <w:r>
        <w:rPr>
          <w:rFonts w:eastAsia="宋体"/>
          <w:kern w:val="2"/>
          <w:sz w:val="21"/>
          <w:szCs w:val="21"/>
          <w:lang w:eastAsia="zh-CN"/>
        </w:rPr>
        <w:t>4</w:t>
      </w:r>
      <w:r>
        <w:rPr>
          <w:rFonts w:hint="eastAsia" w:eastAsia="宋体"/>
          <w:kern w:val="2"/>
          <w:sz w:val="21"/>
          <w:szCs w:val="21"/>
          <w:lang w:eastAsia="zh-CN"/>
        </w:rPr>
        <w:t>）项目详细报价</w:t>
      </w:r>
    </w:p>
    <w:bookmarkEnd w:id="44"/>
    <w:p w14:paraId="23E77292">
      <w:pPr>
        <w:widowControl w:val="0"/>
        <w:ind w:firstLine="840" w:firstLineChars="400"/>
        <w:jc w:val="both"/>
        <w:rPr>
          <w:rFonts w:eastAsia="宋体"/>
          <w:b/>
          <w:bCs/>
          <w:color w:val="FF0000"/>
          <w:kern w:val="2"/>
          <w:sz w:val="21"/>
          <w:szCs w:val="21"/>
          <w:lang w:eastAsia="zh-CN"/>
        </w:rPr>
      </w:pPr>
      <w:r>
        <w:rPr>
          <w:rFonts w:hint="eastAsia" w:eastAsia="宋体"/>
          <w:kern w:val="2"/>
          <w:sz w:val="21"/>
          <w:szCs w:val="21"/>
          <w:lang w:eastAsia="zh-CN"/>
        </w:rPr>
        <w:t>（5）供应商基本情况表</w:t>
      </w:r>
      <w:r>
        <w:rPr>
          <w:rFonts w:hint="eastAsia" w:eastAsia="宋体"/>
          <w:b/>
          <w:bCs/>
          <w:color w:val="FF0000"/>
          <w:kern w:val="2"/>
          <w:sz w:val="21"/>
          <w:lang w:eastAsia="zh-CN"/>
        </w:rPr>
        <w:t>（须加盖投标单位公章）</w:t>
      </w:r>
    </w:p>
    <w:p w14:paraId="31AA0A5B">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（6）法定代表人（负责人）证明书</w:t>
      </w:r>
    </w:p>
    <w:p w14:paraId="2BAF8F7B">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（7）投标文件签署授权委托书</w:t>
      </w:r>
    </w:p>
    <w:p w14:paraId="16CE4CFF">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（8）实质性条款响应情况表</w:t>
      </w:r>
    </w:p>
    <w:p w14:paraId="690A85FA">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（9）维护服务方案评价（格式自定）</w:t>
      </w:r>
    </w:p>
    <w:p w14:paraId="2B90C611">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（10）</w:t>
      </w:r>
      <w:r>
        <w:rPr>
          <w:rFonts w:hint="eastAsia" w:ascii="宋体" w:hAnsi="宋体" w:eastAsia="宋体"/>
          <w:color w:val="000000"/>
          <w:kern w:val="2"/>
          <w:sz w:val="21"/>
          <w:szCs w:val="21"/>
          <w:lang w:eastAsia="zh-CN"/>
        </w:rPr>
        <w:t>项目重点难点分析、应对措施</w:t>
      </w:r>
      <w:r>
        <w:rPr>
          <w:rFonts w:ascii="宋体" w:hAnsi="宋体" w:eastAsia="宋体"/>
          <w:color w:val="000000"/>
          <w:kern w:val="2"/>
          <w:sz w:val="21"/>
          <w:szCs w:val="21"/>
          <w:lang w:eastAsia="zh-CN"/>
        </w:rPr>
        <w:t>方案评价</w:t>
      </w:r>
      <w:r>
        <w:rPr>
          <w:rFonts w:hint="eastAsia" w:eastAsia="宋体"/>
          <w:kern w:val="2"/>
          <w:sz w:val="21"/>
          <w:szCs w:val="21"/>
          <w:lang w:eastAsia="zh-CN"/>
        </w:rPr>
        <w:t>（格式自定）</w:t>
      </w:r>
    </w:p>
    <w:p w14:paraId="50D0B55E">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（11）运维质量保障措施方案（格式自定）</w:t>
      </w:r>
    </w:p>
    <w:p w14:paraId="4F1029D9">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（12）拟安排项目负责人情况（仅限1人）（格式自定）</w:t>
      </w:r>
    </w:p>
    <w:p w14:paraId="61B60211">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（13）</w:t>
      </w:r>
      <w:r>
        <w:rPr>
          <w:rFonts w:ascii="宋体" w:hAnsi="宋体" w:eastAsia="宋体" w:cs="宋体"/>
          <w:color w:val="000000"/>
          <w:sz w:val="21"/>
          <w:szCs w:val="21"/>
          <w:lang w:eastAsia="zh-CN"/>
        </w:rPr>
        <w:t>技术</w:t>
      </w:r>
      <w:r>
        <w:rPr>
          <w:rFonts w:hint="eastAsia" w:ascii="宋体" w:hAnsi="宋体" w:eastAsia="宋体" w:cs="宋体"/>
          <w:color w:val="000000"/>
          <w:sz w:val="21"/>
          <w:szCs w:val="21"/>
          <w:lang w:eastAsia="zh-CN"/>
        </w:rPr>
        <w:t>负责人（项目负责人除外，仅限</w:t>
      </w:r>
      <w:r>
        <w:rPr>
          <w:rFonts w:ascii="宋体" w:hAnsi="宋体" w:eastAsia="宋体" w:cs="宋体"/>
          <w:color w:val="000000"/>
          <w:sz w:val="21"/>
          <w:szCs w:val="21"/>
          <w:lang w:eastAsia="zh-CN"/>
        </w:rPr>
        <w:t>1</w:t>
      </w:r>
      <w:r>
        <w:rPr>
          <w:rFonts w:hint="eastAsia" w:ascii="宋体" w:hAnsi="宋体" w:eastAsia="宋体" w:cs="宋体"/>
          <w:color w:val="000000"/>
          <w:sz w:val="21"/>
          <w:szCs w:val="21"/>
          <w:lang w:eastAsia="zh-CN"/>
        </w:rPr>
        <w:t>人）</w:t>
      </w:r>
      <w:r>
        <w:rPr>
          <w:rFonts w:hint="eastAsia" w:eastAsia="宋体"/>
          <w:kern w:val="2"/>
          <w:sz w:val="21"/>
          <w:szCs w:val="21"/>
          <w:lang w:eastAsia="zh-CN"/>
        </w:rPr>
        <w:t>（格式自定）</w:t>
      </w:r>
    </w:p>
    <w:p w14:paraId="2DFD403B">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（14）</w:t>
      </w:r>
      <w:r>
        <w:rPr>
          <w:rFonts w:hint="eastAsia" w:ascii="宋体" w:hAnsi="宋体" w:eastAsia="宋体"/>
          <w:color w:val="000000"/>
          <w:kern w:val="2"/>
          <w:sz w:val="21"/>
          <w:szCs w:val="21"/>
          <w:lang w:eastAsia="zh-CN"/>
        </w:rPr>
        <w:t>拟安排的技术人员</w:t>
      </w:r>
      <w:r>
        <w:rPr>
          <w:rFonts w:ascii="宋体" w:hAnsi="宋体" w:eastAsia="宋体"/>
          <w:color w:val="000000"/>
          <w:kern w:val="2"/>
          <w:sz w:val="21"/>
          <w:szCs w:val="21"/>
          <w:lang w:eastAsia="zh-CN"/>
        </w:rPr>
        <w:t>（项目负责人、</w:t>
      </w:r>
      <w:r>
        <w:rPr>
          <w:rFonts w:hint="eastAsia" w:ascii="宋体" w:hAnsi="宋体" w:eastAsia="宋体"/>
          <w:color w:val="000000"/>
          <w:kern w:val="2"/>
          <w:sz w:val="21"/>
          <w:szCs w:val="21"/>
          <w:lang w:eastAsia="zh-CN"/>
        </w:rPr>
        <w:t>技术</w:t>
      </w:r>
      <w:r>
        <w:rPr>
          <w:rFonts w:ascii="宋体" w:hAnsi="宋体" w:eastAsia="宋体"/>
          <w:color w:val="000000"/>
          <w:kern w:val="2"/>
          <w:sz w:val="21"/>
          <w:szCs w:val="21"/>
          <w:lang w:eastAsia="zh-CN"/>
        </w:rPr>
        <w:t>负责人除外）</w:t>
      </w:r>
      <w:r>
        <w:rPr>
          <w:rFonts w:hint="eastAsia" w:eastAsia="宋体"/>
          <w:kern w:val="2"/>
          <w:sz w:val="21"/>
          <w:szCs w:val="21"/>
          <w:lang w:eastAsia="zh-CN"/>
        </w:rPr>
        <w:t>（格式自定）</w:t>
      </w:r>
    </w:p>
    <w:p w14:paraId="1BED9BCB">
      <w:pPr>
        <w:widowControl w:val="0"/>
        <w:ind w:left="960" w:leftChars="400"/>
        <w:jc w:val="both"/>
        <w:rPr>
          <w:rFonts w:eastAsia="宋体"/>
          <w:kern w:val="2"/>
          <w:sz w:val="21"/>
          <w:szCs w:val="21"/>
          <w:lang w:eastAsia="zh-CN"/>
        </w:rPr>
      </w:pPr>
      <w:r>
        <w:rPr>
          <w:rFonts w:hint="eastAsia" w:eastAsia="宋体"/>
          <w:kern w:val="2"/>
          <w:sz w:val="21"/>
          <w:szCs w:val="21"/>
          <w:lang w:eastAsia="zh-CN"/>
        </w:rPr>
        <w:t>（15）</w:t>
      </w:r>
      <w:r>
        <w:rPr>
          <w:rFonts w:hint="eastAsia" w:ascii="宋体" w:hAnsi="宋体" w:eastAsia="宋体" w:cs="仿宋"/>
          <w:bCs/>
          <w:color w:val="000000"/>
          <w:kern w:val="2"/>
          <w:sz w:val="21"/>
          <w:szCs w:val="21"/>
          <w:lang w:eastAsia="zh-CN"/>
        </w:rPr>
        <w:t>投标人认证证书</w:t>
      </w:r>
      <w:r>
        <w:rPr>
          <w:rFonts w:hint="eastAsia" w:eastAsia="宋体"/>
          <w:kern w:val="2"/>
          <w:sz w:val="21"/>
          <w:szCs w:val="21"/>
          <w:lang w:eastAsia="zh-CN"/>
        </w:rPr>
        <w:t>（格式自定）</w:t>
      </w:r>
    </w:p>
    <w:p w14:paraId="5FF023E5">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（16）</w:t>
      </w:r>
      <w:r>
        <w:rPr>
          <w:rFonts w:ascii="宋体" w:hAnsi="宋体" w:eastAsia="宋体" w:cs="宋体"/>
          <w:bCs/>
          <w:color w:val="000000"/>
          <w:sz w:val="21"/>
          <w:szCs w:val="21"/>
          <w:lang w:eastAsia="zh-CN"/>
        </w:rPr>
        <w:t>投标人同类项目业绩情况</w:t>
      </w:r>
      <w:r>
        <w:rPr>
          <w:rFonts w:hint="eastAsia" w:eastAsia="宋体"/>
          <w:kern w:val="2"/>
          <w:sz w:val="21"/>
          <w:szCs w:val="21"/>
          <w:lang w:eastAsia="zh-CN"/>
        </w:rPr>
        <w:t>（格式自定）</w:t>
      </w:r>
    </w:p>
    <w:p w14:paraId="72DD3247">
      <w:pPr>
        <w:widowControl w:val="0"/>
        <w:ind w:firstLine="840" w:firstLineChars="400"/>
        <w:jc w:val="both"/>
        <w:rPr>
          <w:rFonts w:eastAsia="宋体"/>
          <w:kern w:val="2"/>
          <w:sz w:val="21"/>
          <w:szCs w:val="21"/>
          <w:lang w:eastAsia="zh-CN"/>
        </w:rPr>
      </w:pPr>
      <w:r>
        <w:rPr>
          <w:rFonts w:hint="eastAsia" w:eastAsia="宋体"/>
          <w:kern w:val="2"/>
          <w:sz w:val="21"/>
          <w:szCs w:val="21"/>
          <w:lang w:eastAsia="zh-CN"/>
        </w:rPr>
        <w:t>（17）服务便利性（服务网点）</w:t>
      </w:r>
    </w:p>
    <w:p w14:paraId="47AB6931">
      <w:pPr>
        <w:widowControl w:val="0"/>
        <w:ind w:firstLine="840" w:firstLineChars="400"/>
        <w:jc w:val="both"/>
        <w:rPr>
          <w:rFonts w:ascii="仿宋_GB2312" w:eastAsia="仿宋_GB2312"/>
          <w:kern w:val="2"/>
          <w:lang w:eastAsia="zh-CN"/>
        </w:rPr>
      </w:pPr>
      <w:r>
        <w:rPr>
          <w:rFonts w:hint="eastAsia" w:eastAsia="宋体"/>
          <w:kern w:val="2"/>
          <w:sz w:val="21"/>
          <w:szCs w:val="21"/>
          <w:lang w:eastAsia="zh-CN"/>
        </w:rPr>
        <w:t>（18）投标人认为需要加以说明的其他内容</w:t>
      </w:r>
    </w:p>
    <w:p w14:paraId="27E2A33E">
      <w:pPr>
        <w:widowControl w:val="0"/>
        <w:ind w:firstLine="426" w:firstLineChars="202"/>
        <w:jc w:val="both"/>
        <w:rPr>
          <w:rFonts w:ascii="宋体" w:hAnsi="宋体" w:eastAsia="宋体"/>
          <w:b/>
          <w:kern w:val="2"/>
          <w:sz w:val="21"/>
          <w:szCs w:val="21"/>
          <w:lang w:eastAsia="zh-CN"/>
        </w:rPr>
      </w:pPr>
    </w:p>
    <w:p w14:paraId="7012CBEE">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备注：1.本项目为网上电子投标项目，投标文件不需法人或授权委托人另行签字，无需加盖单位公章，招标文件专用条款另有规定的除外。</w:t>
      </w:r>
    </w:p>
    <w:p w14:paraId="1050C224">
      <w:pPr>
        <w:widowControl w:val="0"/>
        <w:ind w:firstLine="426" w:firstLineChars="202"/>
        <w:jc w:val="both"/>
        <w:rPr>
          <w:rFonts w:ascii="宋体" w:hAnsi="宋体" w:eastAsia="宋体"/>
          <w:b/>
          <w:kern w:val="2"/>
          <w:sz w:val="21"/>
          <w:szCs w:val="21"/>
          <w:lang w:eastAsia="zh-CN"/>
        </w:rPr>
      </w:pPr>
      <w:r>
        <w:rPr>
          <w:rFonts w:hint="eastAsia" w:ascii="宋体" w:hAnsi="宋体" w:eastAsia="宋体"/>
          <w:b/>
          <w:kern w:val="2"/>
          <w:sz w:val="21"/>
          <w:szCs w:val="21"/>
          <w:lang w:eastAsia="zh-CN"/>
        </w:rPr>
        <w:t>2.关于填写“开标一览表”的说明：“开标一览表”中除“投标报价”外，其他信息不作评审依据。</w:t>
      </w:r>
    </w:p>
    <w:p w14:paraId="691699E0">
      <w:pPr>
        <w:widowControl w:val="0"/>
        <w:jc w:val="left"/>
        <w:rPr>
          <w:rFonts w:ascii="宋体" w:hAnsi="宋体" w:eastAsia="宋体"/>
          <w:b/>
          <w:color w:val="FF0000"/>
          <w:kern w:val="2"/>
          <w:sz w:val="28"/>
          <w:szCs w:val="28"/>
          <w:lang w:eastAsia="zh-CN"/>
        </w:rPr>
      </w:pPr>
      <w:r>
        <w:rPr>
          <w:rFonts w:hint="eastAsia" w:ascii="宋体" w:hAnsi="宋体" w:eastAsia="宋体"/>
          <w:b/>
          <w:color w:val="FF0000"/>
          <w:kern w:val="2"/>
          <w:sz w:val="36"/>
          <w:szCs w:val="36"/>
          <w:lang w:eastAsia="zh-CN"/>
        </w:rPr>
        <w:br w:type="page"/>
      </w:r>
      <w:r>
        <w:rPr>
          <w:rFonts w:hint="eastAsia" w:ascii="宋体" w:hAnsi="宋体" w:eastAsia="宋体"/>
          <w:b/>
          <w:color w:val="FF0000"/>
          <w:kern w:val="2"/>
          <w:sz w:val="28"/>
          <w:szCs w:val="28"/>
          <w:lang w:eastAsia="zh-CN"/>
        </w:rPr>
        <w:t>投标文件</w:t>
      </w:r>
    </w:p>
    <w:p w14:paraId="407D6616">
      <w:pPr>
        <w:widowControl w:val="0"/>
        <w:spacing w:before="260" w:after="260"/>
        <w:jc w:val="center"/>
        <w:outlineLvl w:val="2"/>
        <w:rPr>
          <w:rFonts w:ascii="黑体" w:hAnsi="宋体" w:eastAsia="黑体"/>
          <w:szCs w:val="32"/>
          <w:lang w:eastAsia="zh-CN"/>
        </w:rPr>
      </w:pPr>
      <w:r>
        <w:rPr>
          <w:rFonts w:hint="eastAsia" w:ascii="黑体" w:hAnsi="宋体" w:eastAsia="黑体"/>
          <w:szCs w:val="32"/>
          <w:lang w:eastAsia="zh-CN"/>
        </w:rPr>
        <w:t>一、投标函</w:t>
      </w:r>
    </w:p>
    <w:p w14:paraId="6235068C">
      <w:pPr>
        <w:widowControl w:val="0"/>
        <w:spacing w:line="360" w:lineRule="auto"/>
        <w:jc w:val="both"/>
        <w:rPr>
          <w:rFonts w:ascii="宋体" w:hAnsi="宋体" w:eastAsia="宋体"/>
          <w:color w:val="000000"/>
          <w:kern w:val="2"/>
          <w:sz w:val="21"/>
          <w:szCs w:val="21"/>
          <w:lang w:eastAsia="zh-CN"/>
        </w:rPr>
      </w:pPr>
      <w:r>
        <w:rPr>
          <w:rFonts w:hint="eastAsia" w:ascii="宋体" w:hAnsi="宋体" w:eastAsia="宋体"/>
          <w:kern w:val="2"/>
          <w:sz w:val="21"/>
          <w:szCs w:val="21"/>
          <w:lang w:eastAsia="zh-CN"/>
        </w:rPr>
        <w:t>致：</w:t>
      </w:r>
      <w:r>
        <w:rPr>
          <w:rFonts w:hint="eastAsia" w:ascii="宋体" w:hAnsi="宋体" w:eastAsia="宋体"/>
          <w:color w:val="000000"/>
          <w:kern w:val="2"/>
          <w:sz w:val="21"/>
          <w:szCs w:val="21"/>
          <w:u w:val="single"/>
          <w:lang w:eastAsia="zh-CN"/>
        </w:rPr>
        <w:t>深圳公共资源交易中心（深圳交易集团有限公司政府采购业务分公司）</w:t>
      </w:r>
    </w:p>
    <w:p w14:paraId="53F72C97">
      <w:pPr>
        <w:widowControl w:val="0"/>
        <w:ind w:firstLine="420" w:firstLineChars="200"/>
        <w:jc w:val="both"/>
        <w:rPr>
          <w:rFonts w:ascii="宋体" w:hAnsi="宋体" w:eastAsia="宋体"/>
          <w:kern w:val="2"/>
          <w:sz w:val="21"/>
          <w:szCs w:val="21"/>
          <w:lang w:eastAsia="zh-CN"/>
        </w:rPr>
      </w:pPr>
      <w:bookmarkStart w:id="45" w:name="_Hlk73818812"/>
      <w:r>
        <w:rPr>
          <w:rFonts w:hint="eastAsia" w:eastAsia="宋体"/>
          <w:kern w:val="2"/>
          <w:sz w:val="21"/>
          <w:szCs w:val="21"/>
          <w:lang w:eastAsia="zh-CN"/>
        </w:rPr>
        <w:t>1、根据已收到贵单位的项目编号为</w:t>
      </w:r>
      <w:r>
        <w:rPr>
          <w:rFonts w:hint="eastAsia" w:eastAsia="宋体"/>
          <w:b/>
          <w:bCs/>
          <w:color w:val="0000FF"/>
          <w:kern w:val="2"/>
          <w:sz w:val="21"/>
          <w:szCs w:val="21"/>
          <w:u w:val="single"/>
          <w:lang w:eastAsia="zh-CN"/>
        </w:rPr>
        <w:t>SZZXCG-2025-00301</w:t>
      </w:r>
      <w:r>
        <w:rPr>
          <w:rFonts w:hint="eastAsia" w:eastAsia="宋体"/>
          <w:kern w:val="2"/>
          <w:sz w:val="21"/>
          <w:szCs w:val="21"/>
          <w:lang w:eastAsia="zh-CN"/>
        </w:rPr>
        <w:t>的</w:t>
      </w:r>
      <w:r>
        <w:rPr>
          <w:rFonts w:hint="eastAsia" w:eastAsia="宋体"/>
          <w:b/>
          <w:bCs/>
          <w:color w:val="0000FF"/>
          <w:kern w:val="2"/>
          <w:sz w:val="21"/>
          <w:szCs w:val="21"/>
          <w:u w:val="single"/>
          <w:lang w:eastAsia="zh-CN"/>
        </w:rPr>
        <w:t>深圳市急救指挥中心管理系统及深圳市医疗优先分级调度系统项目单位政务信息化运维服务（2025年度）项目</w:t>
      </w:r>
      <w:r>
        <w:rPr>
          <w:rFonts w:hint="eastAsia" w:eastAsia="宋体"/>
          <w:kern w:val="2"/>
          <w:sz w:val="21"/>
          <w:szCs w:val="21"/>
          <w:u w:val="single"/>
          <w:lang w:eastAsia="zh-CN" w:bidi="ar"/>
        </w:rPr>
        <w:t>（项目名称）</w:t>
      </w:r>
      <w:r>
        <w:rPr>
          <w:rFonts w:hint="eastAsia" w:eastAsia="宋体"/>
          <w:kern w:val="2"/>
          <w:sz w:val="21"/>
          <w:szCs w:val="21"/>
          <w:lang w:eastAsia="zh-CN"/>
        </w:rPr>
        <w:t>的招标文件，遵照《深圳经济特区政府采购条例》和《深圳网上政府采购管理暂行办法》等有关规定，我单位经研究上述招标文件的专用条款及通用条款后，</w:t>
      </w:r>
      <w:bookmarkStart w:id="46" w:name="_Hlk72263588"/>
      <w:r>
        <w:rPr>
          <w:rFonts w:hint="eastAsia" w:eastAsia="宋体"/>
          <w:kern w:val="2"/>
          <w:sz w:val="21"/>
          <w:szCs w:val="21"/>
          <w:lang w:eastAsia="zh-CN"/>
        </w:rPr>
        <w:t>愿意按照招标文件要求承包上述项目并修补其任何缺陷。</w:t>
      </w:r>
      <w:bookmarkEnd w:id="46"/>
    </w:p>
    <w:p w14:paraId="657CE72D">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、投标价格见</w:t>
      </w:r>
      <w:r>
        <w:rPr>
          <w:rFonts w:hint="eastAsia" w:eastAsia="宋体"/>
          <w:kern w:val="2"/>
          <w:sz w:val="21"/>
          <w:szCs w:val="21"/>
          <w:lang w:eastAsia="zh-CN"/>
        </w:rPr>
        <w:t>投标书编制软件中《开标一览表》中填写的投标报价。</w:t>
      </w:r>
    </w:p>
    <w:p w14:paraId="54F251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3、如果我单位中标，我单位将按照招标文件的要求提交履约担保。</w:t>
      </w:r>
    </w:p>
    <w:p w14:paraId="226BAFC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4、我单位同意所递交的投标文件在“对通用条款的补充内容”中明确的投标有效期内有效，在此期间内我单位的投标有可能中标，我方将受此约束。</w:t>
      </w:r>
    </w:p>
    <w:p w14:paraId="647E47E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5、除非另外达成协议并生效，贵单位的中标通知书和本投标文件将构成合同的重要内容。</w:t>
      </w:r>
    </w:p>
    <w:p w14:paraId="277FD637">
      <w:pPr>
        <w:widowControl w:val="0"/>
        <w:ind w:left="585" w:leftChars="200" w:hanging="105" w:hangingChars="50"/>
        <w:jc w:val="both"/>
        <w:rPr>
          <w:rFonts w:ascii="宋体" w:hAnsi="宋体" w:eastAsia="宋体"/>
          <w:kern w:val="2"/>
          <w:sz w:val="21"/>
          <w:szCs w:val="21"/>
          <w:lang w:eastAsia="zh-CN"/>
        </w:rPr>
      </w:pPr>
      <w:r>
        <w:rPr>
          <w:rFonts w:hint="eastAsia" w:ascii="宋体" w:hAnsi="宋体" w:eastAsia="宋体"/>
          <w:kern w:val="2"/>
          <w:sz w:val="21"/>
          <w:szCs w:val="21"/>
          <w:lang w:eastAsia="zh-CN"/>
        </w:rPr>
        <w:t>6、我单位理解贵单位将不受必须接受所收到的最低报价或其它任何投标文件的约束。</w:t>
      </w:r>
      <w:bookmarkEnd w:id="45"/>
    </w:p>
    <w:p w14:paraId="298DE79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7、如我单位按项目要求提供样品，且未在规定时间内取回样品的，视同放弃取回，同意深圳公共资源交易中心（深圳交易集团有限公司政府采购业务分公司）对样品进行清理。</w:t>
      </w:r>
    </w:p>
    <w:p w14:paraId="69402C79">
      <w:pPr>
        <w:widowControl w:val="0"/>
        <w:spacing w:line="360" w:lineRule="auto"/>
        <w:jc w:val="both"/>
        <w:rPr>
          <w:rFonts w:eastAsia="宋体"/>
          <w:b/>
          <w:bCs/>
          <w:kern w:val="2"/>
          <w:lang w:eastAsia="zh-CN"/>
        </w:rPr>
      </w:pPr>
    </w:p>
    <w:p w14:paraId="562F4081">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w:t>
      </w:r>
      <w:r>
        <w:rPr>
          <w:rFonts w:eastAsia="宋体"/>
          <w:kern w:val="2"/>
          <w:sz w:val="21"/>
          <w:szCs w:val="21"/>
          <w:u w:val="single"/>
          <w:lang w:eastAsia="zh-CN" w:bidi="ar"/>
        </w:rPr>
        <w:t xml:space="preserve">    </w:t>
      </w:r>
      <w:r>
        <w:rPr>
          <w:rFonts w:hint="eastAsia" w:eastAsia="宋体"/>
          <w:kern w:val="2"/>
          <w:sz w:val="21"/>
          <w:szCs w:val="21"/>
          <w:u w:val="single"/>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；单位地址：</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5C27D03F">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法定代表人（负责人）或其授权委托代理人：</w:t>
      </w:r>
      <w:r>
        <w:rPr>
          <w:rFonts w:eastAsia="宋体"/>
          <w:kern w:val="2"/>
          <w:sz w:val="21"/>
          <w:szCs w:val="21"/>
          <w:u w:val="single"/>
          <w:lang w:eastAsia="zh-CN" w:bidi="ar"/>
        </w:rPr>
        <w:t xml:space="preserve">      </w:t>
      </w:r>
      <w:r>
        <w:rPr>
          <w:rFonts w:hint="eastAsia" w:eastAsia="宋体"/>
          <w:kern w:val="2"/>
          <w:sz w:val="21"/>
          <w:szCs w:val="21"/>
          <w:u w:val="single"/>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4C41373B">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47A3DD2E">
      <w:pPr>
        <w:widowControl/>
        <w:ind w:firstLine="630" w:firstLineChars="300"/>
        <w:jc w:val="left"/>
        <w:rPr>
          <w:rFonts w:eastAsia="宋体"/>
          <w:kern w:val="2"/>
          <w:sz w:val="21"/>
          <w:lang w:eastAsia="zh-CN"/>
        </w:rPr>
      </w:pPr>
      <w:r>
        <w:rPr>
          <w:rFonts w:hint="eastAsia" w:ascii="宋体" w:hAnsi="宋体" w:eastAsia="宋体"/>
          <w:kern w:val="2"/>
          <w:sz w:val="21"/>
          <w:szCs w:val="21"/>
          <w:lang w:eastAsia="zh-CN" w:bidi="ar"/>
        </w:rPr>
        <w:t>日期：</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年</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月</w:t>
      </w:r>
      <w:r>
        <w:rPr>
          <w:rFonts w:hint="eastAsia" w:ascii="宋体" w:hAnsi="宋体" w:eastAsia="宋体"/>
          <w:kern w:val="2"/>
          <w:sz w:val="21"/>
          <w:szCs w:val="21"/>
          <w:u w:val="single"/>
          <w:lang w:eastAsia="zh-CN" w:bidi="ar"/>
        </w:rPr>
        <w:t xml:space="preserve">    </w:t>
      </w:r>
      <w:r>
        <w:rPr>
          <w:rFonts w:hint="eastAsia" w:ascii="宋体" w:hAnsi="宋体" w:eastAsia="宋体"/>
          <w:kern w:val="2"/>
          <w:sz w:val="21"/>
          <w:szCs w:val="21"/>
          <w:lang w:eastAsia="zh-CN" w:bidi="ar"/>
        </w:rPr>
        <w:t>日</w:t>
      </w:r>
    </w:p>
    <w:p w14:paraId="3E5BED2F">
      <w:pPr>
        <w:widowControl w:val="0"/>
        <w:jc w:val="both"/>
        <w:rPr>
          <w:rFonts w:ascii="黑体" w:hAnsi="宋体" w:eastAsia="黑体"/>
          <w:kern w:val="2"/>
          <w:sz w:val="21"/>
          <w:lang w:eastAsia="zh-CN"/>
        </w:rPr>
      </w:pPr>
    </w:p>
    <w:p w14:paraId="59305DCE">
      <w:pPr>
        <w:widowControl w:val="0"/>
        <w:jc w:val="both"/>
        <w:rPr>
          <w:rFonts w:ascii="黑体" w:hAnsi="宋体" w:eastAsia="黑体"/>
          <w:kern w:val="2"/>
          <w:sz w:val="21"/>
          <w:lang w:eastAsia="zh-CN"/>
        </w:rPr>
      </w:pPr>
    </w:p>
    <w:p w14:paraId="28F69073">
      <w:pPr>
        <w:widowControl/>
        <w:jc w:val="center"/>
        <w:rPr>
          <w:rFonts w:ascii="黑体" w:hAnsi="宋体" w:eastAsia="黑体"/>
          <w:szCs w:val="32"/>
          <w:lang w:eastAsia="zh-CN"/>
        </w:rPr>
      </w:pPr>
      <w:r>
        <w:rPr>
          <w:rFonts w:ascii="黑体" w:eastAsia="黑体"/>
          <w:b/>
          <w:lang w:eastAsia="zh-CN"/>
        </w:rPr>
        <w:br w:type="page"/>
      </w:r>
      <w:r>
        <w:rPr>
          <w:rFonts w:hint="eastAsia" w:ascii="黑体" w:hAnsi="宋体" w:eastAsia="黑体"/>
          <w:szCs w:val="32"/>
          <w:lang w:eastAsia="zh-CN"/>
        </w:rPr>
        <w:t>二、采购投标及履约承诺函</w:t>
      </w:r>
    </w:p>
    <w:p w14:paraId="56F793A1">
      <w:pPr>
        <w:widowControl w:val="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致：深圳公共资源交易中心（深圳交易集团有限公司政府采购业务分公司）</w:t>
      </w:r>
    </w:p>
    <w:p w14:paraId="64E60638">
      <w:pPr>
        <w:widowControl w:val="0"/>
        <w:ind w:right="-815"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我单位承诺：</w:t>
      </w:r>
    </w:p>
    <w:p w14:paraId="2E616FFC">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1.我单位参与本项目</w:t>
      </w:r>
      <w:r>
        <w:rPr>
          <w:rFonts w:hint="eastAsia" w:ascii="宋体" w:hAnsi="宋体" w:eastAsia="宋体" w:cs="宋体"/>
          <w:kern w:val="2"/>
          <w:sz w:val="21"/>
          <w:lang w:eastAsia="zh-CN" w:bidi="ar"/>
        </w:rPr>
        <w:t>所投标（响应）的货物、工程或服务，不存在侵犯知识产权的情况。</w:t>
      </w:r>
    </w:p>
    <w:p w14:paraId="6DCB8195">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2.我单位</w:t>
      </w:r>
      <w:r>
        <w:rPr>
          <w:rFonts w:hint="eastAsia" w:ascii="宋体" w:hAnsi="宋体" w:eastAsia="宋体" w:cs="宋体"/>
          <w:sz w:val="21"/>
          <w:szCs w:val="21"/>
          <w:lang w:eastAsia="zh-CN"/>
        </w:rPr>
        <w:t>参与本项目采购活动时</w:t>
      </w:r>
      <w:r>
        <w:rPr>
          <w:rFonts w:hint="eastAsia" w:eastAsia="宋体" w:cs="宋体"/>
          <w:kern w:val="2"/>
          <w:sz w:val="21"/>
          <w:lang w:eastAsia="zh-CN" w:bidi="ar"/>
        </w:rPr>
        <w:t>不存在被有关部门禁止参与政府采购活动且在有效期内的情况。</w:t>
      </w:r>
      <w:r>
        <w:rPr>
          <w:rFonts w:hint="eastAsia" w:eastAsia="宋体"/>
          <w:kern w:val="2"/>
          <w:sz w:val="21"/>
          <w:lang w:eastAsia="zh-CN"/>
        </w:rPr>
        <w:t>符合招标文件关于联合体及进口产品的相关资格要求。</w:t>
      </w:r>
    </w:p>
    <w:p w14:paraId="785194A4">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3.我单位具备《中华人民共和国政府采购法》第二十二条第一款规定的六项条件。</w:t>
      </w:r>
    </w:p>
    <w:p w14:paraId="460362B6">
      <w:pPr>
        <w:widowControl w:val="0"/>
        <w:ind w:firstLine="420" w:firstLineChars="200"/>
        <w:jc w:val="both"/>
        <w:rPr>
          <w:rFonts w:eastAsia="宋体"/>
          <w:kern w:val="2"/>
          <w:sz w:val="21"/>
          <w:lang w:eastAsia="zh-CN"/>
        </w:rPr>
      </w:pPr>
      <w:r>
        <w:rPr>
          <w:rFonts w:hint="eastAsia" w:ascii="宋体" w:hAnsi="宋体" w:eastAsia="宋体" w:cs="宋体"/>
          <w:kern w:val="2"/>
          <w:sz w:val="21"/>
          <w:szCs w:val="21"/>
          <w:lang w:eastAsia="zh-CN" w:bidi="ar"/>
        </w:rPr>
        <w:t>4.我单位</w:t>
      </w:r>
      <w:r>
        <w:rPr>
          <w:rFonts w:hint="eastAsia" w:eastAsia="宋体" w:cs="宋体"/>
          <w:kern w:val="2"/>
          <w:sz w:val="21"/>
          <w:lang w:eastAsia="zh-CN" w:bidi="ar"/>
        </w:rPr>
        <w:t>未被列入失信被执行人、重大税收违法案件当事人名单、政府采购严重违法失信行为记录名单。</w:t>
      </w:r>
    </w:p>
    <w:p w14:paraId="3F72A17F">
      <w:pPr>
        <w:widowControl w:val="0"/>
        <w:ind w:firstLine="420" w:firstLineChars="200"/>
        <w:jc w:val="both"/>
        <w:rPr>
          <w:rFonts w:eastAsia="宋体"/>
          <w:kern w:val="2"/>
          <w:sz w:val="21"/>
          <w:lang w:eastAsia="zh-CN"/>
        </w:rPr>
      </w:pPr>
      <w:r>
        <w:rPr>
          <w:rFonts w:eastAsia="宋体"/>
          <w:color w:val="FF0000"/>
          <w:kern w:val="2"/>
          <w:sz w:val="21"/>
          <w:lang w:eastAsia="zh-CN" w:bidi="ar"/>
        </w:rPr>
        <w:t>5.</w:t>
      </w:r>
      <w:r>
        <w:rPr>
          <w:rFonts w:hint="eastAsia" w:eastAsia="宋体" w:cs="宋体"/>
          <w:color w:val="FF0000"/>
          <w:kern w:val="2"/>
          <w:sz w:val="21"/>
          <w:lang w:eastAsia="zh-CN" w:bidi="ar"/>
        </w:rPr>
        <w:t>我单位不存在《深圳市财政局政府采购供应商信用信息管理办法》（深财规〔</w:t>
      </w:r>
      <w:r>
        <w:rPr>
          <w:rFonts w:eastAsia="宋体"/>
          <w:color w:val="FF0000"/>
          <w:kern w:val="2"/>
          <w:sz w:val="21"/>
          <w:lang w:eastAsia="zh-CN" w:bidi="ar"/>
        </w:rPr>
        <w:t>2023</w:t>
      </w:r>
      <w:r>
        <w:rPr>
          <w:rFonts w:hint="eastAsia" w:eastAsia="宋体" w:cs="宋体"/>
          <w:color w:val="FF0000"/>
          <w:kern w:val="2"/>
          <w:sz w:val="21"/>
          <w:lang w:eastAsia="zh-CN" w:bidi="ar"/>
        </w:rPr>
        <w:t>〕</w:t>
      </w:r>
      <w:r>
        <w:rPr>
          <w:rFonts w:eastAsia="宋体"/>
          <w:color w:val="FF0000"/>
          <w:kern w:val="2"/>
          <w:sz w:val="21"/>
          <w:lang w:eastAsia="zh-CN" w:bidi="ar"/>
        </w:rPr>
        <w:t>3</w:t>
      </w:r>
      <w:r>
        <w:rPr>
          <w:rFonts w:hint="eastAsia" w:eastAsia="宋体" w:cs="宋体"/>
          <w:color w:val="FF0000"/>
          <w:kern w:val="2"/>
          <w:sz w:val="21"/>
          <w:lang w:eastAsia="zh-CN" w:bidi="ar"/>
        </w:rPr>
        <w:t>号）列明的严重违法失信行为。</w:t>
      </w:r>
    </w:p>
    <w:p w14:paraId="768426E6">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1481A75D">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7.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11463DF8">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我单位清楚，若以“报价太低而无法履约”为理由放弃本项目中标资格时，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5D5247F">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8.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5244CAC">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9.我单位承诺中标后项目不转包，未经采购人同意不进行分包。</w:t>
      </w:r>
    </w:p>
    <w:p w14:paraId="35045736">
      <w:pPr>
        <w:widowControl w:val="0"/>
        <w:ind w:firstLine="420" w:firstLineChars="200"/>
        <w:jc w:val="both"/>
        <w:rPr>
          <w:rFonts w:ascii="宋体" w:hAnsi="宋体" w:eastAsia="宋体" w:cs="宋体"/>
          <w:kern w:val="2"/>
          <w:sz w:val="21"/>
          <w:lang w:eastAsia="zh-CN"/>
        </w:rPr>
      </w:pPr>
      <w:r>
        <w:rPr>
          <w:rFonts w:hint="eastAsia" w:ascii="宋体" w:hAnsi="宋体" w:eastAsia="宋体" w:cs="宋体"/>
          <w:kern w:val="2"/>
          <w:sz w:val="21"/>
          <w:szCs w:val="21"/>
          <w:lang w:eastAsia="zh-CN" w:bidi="ar"/>
        </w:rPr>
        <w:t>10.</w:t>
      </w:r>
      <w:r>
        <w:rPr>
          <w:rFonts w:hint="eastAsia" w:ascii="宋体" w:hAnsi="宋体" w:eastAsia="宋体" w:cs="宋体"/>
          <w:kern w:val="2"/>
          <w:sz w:val="21"/>
          <w:lang w:eastAsia="zh-CN" w:bidi="ar"/>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842E937">
      <w:pPr>
        <w:widowControl w:val="0"/>
        <w:ind w:firstLine="420" w:firstLineChars="200"/>
        <w:jc w:val="both"/>
        <w:rPr>
          <w:rFonts w:ascii="宋体" w:hAnsi="宋体" w:eastAsia="宋体" w:cs="宋体"/>
          <w:b/>
          <w:sz w:val="21"/>
          <w:szCs w:val="21"/>
          <w:lang w:eastAsia="zh-CN"/>
        </w:rPr>
      </w:pPr>
      <w:r>
        <w:rPr>
          <w:rFonts w:hint="eastAsia" w:ascii="宋体" w:hAnsi="宋体" w:eastAsia="宋体" w:cs="宋体"/>
          <w:kern w:val="2"/>
          <w:sz w:val="21"/>
          <w:lang w:eastAsia="zh-CN" w:bidi="ar"/>
        </w:rPr>
        <w:t>11.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eastAsia="宋体" w:cs="宋体"/>
          <w:kern w:val="2"/>
          <w:sz w:val="21"/>
          <w:lang w:eastAsia="zh-CN" w:bidi="ar"/>
        </w:rPr>
        <w:t>《财政部</w:t>
      </w:r>
      <w:r>
        <w:rPr>
          <w:rFonts w:eastAsia="宋体"/>
          <w:kern w:val="2"/>
          <w:sz w:val="21"/>
          <w:lang w:eastAsia="zh-CN" w:bidi="ar"/>
        </w:rPr>
        <w:t xml:space="preserve"> </w:t>
      </w:r>
      <w:r>
        <w:rPr>
          <w:rFonts w:hint="eastAsia" w:eastAsia="宋体" w:cs="宋体"/>
          <w:kern w:val="2"/>
          <w:sz w:val="21"/>
          <w:lang w:eastAsia="zh-CN" w:bidi="ar"/>
        </w:rPr>
        <w:t>生态环境部</w:t>
      </w:r>
      <w:r>
        <w:rPr>
          <w:rFonts w:eastAsia="宋体"/>
          <w:kern w:val="2"/>
          <w:sz w:val="21"/>
          <w:lang w:eastAsia="zh-CN" w:bidi="ar"/>
        </w:rPr>
        <w:t xml:space="preserve"> </w:t>
      </w:r>
      <w:r>
        <w:rPr>
          <w:rFonts w:hint="eastAsia" w:eastAsia="宋体" w:cs="宋体"/>
          <w:kern w:val="2"/>
          <w:sz w:val="21"/>
          <w:lang w:eastAsia="zh-CN" w:bidi="ar"/>
        </w:rPr>
        <w:t>工业和信息化部关于印发</w:t>
      </w:r>
      <w:r>
        <w:rPr>
          <w:rFonts w:eastAsia="宋体"/>
          <w:kern w:val="2"/>
          <w:sz w:val="21"/>
          <w:lang w:eastAsia="zh-CN" w:bidi="ar"/>
        </w:rPr>
        <w:t>&lt;</w:t>
      </w:r>
      <w:r>
        <w:rPr>
          <w:rFonts w:hint="eastAsia" w:eastAsia="宋体" w:cs="宋体"/>
          <w:kern w:val="2"/>
          <w:sz w:val="21"/>
          <w:lang w:eastAsia="zh-CN" w:bidi="ar"/>
        </w:rPr>
        <w:t>绿色数据中心政府采购需求标准（试行）</w:t>
      </w:r>
      <w:r>
        <w:rPr>
          <w:rFonts w:eastAsia="宋体"/>
          <w:kern w:val="2"/>
          <w:sz w:val="21"/>
          <w:lang w:eastAsia="zh-CN" w:bidi="ar"/>
        </w:rPr>
        <w:t>&gt;</w:t>
      </w:r>
      <w:r>
        <w:rPr>
          <w:rFonts w:hint="eastAsia" w:eastAsia="宋体" w:cs="宋体"/>
          <w:kern w:val="2"/>
          <w:sz w:val="21"/>
          <w:lang w:eastAsia="zh-CN" w:bidi="ar"/>
        </w:rPr>
        <w:t>的通知》（财库〔</w:t>
      </w:r>
      <w:r>
        <w:rPr>
          <w:rFonts w:eastAsia="宋体"/>
          <w:kern w:val="2"/>
          <w:sz w:val="21"/>
          <w:lang w:eastAsia="zh-CN" w:bidi="ar"/>
        </w:rPr>
        <w:t>2023</w:t>
      </w:r>
      <w:r>
        <w:rPr>
          <w:rFonts w:hint="eastAsia" w:eastAsia="宋体" w:cs="宋体"/>
          <w:kern w:val="2"/>
          <w:sz w:val="21"/>
          <w:lang w:eastAsia="zh-CN" w:bidi="ar"/>
        </w:rPr>
        <w:t>〕</w:t>
      </w:r>
      <w:r>
        <w:rPr>
          <w:rFonts w:eastAsia="宋体"/>
          <w:kern w:val="2"/>
          <w:sz w:val="21"/>
          <w:lang w:eastAsia="zh-CN" w:bidi="ar"/>
        </w:rPr>
        <w:t>7</w:t>
      </w:r>
      <w:r>
        <w:rPr>
          <w:rFonts w:hint="eastAsia" w:eastAsia="宋体" w:cs="宋体"/>
          <w:kern w:val="2"/>
          <w:sz w:val="21"/>
          <w:lang w:eastAsia="zh-CN" w:bidi="ar"/>
        </w:rPr>
        <w:t>号）要求。若所投产品涉及国家强制性标准的，所投产品应符合国家强制性标准相关要求。</w:t>
      </w:r>
    </w:p>
    <w:p w14:paraId="5E62D03A">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sz w:val="21"/>
          <w:szCs w:val="21"/>
          <w:lang w:eastAsia="zh-CN" w:bidi="ar"/>
        </w:rPr>
        <w:t>12.</w:t>
      </w:r>
      <w:r>
        <w:rPr>
          <w:rFonts w:hint="eastAsia" w:ascii="宋体" w:hAnsi="宋体" w:eastAsia="宋体" w:cs="宋体"/>
          <w:bCs/>
          <w:kern w:val="2"/>
          <w:sz w:val="21"/>
          <w:lang w:eastAsia="zh-CN" w:bidi="ar"/>
        </w:rPr>
        <w:t>我单位已知悉并同意中标（成交）结果信息公示（公开）的内容。</w:t>
      </w:r>
    </w:p>
    <w:p w14:paraId="17EB5C81">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13.我单位保证，符合《中华人民共和国政府采购法实施条例》第十八条规定，与其他投标供应商不存在单位负责人为同一人或者存在直接控股、管理关系；不存在为本次采购项目提供整体设计、规范编制或者项目管理、监理、检测等服务的情形。若存在“不同供应商的董事、股东或其他高级管理人员为同一人的”情形的，我单位保证不存在串通投标、恶意串通或者视为串通投标的情形。</w:t>
      </w:r>
    </w:p>
    <w:p w14:paraId="1F939783">
      <w:pPr>
        <w:widowControl w:val="0"/>
        <w:ind w:firstLine="422" w:firstLineChars="200"/>
        <w:jc w:val="both"/>
        <w:rPr>
          <w:rFonts w:ascii="宋体" w:hAnsi="宋体" w:eastAsia="宋体" w:cs="宋体"/>
          <w:b/>
          <w:kern w:val="2"/>
          <w:sz w:val="21"/>
          <w:lang w:eastAsia="zh-CN"/>
        </w:rPr>
      </w:pPr>
      <w:r>
        <w:rPr>
          <w:rFonts w:hint="eastAsia" w:ascii="宋体" w:hAnsi="宋体" w:eastAsia="宋体" w:cs="宋体"/>
          <w:b/>
          <w:kern w:val="2"/>
          <w:sz w:val="21"/>
          <w:lang w:eastAsia="zh-CN" w:bidi="ar"/>
        </w:rPr>
        <w:t>14.我单位清楚，如存在违反投标承诺行为情节严重的，将根据《深圳市财政局关于印发&lt;深圳市财政局政府采购供应商信用信息管理办法&gt;的通知》，依法被列入失信信息。</w:t>
      </w:r>
    </w:p>
    <w:p w14:paraId="4F443DCB">
      <w:pPr>
        <w:widowControl w:val="0"/>
        <w:ind w:firstLine="420" w:firstLineChars="200"/>
        <w:jc w:val="both"/>
        <w:rPr>
          <w:rFonts w:ascii="宋体" w:hAnsi="宋体" w:eastAsia="宋体" w:cs="宋体"/>
          <w:bCs/>
          <w:kern w:val="2"/>
          <w:sz w:val="21"/>
          <w:lang w:eastAsia="zh-CN"/>
        </w:rPr>
      </w:pPr>
      <w:r>
        <w:rPr>
          <w:rFonts w:hint="eastAsia" w:ascii="宋体" w:hAnsi="宋体" w:eastAsia="宋体" w:cs="宋体"/>
          <w:bCs/>
          <w:kern w:val="2"/>
          <w:sz w:val="21"/>
          <w:lang w:eastAsia="zh-CN" w:bidi="ar"/>
        </w:rPr>
        <w:t>15.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w:t>
      </w:r>
    </w:p>
    <w:p w14:paraId="371CD83B">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以上承诺，如有违反，愿依照国家相关法律法规处理，并承担由此给采购人带来的损失。</w:t>
      </w:r>
    </w:p>
    <w:p w14:paraId="7A7F97A1">
      <w:pPr>
        <w:widowControl w:val="0"/>
        <w:spacing w:before="78" w:beforeLines="25" w:after="78" w:afterLines="25"/>
        <w:ind w:firstLine="5460" w:firstLineChars="2600"/>
        <w:jc w:val="both"/>
        <w:rPr>
          <w:rFonts w:eastAsia="宋体"/>
          <w:color w:val="FF0000"/>
          <w:kern w:val="2"/>
          <w:sz w:val="21"/>
          <w:szCs w:val="21"/>
          <w:u w:val="single"/>
          <w:lang w:eastAsia="zh-CN" w:bidi="ar"/>
        </w:rPr>
      </w:pPr>
      <w:r>
        <w:rPr>
          <w:rFonts w:hint="eastAsia" w:eastAsia="宋体" w:cs="宋体"/>
          <w:color w:val="FF0000"/>
          <w:kern w:val="2"/>
          <w:sz w:val="21"/>
          <w:szCs w:val="21"/>
          <w:lang w:eastAsia="zh-CN" w:bidi="ar"/>
        </w:rPr>
        <w:t>投标人：</w:t>
      </w:r>
      <w:r>
        <w:rPr>
          <w:rFonts w:eastAsia="宋体"/>
          <w:color w:val="FF0000"/>
          <w:kern w:val="2"/>
          <w:sz w:val="21"/>
          <w:szCs w:val="21"/>
          <w:u w:val="single"/>
          <w:lang w:eastAsia="zh-CN" w:bidi="ar"/>
        </w:rPr>
        <w:t xml:space="preserve">           </w:t>
      </w:r>
      <w:r>
        <w:rPr>
          <w:rFonts w:hint="eastAsia" w:eastAsia="宋体"/>
          <w:color w:val="FF0000"/>
          <w:kern w:val="2"/>
          <w:sz w:val="21"/>
          <w:szCs w:val="21"/>
          <w:u w:val="single"/>
          <w:lang w:eastAsia="zh-CN" w:bidi="ar"/>
        </w:rPr>
        <w:t xml:space="preserve">      </w:t>
      </w:r>
      <w:r>
        <w:rPr>
          <w:rFonts w:eastAsia="宋体"/>
          <w:color w:val="FF0000"/>
          <w:kern w:val="2"/>
          <w:sz w:val="21"/>
          <w:szCs w:val="21"/>
          <w:u w:val="single"/>
          <w:lang w:eastAsia="zh-CN" w:bidi="ar"/>
        </w:rPr>
        <w:t xml:space="preserve">        </w:t>
      </w:r>
      <w:r>
        <w:rPr>
          <w:rFonts w:hint="eastAsia" w:eastAsia="宋体" w:cs="宋体"/>
          <w:color w:val="FF0000"/>
          <w:kern w:val="2"/>
          <w:sz w:val="21"/>
          <w:szCs w:val="21"/>
          <w:lang w:eastAsia="zh-CN" w:bidi="ar"/>
        </w:rPr>
        <w:t>；</w:t>
      </w:r>
    </w:p>
    <w:p w14:paraId="34802FEB">
      <w:pPr>
        <w:widowControl w:val="0"/>
        <w:spacing w:before="78" w:beforeLines="25" w:after="78" w:afterLines="25"/>
        <w:ind w:firstLine="5460" w:firstLineChars="2600"/>
        <w:jc w:val="both"/>
        <w:rPr>
          <w:rFonts w:ascii="宋体" w:hAnsi="宋体" w:eastAsia="宋体" w:cs="宋体"/>
          <w:color w:val="FF0000"/>
          <w:kern w:val="2"/>
          <w:sz w:val="21"/>
          <w:szCs w:val="21"/>
          <w:lang w:eastAsia="zh-CN"/>
        </w:rPr>
      </w:pPr>
      <w:r>
        <w:rPr>
          <w:rFonts w:hint="eastAsia" w:ascii="宋体" w:hAnsi="宋体" w:eastAsia="宋体" w:cs="宋体"/>
          <w:color w:val="FF0000"/>
          <w:kern w:val="2"/>
          <w:sz w:val="21"/>
          <w:szCs w:val="21"/>
          <w:lang w:eastAsia="zh-CN" w:bidi="ar"/>
        </w:rPr>
        <w:t>日期：</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年</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月</w:t>
      </w:r>
      <w:r>
        <w:rPr>
          <w:rFonts w:hint="eastAsia" w:ascii="宋体" w:hAnsi="宋体" w:eastAsia="宋体" w:cs="宋体"/>
          <w:color w:val="FF0000"/>
          <w:kern w:val="2"/>
          <w:sz w:val="21"/>
          <w:szCs w:val="21"/>
          <w:u w:val="single"/>
          <w:lang w:eastAsia="zh-CN" w:bidi="ar"/>
        </w:rPr>
        <w:t xml:space="preserve">   </w:t>
      </w:r>
      <w:r>
        <w:rPr>
          <w:rFonts w:hint="eastAsia" w:ascii="宋体" w:hAnsi="宋体" w:eastAsia="宋体" w:cs="宋体"/>
          <w:color w:val="FF0000"/>
          <w:kern w:val="2"/>
          <w:sz w:val="21"/>
          <w:szCs w:val="21"/>
          <w:lang w:eastAsia="zh-CN" w:bidi="ar"/>
        </w:rPr>
        <w:t>日</w:t>
      </w:r>
    </w:p>
    <w:p w14:paraId="049D475B">
      <w:pPr>
        <w:widowControl w:val="0"/>
        <w:jc w:val="both"/>
        <w:rPr>
          <w:rFonts w:eastAsia="宋体"/>
          <w:kern w:val="2"/>
          <w:sz w:val="21"/>
          <w:lang w:eastAsia="zh-CN"/>
        </w:rPr>
      </w:pPr>
    </w:p>
    <w:p w14:paraId="71DC9B36">
      <w:pPr>
        <w:widowControl w:val="0"/>
        <w:jc w:val="both"/>
        <w:rPr>
          <w:rFonts w:ascii="黑体" w:eastAsia="黑体"/>
          <w:lang w:eastAsia="zh-CN"/>
        </w:rPr>
      </w:pPr>
      <w:r>
        <w:rPr>
          <w:rFonts w:hint="eastAsia" w:ascii="黑体" w:eastAsia="黑体"/>
          <w:lang w:eastAsia="zh-CN"/>
        </w:rPr>
        <w:br w:type="page"/>
      </w:r>
    </w:p>
    <w:p w14:paraId="2F547DF3">
      <w:pPr>
        <w:widowControl w:val="0"/>
        <w:spacing w:before="120" w:after="120"/>
        <w:jc w:val="center"/>
        <w:outlineLvl w:val="2"/>
        <w:rPr>
          <w:rFonts w:ascii="黑体" w:hAnsi="宋体" w:eastAsia="黑体"/>
          <w:szCs w:val="32"/>
          <w:lang w:eastAsia="zh-CN"/>
        </w:rPr>
      </w:pPr>
      <w:r>
        <w:rPr>
          <w:rFonts w:hint="eastAsia" w:ascii="黑体" w:hAnsi="宋体" w:eastAsia="黑体"/>
          <w:szCs w:val="32"/>
          <w:lang w:eastAsia="zh-CN"/>
        </w:rPr>
        <w:t>三、投标人情况及资格证明文件</w:t>
      </w:r>
    </w:p>
    <w:p w14:paraId="632A3629">
      <w:pPr>
        <w:widowControl w:val="0"/>
        <w:jc w:val="both"/>
        <w:outlineLvl w:val="3"/>
        <w:rPr>
          <w:rFonts w:ascii="黑体" w:hAnsi="宋体" w:eastAsia="黑体"/>
          <w:bCs/>
          <w:szCs w:val="32"/>
          <w:lang w:eastAsia="zh-CN"/>
        </w:rPr>
      </w:pPr>
      <w:r>
        <w:rPr>
          <w:rFonts w:hint="eastAsia" w:ascii="黑体" w:hAnsi="宋体" w:eastAsia="黑体"/>
          <w:bCs/>
          <w:szCs w:val="32"/>
          <w:lang w:eastAsia="zh-CN"/>
        </w:rPr>
        <w:t>（一）投标人资格证明文件</w:t>
      </w:r>
    </w:p>
    <w:p w14:paraId="45A4F13C">
      <w:pPr>
        <w:widowControl w:val="0"/>
        <w:spacing w:before="156" w:beforeLines="50"/>
        <w:ind w:firstLine="422" w:firstLineChars="200"/>
        <w:jc w:val="both"/>
        <w:rPr>
          <w:rFonts w:eastAsia="宋体"/>
          <w:b/>
          <w:bCs/>
          <w:color w:val="FF0000"/>
          <w:kern w:val="2"/>
          <w:sz w:val="21"/>
          <w:lang w:eastAsia="zh-CN"/>
        </w:rPr>
      </w:pPr>
      <w:r>
        <w:rPr>
          <w:rFonts w:hint="eastAsia" w:eastAsia="宋体"/>
          <w:b/>
          <w:bCs/>
          <w:color w:val="FF0000"/>
          <w:kern w:val="2"/>
          <w:sz w:val="21"/>
          <w:lang w:eastAsia="zh-CN"/>
        </w:rPr>
        <w:t>（特别提示：投标人须按本招标文件第一册第一章招标公告“投标人的资格要求”提供相关的资格证明资料，未提供或提供不完整、不符合要求的，将作投标无效处理，其中要求提供《采购投标及履约承诺函》《供应商基本情况表》且已在规定章节中提供的，此处不重复提供。）</w:t>
      </w:r>
    </w:p>
    <w:p w14:paraId="677811FE">
      <w:pPr>
        <w:widowControl/>
        <w:jc w:val="left"/>
        <w:rPr>
          <w:rFonts w:ascii="黑体" w:hAnsi="宋体" w:eastAsia="黑体"/>
          <w:bCs/>
          <w:szCs w:val="32"/>
          <w:lang w:eastAsia="zh-CN"/>
        </w:rPr>
      </w:pPr>
      <w:r>
        <w:rPr>
          <w:rFonts w:eastAsia="宋体"/>
          <w:kern w:val="2"/>
          <w:sz w:val="21"/>
          <w:lang w:eastAsia="zh-CN"/>
        </w:rPr>
        <w:br w:type="page"/>
      </w:r>
      <w:r>
        <w:rPr>
          <w:rFonts w:hint="eastAsia" w:ascii="黑体" w:hAnsi="宋体" w:eastAsia="黑体"/>
          <w:bCs/>
          <w:szCs w:val="32"/>
          <w:lang w:eastAsia="zh-CN"/>
        </w:rPr>
        <w:t>（二）中小企业声明函、残疾人福利性单位声明函及监狱企业声明函</w:t>
      </w:r>
    </w:p>
    <w:p w14:paraId="727DF22A">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填写指引：</w:t>
      </w:r>
    </w:p>
    <w:p w14:paraId="099B67C5">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宋体" w:eastAsia="黑体"/>
          <w:bCs/>
          <w:color w:val="FF0000"/>
          <w:sz w:val="21"/>
          <w:szCs w:val="21"/>
          <w:lang w:eastAsia="zh-CN"/>
        </w:rPr>
        <w:t>1、该部分内容由投标人根据自身实际情况填写，不符合要求的投标人可以不填写或直接删除相应的声明函。</w:t>
      </w:r>
      <w:r>
        <w:rPr>
          <w:rFonts w:hint="eastAsia" w:ascii="黑体" w:hAnsi="黑体" w:eastAsia="黑体"/>
          <w:color w:val="FF0000"/>
          <w:kern w:val="2"/>
          <w:sz w:val="21"/>
          <w:szCs w:val="21"/>
          <w:lang w:eastAsia="zh-CN"/>
        </w:rPr>
        <w:t>投标人提供的声明函不属实的，属于提供虚假资料谋取中标，依照《中华人民共和国政府采购法》等国家有关规定追究相应责任。</w:t>
      </w:r>
    </w:p>
    <w:p w14:paraId="3AF03B17">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2、该部分内容填写需要参考的相关文件：</w:t>
      </w:r>
    </w:p>
    <w:p w14:paraId="381468B5">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1</w:t>
      </w:r>
      <w:r>
        <w:rPr>
          <w:rFonts w:hint="eastAsia" w:ascii="黑体" w:hAnsi="黑体" w:eastAsia="黑体"/>
          <w:color w:val="FF0000"/>
          <w:kern w:val="2"/>
          <w:sz w:val="21"/>
          <w:szCs w:val="21"/>
          <w:lang w:eastAsia="zh-CN"/>
        </w:rPr>
        <w:t>)财政部《政府采购促进中小企业发展管理办法》（财库〔2020〕46号）</w:t>
      </w:r>
    </w:p>
    <w:p w14:paraId="23F90F8E">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w:t>
      </w:r>
      <w:r>
        <w:rPr>
          <w:rFonts w:ascii="黑体" w:hAnsi="黑体" w:eastAsia="黑体"/>
          <w:color w:val="FF0000"/>
          <w:kern w:val="2"/>
          <w:sz w:val="21"/>
          <w:szCs w:val="21"/>
          <w:lang w:eastAsia="zh-CN"/>
        </w:rPr>
        <w:t>2</w:t>
      </w:r>
      <w:r>
        <w:rPr>
          <w:rFonts w:hint="eastAsia" w:ascii="黑体" w:hAnsi="黑体" w:eastAsia="黑体"/>
          <w:color w:val="FF0000"/>
          <w:kern w:val="2"/>
          <w:sz w:val="21"/>
          <w:szCs w:val="21"/>
          <w:lang w:eastAsia="zh-CN"/>
        </w:rPr>
        <w:t>)</w:t>
      </w:r>
      <w:bookmarkStart w:id="47" w:name="_Hlk71925120"/>
      <w:r>
        <w:rPr>
          <w:rFonts w:hint="eastAsia" w:ascii="黑体" w:hAnsi="黑体" w:eastAsia="黑体"/>
          <w:color w:val="FF0000"/>
          <w:kern w:val="2"/>
          <w:sz w:val="21"/>
          <w:szCs w:val="21"/>
          <w:lang w:eastAsia="zh-CN"/>
        </w:rPr>
        <w:t>《工业和信息化部、国家统计局、国家发展和改革委员会、财政部关于印发中小企业划型标准规定的通知》（工信部联企业〔2011〕300号</w:t>
      </w:r>
      <w:bookmarkEnd w:id="47"/>
      <w:r>
        <w:rPr>
          <w:rFonts w:hint="eastAsia" w:ascii="黑体" w:hAnsi="黑体" w:eastAsia="黑体"/>
          <w:color w:val="FF0000"/>
          <w:kern w:val="2"/>
          <w:sz w:val="21"/>
          <w:szCs w:val="21"/>
          <w:lang w:eastAsia="zh-CN"/>
        </w:rPr>
        <w:t>）</w:t>
      </w:r>
    </w:p>
    <w:p w14:paraId="0A58A797">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(3)《统计上大中小微型企业划分办法(2017)》（国统字〔2017〕213号）</w:t>
      </w:r>
    </w:p>
    <w:p w14:paraId="0E6DF8B0">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(4)《关于促进残疾人就业政府采购政策的通知》（财库〔2017〕141号）</w:t>
      </w:r>
    </w:p>
    <w:p w14:paraId="33CA6C60">
      <w:pPr>
        <w:widowControl w:val="0"/>
        <w:ind w:firstLine="420" w:firstLineChars="200"/>
        <w:jc w:val="both"/>
        <w:outlineLvl w:val="3"/>
        <w:rPr>
          <w:rFonts w:ascii="黑体" w:hAnsi="黑体" w:eastAsia="黑体"/>
          <w:color w:val="FF0000"/>
          <w:kern w:val="2"/>
          <w:sz w:val="21"/>
          <w:szCs w:val="21"/>
          <w:lang w:eastAsia="zh-CN"/>
        </w:rPr>
      </w:pPr>
      <w:r>
        <w:rPr>
          <w:rFonts w:hint="eastAsia" w:ascii="黑体" w:hAnsi="黑体" w:eastAsia="黑体"/>
          <w:color w:val="FF0000"/>
          <w:kern w:val="2"/>
          <w:sz w:val="21"/>
          <w:szCs w:val="21"/>
          <w:lang w:eastAsia="zh-CN"/>
        </w:rPr>
        <w:t>(5)《关于政府采购支持监狱企业发展有关问题的通知》（财库〔2014〕68号）</w:t>
      </w:r>
    </w:p>
    <w:p w14:paraId="7E4B1489">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3、请依照提供的格式和内容填写声明函，不要随意变更格式；声明函不需要盖章或签字；</w:t>
      </w:r>
      <w:r>
        <w:rPr>
          <w:rFonts w:hint="eastAsia" w:ascii="黑体" w:hAnsi="黑体" w:eastAsia="黑体"/>
          <w:color w:val="FF0000"/>
          <w:kern w:val="2"/>
          <w:sz w:val="21"/>
          <w:szCs w:val="21"/>
          <w:lang w:eastAsia="zh-CN"/>
        </w:rPr>
        <w:t>满足多项优惠政策的投标人，不重复享受多项价格扣除政策。</w:t>
      </w:r>
    </w:p>
    <w:p w14:paraId="2F10AB63">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4、声明函具体填写要求：</w:t>
      </w:r>
    </w:p>
    <w:p w14:paraId="7E66DE21">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（1）声明是中小企业须填写《中小企业声明函》的以下内容：</w:t>
      </w:r>
    </w:p>
    <w:p w14:paraId="16F75ABF">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第一处，在“单位名称”下划线处如实填写采购人名称（深圳公共资源交易中心不是本项目的采购人，而是组织实施机构）；</w:t>
      </w:r>
    </w:p>
    <w:p w14:paraId="00717A50">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二处，在“项目名称”下划线处如实填写采购文件中确定的项目名称。对于分包方式面向中小企业采购的项目，应标明中小企业的具体分包内容；对于以联合体方式面向中小企业采购的项目，应标明联合体中中小企业所承担的具体内容；</w:t>
      </w:r>
    </w:p>
    <w:p w14:paraId="776983C9">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三处，在“标的名称”下划线处填写所采购标的具体名称（以招标文件第一册第三章用户需求书“服务需求明细”的“服务需求名称（标的名称）”一栏为准）；如果涉及多项服务（标的）为同一企业承接的，“标的名称”下划线处可以如实填写多项服务；对于分包方式面向中小企业采购的项目，“标的名称”应填写采购文件中注明的分包给中小企业的采购标的名称；对于以联合体方式面向中小企业采购的项目“标的名称”应填写采购文件中注明的联合体中中小企业承担的采购标的名称。</w:t>
      </w:r>
    </w:p>
    <w:p w14:paraId="0B7B34C1">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四处，在“采购文件中明确的所属行业”下划线处填写采购标的对应的中小企业划分标准所属行业（所属行业以招标文件第一册第三章用户需求书“服务需求明细”的“标的所属行业”一栏为准），并应确保与采购标的涉及的服务承接商本身的所属行业保持一致。对于分包方式面向中小企业采购的项目，“采购文件中明确的所属行业”应按照采购文件中注明的分包给中小企业的采购标的所属行业填写，并应确保与该分包部分采购标的涉及的服务承接商本身的所属行业保持一致；对于以联合体方式面向中小企业采购的项目，“采购文件中明确的所属行业”应按照采购文件中注明的联合体中中小企业承担的采购标的所属行业填写，并应确保与该联合体部分采购标的涉及的服务承接商本身的所属行业保持一致；</w:t>
      </w:r>
    </w:p>
    <w:p w14:paraId="20D9A723">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第五处，在“企业名称”下划线处如实填写</w:t>
      </w:r>
      <w:r>
        <w:rPr>
          <w:rFonts w:hint="eastAsia" w:ascii="黑体" w:hAnsi="宋体" w:eastAsia="黑体"/>
          <w:b/>
          <w:color w:val="FF0000"/>
          <w:sz w:val="21"/>
          <w:szCs w:val="21"/>
          <w:lang w:eastAsia="zh-CN"/>
        </w:rPr>
        <w:t>服务承接商名称。</w:t>
      </w:r>
      <w:r>
        <w:rPr>
          <w:rFonts w:hint="eastAsia" w:ascii="黑体" w:hAnsi="宋体" w:eastAsia="黑体"/>
          <w:bCs/>
          <w:color w:val="FF0000"/>
          <w:sz w:val="21"/>
          <w:szCs w:val="21"/>
          <w:lang w:eastAsia="zh-CN"/>
        </w:rPr>
        <w:t>对于分包方式面向中小企业采购的项目，“企业名称”应填写分包部分采购标的对应的服务承接商；对于以联合体方式面向中小企业采购的项目，“企业名称”应填写联合体中中小企业承担采购标的对应的服务承接商；</w:t>
      </w:r>
    </w:p>
    <w:p w14:paraId="336207F1">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六、七、八处，在“从业人员”、“营业收入”、“资产总额”下划线处如实填写从业人员、营业收入、资产总额。从业人员、资产总额指标以上年度末数据为依据，营业收入指标以上年度累计数据为依据。无上年度数据的新成立企业可不填报。</w:t>
      </w:r>
    </w:p>
    <w:p w14:paraId="6731187B">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第九处，在“中型企业、小型企业、微型企业”下划线处应依据企业上年度从业人员、营业收入、资产总额等指标，按照《中小企业划型标准规定》（工信部联企业〔2011〕300号）、《金融业企业划型标准规定》（银发〔2015〕309号），判断《中小企业声明函》载明的服务承接商是否属于采购文件所属行业的中型企业/小型企业/微型企业。</w:t>
      </w:r>
    </w:p>
    <w:p w14:paraId="606F7FA3">
      <w:pPr>
        <w:widowControl w:val="0"/>
        <w:ind w:firstLine="420" w:firstLineChars="200"/>
        <w:jc w:val="both"/>
        <w:rPr>
          <w:rFonts w:ascii="黑体" w:hAnsi="宋体" w:eastAsia="黑体"/>
          <w:bCs/>
          <w:color w:val="FF0000"/>
          <w:sz w:val="21"/>
          <w:szCs w:val="21"/>
          <w:lang w:eastAsia="zh-CN"/>
        </w:rPr>
      </w:pPr>
      <w:r>
        <w:rPr>
          <w:rFonts w:hint="eastAsia" w:ascii="黑体" w:hAnsi="宋体" w:eastAsia="黑体"/>
          <w:bCs/>
          <w:color w:val="FF0000"/>
          <w:sz w:val="21"/>
          <w:szCs w:val="21"/>
          <w:lang w:eastAsia="zh-CN"/>
        </w:rPr>
        <w:t>（2）对于已纳入统计部门统计范围的企业，所属行业、从业人员、营业收入、资产总额、规模类型应与统计部门报表保持一致。对于未纳入统计部门统计范围的企业，应对照《国民经济行业分类》确定所属行业，当企业从事两种以上的经济活动时，按照企业从事的主要活动确定所属行业；从业人员、营业收入、资产总额应按照上年度末实际情况填报，并应确保在争议纠纷处理时，可提供相关数据的来源依据。</w:t>
      </w:r>
    </w:p>
    <w:p w14:paraId="32D46D01">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（3）事业单位、社会组织等非企业主体不享受中小企业扶持政策。</w:t>
      </w:r>
    </w:p>
    <w:p w14:paraId="007A640D">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（4）声明是残疾人福利性单位须填写《残疾人福利性单位声明函》的相关内容，具体参照以上《中小企业声明函》填写要求执行。</w:t>
      </w:r>
    </w:p>
    <w:p w14:paraId="4BAF0439">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（5）声明是监狱企业须填写《监狱企业声明函》的三项内容（填写位置的字体已加粗），具体参照以上《中小企业声明函》填写要求执行。</w:t>
      </w:r>
    </w:p>
    <w:p w14:paraId="56359A4B">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5、本项目属于服务类项目，相关服务承接商应当为中小企业或残疾人福利性单位或监狱企业，如包含硬件设备、产品等货物采购的，不再对其中涉及的货物制造商作出要求。</w:t>
      </w:r>
    </w:p>
    <w:p w14:paraId="0696EA36">
      <w:pPr>
        <w:widowControl w:val="0"/>
        <w:ind w:firstLine="420" w:firstLineChars="200"/>
        <w:jc w:val="both"/>
        <w:outlineLvl w:val="3"/>
        <w:rPr>
          <w:rFonts w:ascii="黑体" w:hAnsi="宋体" w:eastAsia="黑体"/>
          <w:bCs/>
          <w:color w:val="FF0000"/>
          <w:sz w:val="21"/>
          <w:szCs w:val="21"/>
          <w:lang w:eastAsia="zh-CN"/>
        </w:rPr>
      </w:pPr>
      <w:r>
        <w:rPr>
          <w:rFonts w:hint="eastAsia" w:ascii="黑体" w:hAnsi="宋体" w:eastAsia="黑体"/>
          <w:bCs/>
          <w:color w:val="FF0000"/>
          <w:sz w:val="21"/>
          <w:szCs w:val="21"/>
          <w:lang w:eastAsia="zh-CN"/>
        </w:rPr>
        <w:t>6、若本项目非专门面向中小企业、残疾人福利性单位或监狱企业，声明函的有效性由评审委员会判定，如评审委员会判定声明函无效，相关供应商不享受价格扣除（但不作投标无效处理）。</w:t>
      </w:r>
    </w:p>
    <w:p w14:paraId="5E8D846F">
      <w:pPr>
        <w:widowControl w:val="0"/>
        <w:ind w:firstLine="420" w:firstLineChars="200"/>
        <w:jc w:val="both"/>
        <w:outlineLvl w:val="3"/>
        <w:rPr>
          <w:rFonts w:hint="eastAsia" w:ascii="黑体" w:hAnsi="宋体" w:eastAsia="黑体"/>
          <w:bCs/>
          <w:color w:val="FF0000"/>
          <w:sz w:val="21"/>
          <w:szCs w:val="21"/>
          <w:lang w:eastAsia="zh-CN"/>
        </w:rPr>
      </w:pPr>
      <w:r>
        <w:rPr>
          <w:rFonts w:hint="eastAsia" w:ascii="黑体" w:hAnsi="宋体" w:eastAsia="黑体"/>
          <w:bCs/>
          <w:color w:val="FF0000"/>
          <w:sz w:val="21"/>
          <w:szCs w:val="21"/>
          <w:lang w:eastAsia="zh-CN"/>
        </w:rPr>
        <w:t>7、采购人、代理机构、评审委员会在依法进行资格审查、评审过程中，发现《中小企业声明函》存在明显笔误或含义不明确的，应按规定要求供应商进行澄清、说明或补正。澄清修改后符合中小企业条件的供应商，可以享受中小企业扶持政策。</w:t>
      </w:r>
    </w:p>
    <w:p w14:paraId="6CBDCA0E">
      <w:pPr>
        <w:widowControl w:val="0"/>
        <w:ind w:firstLine="420" w:firstLineChars="200"/>
        <w:jc w:val="both"/>
        <w:outlineLvl w:val="3"/>
        <w:rPr>
          <w:rFonts w:hint="eastAsia" w:ascii="黑体" w:hAnsi="宋体" w:eastAsia="黑体"/>
          <w:bCs/>
          <w:color w:val="FF0000"/>
          <w:sz w:val="21"/>
          <w:szCs w:val="21"/>
          <w:lang w:eastAsia="zh-CN"/>
        </w:rPr>
      </w:pPr>
      <w:bookmarkStart w:id="108" w:name="_GoBack"/>
      <w:bookmarkEnd w:id="108"/>
    </w:p>
    <w:p w14:paraId="7718B872">
      <w:pPr>
        <w:widowControl w:val="0"/>
        <w:numPr>
          <w:ilvl w:val="0"/>
          <w:numId w:val="1"/>
        </w:numPr>
        <w:ind w:left="0" w:firstLine="0"/>
        <w:jc w:val="center"/>
        <w:outlineLvl w:val="3"/>
        <w:rPr>
          <w:rFonts w:eastAsia="宋体"/>
          <w:kern w:val="2"/>
          <w:sz w:val="21"/>
          <w:lang w:eastAsia="zh-CN"/>
        </w:rPr>
      </w:pPr>
      <w:r>
        <w:rPr>
          <w:rFonts w:hint="eastAsia" w:eastAsia="宋体" w:cs="宋体"/>
          <w:b/>
          <w:kern w:val="2"/>
          <w:lang w:eastAsia="zh-CN" w:bidi="ar"/>
        </w:rPr>
        <w:t>中小企业声明函（服务）</w:t>
      </w:r>
    </w:p>
    <w:p w14:paraId="796406A4">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本公司（联合体）郑重声明，根据《政府采购促进中小企业发展管理办法》（财库﹝2020﹞46号）的规定，本公司（联合体）参加</w:t>
      </w:r>
      <w:r>
        <w:rPr>
          <w:rFonts w:hint="eastAsia" w:ascii="宋体" w:hAnsi="宋体" w:eastAsia="宋体"/>
          <w:b/>
          <w:bCs/>
          <w:i/>
          <w:iCs/>
          <w:color w:val="0000FF"/>
          <w:kern w:val="2"/>
          <w:sz w:val="21"/>
          <w:u w:val="single"/>
          <w:lang w:eastAsia="zh-CN"/>
        </w:rPr>
        <w:t>深圳市急救中心</w:t>
      </w:r>
      <w:r>
        <w:rPr>
          <w:rFonts w:hint="eastAsia" w:ascii="宋体" w:hAnsi="宋体" w:eastAsia="宋体" w:cs="宋体"/>
          <w:b/>
          <w:bCs/>
          <w:i/>
          <w:iCs/>
          <w:kern w:val="2"/>
          <w:sz w:val="21"/>
          <w:szCs w:val="21"/>
          <w:u w:val="single"/>
          <w:lang w:eastAsia="zh-CN" w:bidi="ar"/>
        </w:rPr>
        <w:t>（单位名称）</w:t>
      </w:r>
      <w:r>
        <w:rPr>
          <w:rFonts w:hint="eastAsia" w:ascii="宋体" w:hAnsi="宋体" w:eastAsia="宋体" w:cs="宋体"/>
          <w:kern w:val="2"/>
          <w:sz w:val="21"/>
          <w:szCs w:val="21"/>
          <w:lang w:eastAsia="zh-CN" w:bidi="ar"/>
        </w:rPr>
        <w:t>的</w:t>
      </w:r>
      <w:r>
        <w:rPr>
          <w:rFonts w:hint="eastAsia" w:ascii="宋体" w:hAnsi="宋体" w:eastAsia="宋体" w:cs="宋体"/>
          <w:b/>
          <w:bCs/>
          <w:i/>
          <w:iCs/>
          <w:kern w:val="2"/>
          <w:sz w:val="21"/>
          <w:szCs w:val="21"/>
          <w:u w:val="single"/>
          <w:lang w:eastAsia="zh-CN" w:bidi="ar"/>
        </w:rPr>
        <w:t xml:space="preserve"> </w:t>
      </w:r>
      <w:r>
        <w:rPr>
          <w:rFonts w:hint="eastAsia" w:eastAsia="宋体"/>
          <w:b/>
          <w:bCs/>
          <w:i/>
          <w:iCs/>
          <w:color w:val="0000FF"/>
          <w:kern w:val="2"/>
          <w:sz w:val="21"/>
          <w:szCs w:val="21"/>
          <w:u w:val="single"/>
          <w:lang w:eastAsia="zh-CN"/>
        </w:rPr>
        <w:t>深圳市急救指挥中心管理系统及深圳市医疗优先分级调度系统项目单位政务信息化运维服务（2025年度）项目</w:t>
      </w:r>
      <w:r>
        <w:rPr>
          <w:rFonts w:hint="eastAsia" w:ascii="宋体" w:hAnsi="宋体" w:eastAsia="宋体" w:cs="宋体"/>
          <w:b/>
          <w:bCs/>
          <w:i/>
          <w:iCs/>
          <w:kern w:val="2"/>
          <w:sz w:val="21"/>
          <w:szCs w:val="21"/>
          <w:u w:val="single"/>
          <w:lang w:eastAsia="zh-CN" w:bidi="ar"/>
        </w:rPr>
        <w:t xml:space="preserve">（项目名称）    </w:t>
      </w:r>
      <w:r>
        <w:rPr>
          <w:rFonts w:hint="eastAsia" w:ascii="宋体" w:hAnsi="宋体" w:eastAsia="宋体" w:cs="宋体"/>
          <w:kern w:val="2"/>
          <w:sz w:val="21"/>
          <w:szCs w:val="21"/>
          <w:lang w:eastAsia="zh-CN" w:bidi="ar"/>
        </w:rPr>
        <w:t>采购活动，服务全部由符合政策要求的中小企业承接。相关企业（含联合体中的中小企业、签订分包意向协议的中小企业）的具体情况如下：</w:t>
      </w:r>
    </w:p>
    <w:p w14:paraId="43F192A8">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b/>
          <w:bCs/>
          <w:i/>
          <w:iCs/>
          <w:color w:val="0000FF"/>
          <w:kern w:val="2"/>
          <w:sz w:val="21"/>
          <w:szCs w:val="21"/>
          <w:u w:val="single"/>
          <w:lang w:eastAsia="zh-CN" w:bidi="ar"/>
        </w:rPr>
        <w:t>深圳市急救指挥中心管理系统及深圳市医疗优先分级调度系统项目单位政务信息化运维服务（2025年度）项目</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kern w:val="2"/>
          <w:sz w:val="21"/>
          <w:szCs w:val="21"/>
          <w:lang w:eastAsia="zh-CN" w:bidi="ar"/>
        </w:rPr>
        <w:t>，属于</w:t>
      </w:r>
      <w:r>
        <w:rPr>
          <w:rFonts w:hint="eastAsia" w:ascii="宋体" w:hAnsi="宋体" w:eastAsia="宋体" w:cs="宋体"/>
          <w:b/>
          <w:bCs/>
          <w:i/>
          <w:iCs/>
          <w:color w:val="0000FF"/>
          <w:kern w:val="2"/>
          <w:sz w:val="21"/>
          <w:szCs w:val="21"/>
          <w:u w:val="single"/>
          <w:lang w:eastAsia="zh-CN" w:bidi="ar"/>
        </w:rPr>
        <w:t xml:space="preserve">软件和信息技术服务业 </w:t>
      </w:r>
      <w:r>
        <w:rPr>
          <w:rFonts w:hint="eastAsia" w:ascii="宋体" w:hAnsi="宋体" w:eastAsia="宋体" w:cs="宋体"/>
          <w:b/>
          <w:bCs/>
          <w:i/>
          <w:iCs/>
          <w:kern w:val="2"/>
          <w:sz w:val="21"/>
          <w:szCs w:val="21"/>
          <w:u w:val="single"/>
          <w:lang w:eastAsia="zh-CN" w:bidi="ar"/>
        </w:rPr>
        <w:t xml:space="preserve">（采购文件中明确的所属行业）    </w:t>
      </w:r>
      <w:r>
        <w:rPr>
          <w:rFonts w:hint="eastAsia" w:ascii="宋体" w:hAnsi="宋体" w:eastAsia="宋体" w:cs="宋体"/>
          <w:kern w:val="2"/>
          <w:sz w:val="21"/>
          <w:szCs w:val="21"/>
          <w:lang w:eastAsia="zh-CN" w:bidi="ar"/>
        </w:rPr>
        <w:t>行业；承接企业为</w:t>
      </w:r>
      <w:r>
        <w:rPr>
          <w:rFonts w:hint="eastAsia" w:ascii="宋体" w:hAnsi="宋体" w:eastAsia="宋体" w:cs="宋体"/>
          <w:b/>
          <w:bCs/>
          <w:i/>
          <w:iCs/>
          <w:kern w:val="2"/>
          <w:sz w:val="21"/>
          <w:szCs w:val="21"/>
          <w:u w:val="single"/>
          <w:lang w:eastAsia="zh-CN" w:bidi="ar"/>
        </w:rPr>
        <w:t xml:space="preserve">           （企业名称，要求承接企业本身所属行业应当与招标文件要求的行业相一致）    </w:t>
      </w:r>
      <w:r>
        <w:rPr>
          <w:rFonts w:hint="eastAsia" w:ascii="宋体" w:hAnsi="宋体" w:eastAsia="宋体" w:cs="宋体"/>
          <w:kern w:val="2"/>
          <w:sz w:val="21"/>
          <w:szCs w:val="21"/>
          <w:lang w:eastAsia="zh-CN" w:bidi="ar"/>
        </w:rPr>
        <w:t>，从业人员</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人，营业收入为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万元，资产总额为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万元，属于</w:t>
      </w:r>
      <w:r>
        <w:rPr>
          <w:rFonts w:hint="eastAsia" w:ascii="宋体" w:hAnsi="宋体" w:eastAsia="宋体" w:cs="宋体"/>
          <w:b/>
          <w:bCs/>
          <w:i/>
          <w:iCs/>
          <w:kern w:val="2"/>
          <w:sz w:val="21"/>
          <w:szCs w:val="21"/>
          <w:u w:val="single"/>
          <w:lang w:eastAsia="zh-CN" w:bidi="ar"/>
        </w:rPr>
        <w:t xml:space="preserve">    （中型企业、小型企业、微型企业）    </w:t>
      </w:r>
      <w:r>
        <w:rPr>
          <w:rFonts w:hint="eastAsia" w:ascii="宋体" w:hAnsi="宋体" w:eastAsia="宋体" w:cs="宋体"/>
          <w:kern w:val="2"/>
          <w:sz w:val="21"/>
          <w:szCs w:val="21"/>
          <w:lang w:eastAsia="zh-CN" w:bidi="ar"/>
        </w:rPr>
        <w:t>；</w:t>
      </w:r>
    </w:p>
    <w:p w14:paraId="12BF9810">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r>
        <w:rPr>
          <w:rFonts w:hint="eastAsia" w:ascii="宋体" w:hAnsi="宋体" w:eastAsia="宋体" w:cs="宋体"/>
          <w:b/>
          <w:bCs/>
          <w:i/>
          <w:iCs/>
          <w:kern w:val="2"/>
          <w:sz w:val="21"/>
          <w:szCs w:val="21"/>
          <w:u w:val="single"/>
          <w:lang w:eastAsia="zh-CN" w:bidi="ar"/>
        </w:rPr>
        <w:t xml:space="preserve">    （标的名称）     </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 xml:space="preserve">        （采购文件中明确的所属行业）    </w:t>
      </w:r>
      <w:r>
        <w:rPr>
          <w:rFonts w:hint="eastAsia" w:ascii="宋体" w:hAnsi="宋体" w:eastAsia="宋体" w:cs="宋体"/>
          <w:kern w:val="2"/>
          <w:sz w:val="21"/>
          <w:szCs w:val="21"/>
          <w:lang w:eastAsia="zh-CN" w:bidi="ar"/>
        </w:rPr>
        <w:t>行业；承接企业为</w:t>
      </w:r>
      <w:r>
        <w:rPr>
          <w:rFonts w:hint="eastAsia" w:ascii="宋体" w:hAnsi="宋体" w:eastAsia="宋体" w:cs="宋体"/>
          <w:b/>
          <w:bCs/>
          <w:i/>
          <w:iCs/>
          <w:kern w:val="2"/>
          <w:sz w:val="21"/>
          <w:szCs w:val="21"/>
          <w:u w:val="single"/>
          <w:lang w:eastAsia="zh-CN" w:bidi="ar"/>
        </w:rPr>
        <w:t xml:space="preserve">    （企业名称，要求承接企业本身所属行业应当与招标文件要求的行业相一致）    </w:t>
      </w:r>
      <w:r>
        <w:rPr>
          <w:rFonts w:hint="eastAsia" w:ascii="宋体" w:hAnsi="宋体" w:eastAsia="宋体" w:cs="宋体"/>
          <w:kern w:val="2"/>
          <w:sz w:val="21"/>
          <w:szCs w:val="21"/>
          <w:lang w:eastAsia="zh-CN" w:bidi="ar"/>
        </w:rPr>
        <w:t>，从业人员</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人，营业收入为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万元，资产总额为</w:t>
      </w:r>
      <w:r>
        <w:rPr>
          <w:rFonts w:hint="eastAsia" w:ascii="宋体" w:hAnsi="宋体" w:eastAsia="宋体" w:cs="宋体"/>
          <w:b/>
          <w:bCs/>
          <w:i/>
          <w:iCs/>
          <w:kern w:val="2"/>
          <w:sz w:val="21"/>
          <w:szCs w:val="21"/>
          <w:u w:val="single"/>
          <w:lang w:eastAsia="zh-CN" w:bidi="ar"/>
        </w:rPr>
        <w:t xml:space="preserve">        </w:t>
      </w:r>
      <w:r>
        <w:rPr>
          <w:rFonts w:hint="eastAsia" w:ascii="宋体" w:hAnsi="宋体" w:eastAsia="宋体" w:cs="宋体"/>
          <w:kern w:val="2"/>
          <w:sz w:val="21"/>
          <w:szCs w:val="21"/>
          <w:lang w:eastAsia="zh-CN" w:bidi="ar"/>
        </w:rPr>
        <w:t>万元，属于</w:t>
      </w:r>
      <w:r>
        <w:rPr>
          <w:rFonts w:hint="eastAsia" w:ascii="宋体" w:hAnsi="宋体" w:eastAsia="宋体" w:cs="宋体"/>
          <w:b/>
          <w:bCs/>
          <w:i/>
          <w:iCs/>
          <w:kern w:val="2"/>
          <w:sz w:val="21"/>
          <w:szCs w:val="21"/>
          <w:u w:val="single"/>
          <w:lang w:eastAsia="zh-CN" w:bidi="ar"/>
        </w:rPr>
        <w:t xml:space="preserve">    （中型企业、小型企业、微型企业）    </w:t>
      </w:r>
      <w:r>
        <w:rPr>
          <w:rFonts w:hint="eastAsia" w:ascii="宋体" w:hAnsi="宋体" w:eastAsia="宋体" w:cs="宋体"/>
          <w:kern w:val="2"/>
          <w:sz w:val="21"/>
          <w:szCs w:val="21"/>
          <w:lang w:eastAsia="zh-CN" w:bidi="ar"/>
        </w:rPr>
        <w:t>；</w:t>
      </w:r>
    </w:p>
    <w:p w14:paraId="4E3D797A">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w:t>
      </w:r>
    </w:p>
    <w:p w14:paraId="51C482DE">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以上企业，不属于大企业的分支机构，不存在控股股东为大企业的情形，也不存在与大企业的负责人为同一人的情形。</w:t>
      </w:r>
    </w:p>
    <w:p w14:paraId="737810B4">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本企业对上述声明内容的真实性负责。如有虚假，将依法承担相应责任。</w:t>
      </w:r>
    </w:p>
    <w:p w14:paraId="3764CD75">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both"/>
        <w:textAlignment w:val="auto"/>
        <w:outlineLvl w:val="3"/>
        <w:rPr>
          <w:rFonts w:ascii="宋体" w:hAnsi="宋体" w:eastAsia="宋体" w:cs="宋体"/>
          <w:kern w:val="2"/>
          <w:sz w:val="21"/>
          <w:szCs w:val="21"/>
          <w:lang w:eastAsia="zh-CN" w:bidi="ar"/>
        </w:rPr>
      </w:pPr>
      <w:bookmarkStart w:id="48" w:name="_Hlk73562275"/>
      <w:r>
        <w:rPr>
          <w:rFonts w:hint="eastAsia" w:ascii="宋体" w:hAnsi="宋体" w:eastAsia="宋体" w:cs="宋体"/>
          <w:kern w:val="2"/>
          <w:sz w:val="21"/>
          <w:szCs w:val="21"/>
          <w:lang w:eastAsia="zh-CN" w:bidi="ar"/>
        </w:rPr>
        <w:t>本投标人已知悉《政府采购促进中小企业发展管理办法》（财库〔2020〕 46 号）、《中小企业划型标准规定》（工信部联企〔2011〕 300 号）、《统计上大中小微型企业划分办法（2017）》等规定，承诺提供的声明函内容是真实的，并知悉根据《政府采购促进中小企业发展管理办法》（财库〔2020〕46 号）第二十条规定，投标人按照本办法规定提供声明函内容不实的，属于提供虚假材料谋取中标，依照《政府采购法》等政府采购有关法律法规规定追究相应责任。</w:t>
      </w:r>
      <w:bookmarkEnd w:id="48"/>
    </w:p>
    <w:p w14:paraId="1D68EF3E">
      <w:pPr>
        <w:widowControl w:val="0"/>
        <w:jc w:val="both"/>
        <w:rPr>
          <w:rFonts w:eastAsia="宋体"/>
          <w:kern w:val="2"/>
          <w:sz w:val="21"/>
          <w:lang w:eastAsia="zh-CN"/>
        </w:rPr>
      </w:pPr>
    </w:p>
    <w:p w14:paraId="191E193C">
      <w:pPr>
        <w:widowControl w:val="0"/>
        <w:jc w:val="both"/>
        <w:rPr>
          <w:rFonts w:eastAsia="宋体"/>
          <w:kern w:val="2"/>
          <w:sz w:val="21"/>
          <w:lang w:eastAsia="zh-CN"/>
        </w:rPr>
      </w:pPr>
    </w:p>
    <w:p w14:paraId="20C6CCCD">
      <w:pPr>
        <w:widowControl w:val="0"/>
        <w:jc w:val="both"/>
        <w:rPr>
          <w:rFonts w:eastAsia="宋体"/>
          <w:kern w:val="2"/>
          <w:sz w:val="21"/>
          <w:lang w:eastAsia="zh-CN"/>
        </w:rPr>
      </w:pPr>
    </w:p>
    <w:p w14:paraId="7934DBC8">
      <w:pPr>
        <w:widowControl w:val="0"/>
        <w:jc w:val="center"/>
        <w:outlineLvl w:val="3"/>
        <w:rPr>
          <w:rFonts w:eastAsia="宋体"/>
          <w:b/>
          <w:kern w:val="2"/>
          <w:lang w:eastAsia="zh-CN"/>
        </w:rPr>
      </w:pPr>
      <w:r>
        <w:rPr>
          <w:rFonts w:eastAsia="宋体"/>
          <w:b/>
          <w:kern w:val="2"/>
          <w:lang w:eastAsia="zh-CN" w:bidi="ar"/>
        </w:rPr>
        <w:t>2</w:t>
      </w:r>
      <w:r>
        <w:rPr>
          <w:rFonts w:hint="eastAsia" w:eastAsia="宋体" w:cs="宋体"/>
          <w:b/>
          <w:kern w:val="2"/>
          <w:lang w:eastAsia="zh-CN" w:bidi="ar"/>
        </w:rPr>
        <w:t>、残疾人福利性单位声明函（服务类）</w:t>
      </w:r>
    </w:p>
    <w:p w14:paraId="722F1031">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b/>
          <w:bCs/>
          <w:i/>
          <w:iCs/>
          <w:color w:val="0000FF"/>
          <w:kern w:val="2"/>
          <w:sz w:val="21"/>
          <w:u w:val="single"/>
          <w:lang w:eastAsia="zh-CN"/>
        </w:rPr>
        <w:t>深圳市急救中心</w:t>
      </w:r>
      <w:r>
        <w:rPr>
          <w:rFonts w:hint="eastAsia" w:ascii="宋体" w:hAnsi="宋体" w:eastAsia="宋体" w:cs="宋体"/>
          <w:b/>
          <w:bCs/>
          <w:i/>
          <w:iCs/>
          <w:kern w:val="2"/>
          <w:sz w:val="21"/>
          <w:szCs w:val="21"/>
          <w:u w:val="single"/>
          <w:lang w:eastAsia="zh-CN" w:bidi="ar"/>
        </w:rPr>
        <w:t xml:space="preserve">（单位名称）    </w:t>
      </w:r>
      <w:r>
        <w:rPr>
          <w:rFonts w:hint="eastAsia" w:ascii="宋体" w:hAnsi="宋体" w:eastAsia="宋体" w:cs="宋体"/>
          <w:kern w:val="2"/>
          <w:sz w:val="21"/>
          <w:szCs w:val="21"/>
          <w:lang w:eastAsia="zh-CN" w:bidi="ar"/>
        </w:rPr>
        <w:t>单位的</w:t>
      </w:r>
      <w:r>
        <w:rPr>
          <w:rFonts w:hint="eastAsia" w:ascii="宋体" w:hAnsi="宋体" w:eastAsia="宋体" w:cs="宋体"/>
          <w:b/>
          <w:bCs/>
          <w:i/>
          <w:iCs/>
          <w:kern w:val="2"/>
          <w:sz w:val="21"/>
          <w:szCs w:val="21"/>
          <w:u w:val="single"/>
          <w:lang w:eastAsia="zh-CN" w:bidi="ar"/>
        </w:rPr>
        <w:t xml:space="preserve">    （项目名称）    </w:t>
      </w:r>
      <w:r>
        <w:rPr>
          <w:rFonts w:hint="eastAsia" w:ascii="宋体" w:hAnsi="宋体" w:eastAsia="宋体" w:cs="宋体"/>
          <w:kern w:val="2"/>
          <w:sz w:val="21"/>
          <w:szCs w:val="21"/>
          <w:lang w:eastAsia="zh-CN" w:bidi="ar"/>
        </w:rPr>
        <w:t>项目采购活动由本单位提供服务。</w:t>
      </w:r>
    </w:p>
    <w:p w14:paraId="3E7D4FCA">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本单位对上述声明的真实性负责。如有虚假，将依法承担相应责任。</w:t>
      </w:r>
    </w:p>
    <w:p w14:paraId="412CA196">
      <w:pPr>
        <w:widowControl w:val="0"/>
        <w:spacing w:line="360" w:lineRule="auto"/>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本投标人已知悉《财政部民政部中国残疾人联合会关于促进残疾人就业政府采购政策的通知》（财库〔2017〕141号）的规定，承诺提供的声明函内容是真实的，如提供声明函内容不实，则依法追究相关法律责任。</w:t>
      </w:r>
    </w:p>
    <w:p w14:paraId="163CEDD1">
      <w:pPr>
        <w:widowControl w:val="0"/>
        <w:ind w:firstLine="420" w:firstLineChars="200"/>
        <w:jc w:val="both"/>
        <w:rPr>
          <w:rFonts w:ascii="宋体" w:hAnsi="宋体" w:eastAsia="宋体" w:cs="宋体"/>
          <w:kern w:val="2"/>
          <w:sz w:val="21"/>
          <w:szCs w:val="21"/>
          <w:lang w:eastAsia="zh-CN"/>
        </w:rPr>
      </w:pPr>
    </w:p>
    <w:p w14:paraId="60F6CE02">
      <w:pPr>
        <w:widowControl w:val="0"/>
        <w:ind w:firstLine="420" w:firstLineChars="200"/>
        <w:jc w:val="both"/>
        <w:rPr>
          <w:rFonts w:ascii="宋体" w:hAnsi="宋体" w:eastAsia="宋体" w:cs="宋体"/>
          <w:kern w:val="2"/>
          <w:sz w:val="21"/>
          <w:szCs w:val="21"/>
          <w:lang w:eastAsia="zh-CN"/>
        </w:rPr>
      </w:pPr>
    </w:p>
    <w:p w14:paraId="653A25C1">
      <w:pPr>
        <w:widowControl w:val="0"/>
        <w:ind w:firstLine="420" w:firstLineChars="200"/>
        <w:jc w:val="both"/>
        <w:rPr>
          <w:rFonts w:ascii="宋体" w:hAnsi="宋体" w:eastAsia="宋体" w:cs="宋体"/>
          <w:kern w:val="2"/>
          <w:sz w:val="21"/>
          <w:szCs w:val="21"/>
          <w:lang w:eastAsia="zh-CN"/>
        </w:rPr>
      </w:pPr>
    </w:p>
    <w:p w14:paraId="108B1D63">
      <w:pPr>
        <w:widowControl w:val="0"/>
        <w:jc w:val="both"/>
        <w:rPr>
          <w:rFonts w:ascii="宋体" w:hAnsi="宋体" w:eastAsia="宋体" w:cs="宋体"/>
          <w:kern w:val="2"/>
          <w:sz w:val="21"/>
          <w:szCs w:val="21"/>
          <w:lang w:eastAsia="zh-CN"/>
        </w:rPr>
      </w:pPr>
    </w:p>
    <w:p w14:paraId="68F103ED">
      <w:pPr>
        <w:widowControl w:val="0"/>
        <w:jc w:val="center"/>
        <w:outlineLvl w:val="3"/>
        <w:rPr>
          <w:rFonts w:eastAsia="宋体"/>
          <w:b/>
          <w:kern w:val="2"/>
          <w:lang w:eastAsia="zh-CN"/>
        </w:rPr>
      </w:pPr>
      <w:r>
        <w:rPr>
          <w:rFonts w:eastAsia="宋体"/>
          <w:b/>
          <w:kern w:val="2"/>
          <w:lang w:eastAsia="zh-CN" w:bidi="ar"/>
        </w:rPr>
        <w:t>3</w:t>
      </w:r>
      <w:r>
        <w:rPr>
          <w:rFonts w:hint="eastAsia" w:eastAsia="宋体" w:cs="宋体"/>
          <w:b/>
          <w:kern w:val="2"/>
          <w:lang w:eastAsia="zh-CN" w:bidi="ar"/>
        </w:rPr>
        <w:t>、监狱企业声明函【服务类，监狱企业如需享受优惠政策，还须另行提供省级以上监狱管理局、戒毒管理局（含新疆生产建设兵团）出具的监狱企业证明文件】</w:t>
      </w:r>
    </w:p>
    <w:p w14:paraId="27E92DDE">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本投标人郑重声明，根据《财政部司法部关于政府采购支持监狱企业发展有关问题的通知》（财库〔2014〕68号）的规定，本投标人</w:t>
      </w:r>
      <w:r>
        <w:rPr>
          <w:rFonts w:hint="eastAsia" w:ascii="宋体" w:hAnsi="宋体" w:eastAsia="宋体"/>
          <w:kern w:val="2"/>
          <w:sz w:val="21"/>
          <w:szCs w:val="21"/>
          <w:lang w:eastAsia="zh-CN" w:bidi="ar"/>
        </w:rPr>
        <w:t>参加</w:t>
      </w:r>
      <w:r>
        <w:rPr>
          <w:rFonts w:hint="eastAsia" w:ascii="宋体" w:hAnsi="宋体" w:eastAsia="宋体"/>
          <w:b/>
          <w:bCs/>
          <w:i/>
          <w:iCs/>
          <w:color w:val="0000FF"/>
          <w:kern w:val="2"/>
          <w:sz w:val="21"/>
          <w:u w:val="single"/>
          <w:lang w:eastAsia="zh-CN"/>
        </w:rPr>
        <w:t>深圳市急救中心</w:t>
      </w:r>
      <w:r>
        <w:rPr>
          <w:rFonts w:hint="eastAsia" w:ascii="宋体" w:hAnsi="宋体" w:eastAsia="宋体" w:cs="宋体"/>
          <w:b/>
          <w:bCs/>
          <w:kern w:val="2"/>
          <w:sz w:val="21"/>
          <w:szCs w:val="21"/>
          <w:u w:val="single"/>
          <w:lang w:eastAsia="zh-CN" w:bidi="ar"/>
        </w:rPr>
        <w:t>（采购人名称）</w:t>
      </w:r>
      <w:r>
        <w:rPr>
          <w:rFonts w:hint="eastAsia" w:ascii="宋体" w:hAnsi="宋体" w:eastAsia="宋体" w:cs="宋体"/>
          <w:kern w:val="2"/>
          <w:sz w:val="21"/>
          <w:szCs w:val="21"/>
          <w:lang w:eastAsia="zh-CN" w:bidi="ar"/>
        </w:rPr>
        <w:t>的</w:t>
      </w:r>
      <w:r>
        <w:rPr>
          <w:rFonts w:hint="eastAsia" w:ascii="宋体" w:hAnsi="宋体" w:eastAsia="宋体" w:cs="宋体"/>
          <w:b/>
          <w:bCs/>
          <w:kern w:val="2"/>
          <w:sz w:val="21"/>
          <w:szCs w:val="21"/>
          <w:u w:val="single"/>
          <w:lang w:eastAsia="zh-CN" w:bidi="ar"/>
        </w:rPr>
        <w:t>（项目名称）</w:t>
      </w:r>
      <w:r>
        <w:rPr>
          <w:rFonts w:hint="eastAsia" w:ascii="宋体" w:hAnsi="宋体" w:eastAsia="宋体" w:cs="宋体"/>
          <w:kern w:val="2"/>
          <w:sz w:val="21"/>
          <w:szCs w:val="21"/>
          <w:lang w:eastAsia="zh-CN" w:bidi="ar"/>
        </w:rPr>
        <w:t>采购活动，服务全部由符合政策要求的监狱企业承接。相关监狱企业的具体情况如下：</w:t>
      </w:r>
    </w:p>
    <w:p w14:paraId="7851FA60">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r>
        <w:rPr>
          <w:rFonts w:hint="eastAsia" w:ascii="宋体" w:hAnsi="宋体" w:eastAsia="宋体" w:cs="宋体"/>
          <w:b/>
          <w:bCs/>
          <w:kern w:val="2"/>
          <w:sz w:val="21"/>
          <w:szCs w:val="21"/>
          <w:u w:val="single"/>
          <w:lang w:eastAsia="zh-CN" w:bidi="ar"/>
        </w:rPr>
        <w:t xml:space="preserve"> </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b/>
          <w:bCs/>
          <w:kern w:val="2"/>
          <w:sz w:val="21"/>
          <w:szCs w:val="21"/>
          <w:u w:val="single"/>
          <w:lang w:eastAsia="zh-CN" w:bidi="ar"/>
        </w:rPr>
        <w:t>）</w:t>
      </w:r>
      <w:r>
        <w:rPr>
          <w:rFonts w:hint="eastAsia" w:ascii="宋体" w:hAnsi="宋体" w:eastAsia="宋体" w:cs="宋体"/>
          <w:kern w:val="2"/>
          <w:sz w:val="21"/>
          <w:szCs w:val="21"/>
          <w:lang w:eastAsia="zh-CN" w:bidi="ar"/>
        </w:rPr>
        <w:t xml:space="preserve"> ，承接单位为</w:t>
      </w:r>
      <w:r>
        <w:rPr>
          <w:rFonts w:hint="eastAsia" w:ascii="宋体" w:hAnsi="宋体" w:eastAsia="宋体" w:cs="宋体"/>
          <w:b/>
          <w:bCs/>
          <w:i/>
          <w:iCs/>
          <w:kern w:val="2"/>
          <w:sz w:val="21"/>
          <w:szCs w:val="21"/>
          <w:u w:val="single"/>
          <w:lang w:eastAsia="zh-CN" w:bidi="ar"/>
        </w:rPr>
        <w:t>（企业名称）</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监狱企业</w:t>
      </w:r>
      <w:r>
        <w:rPr>
          <w:rFonts w:hint="eastAsia" w:ascii="宋体" w:hAnsi="宋体" w:eastAsia="宋体" w:cs="宋体"/>
          <w:kern w:val="2"/>
          <w:sz w:val="21"/>
          <w:szCs w:val="21"/>
          <w:lang w:eastAsia="zh-CN" w:bidi="ar"/>
        </w:rPr>
        <w:t>；</w:t>
      </w:r>
    </w:p>
    <w:p w14:paraId="3A9AE15E">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r>
        <w:rPr>
          <w:rFonts w:hint="eastAsia" w:ascii="宋体" w:hAnsi="宋体" w:eastAsia="宋体" w:cs="宋体"/>
          <w:b/>
          <w:bCs/>
          <w:kern w:val="2"/>
          <w:sz w:val="21"/>
          <w:szCs w:val="21"/>
          <w:u w:val="single"/>
          <w:lang w:eastAsia="zh-CN" w:bidi="ar"/>
        </w:rPr>
        <w:t xml:space="preserve"> </w:t>
      </w:r>
      <w:r>
        <w:rPr>
          <w:rFonts w:hint="eastAsia" w:ascii="宋体" w:hAnsi="宋体" w:eastAsia="宋体" w:cs="宋体"/>
          <w:b/>
          <w:bCs/>
          <w:i/>
          <w:iCs/>
          <w:kern w:val="2"/>
          <w:sz w:val="21"/>
          <w:szCs w:val="21"/>
          <w:u w:val="single"/>
          <w:lang w:eastAsia="zh-CN" w:bidi="ar"/>
        </w:rPr>
        <w:t>（标的名称）</w:t>
      </w:r>
      <w:r>
        <w:rPr>
          <w:rFonts w:hint="eastAsia" w:ascii="宋体" w:hAnsi="宋体" w:eastAsia="宋体" w:cs="宋体"/>
          <w:i/>
          <w:iCs/>
          <w:kern w:val="2"/>
          <w:sz w:val="21"/>
          <w:szCs w:val="21"/>
          <w:lang w:eastAsia="zh-CN" w:bidi="ar"/>
        </w:rPr>
        <w:t xml:space="preserve"> </w:t>
      </w:r>
      <w:r>
        <w:rPr>
          <w:rFonts w:hint="eastAsia" w:ascii="宋体" w:hAnsi="宋体" w:eastAsia="宋体" w:cs="宋体"/>
          <w:kern w:val="2"/>
          <w:sz w:val="21"/>
          <w:szCs w:val="21"/>
          <w:lang w:eastAsia="zh-CN" w:bidi="ar"/>
        </w:rPr>
        <w:t>，承接单位为</w:t>
      </w:r>
      <w:r>
        <w:rPr>
          <w:rFonts w:hint="eastAsia" w:ascii="宋体" w:hAnsi="宋体" w:eastAsia="宋体" w:cs="宋体"/>
          <w:b/>
          <w:bCs/>
          <w:i/>
          <w:iCs/>
          <w:kern w:val="2"/>
          <w:sz w:val="21"/>
          <w:szCs w:val="21"/>
          <w:u w:val="single"/>
          <w:lang w:eastAsia="zh-CN" w:bidi="ar"/>
        </w:rPr>
        <w:t>（企业名称）</w:t>
      </w:r>
      <w:r>
        <w:rPr>
          <w:rFonts w:hint="eastAsia" w:ascii="宋体" w:hAnsi="宋体" w:eastAsia="宋体" w:cs="宋体"/>
          <w:kern w:val="2"/>
          <w:sz w:val="21"/>
          <w:szCs w:val="21"/>
          <w:lang w:eastAsia="zh-CN" w:bidi="ar"/>
        </w:rPr>
        <w:t>，属于</w:t>
      </w:r>
      <w:r>
        <w:rPr>
          <w:rFonts w:hint="eastAsia" w:ascii="宋体" w:hAnsi="宋体" w:eastAsia="宋体" w:cs="宋体"/>
          <w:b/>
          <w:bCs/>
          <w:i/>
          <w:iCs/>
          <w:kern w:val="2"/>
          <w:sz w:val="21"/>
          <w:szCs w:val="21"/>
          <w:u w:val="single"/>
          <w:lang w:eastAsia="zh-CN" w:bidi="ar"/>
        </w:rPr>
        <w:t>监狱企业</w:t>
      </w:r>
      <w:r>
        <w:rPr>
          <w:rFonts w:hint="eastAsia" w:ascii="宋体" w:hAnsi="宋体" w:eastAsia="宋体" w:cs="宋体"/>
          <w:kern w:val="2"/>
          <w:sz w:val="21"/>
          <w:szCs w:val="21"/>
          <w:lang w:eastAsia="zh-CN" w:bidi="ar"/>
        </w:rPr>
        <w:t>。</w:t>
      </w:r>
    </w:p>
    <w:p w14:paraId="2EEC4B60">
      <w:pPr>
        <w:widowControl w:val="0"/>
        <w:ind w:firstLine="420" w:firstLineChars="200"/>
        <w:jc w:val="both"/>
        <w:outlineLvl w:val="3"/>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 xml:space="preserve">…… </w:t>
      </w:r>
    </w:p>
    <w:p w14:paraId="6386E99C">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kern w:val="2"/>
          <w:sz w:val="21"/>
          <w:szCs w:val="21"/>
          <w:lang w:eastAsia="zh-CN" w:bidi="ar"/>
        </w:rPr>
        <w:t>本投标人</w:t>
      </w:r>
      <w:r>
        <w:rPr>
          <w:rFonts w:hint="eastAsia" w:ascii="宋体" w:hAnsi="宋体" w:eastAsia="宋体" w:cs="宋体"/>
          <w:kern w:val="2"/>
          <w:sz w:val="21"/>
          <w:szCs w:val="21"/>
          <w:lang w:eastAsia="zh-CN" w:bidi="ar"/>
        </w:rPr>
        <w:t>对上述声明内容的真实性负责。如有虚假，将依法承担相应责任。</w:t>
      </w:r>
    </w:p>
    <w:p w14:paraId="4291C292">
      <w:pPr>
        <w:widowControl w:val="0"/>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附：省级以上监狱管理局、戒毒管理局（含新疆生产建设兵团）出具的监狱企业证明文件。</w:t>
      </w:r>
    </w:p>
    <w:p w14:paraId="4AB47314">
      <w:pPr>
        <w:widowControl w:val="0"/>
        <w:jc w:val="both"/>
        <w:rPr>
          <w:rFonts w:ascii="黑体" w:eastAsia="黑体"/>
          <w:kern w:val="2"/>
          <w:lang w:eastAsia="zh-CN"/>
        </w:rPr>
      </w:pPr>
      <w:r>
        <w:rPr>
          <w:rFonts w:hint="eastAsia" w:ascii="黑体" w:eastAsia="黑体"/>
          <w:kern w:val="2"/>
          <w:lang w:eastAsia="zh-CN"/>
        </w:rPr>
        <w:br w:type="page"/>
      </w:r>
    </w:p>
    <w:p w14:paraId="26B57AC3">
      <w:pPr>
        <w:widowControl w:val="0"/>
        <w:spacing w:before="260" w:after="260"/>
        <w:jc w:val="center"/>
        <w:outlineLvl w:val="2"/>
        <w:rPr>
          <w:rFonts w:ascii="黑体" w:hAnsi="宋体" w:eastAsia="黑体"/>
          <w:kern w:val="2"/>
          <w:lang w:eastAsia="zh-CN"/>
        </w:rPr>
      </w:pPr>
      <w:r>
        <w:rPr>
          <w:rFonts w:hint="eastAsia" w:ascii="黑体" w:hAnsi="宋体" w:eastAsia="黑体"/>
          <w:kern w:val="2"/>
          <w:lang w:eastAsia="zh-CN"/>
        </w:rPr>
        <w:t>四、项目详细报价</w:t>
      </w:r>
    </w:p>
    <w:p w14:paraId="1C379BC6">
      <w:pPr>
        <w:widowControl w:val="0"/>
        <w:tabs>
          <w:tab w:val="left" w:pos="720"/>
        </w:tabs>
        <w:jc w:val="center"/>
        <w:rPr>
          <w:rFonts w:hAnsi="宋体" w:eastAsia="宋体"/>
          <w:b/>
          <w:bCs/>
          <w:color w:val="FF0000"/>
          <w:kern w:val="2"/>
          <w:lang w:eastAsia="zh-CN"/>
        </w:rPr>
      </w:pPr>
      <w:r>
        <w:rPr>
          <w:rFonts w:hint="eastAsia" w:eastAsia="宋体"/>
          <w:b/>
          <w:kern w:val="2"/>
          <w:lang w:eastAsia="zh-CN"/>
        </w:rPr>
        <w:t>（一）分项报价表</w:t>
      </w:r>
    </w:p>
    <w:tbl>
      <w:tblPr>
        <w:tblStyle w:val="6"/>
        <w:tblW w:w="5000" w:type="pct"/>
        <w:jc w:val="center"/>
        <w:tblLayout w:type="fixed"/>
        <w:tblCellMar>
          <w:top w:w="0" w:type="dxa"/>
          <w:left w:w="108" w:type="dxa"/>
          <w:bottom w:w="0" w:type="dxa"/>
          <w:right w:w="108" w:type="dxa"/>
        </w:tblCellMar>
      </w:tblPr>
      <w:tblGrid>
        <w:gridCol w:w="793"/>
        <w:gridCol w:w="4281"/>
        <w:gridCol w:w="1796"/>
        <w:gridCol w:w="2134"/>
      </w:tblGrid>
      <w:tr w14:paraId="2EE72200">
        <w:tblPrEx>
          <w:tblCellMar>
            <w:top w:w="0" w:type="dxa"/>
            <w:left w:w="108" w:type="dxa"/>
            <w:bottom w:w="0" w:type="dxa"/>
            <w:right w:w="108" w:type="dxa"/>
          </w:tblCellMar>
        </w:tblPrEx>
        <w:trPr>
          <w:trHeight w:val="285" w:hRule="atLeast"/>
          <w:jc w:val="center"/>
        </w:trPr>
        <w:tc>
          <w:tcPr>
            <w:tcW w:w="771" w:type="dxa"/>
            <w:tcBorders>
              <w:top w:val="single" w:color="auto" w:sz="8" w:space="0"/>
              <w:left w:val="single" w:color="auto" w:sz="8" w:space="0"/>
              <w:bottom w:val="single" w:color="auto" w:sz="4" w:space="0"/>
              <w:right w:val="single" w:color="auto" w:sz="4" w:space="0"/>
            </w:tcBorders>
            <w:shd w:val="clear" w:color="000000" w:fill="E7E6E6"/>
            <w:vAlign w:val="center"/>
          </w:tcPr>
          <w:p w14:paraId="44AF9775">
            <w:pPr>
              <w:widowControl/>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序号</w:t>
            </w:r>
          </w:p>
        </w:tc>
        <w:tc>
          <w:tcPr>
            <w:tcW w:w="4168" w:type="dxa"/>
            <w:tcBorders>
              <w:top w:val="single" w:color="auto" w:sz="8" w:space="0"/>
              <w:left w:val="nil"/>
              <w:bottom w:val="single" w:color="auto" w:sz="4" w:space="0"/>
              <w:right w:val="single" w:color="auto" w:sz="4" w:space="0"/>
            </w:tcBorders>
            <w:shd w:val="clear" w:color="000000" w:fill="E7E6E6"/>
            <w:vAlign w:val="center"/>
          </w:tcPr>
          <w:p w14:paraId="07CA13D8">
            <w:pPr>
              <w:widowControl/>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需求名称</w:t>
            </w:r>
          </w:p>
        </w:tc>
        <w:tc>
          <w:tcPr>
            <w:tcW w:w="1749" w:type="dxa"/>
            <w:tcBorders>
              <w:top w:val="single" w:color="auto" w:sz="8" w:space="0"/>
              <w:left w:val="nil"/>
              <w:bottom w:val="single" w:color="auto" w:sz="4" w:space="0"/>
              <w:right w:val="single" w:color="auto" w:sz="4" w:space="0"/>
            </w:tcBorders>
            <w:shd w:val="clear" w:color="000000" w:fill="E7E6E6"/>
            <w:vAlign w:val="center"/>
          </w:tcPr>
          <w:p w14:paraId="06E363DD">
            <w:pPr>
              <w:widowControl/>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报价（元）</w:t>
            </w:r>
          </w:p>
        </w:tc>
        <w:tc>
          <w:tcPr>
            <w:tcW w:w="2078" w:type="dxa"/>
            <w:tcBorders>
              <w:top w:val="single" w:color="auto" w:sz="8" w:space="0"/>
              <w:left w:val="nil"/>
              <w:bottom w:val="single" w:color="auto" w:sz="4" w:space="0"/>
              <w:right w:val="single" w:color="auto" w:sz="8" w:space="0"/>
            </w:tcBorders>
            <w:shd w:val="clear" w:color="000000" w:fill="E7E6E6"/>
            <w:vAlign w:val="center"/>
          </w:tcPr>
          <w:p w14:paraId="11D2F482">
            <w:pPr>
              <w:widowControl/>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说明</w:t>
            </w:r>
          </w:p>
        </w:tc>
      </w:tr>
      <w:tr w14:paraId="6F065E92">
        <w:tblPrEx>
          <w:tblCellMar>
            <w:top w:w="0" w:type="dxa"/>
            <w:left w:w="108" w:type="dxa"/>
            <w:bottom w:w="0" w:type="dxa"/>
            <w:right w:w="108" w:type="dxa"/>
          </w:tblCellMar>
        </w:tblPrEx>
        <w:trPr>
          <w:trHeight w:val="743" w:hRule="atLeast"/>
          <w:jc w:val="center"/>
        </w:trPr>
        <w:tc>
          <w:tcPr>
            <w:tcW w:w="771" w:type="dxa"/>
            <w:tcBorders>
              <w:top w:val="single" w:color="auto" w:sz="4" w:space="0"/>
              <w:left w:val="single" w:color="auto" w:sz="8" w:space="0"/>
              <w:bottom w:val="single" w:color="auto" w:sz="4" w:space="0"/>
              <w:right w:val="single" w:color="auto" w:sz="4" w:space="0"/>
            </w:tcBorders>
            <w:shd w:val="clear" w:color="auto" w:fill="auto"/>
            <w:vAlign w:val="center"/>
          </w:tcPr>
          <w:p w14:paraId="5F06DC44">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一</w:t>
            </w:r>
          </w:p>
        </w:tc>
        <w:tc>
          <w:tcPr>
            <w:tcW w:w="4168" w:type="dxa"/>
            <w:tcBorders>
              <w:top w:val="single" w:color="auto" w:sz="4" w:space="0"/>
              <w:left w:val="nil"/>
              <w:bottom w:val="single" w:color="auto" w:sz="4" w:space="0"/>
              <w:right w:val="single" w:color="auto" w:sz="4" w:space="0"/>
            </w:tcBorders>
            <w:shd w:val="clear" w:color="auto" w:fill="auto"/>
            <w:vAlign w:val="center"/>
          </w:tcPr>
          <w:p w14:paraId="354DB682">
            <w:pPr>
              <w:widowControl/>
              <w:jc w:val="left"/>
              <w:rPr>
                <w:rFonts w:ascii="宋体" w:hAnsi="宋体" w:eastAsia="宋体" w:cs="宋体"/>
                <w:sz w:val="21"/>
                <w:szCs w:val="21"/>
                <w:lang w:eastAsia="zh-CN"/>
              </w:rPr>
            </w:pPr>
            <w:r>
              <w:rPr>
                <w:rFonts w:hint="eastAsia" w:ascii="宋体" w:hAnsi="宋体" w:eastAsia="宋体" w:cs="宋体"/>
                <w:sz w:val="21"/>
                <w:szCs w:val="21"/>
                <w:lang w:eastAsia="zh-CN"/>
              </w:rPr>
              <w:t>深圳市急救指挥中心管理系统运维服务</w:t>
            </w:r>
          </w:p>
        </w:tc>
        <w:tc>
          <w:tcPr>
            <w:tcW w:w="1749" w:type="dxa"/>
            <w:tcBorders>
              <w:top w:val="single" w:color="auto" w:sz="4" w:space="0"/>
              <w:left w:val="single" w:color="auto" w:sz="4" w:space="0"/>
              <w:bottom w:val="single" w:color="auto" w:sz="4" w:space="0"/>
              <w:right w:val="single" w:color="auto" w:sz="4" w:space="0"/>
            </w:tcBorders>
            <w:shd w:val="clear" w:color="000000" w:fill="FFFFFF"/>
            <w:vAlign w:val="center"/>
          </w:tcPr>
          <w:p w14:paraId="38626988">
            <w:pPr>
              <w:widowControl/>
              <w:jc w:val="right"/>
              <w:rPr>
                <w:rFonts w:ascii="宋体" w:hAnsi="宋体" w:eastAsia="宋体" w:cs="宋体"/>
                <w:sz w:val="21"/>
                <w:szCs w:val="21"/>
                <w:lang w:eastAsia="zh-CN"/>
              </w:rPr>
            </w:pPr>
          </w:p>
        </w:tc>
        <w:tc>
          <w:tcPr>
            <w:tcW w:w="2078" w:type="dxa"/>
            <w:tcBorders>
              <w:top w:val="single" w:color="auto" w:sz="4" w:space="0"/>
              <w:left w:val="single" w:color="auto" w:sz="4" w:space="0"/>
              <w:bottom w:val="single" w:color="auto" w:sz="4" w:space="0"/>
              <w:right w:val="single" w:color="auto" w:sz="4" w:space="0"/>
            </w:tcBorders>
            <w:shd w:val="clear" w:color="auto" w:fill="auto"/>
            <w:vAlign w:val="center"/>
          </w:tcPr>
          <w:p w14:paraId="313ED94A">
            <w:pPr>
              <w:widowControl/>
              <w:jc w:val="left"/>
              <w:rPr>
                <w:rFonts w:ascii="宋体" w:hAnsi="宋体" w:eastAsia="宋体" w:cs="宋体"/>
                <w:sz w:val="21"/>
                <w:szCs w:val="21"/>
                <w:lang w:eastAsia="zh-CN"/>
              </w:rPr>
            </w:pPr>
          </w:p>
        </w:tc>
      </w:tr>
      <w:tr w14:paraId="0FD21EDC">
        <w:tblPrEx>
          <w:tblCellMar>
            <w:top w:w="0" w:type="dxa"/>
            <w:left w:w="108" w:type="dxa"/>
            <w:bottom w:w="0" w:type="dxa"/>
            <w:right w:w="108" w:type="dxa"/>
          </w:tblCellMar>
        </w:tblPrEx>
        <w:trPr>
          <w:trHeight w:val="699" w:hRule="atLeast"/>
          <w:jc w:val="center"/>
        </w:trPr>
        <w:tc>
          <w:tcPr>
            <w:tcW w:w="771" w:type="dxa"/>
            <w:tcBorders>
              <w:top w:val="single" w:color="auto" w:sz="4" w:space="0"/>
              <w:left w:val="single" w:color="auto" w:sz="4" w:space="0"/>
              <w:bottom w:val="single" w:color="auto" w:sz="4" w:space="0"/>
              <w:right w:val="single" w:color="auto" w:sz="4" w:space="0"/>
            </w:tcBorders>
            <w:shd w:val="clear" w:color="auto" w:fill="auto"/>
            <w:vAlign w:val="center"/>
          </w:tcPr>
          <w:p w14:paraId="66F0669B">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二</w:t>
            </w:r>
          </w:p>
        </w:tc>
        <w:tc>
          <w:tcPr>
            <w:tcW w:w="4168" w:type="dxa"/>
            <w:tcBorders>
              <w:top w:val="single" w:color="auto" w:sz="4" w:space="0"/>
              <w:left w:val="single" w:color="auto" w:sz="4" w:space="0"/>
              <w:bottom w:val="single" w:color="auto" w:sz="4" w:space="0"/>
              <w:right w:val="single" w:color="auto" w:sz="4" w:space="0"/>
            </w:tcBorders>
            <w:shd w:val="clear" w:color="auto" w:fill="auto"/>
            <w:vAlign w:val="center"/>
          </w:tcPr>
          <w:p w14:paraId="0E32FEF5">
            <w:pPr>
              <w:widowControl/>
              <w:jc w:val="left"/>
              <w:rPr>
                <w:rFonts w:ascii="宋体" w:hAnsi="宋体" w:eastAsia="宋体" w:cs="宋体"/>
                <w:sz w:val="21"/>
                <w:szCs w:val="21"/>
                <w:lang w:eastAsia="zh-CN"/>
              </w:rPr>
            </w:pPr>
            <w:r>
              <w:rPr>
                <w:rFonts w:hint="eastAsia" w:ascii="宋体" w:hAnsi="宋体" w:eastAsia="宋体" w:cs="宋体"/>
                <w:sz w:val="21"/>
                <w:szCs w:val="21"/>
                <w:lang w:eastAsia="zh-CN"/>
              </w:rPr>
              <w:t>深圳市医疗优先分级调度系统运维服务</w:t>
            </w:r>
          </w:p>
        </w:tc>
        <w:tc>
          <w:tcPr>
            <w:tcW w:w="1749" w:type="dxa"/>
            <w:tcBorders>
              <w:top w:val="single" w:color="auto" w:sz="4" w:space="0"/>
              <w:left w:val="single" w:color="auto" w:sz="4" w:space="0"/>
              <w:bottom w:val="single" w:color="auto" w:sz="4" w:space="0"/>
              <w:right w:val="single" w:color="auto" w:sz="4" w:space="0"/>
            </w:tcBorders>
            <w:shd w:val="clear" w:color="auto" w:fill="auto"/>
            <w:vAlign w:val="center"/>
          </w:tcPr>
          <w:p w14:paraId="53D41603">
            <w:pPr>
              <w:widowControl/>
              <w:jc w:val="right"/>
              <w:rPr>
                <w:rFonts w:ascii="宋体" w:hAnsi="宋体" w:eastAsia="宋体" w:cs="宋体"/>
                <w:sz w:val="21"/>
                <w:szCs w:val="21"/>
                <w:lang w:eastAsia="zh-CN"/>
              </w:rPr>
            </w:pPr>
          </w:p>
        </w:tc>
        <w:tc>
          <w:tcPr>
            <w:tcW w:w="2078" w:type="dxa"/>
            <w:tcBorders>
              <w:top w:val="single" w:color="auto" w:sz="4" w:space="0"/>
              <w:left w:val="single" w:color="auto" w:sz="4" w:space="0"/>
              <w:bottom w:val="single" w:color="auto" w:sz="4" w:space="0"/>
              <w:right w:val="single" w:color="auto" w:sz="4" w:space="0"/>
            </w:tcBorders>
            <w:shd w:val="clear" w:color="auto" w:fill="auto"/>
            <w:vAlign w:val="center"/>
          </w:tcPr>
          <w:p w14:paraId="05934B92">
            <w:pPr>
              <w:widowControl/>
              <w:jc w:val="left"/>
              <w:rPr>
                <w:rFonts w:ascii="宋体" w:hAnsi="宋体" w:eastAsia="宋体" w:cs="宋体"/>
                <w:sz w:val="21"/>
                <w:szCs w:val="21"/>
                <w:lang w:eastAsia="zh-CN"/>
              </w:rPr>
            </w:pPr>
          </w:p>
        </w:tc>
      </w:tr>
      <w:tr w14:paraId="1F14C52F">
        <w:tblPrEx>
          <w:tblCellMar>
            <w:top w:w="0" w:type="dxa"/>
            <w:left w:w="108" w:type="dxa"/>
            <w:bottom w:w="0" w:type="dxa"/>
            <w:right w:w="108" w:type="dxa"/>
          </w:tblCellMar>
        </w:tblPrEx>
        <w:trPr>
          <w:trHeight w:val="633" w:hRule="atLeast"/>
          <w:jc w:val="center"/>
        </w:trPr>
        <w:tc>
          <w:tcPr>
            <w:tcW w:w="4939"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CBA9727">
            <w:pPr>
              <w:widowControl/>
              <w:jc w:val="center"/>
              <w:rPr>
                <w:rFonts w:ascii="宋体" w:hAnsi="宋体" w:eastAsia="宋体" w:cs="宋体"/>
                <w:b/>
                <w:bCs/>
                <w:sz w:val="21"/>
                <w:szCs w:val="21"/>
                <w:lang w:eastAsia="zh-CN"/>
              </w:rPr>
            </w:pPr>
            <w:r>
              <w:rPr>
                <w:rFonts w:hint="eastAsia" w:ascii="宋体" w:hAnsi="宋体" w:eastAsia="宋体" w:cs="宋体"/>
                <w:b/>
                <w:bCs/>
                <w:sz w:val="21"/>
                <w:szCs w:val="21"/>
                <w:lang w:eastAsia="zh-CN"/>
              </w:rPr>
              <w:t>合计(即投标总价，单位：元)</w:t>
            </w:r>
          </w:p>
        </w:tc>
        <w:tc>
          <w:tcPr>
            <w:tcW w:w="1749" w:type="dxa"/>
            <w:tcBorders>
              <w:top w:val="single" w:color="auto" w:sz="4" w:space="0"/>
              <w:left w:val="single" w:color="auto" w:sz="4" w:space="0"/>
              <w:bottom w:val="single" w:color="auto" w:sz="4" w:space="0"/>
              <w:right w:val="single" w:color="auto" w:sz="4" w:space="0"/>
            </w:tcBorders>
            <w:shd w:val="clear" w:color="000000" w:fill="FFFFFF"/>
            <w:vAlign w:val="center"/>
          </w:tcPr>
          <w:p w14:paraId="1EA035FF">
            <w:pPr>
              <w:widowControl/>
              <w:jc w:val="right"/>
              <w:rPr>
                <w:rFonts w:ascii="宋体" w:hAnsi="宋体" w:eastAsia="宋体" w:cs="宋体"/>
                <w:b/>
                <w:bCs/>
                <w:sz w:val="21"/>
                <w:szCs w:val="21"/>
                <w:lang w:eastAsia="zh-CN"/>
              </w:rPr>
            </w:pPr>
          </w:p>
        </w:tc>
        <w:tc>
          <w:tcPr>
            <w:tcW w:w="2078" w:type="dxa"/>
            <w:tcBorders>
              <w:top w:val="single" w:color="auto" w:sz="4" w:space="0"/>
              <w:left w:val="single" w:color="auto" w:sz="4" w:space="0"/>
              <w:bottom w:val="single" w:color="auto" w:sz="4" w:space="0"/>
              <w:right w:val="single" w:color="auto" w:sz="4" w:space="0"/>
            </w:tcBorders>
            <w:shd w:val="clear" w:color="000000" w:fill="FFFFFF"/>
            <w:vAlign w:val="center"/>
          </w:tcPr>
          <w:p w14:paraId="07914DE7">
            <w:pPr>
              <w:widowControl/>
              <w:jc w:val="center"/>
              <w:rPr>
                <w:rFonts w:ascii="宋体" w:hAnsi="宋体" w:eastAsia="宋体" w:cs="宋体"/>
                <w:sz w:val="21"/>
                <w:szCs w:val="21"/>
                <w:lang w:eastAsia="zh-CN"/>
              </w:rPr>
            </w:pPr>
            <w:r>
              <w:rPr>
                <w:rFonts w:hint="eastAsia" w:ascii="宋体" w:hAnsi="宋体" w:eastAsia="宋体" w:cs="宋体"/>
                <w:sz w:val="21"/>
                <w:szCs w:val="21"/>
                <w:lang w:eastAsia="zh-CN"/>
              </w:rPr>
              <w:t>以上各项之和</w:t>
            </w:r>
          </w:p>
        </w:tc>
      </w:tr>
    </w:tbl>
    <w:p w14:paraId="2D484603">
      <w:pPr>
        <w:widowControl w:val="0"/>
        <w:ind w:firstLine="210" w:firstLineChars="100"/>
        <w:jc w:val="both"/>
        <w:rPr>
          <w:rFonts w:hAnsi="宋体" w:eastAsia="宋体"/>
          <w:b/>
          <w:bCs/>
          <w:color w:val="FF0000"/>
          <w:kern w:val="2"/>
          <w:lang w:eastAsia="zh-CN"/>
        </w:rPr>
      </w:pPr>
      <w:r>
        <w:rPr>
          <w:rFonts w:hint="eastAsia" w:ascii="宋体" w:hAnsi="宋体" w:eastAsia="宋体"/>
          <w:color w:val="0000FF"/>
          <w:sz w:val="21"/>
          <w:szCs w:val="21"/>
          <w:lang w:eastAsia="zh-CN"/>
        </w:rPr>
        <w:t>注：投标人的投标总价不得超过预算金额，否则将导致投标无效。</w:t>
      </w:r>
    </w:p>
    <w:p w14:paraId="509BF97F">
      <w:pPr>
        <w:widowControl w:val="0"/>
        <w:tabs>
          <w:tab w:val="left" w:pos="720"/>
        </w:tabs>
        <w:jc w:val="center"/>
        <w:rPr>
          <w:rFonts w:eastAsia="宋体"/>
          <w:b/>
          <w:kern w:val="2"/>
          <w:lang w:eastAsia="zh-CN"/>
        </w:rPr>
      </w:pPr>
    </w:p>
    <w:p w14:paraId="2665109B">
      <w:pPr>
        <w:widowControl w:val="0"/>
        <w:tabs>
          <w:tab w:val="left" w:pos="720"/>
        </w:tabs>
        <w:jc w:val="center"/>
        <w:rPr>
          <w:rFonts w:eastAsia="宋体"/>
          <w:b/>
          <w:kern w:val="2"/>
          <w:lang w:eastAsia="zh-CN"/>
        </w:rPr>
      </w:pPr>
    </w:p>
    <w:p w14:paraId="0A25EA6A">
      <w:pPr>
        <w:widowControl w:val="0"/>
        <w:spacing w:line="360" w:lineRule="auto"/>
        <w:jc w:val="both"/>
        <w:rPr>
          <w:rFonts w:eastAsia="宋体"/>
          <w:b/>
          <w:bCs/>
          <w:kern w:val="2"/>
          <w:lang w:eastAsia="zh-CN"/>
        </w:rPr>
      </w:pPr>
    </w:p>
    <w:p w14:paraId="667BDB7A">
      <w:pPr>
        <w:widowControl w:val="0"/>
        <w:spacing w:line="360" w:lineRule="auto"/>
        <w:jc w:val="both"/>
        <w:rPr>
          <w:rFonts w:eastAsia="宋体"/>
          <w:b/>
          <w:kern w:val="2"/>
          <w:lang w:eastAsia="zh-CN"/>
        </w:rPr>
      </w:pPr>
    </w:p>
    <w:p w14:paraId="42D1F25C">
      <w:pPr>
        <w:widowControl w:val="0"/>
        <w:spacing w:line="360" w:lineRule="auto"/>
        <w:jc w:val="both"/>
        <w:rPr>
          <w:rFonts w:eastAsia="宋体"/>
          <w:b/>
          <w:kern w:val="2"/>
          <w:lang w:eastAsia="zh-CN"/>
        </w:rPr>
      </w:pPr>
    </w:p>
    <w:p w14:paraId="427870BC">
      <w:pPr>
        <w:widowControl w:val="0"/>
        <w:spacing w:line="360" w:lineRule="auto"/>
        <w:jc w:val="both"/>
        <w:rPr>
          <w:rFonts w:eastAsia="宋体"/>
          <w:b/>
          <w:kern w:val="2"/>
          <w:lang w:eastAsia="zh-CN"/>
        </w:rPr>
      </w:pPr>
    </w:p>
    <w:p w14:paraId="0FCA4AC6">
      <w:pPr>
        <w:widowControl w:val="0"/>
        <w:spacing w:line="360" w:lineRule="auto"/>
        <w:jc w:val="both"/>
        <w:rPr>
          <w:rFonts w:eastAsia="宋体"/>
          <w:b/>
          <w:kern w:val="2"/>
          <w:lang w:eastAsia="zh-CN"/>
        </w:rPr>
      </w:pPr>
    </w:p>
    <w:p w14:paraId="2D63105A">
      <w:pPr>
        <w:widowControl w:val="0"/>
        <w:spacing w:line="360" w:lineRule="auto"/>
        <w:jc w:val="both"/>
        <w:rPr>
          <w:rFonts w:eastAsia="宋体"/>
          <w:b/>
          <w:kern w:val="2"/>
          <w:lang w:eastAsia="zh-CN"/>
        </w:rPr>
      </w:pPr>
    </w:p>
    <w:p w14:paraId="7C8A51F1">
      <w:pPr>
        <w:widowControl w:val="0"/>
        <w:tabs>
          <w:tab w:val="left" w:pos="720"/>
        </w:tabs>
        <w:jc w:val="center"/>
        <w:rPr>
          <w:rFonts w:eastAsia="宋体"/>
          <w:b/>
          <w:kern w:val="2"/>
          <w:lang w:eastAsia="zh-CN"/>
        </w:rPr>
      </w:pPr>
      <w:r>
        <w:rPr>
          <w:rFonts w:hint="eastAsia" w:eastAsia="宋体"/>
          <w:b/>
          <w:kern w:val="2"/>
          <w:lang w:eastAsia="zh-CN"/>
        </w:rPr>
        <w:t>（二）</w:t>
      </w:r>
      <w:bookmarkStart w:id="49" w:name="_Hlk72073235"/>
      <w:r>
        <w:rPr>
          <w:rFonts w:hint="eastAsia" w:eastAsia="宋体"/>
          <w:b/>
          <w:kern w:val="2"/>
          <w:lang w:eastAsia="zh-CN"/>
        </w:rPr>
        <w:t>投标人认为需要涉及的其他内容报价清单</w:t>
      </w:r>
      <w:bookmarkEnd w:id="49"/>
    </w:p>
    <w:p w14:paraId="06E1E2E8">
      <w:pPr>
        <w:widowControl w:val="0"/>
        <w:jc w:val="center"/>
        <w:rPr>
          <w:rFonts w:ascii="黑体" w:hAnsi="黑体" w:eastAsia="黑体" w:cs="黑体"/>
          <w:kern w:val="2"/>
          <w:szCs w:val="28"/>
          <w:lang w:eastAsia="zh-CN"/>
        </w:rPr>
      </w:pPr>
      <w:r>
        <w:rPr>
          <w:rFonts w:eastAsia="宋体"/>
          <w:b/>
          <w:bCs/>
          <w:kern w:val="2"/>
          <w:sz w:val="21"/>
          <w:lang w:eastAsia="zh-CN"/>
        </w:rPr>
        <w:br w:type="page"/>
      </w:r>
      <w:r>
        <w:rPr>
          <w:rFonts w:hint="eastAsia" w:ascii="黑体" w:hAnsi="黑体" w:eastAsia="黑体" w:cs="黑体"/>
          <w:kern w:val="2"/>
          <w:szCs w:val="28"/>
          <w:lang w:eastAsia="zh-CN"/>
        </w:rPr>
        <w:t>五、供应商基本情况表</w:t>
      </w:r>
    </w:p>
    <w:p w14:paraId="1619CCBB">
      <w:pPr>
        <w:widowControl w:val="0"/>
        <w:jc w:val="both"/>
        <w:rPr>
          <w:rFonts w:eastAsia="宋体"/>
          <w:kern w:val="2"/>
          <w:sz w:val="21"/>
          <w:lang w:eastAsia="zh-CN"/>
        </w:rPr>
      </w:pPr>
    </w:p>
    <w:p w14:paraId="389569A1">
      <w:pPr>
        <w:widowControl w:val="0"/>
        <w:jc w:val="both"/>
        <w:rPr>
          <w:rFonts w:ascii="宋体" w:hAnsi="宋体" w:eastAsia="宋体" w:cs="宋体"/>
          <w:kern w:val="2"/>
          <w:lang w:eastAsia="zh-CN"/>
        </w:rPr>
      </w:pPr>
      <w:r>
        <w:rPr>
          <w:rFonts w:hint="eastAsia" w:ascii="宋体" w:hAnsi="宋体" w:eastAsia="宋体" w:cs="宋体"/>
          <w:kern w:val="2"/>
          <w:lang w:eastAsia="zh-CN"/>
        </w:rPr>
        <w:t>填表单位：</w:t>
      </w:r>
      <w:r>
        <w:rPr>
          <w:rFonts w:hint="eastAsia" w:ascii="宋体" w:hAnsi="宋体" w:eastAsia="宋体" w:cs="宋体"/>
          <w:b/>
          <w:color w:val="FF0000"/>
          <w:kern w:val="2"/>
          <w:highlight w:val="yellow"/>
          <w:lang w:eastAsia="zh-CN"/>
        </w:rPr>
        <w:t>（加盖单位公章）</w:t>
      </w:r>
      <w:r>
        <w:rPr>
          <w:rFonts w:hint="eastAsia" w:ascii="宋体" w:hAnsi="宋体" w:eastAsia="宋体" w:cs="宋体"/>
          <w:kern w:val="2"/>
          <w:lang w:eastAsia="zh-CN"/>
        </w:rPr>
        <w:tab/>
      </w:r>
      <w:r>
        <w:rPr>
          <w:rFonts w:hint="eastAsia" w:ascii="宋体" w:hAnsi="宋体" w:eastAsia="宋体" w:cs="宋体"/>
          <w:kern w:val="2"/>
          <w:lang w:eastAsia="zh-CN"/>
        </w:rPr>
        <w:t xml:space="preserve">              填表日期：    年   月   日</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634"/>
        <w:gridCol w:w="1612"/>
        <w:gridCol w:w="793"/>
        <w:gridCol w:w="744"/>
        <w:gridCol w:w="858"/>
        <w:gridCol w:w="1852"/>
        <w:gridCol w:w="1811"/>
      </w:tblGrid>
      <w:tr w14:paraId="5FDA1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372ACCF0">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采购人</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37CDBC0A">
            <w:pPr>
              <w:widowControl w:val="0"/>
              <w:spacing w:line="400" w:lineRule="exact"/>
              <w:jc w:val="left"/>
              <w:rPr>
                <w:rFonts w:ascii="宋体" w:hAnsi="宋体" w:eastAsia="宋体" w:cs="宋体"/>
                <w:kern w:val="2"/>
                <w:sz w:val="21"/>
                <w:szCs w:val="21"/>
                <w:lang w:eastAsia="zh-CN"/>
              </w:rPr>
            </w:pPr>
            <w:r>
              <w:rPr>
                <w:rFonts w:hint="eastAsia" w:ascii="宋体" w:hAnsi="宋体" w:eastAsia="宋体"/>
                <w:b/>
                <w:bCs/>
                <w:color w:val="0000FF"/>
                <w:kern w:val="2"/>
                <w:sz w:val="21"/>
                <w:lang w:eastAsia="zh-CN"/>
              </w:rPr>
              <w:t>深圳市急救中心</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6A9891FD">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项目名称</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162B2EDE">
            <w:pPr>
              <w:widowControl w:val="0"/>
              <w:spacing w:line="400" w:lineRule="exact"/>
              <w:jc w:val="both"/>
              <w:rPr>
                <w:rFonts w:ascii="宋体" w:hAnsi="宋体" w:eastAsia="宋体" w:cs="宋体"/>
                <w:kern w:val="2"/>
                <w:sz w:val="21"/>
                <w:szCs w:val="21"/>
                <w:lang w:eastAsia="zh-CN"/>
              </w:rPr>
            </w:pPr>
            <w:r>
              <w:rPr>
                <w:rFonts w:hint="eastAsia" w:eastAsia="宋体"/>
                <w:b/>
                <w:bCs/>
                <w:color w:val="0000FF"/>
                <w:kern w:val="2"/>
                <w:sz w:val="21"/>
                <w:szCs w:val="21"/>
                <w:lang w:eastAsia="zh-CN"/>
              </w:rPr>
              <w:t>深圳市急救指挥中心管理系统及深圳市医疗优先分级调度系统项目单位政务信息化运维服务（2025年度）项目</w:t>
            </w:r>
          </w:p>
        </w:tc>
      </w:tr>
      <w:tr w14:paraId="6770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412" w:type="dxa"/>
            <w:gridSpan w:val="2"/>
            <w:tcBorders>
              <w:top w:val="single" w:color="auto" w:sz="4" w:space="0"/>
              <w:left w:val="single" w:color="auto" w:sz="4" w:space="0"/>
              <w:bottom w:val="single" w:color="auto" w:sz="4" w:space="0"/>
              <w:right w:val="single" w:color="auto" w:sz="4" w:space="0"/>
            </w:tcBorders>
            <w:vAlign w:val="center"/>
          </w:tcPr>
          <w:p w14:paraId="55F54301">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投标（响应）供应商</w:t>
            </w:r>
          </w:p>
        </w:tc>
        <w:tc>
          <w:tcPr>
            <w:tcW w:w="2553" w:type="dxa"/>
            <w:gridSpan w:val="2"/>
            <w:tcBorders>
              <w:top w:val="single" w:color="auto" w:sz="4" w:space="0"/>
              <w:left w:val="single" w:color="auto" w:sz="4" w:space="0"/>
              <w:bottom w:val="single" w:color="auto" w:sz="4" w:space="0"/>
              <w:right w:val="single" w:color="auto" w:sz="4" w:space="0"/>
            </w:tcBorders>
            <w:vAlign w:val="center"/>
          </w:tcPr>
          <w:p w14:paraId="0FF72635">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5092723F">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供应商统一社会信用代码</w:t>
            </w:r>
          </w:p>
        </w:tc>
        <w:tc>
          <w:tcPr>
            <w:tcW w:w="3900" w:type="dxa"/>
            <w:gridSpan w:val="2"/>
            <w:tcBorders>
              <w:top w:val="single" w:color="auto" w:sz="4" w:space="0"/>
              <w:left w:val="single" w:color="auto" w:sz="4" w:space="0"/>
              <w:bottom w:val="single" w:color="auto" w:sz="4" w:space="0"/>
              <w:right w:val="single" w:color="auto" w:sz="4" w:space="0"/>
            </w:tcBorders>
            <w:vAlign w:val="center"/>
          </w:tcPr>
          <w:p w14:paraId="0F4B7B81">
            <w:pPr>
              <w:widowControl w:val="0"/>
              <w:spacing w:line="400" w:lineRule="exact"/>
              <w:jc w:val="center"/>
              <w:rPr>
                <w:rFonts w:ascii="宋体" w:hAnsi="宋体" w:eastAsia="宋体" w:cs="宋体"/>
                <w:kern w:val="2"/>
                <w:sz w:val="21"/>
                <w:szCs w:val="21"/>
                <w:lang w:eastAsia="zh-CN"/>
              </w:rPr>
            </w:pPr>
          </w:p>
        </w:tc>
      </w:tr>
      <w:tr w14:paraId="61444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32217D91">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投标（响应）供应商相关人员情况</w:t>
            </w:r>
          </w:p>
        </w:tc>
      </w:tr>
      <w:tr w14:paraId="7FAD2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69A763B2">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序号</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7FCF01E9">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职务</w:t>
            </w:r>
          </w:p>
        </w:tc>
        <w:tc>
          <w:tcPr>
            <w:tcW w:w="834" w:type="dxa"/>
            <w:tcBorders>
              <w:top w:val="single" w:color="auto" w:sz="4" w:space="0"/>
              <w:left w:val="single" w:color="auto" w:sz="4" w:space="0"/>
              <w:bottom w:val="single" w:color="auto" w:sz="4" w:space="0"/>
              <w:right w:val="single" w:color="auto" w:sz="4" w:space="0"/>
            </w:tcBorders>
            <w:vAlign w:val="center"/>
          </w:tcPr>
          <w:p w14:paraId="5FB544D9">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姓名</w:t>
            </w: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13842DCA">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身份证号码</w:t>
            </w:r>
          </w:p>
        </w:tc>
        <w:tc>
          <w:tcPr>
            <w:tcW w:w="1972" w:type="dxa"/>
            <w:tcBorders>
              <w:top w:val="single" w:color="auto" w:sz="4" w:space="0"/>
              <w:left w:val="single" w:color="auto" w:sz="4" w:space="0"/>
              <w:bottom w:val="single" w:color="auto" w:sz="4" w:space="0"/>
              <w:right w:val="single" w:color="auto" w:sz="4" w:space="0"/>
            </w:tcBorders>
            <w:vAlign w:val="center"/>
          </w:tcPr>
          <w:p w14:paraId="22DD6FE6">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劳动合同</w:t>
            </w:r>
          </w:p>
          <w:p w14:paraId="17749C15">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关系单位</w:t>
            </w:r>
          </w:p>
        </w:tc>
        <w:tc>
          <w:tcPr>
            <w:tcW w:w="1928" w:type="dxa"/>
            <w:tcBorders>
              <w:top w:val="single" w:color="auto" w:sz="4" w:space="0"/>
              <w:left w:val="single" w:color="auto" w:sz="4" w:space="0"/>
              <w:bottom w:val="single" w:color="auto" w:sz="4" w:space="0"/>
              <w:right w:val="single" w:color="auto" w:sz="4" w:space="0"/>
            </w:tcBorders>
            <w:vAlign w:val="center"/>
          </w:tcPr>
          <w:p w14:paraId="410E5140">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缴纳社会</w:t>
            </w:r>
          </w:p>
          <w:p w14:paraId="5B87436F">
            <w:pPr>
              <w:widowControl w:val="0"/>
              <w:snapToGrid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保险单位</w:t>
            </w:r>
          </w:p>
        </w:tc>
      </w:tr>
      <w:tr w14:paraId="66CF5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6CAC2ABD">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1</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10E40EF4">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法定代表人/单位负责人/主要经营负责人</w:t>
            </w:r>
          </w:p>
        </w:tc>
        <w:tc>
          <w:tcPr>
            <w:tcW w:w="834" w:type="dxa"/>
            <w:tcBorders>
              <w:top w:val="single" w:color="auto" w:sz="4" w:space="0"/>
              <w:left w:val="single" w:color="auto" w:sz="4" w:space="0"/>
              <w:bottom w:val="single" w:color="auto" w:sz="4" w:space="0"/>
              <w:right w:val="single" w:color="auto" w:sz="4" w:space="0"/>
            </w:tcBorders>
            <w:vAlign w:val="center"/>
          </w:tcPr>
          <w:p w14:paraId="2F0C7903">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7E3257EE">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14C77DA4">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5DF8F20D">
            <w:pPr>
              <w:widowControl w:val="0"/>
              <w:spacing w:line="400" w:lineRule="exact"/>
              <w:jc w:val="center"/>
              <w:rPr>
                <w:rFonts w:ascii="宋体" w:hAnsi="宋体" w:eastAsia="宋体" w:cs="宋体"/>
                <w:kern w:val="2"/>
                <w:sz w:val="21"/>
                <w:szCs w:val="21"/>
                <w:lang w:eastAsia="zh-CN"/>
              </w:rPr>
            </w:pPr>
          </w:p>
        </w:tc>
      </w:tr>
      <w:tr w14:paraId="3DA0B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0491995E">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2</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262FF121">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项目投标授权代表人</w:t>
            </w:r>
          </w:p>
        </w:tc>
        <w:tc>
          <w:tcPr>
            <w:tcW w:w="834" w:type="dxa"/>
            <w:tcBorders>
              <w:top w:val="single" w:color="auto" w:sz="4" w:space="0"/>
              <w:left w:val="single" w:color="auto" w:sz="4" w:space="0"/>
              <w:bottom w:val="single" w:color="auto" w:sz="4" w:space="0"/>
              <w:right w:val="single" w:color="auto" w:sz="4" w:space="0"/>
            </w:tcBorders>
            <w:vAlign w:val="center"/>
          </w:tcPr>
          <w:p w14:paraId="0546EACE">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78B643C1">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2825E23A">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1020DA9C">
            <w:pPr>
              <w:widowControl w:val="0"/>
              <w:spacing w:line="400" w:lineRule="exact"/>
              <w:jc w:val="center"/>
              <w:rPr>
                <w:rFonts w:ascii="宋体" w:hAnsi="宋体" w:eastAsia="宋体" w:cs="宋体"/>
                <w:kern w:val="2"/>
                <w:sz w:val="21"/>
                <w:szCs w:val="21"/>
                <w:lang w:eastAsia="zh-CN"/>
              </w:rPr>
            </w:pPr>
          </w:p>
        </w:tc>
      </w:tr>
      <w:tr w14:paraId="4E706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0F70B37">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4415BB22">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项目负责人</w:t>
            </w:r>
          </w:p>
        </w:tc>
        <w:tc>
          <w:tcPr>
            <w:tcW w:w="834" w:type="dxa"/>
            <w:tcBorders>
              <w:top w:val="single" w:color="auto" w:sz="4" w:space="0"/>
              <w:left w:val="single" w:color="auto" w:sz="4" w:space="0"/>
              <w:bottom w:val="single" w:color="auto" w:sz="4" w:space="0"/>
              <w:right w:val="single" w:color="auto" w:sz="4" w:space="0"/>
            </w:tcBorders>
            <w:vAlign w:val="center"/>
          </w:tcPr>
          <w:p w14:paraId="041AB624">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4FC47B6F">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248A9FB4">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73350395">
            <w:pPr>
              <w:widowControl w:val="0"/>
              <w:spacing w:line="400" w:lineRule="exact"/>
              <w:jc w:val="center"/>
              <w:rPr>
                <w:rFonts w:ascii="宋体" w:hAnsi="宋体" w:eastAsia="宋体" w:cs="宋体"/>
                <w:kern w:val="2"/>
                <w:sz w:val="21"/>
                <w:szCs w:val="21"/>
                <w:lang w:eastAsia="zh-CN"/>
              </w:rPr>
            </w:pPr>
          </w:p>
        </w:tc>
      </w:tr>
      <w:tr w14:paraId="78D97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E98D2C8">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4</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6F89C125">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主要技术人员</w:t>
            </w:r>
          </w:p>
        </w:tc>
        <w:tc>
          <w:tcPr>
            <w:tcW w:w="834" w:type="dxa"/>
            <w:tcBorders>
              <w:top w:val="single" w:color="auto" w:sz="4" w:space="0"/>
              <w:left w:val="single" w:color="auto" w:sz="4" w:space="0"/>
              <w:bottom w:val="single" w:color="auto" w:sz="4" w:space="0"/>
              <w:right w:val="single" w:color="auto" w:sz="4" w:space="0"/>
            </w:tcBorders>
            <w:vAlign w:val="center"/>
          </w:tcPr>
          <w:p w14:paraId="59C58F98">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611BD8A5">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1B96FF18">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07385119">
            <w:pPr>
              <w:widowControl w:val="0"/>
              <w:spacing w:line="400" w:lineRule="exact"/>
              <w:jc w:val="center"/>
              <w:rPr>
                <w:rFonts w:ascii="宋体" w:hAnsi="宋体" w:eastAsia="宋体" w:cs="宋体"/>
                <w:kern w:val="2"/>
                <w:sz w:val="21"/>
                <w:szCs w:val="21"/>
                <w:lang w:eastAsia="zh-CN"/>
              </w:rPr>
            </w:pPr>
          </w:p>
        </w:tc>
      </w:tr>
      <w:tr w14:paraId="439D4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23014481">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5</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590969B9">
            <w:pPr>
              <w:widowControl w:val="0"/>
              <w:snapToGrid w:val="0"/>
              <w:spacing w:line="400" w:lineRule="exact"/>
              <w:ind w:firstLine="0"/>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投标文件编制人员</w:t>
            </w:r>
          </w:p>
        </w:tc>
        <w:tc>
          <w:tcPr>
            <w:tcW w:w="834" w:type="dxa"/>
            <w:tcBorders>
              <w:top w:val="single" w:color="auto" w:sz="4" w:space="0"/>
              <w:left w:val="single" w:color="auto" w:sz="4" w:space="0"/>
              <w:bottom w:val="single" w:color="auto" w:sz="4" w:space="0"/>
              <w:right w:val="single" w:color="auto" w:sz="4" w:space="0"/>
            </w:tcBorders>
            <w:vAlign w:val="center"/>
          </w:tcPr>
          <w:p w14:paraId="078642E9">
            <w:pPr>
              <w:widowControl w:val="0"/>
              <w:spacing w:line="400" w:lineRule="exact"/>
              <w:jc w:val="center"/>
              <w:rPr>
                <w:rFonts w:ascii="宋体" w:hAnsi="宋体" w:eastAsia="宋体" w:cs="宋体"/>
                <w:kern w:val="2"/>
                <w:sz w:val="21"/>
                <w:szCs w:val="21"/>
                <w:lang w:eastAsia="zh-CN"/>
              </w:rPr>
            </w:pPr>
          </w:p>
        </w:tc>
        <w:tc>
          <w:tcPr>
            <w:tcW w:w="1703" w:type="dxa"/>
            <w:gridSpan w:val="2"/>
            <w:tcBorders>
              <w:top w:val="single" w:color="auto" w:sz="4" w:space="0"/>
              <w:left w:val="single" w:color="auto" w:sz="4" w:space="0"/>
              <w:bottom w:val="single" w:color="auto" w:sz="4" w:space="0"/>
              <w:right w:val="single" w:color="auto" w:sz="4" w:space="0"/>
            </w:tcBorders>
            <w:vAlign w:val="center"/>
          </w:tcPr>
          <w:p w14:paraId="0C7AB870">
            <w:pPr>
              <w:widowControl w:val="0"/>
              <w:spacing w:line="400" w:lineRule="exact"/>
              <w:jc w:val="center"/>
              <w:rPr>
                <w:rFonts w:ascii="宋体" w:hAnsi="宋体" w:eastAsia="宋体" w:cs="宋体"/>
                <w:kern w:val="2"/>
                <w:sz w:val="21"/>
                <w:szCs w:val="21"/>
                <w:lang w:eastAsia="zh-CN"/>
              </w:rPr>
            </w:pPr>
          </w:p>
        </w:tc>
        <w:tc>
          <w:tcPr>
            <w:tcW w:w="1972" w:type="dxa"/>
            <w:tcBorders>
              <w:top w:val="single" w:color="auto" w:sz="4" w:space="0"/>
              <w:left w:val="single" w:color="auto" w:sz="4" w:space="0"/>
              <w:bottom w:val="single" w:color="auto" w:sz="4" w:space="0"/>
              <w:right w:val="single" w:color="auto" w:sz="4" w:space="0"/>
            </w:tcBorders>
            <w:vAlign w:val="center"/>
          </w:tcPr>
          <w:p w14:paraId="24154276">
            <w:pPr>
              <w:widowControl w:val="0"/>
              <w:spacing w:line="400" w:lineRule="exact"/>
              <w:jc w:val="center"/>
              <w:rPr>
                <w:rFonts w:ascii="宋体" w:hAnsi="宋体" w:eastAsia="宋体" w:cs="宋体"/>
                <w:kern w:val="2"/>
                <w:sz w:val="21"/>
                <w:szCs w:val="21"/>
                <w:lang w:eastAsia="zh-CN"/>
              </w:rPr>
            </w:pPr>
          </w:p>
        </w:tc>
        <w:tc>
          <w:tcPr>
            <w:tcW w:w="1928" w:type="dxa"/>
            <w:tcBorders>
              <w:top w:val="single" w:color="auto" w:sz="4" w:space="0"/>
              <w:left w:val="single" w:color="auto" w:sz="4" w:space="0"/>
              <w:bottom w:val="single" w:color="auto" w:sz="4" w:space="0"/>
              <w:right w:val="single" w:color="auto" w:sz="4" w:space="0"/>
            </w:tcBorders>
            <w:vAlign w:val="center"/>
          </w:tcPr>
          <w:p w14:paraId="1CB6D5BA">
            <w:pPr>
              <w:widowControl w:val="0"/>
              <w:spacing w:line="400" w:lineRule="exact"/>
              <w:jc w:val="center"/>
              <w:rPr>
                <w:rFonts w:ascii="宋体" w:hAnsi="宋体" w:eastAsia="宋体" w:cs="宋体"/>
                <w:kern w:val="2"/>
                <w:sz w:val="21"/>
                <w:szCs w:val="21"/>
                <w:lang w:eastAsia="zh-CN"/>
              </w:rPr>
            </w:pPr>
          </w:p>
        </w:tc>
      </w:tr>
      <w:tr w14:paraId="2071A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1D9DBC65">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说明：同一职务有多人担任（如主要技术人员），应分行填写。</w:t>
            </w:r>
          </w:p>
        </w:tc>
      </w:tr>
      <w:tr w14:paraId="65E8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3C25269D">
            <w:pPr>
              <w:widowControl w:val="0"/>
              <w:spacing w:line="400" w:lineRule="exact"/>
              <w:jc w:val="center"/>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rPr>
              <w:t>投标（响应）供应商关联关系情况</w:t>
            </w:r>
          </w:p>
        </w:tc>
      </w:tr>
      <w:tr w14:paraId="65BE6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315EAE28">
            <w:pPr>
              <w:widowControl w:val="0"/>
              <w:spacing w:line="400" w:lineRule="exact"/>
              <w:jc w:val="center"/>
              <w:rPr>
                <w:rFonts w:ascii="宋体" w:hAnsi="宋体" w:eastAsia="宋体" w:cs="宋体"/>
                <w:kern w:val="2"/>
                <w:sz w:val="21"/>
                <w:szCs w:val="21"/>
                <w:lang w:eastAsia="zh-CN" w:bidi="ar"/>
              </w:rPr>
            </w:pPr>
            <w:r>
              <w:rPr>
                <w:rFonts w:hint="eastAsia" w:ascii="宋体" w:hAnsi="宋体" w:eastAsia="宋体" w:cs="宋体"/>
                <w:kern w:val="2"/>
                <w:sz w:val="21"/>
                <w:szCs w:val="21"/>
                <w:lang w:eastAsia="zh-CN" w:bidi="ar"/>
              </w:rPr>
              <w:t>序号</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4BDDB1E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关联关系类型</w:t>
            </w:r>
          </w:p>
        </w:tc>
        <w:tc>
          <w:tcPr>
            <w:tcW w:w="1625" w:type="dxa"/>
            <w:gridSpan w:val="2"/>
            <w:tcBorders>
              <w:top w:val="single" w:color="auto" w:sz="4" w:space="0"/>
              <w:left w:val="single" w:color="auto" w:sz="4" w:space="0"/>
              <w:bottom w:val="single" w:color="auto" w:sz="4" w:space="0"/>
              <w:right w:val="single" w:color="auto" w:sz="4" w:space="0"/>
            </w:tcBorders>
            <w:vAlign w:val="center"/>
          </w:tcPr>
          <w:p w14:paraId="45FDBAEA">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关联主体名称</w:t>
            </w: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180E3B7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备注</w:t>
            </w:r>
          </w:p>
        </w:tc>
      </w:tr>
      <w:tr w14:paraId="1A30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236D62F1">
            <w:pPr>
              <w:widowControl w:val="0"/>
              <w:spacing w:line="400" w:lineRule="exact"/>
              <w:jc w:val="center"/>
              <w:rPr>
                <w:rFonts w:ascii="宋体" w:hAnsi="宋体" w:eastAsia="宋体" w:cs="宋体"/>
                <w:kern w:val="2"/>
                <w:sz w:val="21"/>
                <w:szCs w:val="21"/>
                <w:lang w:eastAsia="zh-CN" w:bidi="ar"/>
              </w:rPr>
            </w:pPr>
            <w:r>
              <w:rPr>
                <w:rFonts w:hint="eastAsia" w:ascii="宋体" w:hAnsi="宋体" w:eastAsia="宋体" w:cs="宋体"/>
                <w:kern w:val="2"/>
                <w:sz w:val="21"/>
                <w:szCs w:val="21"/>
                <w:lang w:eastAsia="zh-CN" w:bidi="ar"/>
              </w:rPr>
              <w:t>1</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7EEC429B">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控股股东</w:t>
            </w:r>
          </w:p>
        </w:tc>
        <w:tc>
          <w:tcPr>
            <w:tcW w:w="1625" w:type="dxa"/>
            <w:gridSpan w:val="2"/>
            <w:tcBorders>
              <w:top w:val="single" w:color="auto" w:sz="4" w:space="0"/>
              <w:left w:val="single" w:color="auto" w:sz="4" w:space="0"/>
              <w:bottom w:val="single" w:color="auto" w:sz="4" w:space="0"/>
              <w:right w:val="single" w:color="auto" w:sz="4" w:space="0"/>
            </w:tcBorders>
            <w:vAlign w:val="center"/>
          </w:tcPr>
          <w:p w14:paraId="2D28C78A">
            <w:pPr>
              <w:widowControl w:val="0"/>
              <w:spacing w:line="400" w:lineRule="exact"/>
              <w:jc w:val="center"/>
              <w:rPr>
                <w:rFonts w:ascii="宋体" w:hAnsi="宋体" w:eastAsia="宋体" w:cs="宋体"/>
                <w:kern w:val="2"/>
                <w:sz w:val="21"/>
                <w:szCs w:val="21"/>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4F6F7F8E">
            <w:pPr>
              <w:widowControl w:val="0"/>
              <w:snapToGrid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14:paraId="3AD70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36" w:type="dxa"/>
            <w:tcBorders>
              <w:top w:val="single" w:color="auto" w:sz="4" w:space="0"/>
              <w:left w:val="single" w:color="auto" w:sz="4" w:space="0"/>
              <w:bottom w:val="single" w:color="auto" w:sz="4" w:space="0"/>
              <w:right w:val="single" w:color="auto" w:sz="4" w:space="0"/>
            </w:tcBorders>
            <w:vAlign w:val="center"/>
          </w:tcPr>
          <w:p w14:paraId="40FBB254">
            <w:pPr>
              <w:widowControl w:val="0"/>
              <w:spacing w:line="400" w:lineRule="exact"/>
              <w:jc w:val="center"/>
              <w:rPr>
                <w:rFonts w:ascii="宋体" w:hAnsi="宋体" w:eastAsia="宋体" w:cs="宋体"/>
                <w:kern w:val="2"/>
                <w:sz w:val="21"/>
                <w:szCs w:val="21"/>
                <w:lang w:eastAsia="zh-CN" w:bidi="ar"/>
              </w:rPr>
            </w:pPr>
            <w:r>
              <w:rPr>
                <w:rFonts w:hint="eastAsia" w:ascii="宋体" w:hAnsi="宋体" w:eastAsia="宋体" w:cs="宋体"/>
                <w:kern w:val="2"/>
                <w:sz w:val="21"/>
                <w:szCs w:val="21"/>
                <w:lang w:eastAsia="zh-CN" w:bidi="ar"/>
              </w:rPr>
              <w:t>2</w:t>
            </w:r>
          </w:p>
        </w:tc>
        <w:tc>
          <w:tcPr>
            <w:tcW w:w="2395" w:type="dxa"/>
            <w:gridSpan w:val="2"/>
            <w:tcBorders>
              <w:top w:val="single" w:color="auto" w:sz="4" w:space="0"/>
              <w:left w:val="single" w:color="auto" w:sz="4" w:space="0"/>
              <w:bottom w:val="single" w:color="auto" w:sz="4" w:space="0"/>
              <w:right w:val="single" w:color="auto" w:sz="4" w:space="0"/>
            </w:tcBorders>
            <w:vAlign w:val="center"/>
          </w:tcPr>
          <w:p w14:paraId="39567405">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rPr>
              <w:t>管理关系</w:t>
            </w:r>
          </w:p>
        </w:tc>
        <w:tc>
          <w:tcPr>
            <w:tcW w:w="1625" w:type="dxa"/>
            <w:gridSpan w:val="2"/>
            <w:tcBorders>
              <w:top w:val="single" w:color="auto" w:sz="4" w:space="0"/>
              <w:left w:val="single" w:color="auto" w:sz="4" w:space="0"/>
              <w:bottom w:val="single" w:color="auto" w:sz="4" w:space="0"/>
              <w:right w:val="single" w:color="auto" w:sz="4" w:space="0"/>
            </w:tcBorders>
            <w:vAlign w:val="center"/>
          </w:tcPr>
          <w:p w14:paraId="1C453AC6">
            <w:pPr>
              <w:widowControl w:val="0"/>
              <w:spacing w:line="400" w:lineRule="exact"/>
              <w:jc w:val="center"/>
              <w:rPr>
                <w:rFonts w:ascii="宋体" w:hAnsi="宋体" w:eastAsia="宋体" w:cs="宋体"/>
                <w:kern w:val="2"/>
                <w:sz w:val="21"/>
                <w:szCs w:val="21"/>
                <w:lang w:eastAsia="zh-CN"/>
              </w:rPr>
            </w:pPr>
          </w:p>
        </w:tc>
        <w:tc>
          <w:tcPr>
            <w:tcW w:w="4812" w:type="dxa"/>
            <w:gridSpan w:val="3"/>
            <w:tcBorders>
              <w:top w:val="single" w:color="auto" w:sz="4" w:space="0"/>
              <w:left w:val="single" w:color="auto" w:sz="4" w:space="0"/>
              <w:bottom w:val="single" w:color="auto" w:sz="4" w:space="0"/>
              <w:right w:val="single" w:color="auto" w:sz="4" w:space="0"/>
            </w:tcBorders>
            <w:vAlign w:val="center"/>
          </w:tcPr>
          <w:p w14:paraId="0A3BB9E3">
            <w:pPr>
              <w:widowControl w:val="0"/>
              <w:snapToGrid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rPr>
              <w:t>指对投标（响应）供应商不具有出资持股关系，但对其存在管理关系的主体。</w:t>
            </w:r>
          </w:p>
        </w:tc>
      </w:tr>
      <w:tr w14:paraId="4037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568" w:type="dxa"/>
            <w:gridSpan w:val="8"/>
            <w:tcBorders>
              <w:top w:val="single" w:color="auto" w:sz="4" w:space="0"/>
              <w:left w:val="single" w:color="auto" w:sz="4" w:space="0"/>
              <w:bottom w:val="single" w:color="auto" w:sz="4" w:space="0"/>
              <w:right w:val="single" w:color="auto" w:sz="4" w:space="0"/>
            </w:tcBorders>
            <w:vAlign w:val="center"/>
          </w:tcPr>
          <w:p w14:paraId="16AD9DA1">
            <w:pPr>
              <w:widowControl w:val="0"/>
              <w:snapToGrid w:val="0"/>
              <w:spacing w:line="400" w:lineRule="exact"/>
              <w:jc w:val="left"/>
              <w:rPr>
                <w:rFonts w:ascii="宋体" w:hAnsi="宋体" w:eastAsia="宋体" w:cs="宋体"/>
                <w:kern w:val="2"/>
                <w:sz w:val="21"/>
                <w:szCs w:val="21"/>
                <w:lang w:eastAsia="zh-CN"/>
              </w:rPr>
            </w:pPr>
            <w:r>
              <w:rPr>
                <w:rFonts w:hint="eastAsia" w:ascii="宋体" w:hAnsi="宋体" w:eastAsia="宋体" w:cs="宋体"/>
                <w:b/>
                <w:bCs/>
                <w:kern w:val="2"/>
                <w:sz w:val="21"/>
                <w:szCs w:val="21"/>
                <w:lang w:eastAsia="zh-CN"/>
              </w:rPr>
              <w:t>说明：同一关联关系类型有多个主体的，应分行填写。</w:t>
            </w:r>
          </w:p>
        </w:tc>
      </w:tr>
    </w:tbl>
    <w:p w14:paraId="794E4298">
      <w:pPr>
        <w:widowControl/>
        <w:jc w:val="left"/>
        <w:rPr>
          <w:rFonts w:ascii="宋体" w:hAnsi="宋体" w:eastAsia="宋体" w:cs="宋体"/>
          <w:kern w:val="2"/>
          <w:sz w:val="20"/>
          <w:szCs w:val="22"/>
          <w:lang w:eastAsia="zh-CN"/>
        </w:rPr>
        <w:sectPr>
          <w:pgSz w:w="11906" w:h="16838"/>
          <w:pgMar w:top="1417" w:right="1417" w:bottom="1417" w:left="1701" w:header="851" w:footer="1588" w:gutter="0"/>
          <w:pgNumType w:fmt="numberInDash"/>
          <w:cols w:space="720" w:num="1"/>
          <w:docGrid w:type="lines" w:linePitch="312" w:charSpace="0"/>
        </w:sectPr>
      </w:pPr>
    </w:p>
    <w:p w14:paraId="12985665">
      <w:pPr>
        <w:widowControl w:val="0"/>
        <w:spacing w:before="260" w:after="260"/>
        <w:jc w:val="center"/>
        <w:outlineLvl w:val="2"/>
        <w:rPr>
          <w:rFonts w:ascii="黑体" w:hAnsi="宋体" w:eastAsia="黑体"/>
          <w:kern w:val="2"/>
          <w:szCs w:val="32"/>
          <w:lang w:eastAsia="zh-CN"/>
        </w:rPr>
      </w:pPr>
      <w:r>
        <w:rPr>
          <w:rFonts w:hint="eastAsia" w:ascii="黑体" w:hAnsi="宋体" w:eastAsia="黑体"/>
          <w:kern w:val="2"/>
          <w:szCs w:val="32"/>
          <w:lang w:eastAsia="zh-CN"/>
        </w:rPr>
        <w:t>六、</w:t>
      </w:r>
      <w:bookmarkStart w:id="50" w:name="_Hlk72092499"/>
      <w:r>
        <w:rPr>
          <w:rFonts w:hint="eastAsia" w:ascii="黑体" w:hAnsi="宋体" w:eastAsia="黑体"/>
          <w:kern w:val="2"/>
          <w:szCs w:val="32"/>
          <w:lang w:eastAsia="zh-CN"/>
        </w:rPr>
        <w:t>法定代表人（负责人）证明书</w:t>
      </w:r>
      <w:bookmarkEnd w:id="50"/>
    </w:p>
    <w:p w14:paraId="080877E1">
      <w:pPr>
        <w:widowControl w:val="0"/>
        <w:jc w:val="both"/>
        <w:rPr>
          <w:rFonts w:eastAsia="宋体"/>
          <w:kern w:val="2"/>
          <w:lang w:eastAsia="zh-CN"/>
        </w:rPr>
      </w:pPr>
    </w:p>
    <w:p w14:paraId="3C2E5AEC">
      <w:pPr>
        <w:widowControl w:val="0"/>
        <w:spacing w:line="360" w:lineRule="auto"/>
        <w:ind w:firstLine="420" w:firstLineChars="200"/>
        <w:jc w:val="both"/>
        <w:rPr>
          <w:rFonts w:eastAsia="宋体"/>
          <w:kern w:val="2"/>
          <w:sz w:val="21"/>
          <w:szCs w:val="21"/>
          <w:lang w:eastAsia="zh-CN"/>
        </w:rPr>
      </w:pPr>
      <w:r>
        <w:rPr>
          <w:rFonts w:eastAsia="宋体"/>
          <w:kern w:val="2"/>
          <w:sz w:val="21"/>
          <w:szCs w:val="21"/>
          <w:u w:val="single"/>
          <w:lang w:eastAsia="zh-CN" w:bidi="ar"/>
        </w:rPr>
        <w:t xml:space="preserve">                 </w:t>
      </w:r>
      <w:r>
        <w:rPr>
          <w:rFonts w:hint="eastAsia" w:eastAsia="宋体" w:cs="宋体"/>
          <w:kern w:val="2"/>
          <w:sz w:val="21"/>
          <w:szCs w:val="21"/>
          <w:lang w:eastAsia="zh-CN" w:bidi="ar"/>
        </w:rPr>
        <w:t>（姓名），现任我单位</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职务，为法定代表人（负责人），身份证件号为：</w:t>
      </w:r>
      <w:r>
        <w:rPr>
          <w:rFonts w:eastAsia="宋体"/>
          <w:kern w:val="2"/>
          <w:sz w:val="21"/>
          <w:szCs w:val="21"/>
          <w:u w:val="single"/>
          <w:lang w:eastAsia="zh-CN" w:bidi="ar"/>
        </w:rPr>
        <w:t xml:space="preserve">                                     </w:t>
      </w: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68E8A5FF">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特此证明。</w:t>
      </w:r>
    </w:p>
    <w:p w14:paraId="08784490">
      <w:pPr>
        <w:widowControl w:val="0"/>
        <w:spacing w:line="360" w:lineRule="auto"/>
        <w:ind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说明：</w:t>
      </w:r>
      <w:r>
        <w:rPr>
          <w:rFonts w:eastAsia="宋体"/>
          <w:b/>
          <w:bCs/>
          <w:color w:val="FF0000"/>
          <w:kern w:val="2"/>
          <w:sz w:val="21"/>
          <w:szCs w:val="21"/>
          <w:lang w:eastAsia="zh-CN" w:bidi="ar"/>
        </w:rPr>
        <w:t>1</w:t>
      </w:r>
      <w:r>
        <w:rPr>
          <w:rFonts w:hint="eastAsia" w:eastAsia="宋体" w:cs="宋体"/>
          <w:b/>
          <w:bCs/>
          <w:color w:val="FF0000"/>
          <w:kern w:val="2"/>
          <w:sz w:val="21"/>
          <w:szCs w:val="21"/>
          <w:lang w:eastAsia="zh-CN" w:bidi="ar"/>
        </w:rPr>
        <w:t>、法定代表人为投标人（企业事业单位、国家机关、社会团体）的主要行政负责人。</w:t>
      </w:r>
    </w:p>
    <w:p w14:paraId="4DF03242">
      <w:pPr>
        <w:widowControl w:val="0"/>
        <w:numPr>
          <w:ilvl w:val="0"/>
          <w:numId w:val="2"/>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本证明书要供法定代表人（负责人）相关身份证明文件：身份证扫描件（正反两面）；港澳台居民可提供来往通行证扫描件；非中国国籍管辖范围人员，可提供公安部门认可的身份证明材料扫描件。</w:t>
      </w:r>
    </w:p>
    <w:p w14:paraId="0C712252">
      <w:pPr>
        <w:widowControl w:val="0"/>
        <w:numPr>
          <w:ilvl w:val="0"/>
          <w:numId w:val="2"/>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本项目投标授权代表为法定代表人（负责人）的，无需提供《投标文件签署授权委托书》。</w:t>
      </w:r>
    </w:p>
    <w:p w14:paraId="182CF9FD">
      <w:pPr>
        <w:widowControl w:val="0"/>
        <w:numPr>
          <w:ilvl w:val="0"/>
          <w:numId w:val="2"/>
        </w:numPr>
        <w:spacing w:line="360" w:lineRule="auto"/>
        <w:ind w:left="0" w:firstLine="422" w:firstLineChars="200"/>
        <w:jc w:val="both"/>
        <w:rPr>
          <w:rFonts w:eastAsia="宋体"/>
          <w:b/>
          <w:bCs/>
          <w:color w:val="FF0000"/>
          <w:kern w:val="2"/>
          <w:sz w:val="21"/>
          <w:szCs w:val="21"/>
          <w:lang w:eastAsia="zh-CN"/>
        </w:rPr>
      </w:pPr>
      <w:r>
        <w:rPr>
          <w:rFonts w:hint="eastAsia" w:eastAsia="宋体" w:cs="宋体"/>
          <w:b/>
          <w:bCs/>
          <w:color w:val="FF0000"/>
          <w:kern w:val="2"/>
          <w:sz w:val="21"/>
          <w:szCs w:val="21"/>
          <w:lang w:eastAsia="zh-CN" w:bidi="ar"/>
        </w:rPr>
        <w:t>内容必须填写真实、清楚，涂改无效，不得转让、买卖。</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5"/>
      </w:tblGrid>
      <w:tr w14:paraId="36E97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4" w:type="dxa"/>
            <w:tcBorders>
              <w:top w:val="single" w:color="auto" w:sz="4" w:space="0"/>
              <w:left w:val="single" w:color="auto" w:sz="4" w:space="0"/>
              <w:bottom w:val="single" w:color="auto" w:sz="4" w:space="0"/>
              <w:right w:val="single" w:color="auto" w:sz="4" w:space="0"/>
            </w:tcBorders>
            <w:shd w:val="clear" w:color="auto" w:fill="auto"/>
          </w:tcPr>
          <w:p w14:paraId="1A3C16E2">
            <w:pPr>
              <w:widowControl w:val="0"/>
              <w:jc w:val="center"/>
              <w:rPr>
                <w:rFonts w:eastAsia="宋体"/>
                <w:kern w:val="2"/>
                <w:sz w:val="21"/>
                <w:lang w:eastAsia="zh-CN"/>
              </w:rPr>
            </w:pPr>
            <w:r>
              <w:rPr>
                <w:rFonts w:hint="eastAsia" w:eastAsia="宋体" w:cs="宋体"/>
                <w:kern w:val="2"/>
                <w:sz w:val="21"/>
                <w:lang w:eastAsia="zh-CN" w:bidi="ar"/>
              </w:rPr>
              <w:t>证件扫描件正面</w:t>
            </w:r>
          </w:p>
          <w:p w14:paraId="6EC06D1E">
            <w:pPr>
              <w:widowControl w:val="0"/>
              <w:spacing w:beforeAutospacing="0" w:after="120" w:afterAutospacing="0"/>
              <w:jc w:val="left"/>
              <w:rPr>
                <w:rFonts w:eastAsia="宋体"/>
                <w:lang w:eastAsia="zh-CN"/>
              </w:rPr>
            </w:pPr>
          </w:p>
          <w:p w14:paraId="098DF7CB">
            <w:pPr>
              <w:widowControl w:val="0"/>
              <w:spacing w:beforeAutospacing="0" w:afterAutospacing="0" w:line="360" w:lineRule="auto"/>
              <w:jc w:val="left"/>
              <w:rPr>
                <w:rFonts w:eastAsia="宋体"/>
                <w:lang w:eastAsia="zh-CN"/>
              </w:rPr>
            </w:pPr>
          </w:p>
          <w:p w14:paraId="67A00942">
            <w:pPr>
              <w:widowControl w:val="0"/>
              <w:spacing w:beforeAutospacing="0" w:afterAutospacing="0" w:line="360" w:lineRule="auto"/>
              <w:jc w:val="left"/>
              <w:rPr>
                <w:rFonts w:eastAsia="宋体"/>
                <w:lang w:eastAsia="zh-CN"/>
              </w:rPr>
            </w:pPr>
          </w:p>
          <w:p w14:paraId="1D18D0D4">
            <w:pPr>
              <w:widowControl w:val="0"/>
              <w:spacing w:beforeAutospacing="0" w:afterAutospacing="0" w:line="360" w:lineRule="auto"/>
              <w:jc w:val="left"/>
              <w:rPr>
                <w:rFonts w:eastAsia="宋体"/>
                <w:lang w:eastAsia="zh-CN"/>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402557D0">
            <w:pPr>
              <w:widowControl w:val="0"/>
              <w:jc w:val="center"/>
              <w:rPr>
                <w:rFonts w:eastAsia="宋体"/>
                <w:kern w:val="2"/>
                <w:sz w:val="21"/>
                <w:lang w:eastAsia="zh-CN"/>
              </w:rPr>
            </w:pPr>
            <w:r>
              <w:rPr>
                <w:rFonts w:hint="eastAsia" w:eastAsia="宋体" w:cs="宋体"/>
                <w:kern w:val="2"/>
                <w:sz w:val="21"/>
                <w:lang w:eastAsia="zh-CN" w:bidi="ar"/>
              </w:rPr>
              <w:t>证件扫描件反面</w:t>
            </w:r>
          </w:p>
          <w:p w14:paraId="13494C02">
            <w:pPr>
              <w:widowControl w:val="0"/>
              <w:spacing w:beforeAutospacing="0" w:after="120" w:afterAutospacing="0"/>
              <w:jc w:val="center"/>
              <w:rPr>
                <w:rFonts w:eastAsia="宋体"/>
                <w:lang w:eastAsia="zh-CN"/>
              </w:rPr>
            </w:pPr>
          </w:p>
          <w:p w14:paraId="1148E546">
            <w:pPr>
              <w:widowControl w:val="0"/>
              <w:spacing w:beforeAutospacing="0" w:afterAutospacing="0" w:line="360" w:lineRule="auto"/>
              <w:jc w:val="center"/>
              <w:rPr>
                <w:rFonts w:eastAsia="宋体"/>
                <w:lang w:eastAsia="zh-CN"/>
              </w:rPr>
            </w:pPr>
          </w:p>
        </w:tc>
      </w:tr>
    </w:tbl>
    <w:p w14:paraId="2FB31509">
      <w:pPr>
        <w:widowControl w:val="0"/>
        <w:spacing w:beforeAutospacing="1" w:afterAutospacing="1"/>
        <w:jc w:val="left"/>
        <w:rPr>
          <w:rFonts w:eastAsia="宋体"/>
          <w:szCs w:val="22"/>
          <w:lang w:eastAsia="zh-CN"/>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1B6FDD18">
      <w:pPr>
        <w:widowControl w:val="0"/>
        <w:jc w:val="both"/>
        <w:rPr>
          <w:rFonts w:eastAsia="宋体"/>
          <w:kern w:val="2"/>
          <w:lang w:eastAsia="zh-CN"/>
        </w:rPr>
      </w:pPr>
    </w:p>
    <w:p w14:paraId="21B2DE7D">
      <w:pPr>
        <w:widowControl w:val="0"/>
        <w:jc w:val="both"/>
        <w:rPr>
          <w:rFonts w:ascii="黑体" w:hAnsi="宋体" w:eastAsia="黑体" w:cs="黑体"/>
          <w:bCs/>
          <w:kern w:val="2"/>
          <w:szCs w:val="32"/>
          <w:lang w:eastAsia="zh-CN"/>
        </w:rPr>
      </w:pPr>
      <w:r>
        <w:rPr>
          <w:rFonts w:hint="eastAsia" w:ascii="黑体" w:hAnsi="宋体" w:eastAsia="黑体" w:cs="黑体"/>
          <w:bCs/>
          <w:kern w:val="2"/>
          <w:szCs w:val="32"/>
          <w:lang w:eastAsia="zh-CN"/>
        </w:rPr>
        <w:br w:type="page"/>
      </w:r>
    </w:p>
    <w:p w14:paraId="7A760013">
      <w:pPr>
        <w:widowControl/>
        <w:spacing w:before="120" w:after="120"/>
        <w:jc w:val="center"/>
        <w:outlineLvl w:val="2"/>
        <w:rPr>
          <w:rFonts w:ascii="黑体" w:hAnsi="宋体" w:eastAsia="黑体" w:cs="黑体"/>
          <w:kern w:val="2"/>
          <w:szCs w:val="32"/>
          <w:lang w:eastAsia="zh-CN"/>
        </w:rPr>
      </w:pPr>
      <w:r>
        <w:rPr>
          <w:rFonts w:hint="eastAsia" w:ascii="黑体" w:hAnsi="宋体" w:eastAsia="黑体" w:cs="黑体"/>
          <w:kern w:val="2"/>
          <w:szCs w:val="32"/>
          <w:lang w:eastAsia="zh-CN"/>
        </w:rPr>
        <w:t>七、投标文件签署授权委托书</w:t>
      </w:r>
    </w:p>
    <w:p w14:paraId="7DDCF4DE">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本授权委托书声明：我</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（姓名）系</w:t>
      </w:r>
      <w:r>
        <w:rPr>
          <w:rFonts w:eastAsia="宋体"/>
          <w:kern w:val="2"/>
          <w:sz w:val="21"/>
          <w:szCs w:val="21"/>
          <w:u w:val="single"/>
          <w:lang w:eastAsia="zh-CN" w:bidi="ar"/>
        </w:rPr>
        <w:t xml:space="preserve">             </w:t>
      </w:r>
      <w:r>
        <w:rPr>
          <w:rFonts w:hint="eastAsia" w:eastAsia="宋体" w:cs="宋体"/>
          <w:kern w:val="2"/>
          <w:sz w:val="21"/>
          <w:szCs w:val="21"/>
          <w:lang w:eastAsia="zh-CN" w:bidi="ar"/>
        </w:rPr>
        <w:t>（投标人名称）的法定代表人（负责人），现授权委托</w:t>
      </w:r>
      <w:r>
        <w:rPr>
          <w:rFonts w:eastAsia="宋体"/>
          <w:kern w:val="2"/>
          <w:sz w:val="21"/>
          <w:szCs w:val="21"/>
          <w:u w:val="single"/>
          <w:lang w:eastAsia="zh-CN" w:bidi="ar"/>
        </w:rPr>
        <w:t xml:space="preserve">            </w:t>
      </w:r>
      <w:r>
        <w:rPr>
          <w:rFonts w:hint="eastAsia" w:eastAsia="宋体" w:cs="宋体"/>
          <w:kern w:val="2"/>
          <w:sz w:val="21"/>
          <w:szCs w:val="21"/>
          <w:lang w:eastAsia="zh-CN" w:bidi="ar"/>
        </w:rPr>
        <w:t>（姓名）为我单位签署本项目已递交的投标文件的法定代表人（负责人）的授权委托代理人，代理人全权代表我所签署的本项目已递交的投标文件内容我均承认。</w:t>
      </w:r>
    </w:p>
    <w:p w14:paraId="76D73309">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代理人无转委托权，特此委托。</w:t>
      </w:r>
    </w:p>
    <w:p w14:paraId="6E8419C7">
      <w:pPr>
        <w:widowControl w:val="0"/>
        <w:spacing w:line="360" w:lineRule="auto"/>
        <w:ind w:firstLine="420" w:firstLineChars="200"/>
        <w:jc w:val="both"/>
        <w:rPr>
          <w:rFonts w:eastAsia="宋体"/>
          <w:kern w:val="2"/>
          <w:sz w:val="21"/>
          <w:szCs w:val="21"/>
          <w:lang w:eastAsia="zh-CN"/>
        </w:rPr>
      </w:pPr>
    </w:p>
    <w:p w14:paraId="78F20C51">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代理人：</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72FB984A">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身份证件号：</w:t>
      </w:r>
      <w:r>
        <w:rPr>
          <w:rFonts w:eastAsia="宋体"/>
          <w:kern w:val="2"/>
          <w:sz w:val="21"/>
          <w:szCs w:val="21"/>
          <w:u w:val="single"/>
          <w:lang w:eastAsia="zh-CN" w:bidi="ar"/>
        </w:rPr>
        <w:t xml:space="preserve">                        </w:t>
      </w:r>
      <w:r>
        <w:rPr>
          <w:rFonts w:hint="eastAsia" w:eastAsia="宋体" w:cs="宋体"/>
          <w:kern w:val="2"/>
          <w:sz w:val="21"/>
          <w:szCs w:val="21"/>
          <w:lang w:eastAsia="zh-CN" w:bidi="ar"/>
        </w:rPr>
        <w:t>，职务：</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0D647FDD">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联系电话：</w:t>
      </w:r>
      <w:r>
        <w:rPr>
          <w:rFonts w:eastAsia="宋体"/>
          <w:kern w:val="2"/>
          <w:sz w:val="21"/>
          <w:szCs w:val="21"/>
          <w:u w:val="single"/>
          <w:lang w:eastAsia="zh-CN" w:bidi="ar"/>
        </w:rPr>
        <w:t xml:space="preserve">         </w:t>
      </w:r>
      <w:r>
        <w:rPr>
          <w:rFonts w:hint="eastAsia" w:eastAsia="宋体" w:cs="宋体"/>
          <w:kern w:val="2"/>
          <w:sz w:val="21"/>
          <w:szCs w:val="21"/>
          <w:lang w:eastAsia="zh-CN" w:bidi="ar"/>
        </w:rPr>
        <w:t>，手机：</w:t>
      </w:r>
      <w:r>
        <w:rPr>
          <w:rFonts w:eastAsia="宋体"/>
          <w:kern w:val="2"/>
          <w:sz w:val="21"/>
          <w:szCs w:val="21"/>
          <w:u w:val="single"/>
          <w:lang w:eastAsia="zh-CN" w:bidi="ar"/>
        </w:rPr>
        <w:t xml:space="preserve">                </w:t>
      </w:r>
      <w:r>
        <w:rPr>
          <w:rFonts w:hint="eastAsia" w:eastAsia="宋体" w:cs="宋体"/>
          <w:kern w:val="2"/>
          <w:sz w:val="21"/>
          <w:szCs w:val="21"/>
          <w:lang w:eastAsia="zh-CN" w:bidi="ar"/>
        </w:rPr>
        <w:t>，电子邮箱：</w:t>
      </w:r>
      <w:r>
        <w:rPr>
          <w:rFonts w:eastAsia="宋体"/>
          <w:kern w:val="2"/>
          <w:sz w:val="21"/>
          <w:szCs w:val="21"/>
          <w:u w:val="single"/>
          <w:lang w:eastAsia="zh-CN" w:bidi="ar"/>
        </w:rPr>
        <w:t xml:space="preserve">                     </w:t>
      </w:r>
      <w:r>
        <w:rPr>
          <w:rFonts w:hint="eastAsia" w:eastAsia="宋体" w:cs="宋体"/>
          <w:kern w:val="2"/>
          <w:sz w:val="21"/>
          <w:szCs w:val="21"/>
          <w:lang w:eastAsia="zh-CN" w:bidi="ar"/>
        </w:rPr>
        <w:t>；</w:t>
      </w:r>
    </w:p>
    <w:p w14:paraId="098A1538">
      <w:pPr>
        <w:widowControl w:val="0"/>
        <w:spacing w:line="360" w:lineRule="auto"/>
        <w:ind w:firstLine="420" w:firstLineChars="200"/>
        <w:jc w:val="both"/>
        <w:rPr>
          <w:rFonts w:eastAsia="宋体"/>
          <w:kern w:val="2"/>
          <w:sz w:val="21"/>
          <w:szCs w:val="21"/>
          <w:lang w:eastAsia="zh-CN"/>
        </w:rPr>
      </w:pPr>
      <w:r>
        <w:rPr>
          <w:rFonts w:hint="eastAsia" w:eastAsia="宋体" w:cs="宋体"/>
          <w:kern w:val="2"/>
          <w:sz w:val="21"/>
          <w:szCs w:val="21"/>
          <w:lang w:eastAsia="zh-CN" w:bidi="ar"/>
        </w:rPr>
        <w:t>授权委托日期：</w:t>
      </w:r>
      <w:r>
        <w:rPr>
          <w:rFonts w:eastAsia="宋体"/>
          <w:kern w:val="2"/>
          <w:sz w:val="21"/>
          <w:szCs w:val="21"/>
          <w:u w:val="single"/>
          <w:lang w:eastAsia="zh-CN" w:bidi="ar"/>
        </w:rPr>
        <w:t xml:space="preserve">         </w:t>
      </w:r>
      <w:r>
        <w:rPr>
          <w:rFonts w:hint="eastAsia" w:eastAsia="宋体" w:cs="宋体"/>
          <w:kern w:val="2"/>
          <w:sz w:val="21"/>
          <w:szCs w:val="21"/>
          <w:lang w:eastAsia="zh-CN" w:bidi="ar"/>
        </w:rPr>
        <w:t>年</w:t>
      </w:r>
      <w:r>
        <w:rPr>
          <w:rFonts w:eastAsia="宋体"/>
          <w:kern w:val="2"/>
          <w:sz w:val="21"/>
          <w:szCs w:val="21"/>
          <w:u w:val="single"/>
          <w:lang w:eastAsia="zh-CN" w:bidi="ar"/>
        </w:rPr>
        <w:t xml:space="preserve">     </w:t>
      </w:r>
      <w:r>
        <w:rPr>
          <w:rFonts w:hint="eastAsia" w:eastAsia="宋体" w:cs="宋体"/>
          <w:kern w:val="2"/>
          <w:sz w:val="21"/>
          <w:szCs w:val="21"/>
          <w:lang w:eastAsia="zh-CN" w:bidi="ar"/>
        </w:rPr>
        <w:t>月</w:t>
      </w:r>
      <w:r>
        <w:rPr>
          <w:rFonts w:eastAsia="宋体"/>
          <w:kern w:val="2"/>
          <w:sz w:val="21"/>
          <w:szCs w:val="21"/>
          <w:lang w:eastAsia="zh-CN" w:bidi="ar"/>
        </w:rPr>
        <w:t xml:space="preserve"> </w:t>
      </w:r>
      <w:r>
        <w:rPr>
          <w:rFonts w:eastAsia="宋体"/>
          <w:kern w:val="2"/>
          <w:sz w:val="21"/>
          <w:szCs w:val="21"/>
          <w:u w:val="single"/>
          <w:lang w:eastAsia="zh-CN" w:bidi="ar"/>
        </w:rPr>
        <w:t xml:space="preserve">      </w:t>
      </w:r>
      <w:r>
        <w:rPr>
          <w:rFonts w:hint="eastAsia" w:eastAsia="宋体" w:cs="宋体"/>
          <w:kern w:val="2"/>
          <w:sz w:val="21"/>
          <w:szCs w:val="21"/>
          <w:lang w:eastAsia="zh-CN" w:bidi="ar"/>
        </w:rPr>
        <w:t>日。</w:t>
      </w:r>
    </w:p>
    <w:p w14:paraId="6FFA14C2">
      <w:pPr>
        <w:widowControl w:val="0"/>
        <w:spacing w:line="360" w:lineRule="auto"/>
        <w:jc w:val="both"/>
        <w:rPr>
          <w:rFonts w:eastAsia="宋体"/>
          <w:b/>
          <w:color w:val="FF0000"/>
          <w:kern w:val="2"/>
          <w:sz w:val="21"/>
          <w:szCs w:val="21"/>
          <w:lang w:eastAsia="zh-CN"/>
        </w:rPr>
      </w:pPr>
      <w:r>
        <w:rPr>
          <w:rFonts w:hint="eastAsia" w:eastAsia="宋体" w:cs="宋体"/>
          <w:b/>
          <w:color w:val="FF0000"/>
          <w:kern w:val="2"/>
          <w:sz w:val="21"/>
          <w:szCs w:val="21"/>
          <w:lang w:eastAsia="zh-CN" w:bidi="ar"/>
        </w:rPr>
        <w:t>附：请提供代理人身份证扫描件（正反两面）；港澳台居民可提供来往通行证扫描件；非中国国籍管辖范围人员，可提供公安部门认可的身份证明材料扫描件。</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4645"/>
      </w:tblGrid>
      <w:tr w14:paraId="7C66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Borders>
              <w:top w:val="single" w:color="auto" w:sz="4" w:space="0"/>
              <w:left w:val="single" w:color="auto" w:sz="4" w:space="0"/>
              <w:bottom w:val="single" w:color="auto" w:sz="4" w:space="0"/>
              <w:right w:val="single" w:color="auto" w:sz="4" w:space="0"/>
            </w:tcBorders>
            <w:shd w:val="clear" w:color="auto" w:fill="auto"/>
          </w:tcPr>
          <w:p w14:paraId="67B0B8A1">
            <w:pPr>
              <w:widowControl w:val="0"/>
              <w:jc w:val="center"/>
              <w:rPr>
                <w:rFonts w:eastAsia="宋体"/>
                <w:kern w:val="2"/>
                <w:sz w:val="21"/>
                <w:lang w:eastAsia="zh-CN"/>
              </w:rPr>
            </w:pPr>
            <w:r>
              <w:rPr>
                <w:rFonts w:hint="eastAsia" w:eastAsia="宋体" w:cs="宋体"/>
                <w:kern w:val="2"/>
                <w:sz w:val="21"/>
                <w:lang w:eastAsia="zh-CN" w:bidi="ar"/>
              </w:rPr>
              <w:t>证件扫描件正面</w:t>
            </w:r>
          </w:p>
          <w:p w14:paraId="2436F3FF">
            <w:pPr>
              <w:widowControl w:val="0"/>
              <w:spacing w:beforeAutospacing="0" w:after="120" w:afterAutospacing="0"/>
              <w:jc w:val="left"/>
              <w:rPr>
                <w:rFonts w:eastAsia="宋体"/>
                <w:lang w:eastAsia="zh-CN"/>
              </w:rPr>
            </w:pPr>
          </w:p>
          <w:p w14:paraId="0B0D15BE">
            <w:pPr>
              <w:widowControl w:val="0"/>
              <w:spacing w:beforeAutospacing="0" w:afterAutospacing="0" w:line="360" w:lineRule="auto"/>
              <w:jc w:val="left"/>
              <w:rPr>
                <w:rFonts w:eastAsia="宋体"/>
                <w:lang w:eastAsia="zh-CN"/>
              </w:rPr>
            </w:pPr>
          </w:p>
          <w:p w14:paraId="7432AEEF">
            <w:pPr>
              <w:widowControl w:val="0"/>
              <w:spacing w:beforeAutospacing="0" w:afterAutospacing="0" w:line="360" w:lineRule="auto"/>
              <w:jc w:val="left"/>
              <w:rPr>
                <w:rFonts w:eastAsia="宋体"/>
                <w:lang w:eastAsia="zh-CN"/>
              </w:rPr>
            </w:pPr>
          </w:p>
          <w:p w14:paraId="077A7518">
            <w:pPr>
              <w:widowControl w:val="0"/>
              <w:spacing w:beforeAutospacing="0" w:afterAutospacing="0" w:line="360" w:lineRule="auto"/>
              <w:jc w:val="left"/>
              <w:rPr>
                <w:rFonts w:eastAsia="宋体"/>
                <w:lang w:eastAsia="zh-CN"/>
              </w:rPr>
            </w:pPr>
          </w:p>
        </w:tc>
        <w:tc>
          <w:tcPr>
            <w:tcW w:w="4265" w:type="dxa"/>
            <w:tcBorders>
              <w:top w:val="single" w:color="auto" w:sz="4" w:space="0"/>
              <w:left w:val="single" w:color="auto" w:sz="4" w:space="0"/>
              <w:bottom w:val="single" w:color="auto" w:sz="4" w:space="0"/>
              <w:right w:val="single" w:color="auto" w:sz="4" w:space="0"/>
            </w:tcBorders>
            <w:shd w:val="clear" w:color="auto" w:fill="auto"/>
          </w:tcPr>
          <w:p w14:paraId="22F93D57">
            <w:pPr>
              <w:widowControl w:val="0"/>
              <w:jc w:val="center"/>
              <w:rPr>
                <w:rFonts w:eastAsia="宋体"/>
                <w:kern w:val="2"/>
                <w:sz w:val="21"/>
                <w:lang w:eastAsia="zh-CN"/>
              </w:rPr>
            </w:pPr>
            <w:r>
              <w:rPr>
                <w:rFonts w:hint="eastAsia" w:eastAsia="宋体" w:cs="宋体"/>
                <w:kern w:val="2"/>
                <w:sz w:val="21"/>
                <w:lang w:eastAsia="zh-CN" w:bidi="ar"/>
              </w:rPr>
              <w:t>证件扫描件反面</w:t>
            </w:r>
          </w:p>
          <w:p w14:paraId="1CFA5A26">
            <w:pPr>
              <w:widowControl w:val="0"/>
              <w:spacing w:beforeAutospacing="0" w:after="120" w:afterAutospacing="0"/>
              <w:jc w:val="center"/>
              <w:rPr>
                <w:rFonts w:eastAsia="宋体"/>
                <w:lang w:eastAsia="zh-CN"/>
              </w:rPr>
            </w:pPr>
          </w:p>
          <w:p w14:paraId="2C5E67A8">
            <w:pPr>
              <w:widowControl w:val="0"/>
              <w:spacing w:beforeAutospacing="0" w:afterAutospacing="0" w:line="360" w:lineRule="auto"/>
              <w:jc w:val="center"/>
              <w:rPr>
                <w:rFonts w:eastAsia="宋体"/>
                <w:lang w:eastAsia="zh-CN"/>
              </w:rPr>
            </w:pPr>
          </w:p>
        </w:tc>
      </w:tr>
    </w:tbl>
    <w:p w14:paraId="019DB03A">
      <w:pPr>
        <w:widowControl w:val="0"/>
        <w:spacing w:beforeAutospacing="1" w:afterAutospacing="1"/>
        <w:jc w:val="left"/>
        <w:rPr>
          <w:rFonts w:eastAsia="宋体"/>
          <w:szCs w:val="22"/>
          <w:lang w:eastAsia="zh-CN"/>
        </w:rPr>
      </w:pPr>
      <w:r>
        <w:rPr>
          <w:rFonts w:hint="eastAsia" w:ascii="黑体" w:hAnsi="宋体" w:eastAsia="黑体" w:cs="黑体"/>
          <w:b/>
          <w:bCs/>
          <w:lang w:eastAsia="zh-CN" w:bidi="ar"/>
        </w:rPr>
        <w:t>温馨提示</w:t>
      </w:r>
      <w:r>
        <w:rPr>
          <w:rFonts w:hint="eastAsia" w:ascii="黑体" w:hAnsi="宋体" w:eastAsia="黑体" w:cs="黑体"/>
          <w:lang w:eastAsia="zh-CN" w:bidi="ar"/>
        </w:rPr>
        <w:t>：</w:t>
      </w:r>
      <w:r>
        <w:rPr>
          <w:rFonts w:hint="eastAsia" w:eastAsia="宋体" w:cs="宋体"/>
          <w:sz w:val="21"/>
          <w:szCs w:val="21"/>
          <w:lang w:eastAsia="zh-CN" w:bidi="ar"/>
        </w:rPr>
        <w:t>为避免出现《深圳经济特区政府采购条例实施细则》第七十五条第二项所列情形，请投标供应商核实贵单位法定代表人、本项目投标授权代表人、项目负责人（如有）、主要技术人员（如有）等是否在贵单位缴纳社会保险。</w:t>
      </w:r>
    </w:p>
    <w:p w14:paraId="653812A8">
      <w:pPr>
        <w:widowControl w:val="0"/>
        <w:jc w:val="both"/>
        <w:rPr>
          <w:rFonts w:eastAsia="宋体"/>
          <w:kern w:val="2"/>
          <w:sz w:val="21"/>
          <w:lang w:eastAsia="zh-CN"/>
        </w:rPr>
      </w:pPr>
    </w:p>
    <w:p w14:paraId="1AE9BA67">
      <w:pPr>
        <w:widowControl w:val="0"/>
        <w:spacing w:line="360" w:lineRule="auto"/>
        <w:jc w:val="both"/>
        <w:rPr>
          <w:rFonts w:hAnsi="宋体" w:eastAsia="宋体"/>
          <w:b/>
          <w:bCs/>
          <w:kern w:val="2"/>
          <w:lang w:eastAsia="zh-CN"/>
        </w:rPr>
      </w:pPr>
      <w:r>
        <w:rPr>
          <w:rFonts w:eastAsia="宋体"/>
          <w:b/>
          <w:bCs/>
          <w:kern w:val="2"/>
          <w:lang w:eastAsia="zh-CN"/>
        </w:rPr>
        <w:br w:type="page"/>
      </w:r>
    </w:p>
    <w:p w14:paraId="2AE04B27">
      <w:pPr>
        <w:widowControl w:val="0"/>
        <w:spacing w:before="260" w:after="260"/>
        <w:jc w:val="center"/>
        <w:outlineLvl w:val="2"/>
        <w:rPr>
          <w:rFonts w:ascii="黑体" w:hAnsi="宋体" w:eastAsia="黑体"/>
          <w:lang w:eastAsia="zh-CN"/>
        </w:rPr>
      </w:pPr>
      <w:r>
        <w:rPr>
          <w:rFonts w:hint="eastAsia" w:ascii="黑体" w:hAnsi="宋体" w:eastAsia="黑体"/>
          <w:lang w:eastAsia="zh-CN"/>
        </w:rPr>
        <w:t>八、</w:t>
      </w:r>
      <w:bookmarkStart w:id="51" w:name="_Hlk72092634"/>
      <w:r>
        <w:rPr>
          <w:rFonts w:hint="eastAsia" w:ascii="黑体" w:hAnsi="宋体" w:eastAsia="黑体"/>
          <w:lang w:eastAsia="zh-CN"/>
        </w:rPr>
        <w:t>实质性条款响应情况表</w:t>
      </w:r>
      <w:bookmarkEnd w:id="51"/>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3359"/>
        <w:gridCol w:w="2907"/>
        <w:gridCol w:w="1352"/>
        <w:gridCol w:w="912"/>
      </w:tblGrid>
      <w:tr w14:paraId="53043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332D1898">
            <w:pPr>
              <w:widowControl w:val="0"/>
              <w:adjustRightInd w:val="0"/>
              <w:snapToGrid w:val="0"/>
              <w:spacing w:line="360" w:lineRule="auto"/>
              <w:jc w:val="center"/>
              <w:rPr>
                <w:rFonts w:ascii="宋体" w:hAnsi="宋体" w:eastAsia="宋体" w:cs="宋体"/>
                <w:sz w:val="21"/>
                <w:szCs w:val="21"/>
                <w:lang w:eastAsia="zh-CN"/>
              </w:rPr>
            </w:pPr>
            <w:bookmarkStart w:id="52" w:name="_Hlk72092651"/>
            <w:r>
              <w:rPr>
                <w:rFonts w:hint="eastAsia" w:ascii="宋体" w:hAnsi="宋体" w:eastAsia="宋体" w:cs="宋体"/>
                <w:sz w:val="21"/>
                <w:szCs w:val="21"/>
                <w:lang w:eastAsia="zh-CN" w:bidi="ar"/>
              </w:rPr>
              <w:t>序号</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14:paraId="424A587D">
            <w:pPr>
              <w:widowControl w:val="0"/>
              <w:adjustRightInd w:val="0"/>
              <w:snapToGrid w:val="0"/>
              <w:spacing w:line="360" w:lineRule="auto"/>
              <w:jc w:val="center"/>
              <w:rPr>
                <w:rFonts w:ascii="宋体" w:hAnsi="宋体" w:eastAsia="宋体" w:cs="宋体"/>
                <w:sz w:val="21"/>
                <w:szCs w:val="21"/>
                <w:lang w:eastAsia="zh-CN"/>
              </w:rPr>
            </w:pPr>
            <w:r>
              <w:rPr>
                <w:rFonts w:hint="eastAsia" w:ascii="宋体" w:hAnsi="宋体" w:eastAsia="宋体" w:cs="宋体"/>
                <w:sz w:val="21"/>
                <w:szCs w:val="21"/>
                <w:lang w:eastAsia="zh-CN" w:bidi="ar"/>
              </w:rPr>
              <w:t>实质性条款具体内容</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6D389C92">
            <w:pPr>
              <w:widowControl w:val="0"/>
              <w:adjustRightInd w:val="0"/>
              <w:snapToGrid w:val="0"/>
              <w:spacing w:line="360" w:lineRule="auto"/>
              <w:jc w:val="center"/>
              <w:rPr>
                <w:rFonts w:ascii="宋体" w:hAnsi="宋体" w:eastAsia="宋体" w:cs="宋体"/>
                <w:sz w:val="21"/>
                <w:szCs w:val="21"/>
                <w:lang w:eastAsia="zh-CN"/>
              </w:rPr>
            </w:pPr>
            <w:r>
              <w:rPr>
                <w:rFonts w:hint="eastAsia" w:eastAsia="宋体" w:cs="宋体"/>
                <w:kern w:val="2"/>
                <w:sz w:val="21"/>
                <w:lang w:eastAsia="zh-CN" w:bidi="ar"/>
              </w:rPr>
              <w:t>投标响应</w:t>
            </w:r>
          </w:p>
        </w:tc>
        <w:tc>
          <w:tcPr>
            <w:tcW w:w="1256" w:type="dxa"/>
            <w:tcBorders>
              <w:top w:val="single" w:color="auto" w:sz="4" w:space="0"/>
              <w:left w:val="single" w:color="auto" w:sz="4" w:space="0"/>
              <w:bottom w:val="single" w:color="auto" w:sz="4" w:space="0"/>
              <w:right w:val="single" w:color="auto" w:sz="4" w:space="0"/>
            </w:tcBorders>
            <w:shd w:val="clear" w:color="auto" w:fill="auto"/>
            <w:vAlign w:val="center"/>
          </w:tcPr>
          <w:p w14:paraId="42EC3A77">
            <w:pPr>
              <w:widowControl w:val="0"/>
              <w:adjustRightInd w:val="0"/>
              <w:snapToGrid w:val="0"/>
              <w:spacing w:line="360" w:lineRule="auto"/>
              <w:jc w:val="center"/>
              <w:rPr>
                <w:rFonts w:ascii="宋体" w:hAnsi="宋体" w:eastAsia="宋体" w:cs="宋体"/>
                <w:sz w:val="21"/>
                <w:szCs w:val="21"/>
                <w:lang w:eastAsia="zh-CN"/>
              </w:rPr>
            </w:pPr>
            <w:r>
              <w:rPr>
                <w:rFonts w:hint="eastAsia" w:eastAsia="宋体" w:cs="宋体"/>
                <w:kern w:val="2"/>
                <w:sz w:val="21"/>
                <w:lang w:eastAsia="zh-CN" w:bidi="ar"/>
              </w:rPr>
              <w:t>偏离情况</w:t>
            </w:r>
          </w:p>
        </w:tc>
        <w:tc>
          <w:tcPr>
            <w:tcW w:w="847" w:type="dxa"/>
            <w:tcBorders>
              <w:top w:val="single" w:color="auto" w:sz="4" w:space="0"/>
              <w:left w:val="single" w:color="auto" w:sz="4" w:space="0"/>
              <w:bottom w:val="single" w:color="auto" w:sz="4" w:space="0"/>
              <w:right w:val="single" w:color="auto" w:sz="4" w:space="0"/>
            </w:tcBorders>
            <w:shd w:val="clear" w:color="auto" w:fill="auto"/>
            <w:vAlign w:val="center"/>
          </w:tcPr>
          <w:p w14:paraId="154D9285">
            <w:pPr>
              <w:widowControl w:val="0"/>
              <w:adjustRightInd w:val="0"/>
              <w:snapToGrid w:val="0"/>
              <w:spacing w:line="360" w:lineRule="auto"/>
              <w:jc w:val="center"/>
              <w:rPr>
                <w:rFonts w:ascii="宋体" w:hAnsi="宋体" w:eastAsia="宋体" w:cs="宋体"/>
                <w:sz w:val="21"/>
                <w:szCs w:val="21"/>
                <w:lang w:eastAsia="zh-CN"/>
              </w:rPr>
            </w:pPr>
            <w:r>
              <w:rPr>
                <w:rFonts w:hint="eastAsia" w:eastAsia="宋体" w:cs="宋体"/>
                <w:kern w:val="2"/>
                <w:sz w:val="21"/>
                <w:lang w:eastAsia="zh-CN" w:bidi="ar"/>
              </w:rPr>
              <w:t>说明</w:t>
            </w:r>
          </w:p>
        </w:tc>
      </w:tr>
      <w:bookmarkEnd w:id="52"/>
      <w:tr w14:paraId="5841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Borders>
              <w:top w:val="single" w:color="auto" w:sz="4" w:space="0"/>
              <w:left w:val="single" w:color="auto" w:sz="4" w:space="0"/>
              <w:bottom w:val="single" w:color="auto" w:sz="4" w:space="0"/>
              <w:right w:val="single" w:color="auto" w:sz="4" w:space="0"/>
            </w:tcBorders>
            <w:shd w:val="clear" w:color="auto" w:fill="auto"/>
          </w:tcPr>
          <w:p w14:paraId="74189A2C">
            <w:pPr>
              <w:widowControl w:val="0"/>
              <w:adjustRightInd w:val="0"/>
              <w:snapToGrid w:val="0"/>
              <w:spacing w:line="360" w:lineRule="auto"/>
              <w:jc w:val="center"/>
              <w:rPr>
                <w:rFonts w:ascii="宋体" w:hAnsi="宋体" w:eastAsia="宋体" w:cs="宋体"/>
                <w:sz w:val="21"/>
                <w:szCs w:val="21"/>
                <w:lang w:eastAsia="zh-CN"/>
              </w:rPr>
            </w:pPr>
            <w:r>
              <w:rPr>
                <w:rFonts w:hint="eastAsia" w:ascii="宋体" w:hAnsi="宋体" w:eastAsia="宋体" w:cs="宋体"/>
                <w:sz w:val="21"/>
                <w:szCs w:val="21"/>
                <w:lang w:eastAsia="zh-CN" w:bidi="ar"/>
              </w:rPr>
              <w:t>1</w:t>
            </w:r>
          </w:p>
        </w:tc>
        <w:tc>
          <w:tcPr>
            <w:tcW w:w="3120" w:type="dxa"/>
            <w:tcBorders>
              <w:top w:val="single" w:color="auto" w:sz="4" w:space="0"/>
              <w:left w:val="single" w:color="auto" w:sz="4" w:space="0"/>
              <w:bottom w:val="single" w:color="auto" w:sz="4" w:space="0"/>
              <w:right w:val="single" w:color="auto" w:sz="4" w:space="0"/>
            </w:tcBorders>
            <w:shd w:val="clear" w:color="auto" w:fill="auto"/>
            <w:vAlign w:val="center"/>
          </w:tcPr>
          <w:p w14:paraId="646707F6">
            <w:pPr>
              <w:widowControl w:val="0"/>
              <w:adjustRightInd w:val="0"/>
              <w:snapToGrid w:val="0"/>
              <w:spacing w:line="360" w:lineRule="auto"/>
              <w:jc w:val="center"/>
              <w:rPr>
                <w:rFonts w:hAnsi="宋体" w:eastAsia="宋体"/>
                <w:sz w:val="21"/>
                <w:szCs w:val="21"/>
                <w:lang w:eastAsia="zh-CN"/>
              </w:rPr>
            </w:pPr>
            <w:r>
              <w:rPr>
                <w:rFonts w:hAnsi="宋体" w:eastAsia="宋体"/>
                <w:sz w:val="21"/>
                <w:szCs w:val="21"/>
                <w:lang w:eastAsia="zh-CN"/>
              </w:rPr>
              <w:t>满足本项目标★的条款要求。</w:t>
            </w:r>
          </w:p>
        </w:tc>
        <w:tc>
          <w:tcPr>
            <w:tcW w:w="2700" w:type="dxa"/>
            <w:tcBorders>
              <w:top w:val="single" w:color="auto" w:sz="4" w:space="0"/>
              <w:left w:val="single" w:color="auto" w:sz="4" w:space="0"/>
              <w:bottom w:val="single" w:color="auto" w:sz="4" w:space="0"/>
              <w:right w:val="single" w:color="auto" w:sz="4" w:space="0"/>
            </w:tcBorders>
            <w:shd w:val="clear" w:color="auto" w:fill="auto"/>
          </w:tcPr>
          <w:p w14:paraId="42C80841">
            <w:pPr>
              <w:widowControl w:val="0"/>
              <w:adjustRightInd w:val="0"/>
              <w:snapToGrid w:val="0"/>
              <w:spacing w:line="360" w:lineRule="auto"/>
              <w:jc w:val="both"/>
              <w:rPr>
                <w:rFonts w:ascii="宋体" w:hAnsi="宋体" w:eastAsia="宋体" w:cs="宋体"/>
                <w:sz w:val="21"/>
                <w:szCs w:val="21"/>
                <w:lang w:eastAsia="zh-CN"/>
              </w:rPr>
            </w:pPr>
          </w:p>
        </w:tc>
        <w:tc>
          <w:tcPr>
            <w:tcW w:w="1256" w:type="dxa"/>
            <w:tcBorders>
              <w:top w:val="single" w:color="auto" w:sz="4" w:space="0"/>
              <w:left w:val="single" w:color="auto" w:sz="4" w:space="0"/>
              <w:bottom w:val="single" w:color="auto" w:sz="4" w:space="0"/>
              <w:right w:val="single" w:color="auto" w:sz="4" w:space="0"/>
            </w:tcBorders>
            <w:shd w:val="clear" w:color="auto" w:fill="auto"/>
          </w:tcPr>
          <w:p w14:paraId="4A3EFB76">
            <w:pPr>
              <w:widowControl w:val="0"/>
              <w:adjustRightInd w:val="0"/>
              <w:snapToGrid w:val="0"/>
              <w:spacing w:line="360" w:lineRule="auto"/>
              <w:jc w:val="both"/>
              <w:rPr>
                <w:rFonts w:ascii="宋体" w:hAnsi="宋体" w:eastAsia="宋体" w:cs="宋体"/>
                <w:sz w:val="21"/>
                <w:szCs w:val="21"/>
                <w:lang w:eastAsia="zh-CN"/>
              </w:rPr>
            </w:pPr>
          </w:p>
        </w:tc>
        <w:tc>
          <w:tcPr>
            <w:tcW w:w="847" w:type="dxa"/>
            <w:tcBorders>
              <w:top w:val="single" w:color="auto" w:sz="4" w:space="0"/>
              <w:left w:val="single" w:color="auto" w:sz="4" w:space="0"/>
              <w:bottom w:val="single" w:color="auto" w:sz="4" w:space="0"/>
              <w:right w:val="single" w:color="auto" w:sz="4" w:space="0"/>
            </w:tcBorders>
            <w:shd w:val="clear" w:color="auto" w:fill="auto"/>
          </w:tcPr>
          <w:p w14:paraId="53D957C4">
            <w:pPr>
              <w:widowControl w:val="0"/>
              <w:adjustRightInd w:val="0"/>
              <w:snapToGrid w:val="0"/>
              <w:spacing w:line="360" w:lineRule="auto"/>
              <w:jc w:val="both"/>
              <w:rPr>
                <w:rFonts w:ascii="宋体" w:hAnsi="宋体" w:eastAsia="宋体" w:cs="宋体"/>
                <w:sz w:val="21"/>
                <w:szCs w:val="21"/>
                <w:lang w:eastAsia="zh-CN"/>
              </w:rPr>
            </w:pPr>
          </w:p>
        </w:tc>
      </w:tr>
    </w:tbl>
    <w:p w14:paraId="7C229284">
      <w:pPr>
        <w:widowControl w:val="0"/>
        <w:jc w:val="both"/>
        <w:rPr>
          <w:rFonts w:eastAsia="宋体"/>
          <w:b/>
          <w:kern w:val="2"/>
          <w:szCs w:val="22"/>
          <w:lang w:eastAsia="zh-CN"/>
        </w:rPr>
      </w:pPr>
      <w:r>
        <w:rPr>
          <w:rFonts w:hint="eastAsia" w:eastAsia="宋体" w:cs="宋体"/>
          <w:b/>
          <w:kern w:val="2"/>
          <w:szCs w:val="22"/>
          <w:lang w:eastAsia="zh-CN" w:bidi="ar"/>
        </w:rPr>
        <w:t>注：</w:t>
      </w:r>
      <w:r>
        <w:rPr>
          <w:rFonts w:eastAsia="宋体"/>
          <w:b/>
          <w:kern w:val="2"/>
          <w:szCs w:val="22"/>
          <w:lang w:eastAsia="zh-CN" w:bidi="ar"/>
        </w:rPr>
        <w:t>1.</w:t>
      </w:r>
      <w:r>
        <w:rPr>
          <w:rFonts w:hint="eastAsia" w:eastAsia="宋体" w:cs="宋体"/>
          <w:b/>
          <w:kern w:val="2"/>
          <w:szCs w:val="22"/>
          <w:lang w:eastAsia="zh-CN" w:bidi="ar"/>
        </w:rPr>
        <w:t>上表所列各项均为不可负偏离条款。</w:t>
      </w:r>
    </w:p>
    <w:p w14:paraId="78848E82">
      <w:pPr>
        <w:widowControl w:val="0"/>
        <w:ind w:firstLine="482" w:firstLineChars="200"/>
        <w:jc w:val="both"/>
        <w:rPr>
          <w:rFonts w:eastAsia="宋体"/>
          <w:b/>
          <w:kern w:val="2"/>
          <w:szCs w:val="22"/>
          <w:lang w:eastAsia="zh-CN"/>
        </w:rPr>
      </w:pPr>
      <w:r>
        <w:rPr>
          <w:rFonts w:eastAsia="宋体"/>
          <w:b/>
          <w:kern w:val="2"/>
          <w:szCs w:val="22"/>
          <w:lang w:eastAsia="zh-CN" w:bidi="ar"/>
        </w:rPr>
        <w:t>2.</w:t>
      </w:r>
      <w:r>
        <w:rPr>
          <w:rFonts w:hint="eastAsia" w:eastAsia="宋体" w:cs="宋体"/>
          <w:b/>
          <w:kern w:val="2"/>
          <w:szCs w:val="22"/>
          <w:lang w:eastAsia="zh-CN" w:bidi="ar"/>
        </w:rPr>
        <w:t>“投标响应”一栏应当详细填写投标人自身响应情况，而不能不合理照搬照抄招实质性条款具体内容。</w:t>
      </w:r>
    </w:p>
    <w:p w14:paraId="196145B5">
      <w:pPr>
        <w:widowControl w:val="0"/>
        <w:ind w:firstLine="482" w:firstLineChars="200"/>
        <w:jc w:val="both"/>
        <w:rPr>
          <w:rFonts w:eastAsia="宋体"/>
          <w:b/>
          <w:kern w:val="2"/>
          <w:szCs w:val="22"/>
          <w:lang w:eastAsia="zh-CN"/>
        </w:rPr>
      </w:pPr>
      <w:r>
        <w:rPr>
          <w:rFonts w:eastAsia="宋体"/>
          <w:b/>
          <w:kern w:val="2"/>
          <w:szCs w:val="22"/>
          <w:lang w:eastAsia="zh-CN" w:bidi="ar"/>
        </w:rPr>
        <w:t>3.</w:t>
      </w:r>
      <w:r>
        <w:rPr>
          <w:rFonts w:hint="eastAsia" w:eastAsia="宋体" w:cs="宋体"/>
          <w:b/>
          <w:kern w:val="2"/>
          <w:szCs w:val="22"/>
          <w:lang w:eastAsia="zh-CN" w:bidi="ar"/>
        </w:rPr>
        <w:t>“偏离情况”一栏应填写“正偏离”、“负偏离”或“无偏离”，</w:t>
      </w:r>
      <w:r>
        <w:rPr>
          <w:rFonts w:hint="eastAsia" w:eastAsia="宋体" w:cs="宋体"/>
          <w:b/>
          <w:kern w:val="2"/>
          <w:lang w:eastAsia="zh-CN" w:bidi="ar"/>
        </w:rPr>
        <w:t>“正偏离”表示“投标响应优于实质性条款具体内容要求”，“负偏离”表示“投标响应不满足实质性条款具体内容要求”，“无偏离”表示“投标响应与实质性条款具体内容要求一致”。</w:t>
      </w:r>
    </w:p>
    <w:p w14:paraId="4A9409C5">
      <w:pPr>
        <w:widowControl w:val="0"/>
        <w:ind w:firstLine="482" w:firstLineChars="200"/>
        <w:jc w:val="both"/>
        <w:rPr>
          <w:rFonts w:eastAsia="宋体"/>
          <w:b/>
          <w:kern w:val="2"/>
          <w:lang w:eastAsia="zh-CN"/>
        </w:rPr>
      </w:pPr>
      <w:r>
        <w:rPr>
          <w:rFonts w:eastAsia="宋体"/>
          <w:b/>
          <w:kern w:val="2"/>
          <w:lang w:eastAsia="zh-CN" w:bidi="ar"/>
        </w:rPr>
        <w:t>4.</w:t>
      </w:r>
      <w:r>
        <w:rPr>
          <w:rFonts w:hint="eastAsia" w:eastAsia="宋体" w:cs="宋体"/>
          <w:b/>
          <w:kern w:val="2"/>
          <w:lang w:eastAsia="zh-CN" w:bidi="ar"/>
        </w:rPr>
        <w:t>评审委员会有权对投标响应情况作出判断（作出评审结论）。</w:t>
      </w:r>
    </w:p>
    <w:p w14:paraId="24F7C9B4">
      <w:pPr>
        <w:widowControl w:val="0"/>
        <w:ind w:firstLine="482" w:firstLineChars="200"/>
        <w:jc w:val="both"/>
        <w:rPr>
          <w:rFonts w:eastAsia="宋体"/>
          <w:b/>
          <w:kern w:val="2"/>
          <w:szCs w:val="22"/>
          <w:lang w:eastAsia="zh-CN"/>
        </w:rPr>
      </w:pPr>
      <w:r>
        <w:rPr>
          <w:rFonts w:eastAsia="宋体"/>
          <w:b/>
          <w:kern w:val="2"/>
          <w:szCs w:val="22"/>
          <w:lang w:eastAsia="zh-CN" w:bidi="ar"/>
        </w:rPr>
        <w:t>5.</w:t>
      </w:r>
      <w:r>
        <w:rPr>
          <w:rFonts w:hint="eastAsia" w:eastAsia="宋体" w:cs="宋体"/>
          <w:b/>
          <w:kern w:val="2"/>
          <w:szCs w:val="22"/>
          <w:lang w:eastAsia="zh-CN" w:bidi="ar"/>
        </w:rPr>
        <w:t>实质性响应条款“投标响应情况”与投标文件其它内容冲突的，以实质性响应条款“投标响应情况”为准。</w:t>
      </w:r>
    </w:p>
    <w:p w14:paraId="392A0A00">
      <w:pPr>
        <w:widowControl w:val="0"/>
        <w:ind w:firstLine="482" w:firstLineChars="200"/>
        <w:jc w:val="both"/>
        <w:rPr>
          <w:rFonts w:eastAsia="宋体"/>
          <w:b/>
          <w:kern w:val="2"/>
          <w:szCs w:val="22"/>
          <w:lang w:eastAsia="zh-CN"/>
        </w:rPr>
      </w:pPr>
      <w:r>
        <w:rPr>
          <w:rFonts w:eastAsia="宋体"/>
          <w:b/>
          <w:kern w:val="2"/>
          <w:szCs w:val="22"/>
          <w:lang w:eastAsia="zh-CN" w:bidi="ar"/>
        </w:rPr>
        <w:t>6.</w:t>
      </w:r>
      <w:r>
        <w:rPr>
          <w:rFonts w:hint="eastAsia" w:eastAsia="宋体" w:cs="宋体"/>
          <w:b/>
          <w:kern w:val="2"/>
          <w:szCs w:val="22"/>
          <w:lang w:eastAsia="zh-CN" w:bidi="ar"/>
        </w:rPr>
        <w:t>要求提供证明资料，在“说明”一栏中列明证明资料的位置</w:t>
      </w:r>
      <w:r>
        <w:rPr>
          <w:rFonts w:eastAsia="宋体"/>
          <w:b/>
          <w:kern w:val="2"/>
          <w:szCs w:val="22"/>
          <w:lang w:eastAsia="zh-CN" w:bidi="ar"/>
        </w:rPr>
        <w:t>,</w:t>
      </w:r>
      <w:r>
        <w:rPr>
          <w:rFonts w:hint="eastAsia" w:eastAsia="宋体" w:cs="宋体"/>
          <w:b/>
          <w:kern w:val="2"/>
          <w:szCs w:val="22"/>
          <w:lang w:eastAsia="zh-CN" w:bidi="ar"/>
        </w:rPr>
        <w:t>以便评审；未要求提供证明材料的，投标人可以不提供。</w:t>
      </w:r>
    </w:p>
    <w:p w14:paraId="3AD98A4F">
      <w:pPr>
        <w:widowControl w:val="0"/>
        <w:jc w:val="both"/>
        <w:rPr>
          <w:rFonts w:eastAsia="宋体"/>
          <w:kern w:val="2"/>
          <w:sz w:val="21"/>
          <w:lang w:eastAsia="zh-CN"/>
        </w:rPr>
      </w:pPr>
    </w:p>
    <w:p w14:paraId="3D54229B">
      <w:pPr>
        <w:widowControl w:val="0"/>
        <w:jc w:val="both"/>
        <w:rPr>
          <w:rFonts w:eastAsia="宋体"/>
          <w:b/>
          <w:bCs/>
          <w:kern w:val="2"/>
          <w:lang w:eastAsia="zh-CN"/>
        </w:rPr>
      </w:pPr>
    </w:p>
    <w:p w14:paraId="650520F9">
      <w:pPr>
        <w:widowControl/>
        <w:jc w:val="left"/>
        <w:rPr>
          <w:rFonts w:ascii="黑体" w:hAnsi="宋体" w:eastAsia="黑体"/>
          <w:kern w:val="2"/>
          <w:szCs w:val="20"/>
          <w:lang w:eastAsia="zh-CN"/>
        </w:rPr>
      </w:pPr>
      <w:r>
        <w:rPr>
          <w:rFonts w:ascii="黑体" w:hAnsi="宋体" w:eastAsia="黑体"/>
          <w:kern w:val="2"/>
          <w:szCs w:val="20"/>
          <w:lang w:eastAsia="zh-CN"/>
        </w:rPr>
        <w:br w:type="page"/>
      </w:r>
    </w:p>
    <w:p w14:paraId="4917322C">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九、维护服务方案评价（格式自定）</w:t>
      </w:r>
    </w:p>
    <w:p w14:paraId="15997AD0">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6BE779D2">
      <w:pPr>
        <w:widowControl w:val="0"/>
        <w:ind w:firstLine="0"/>
        <w:jc w:val="center"/>
        <w:rPr>
          <w:rFonts w:hint="eastAsia" w:ascii="宋体" w:hAnsi="宋体" w:eastAsia="宋体" w:cs="宋体"/>
          <w:b/>
          <w:bCs/>
          <w:color w:val="FF0000"/>
          <w:kern w:val="2"/>
          <w:sz w:val="22"/>
          <w:szCs w:val="18"/>
          <w:lang w:eastAsia="zh-CN"/>
        </w:rPr>
      </w:pPr>
    </w:p>
    <w:p w14:paraId="20D6DA5E">
      <w:pPr>
        <w:widowControl w:val="0"/>
        <w:ind w:firstLine="0"/>
        <w:jc w:val="center"/>
        <w:rPr>
          <w:rFonts w:hint="eastAsia" w:ascii="宋体" w:hAnsi="宋体" w:eastAsia="宋体" w:cs="宋体"/>
          <w:b/>
          <w:bCs/>
          <w:color w:val="FF0000"/>
          <w:kern w:val="2"/>
          <w:sz w:val="22"/>
          <w:szCs w:val="18"/>
          <w:lang w:eastAsia="zh-CN"/>
        </w:rPr>
      </w:pPr>
    </w:p>
    <w:p w14:paraId="200819D3">
      <w:pPr>
        <w:widowControl w:val="0"/>
        <w:ind w:firstLine="0"/>
        <w:jc w:val="center"/>
        <w:rPr>
          <w:rFonts w:hint="eastAsia" w:ascii="宋体" w:hAnsi="宋体" w:eastAsia="宋体" w:cs="宋体"/>
          <w:b/>
          <w:bCs/>
          <w:color w:val="FF0000"/>
          <w:kern w:val="2"/>
          <w:sz w:val="22"/>
          <w:szCs w:val="18"/>
          <w:lang w:eastAsia="zh-CN"/>
        </w:rPr>
      </w:pPr>
    </w:p>
    <w:p w14:paraId="41C599FF">
      <w:pPr>
        <w:widowControl w:val="0"/>
        <w:ind w:firstLine="0"/>
        <w:jc w:val="center"/>
        <w:rPr>
          <w:rFonts w:hint="eastAsia" w:ascii="宋体" w:hAnsi="宋体" w:eastAsia="宋体" w:cs="宋体"/>
          <w:b/>
          <w:bCs/>
          <w:color w:val="FF0000"/>
          <w:kern w:val="2"/>
          <w:sz w:val="22"/>
          <w:szCs w:val="18"/>
          <w:lang w:eastAsia="zh-CN"/>
        </w:rPr>
      </w:pPr>
    </w:p>
    <w:p w14:paraId="3CE496E2">
      <w:pPr>
        <w:widowControl w:val="0"/>
        <w:ind w:firstLine="0"/>
        <w:jc w:val="center"/>
        <w:rPr>
          <w:rFonts w:hint="eastAsia" w:ascii="宋体" w:hAnsi="宋体" w:eastAsia="宋体" w:cs="宋体"/>
          <w:b/>
          <w:bCs/>
          <w:color w:val="FF0000"/>
          <w:kern w:val="2"/>
          <w:sz w:val="22"/>
          <w:szCs w:val="18"/>
          <w:lang w:eastAsia="zh-CN"/>
        </w:rPr>
      </w:pPr>
    </w:p>
    <w:p w14:paraId="43F8F656">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十、项目重点难点分析、应对措施方案评价（格式自定）</w:t>
      </w:r>
    </w:p>
    <w:p w14:paraId="27682338">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1A6D2367">
      <w:pPr>
        <w:widowControl w:val="0"/>
        <w:ind w:firstLine="0"/>
        <w:jc w:val="center"/>
        <w:rPr>
          <w:rFonts w:hint="eastAsia" w:ascii="宋体" w:hAnsi="宋体" w:eastAsia="宋体" w:cs="宋体"/>
          <w:b/>
          <w:bCs/>
          <w:color w:val="FF0000"/>
          <w:kern w:val="2"/>
          <w:sz w:val="22"/>
          <w:szCs w:val="18"/>
          <w:lang w:eastAsia="zh-CN"/>
        </w:rPr>
      </w:pPr>
    </w:p>
    <w:p w14:paraId="6C94C286">
      <w:pPr>
        <w:widowControl w:val="0"/>
        <w:ind w:firstLine="0"/>
        <w:jc w:val="center"/>
        <w:rPr>
          <w:rFonts w:hint="eastAsia" w:ascii="宋体" w:hAnsi="宋体" w:eastAsia="宋体" w:cs="宋体"/>
          <w:b/>
          <w:bCs/>
          <w:color w:val="FF0000"/>
          <w:kern w:val="2"/>
          <w:sz w:val="22"/>
          <w:szCs w:val="18"/>
          <w:lang w:eastAsia="zh-CN"/>
        </w:rPr>
      </w:pPr>
    </w:p>
    <w:p w14:paraId="7A361836">
      <w:pPr>
        <w:widowControl w:val="0"/>
        <w:ind w:firstLine="0"/>
        <w:jc w:val="center"/>
        <w:rPr>
          <w:rFonts w:hint="eastAsia" w:ascii="宋体" w:hAnsi="宋体" w:eastAsia="宋体" w:cs="宋体"/>
          <w:b/>
          <w:bCs/>
          <w:color w:val="FF0000"/>
          <w:kern w:val="2"/>
          <w:sz w:val="22"/>
          <w:szCs w:val="18"/>
          <w:lang w:eastAsia="zh-CN"/>
        </w:rPr>
      </w:pPr>
    </w:p>
    <w:p w14:paraId="4FAACBC4">
      <w:pPr>
        <w:widowControl w:val="0"/>
        <w:ind w:firstLine="0"/>
        <w:jc w:val="center"/>
        <w:rPr>
          <w:rFonts w:hint="eastAsia" w:ascii="宋体" w:hAnsi="宋体" w:eastAsia="宋体" w:cs="宋体"/>
          <w:b/>
          <w:bCs/>
          <w:color w:val="FF0000"/>
          <w:kern w:val="2"/>
          <w:sz w:val="22"/>
          <w:szCs w:val="18"/>
          <w:lang w:eastAsia="zh-CN"/>
        </w:rPr>
      </w:pPr>
    </w:p>
    <w:p w14:paraId="3AC80069">
      <w:pPr>
        <w:widowControl w:val="0"/>
        <w:ind w:firstLine="0"/>
        <w:jc w:val="center"/>
        <w:rPr>
          <w:rFonts w:hint="eastAsia" w:ascii="宋体" w:hAnsi="宋体" w:eastAsia="宋体" w:cs="宋体"/>
          <w:b/>
          <w:bCs/>
          <w:color w:val="FF0000"/>
          <w:kern w:val="2"/>
          <w:sz w:val="22"/>
          <w:szCs w:val="18"/>
          <w:lang w:eastAsia="zh-CN"/>
        </w:rPr>
      </w:pPr>
    </w:p>
    <w:p w14:paraId="10D3C69F">
      <w:pPr>
        <w:widowControl w:val="0"/>
        <w:ind w:firstLine="0"/>
        <w:jc w:val="both"/>
        <w:rPr>
          <w:rFonts w:ascii="宋体" w:hAnsi="宋体" w:eastAsia="宋体" w:cs="宋体"/>
          <w:kern w:val="2"/>
          <w:szCs w:val="20"/>
          <w:lang w:eastAsia="zh-CN"/>
        </w:rPr>
      </w:pPr>
    </w:p>
    <w:p w14:paraId="0BD6ED91">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十一、运维质量保障措施方案（格式自定）</w:t>
      </w:r>
    </w:p>
    <w:p w14:paraId="18A7DD1D">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2A23E21B">
      <w:pPr>
        <w:widowControl w:val="0"/>
        <w:ind w:firstLine="0"/>
        <w:jc w:val="center"/>
        <w:rPr>
          <w:rFonts w:hint="eastAsia" w:ascii="宋体" w:hAnsi="宋体" w:eastAsia="宋体" w:cs="宋体"/>
          <w:b/>
          <w:bCs/>
          <w:color w:val="FF0000"/>
          <w:kern w:val="2"/>
          <w:sz w:val="22"/>
          <w:szCs w:val="18"/>
          <w:lang w:eastAsia="zh-CN"/>
        </w:rPr>
      </w:pPr>
    </w:p>
    <w:p w14:paraId="031EDBD4">
      <w:pPr>
        <w:widowControl w:val="0"/>
        <w:ind w:firstLine="0"/>
        <w:jc w:val="center"/>
        <w:rPr>
          <w:rFonts w:hint="eastAsia" w:ascii="宋体" w:hAnsi="宋体" w:eastAsia="宋体" w:cs="宋体"/>
          <w:b/>
          <w:bCs/>
          <w:color w:val="FF0000"/>
          <w:kern w:val="2"/>
          <w:sz w:val="22"/>
          <w:szCs w:val="18"/>
          <w:lang w:eastAsia="zh-CN"/>
        </w:rPr>
      </w:pPr>
    </w:p>
    <w:p w14:paraId="6CB1302F">
      <w:pPr>
        <w:widowControl w:val="0"/>
        <w:ind w:firstLine="0"/>
        <w:jc w:val="center"/>
        <w:rPr>
          <w:rFonts w:hint="eastAsia" w:ascii="宋体" w:hAnsi="宋体" w:eastAsia="宋体" w:cs="宋体"/>
          <w:b/>
          <w:bCs/>
          <w:color w:val="FF0000"/>
          <w:kern w:val="2"/>
          <w:sz w:val="22"/>
          <w:szCs w:val="18"/>
          <w:lang w:eastAsia="zh-CN"/>
        </w:rPr>
      </w:pPr>
    </w:p>
    <w:p w14:paraId="13C97478">
      <w:pPr>
        <w:widowControl w:val="0"/>
        <w:ind w:firstLine="0"/>
        <w:jc w:val="center"/>
        <w:rPr>
          <w:rFonts w:hint="eastAsia" w:ascii="宋体" w:hAnsi="宋体" w:eastAsia="宋体" w:cs="宋体"/>
          <w:b/>
          <w:bCs/>
          <w:color w:val="FF0000"/>
          <w:kern w:val="2"/>
          <w:sz w:val="22"/>
          <w:szCs w:val="18"/>
          <w:lang w:eastAsia="zh-CN"/>
        </w:rPr>
      </w:pPr>
    </w:p>
    <w:p w14:paraId="270434AE">
      <w:pPr>
        <w:widowControl w:val="0"/>
        <w:ind w:firstLine="0"/>
        <w:jc w:val="center"/>
        <w:rPr>
          <w:rFonts w:hint="eastAsia" w:ascii="宋体" w:hAnsi="宋体" w:eastAsia="宋体" w:cs="宋体"/>
          <w:b/>
          <w:bCs/>
          <w:color w:val="FF0000"/>
          <w:kern w:val="2"/>
          <w:sz w:val="22"/>
          <w:szCs w:val="18"/>
          <w:lang w:eastAsia="zh-CN"/>
        </w:rPr>
      </w:pPr>
    </w:p>
    <w:p w14:paraId="0DD40BF9">
      <w:pPr>
        <w:widowControl w:val="0"/>
        <w:ind w:firstLine="0"/>
        <w:jc w:val="both"/>
        <w:rPr>
          <w:rFonts w:ascii="宋体" w:hAnsi="宋体" w:eastAsia="宋体" w:cs="宋体"/>
          <w:kern w:val="2"/>
          <w:szCs w:val="20"/>
          <w:lang w:eastAsia="zh-CN"/>
        </w:rPr>
      </w:pPr>
    </w:p>
    <w:p w14:paraId="5221406A">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十二、拟安排项目负责人情况（仅限1人）（格式自定）</w:t>
      </w:r>
    </w:p>
    <w:p w14:paraId="398C876E">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5F55F073">
      <w:pPr>
        <w:widowControl w:val="0"/>
        <w:ind w:firstLine="0"/>
        <w:jc w:val="center"/>
        <w:rPr>
          <w:rFonts w:hint="eastAsia" w:ascii="宋体" w:hAnsi="宋体" w:eastAsia="宋体" w:cs="宋体"/>
          <w:b/>
          <w:bCs/>
          <w:color w:val="FF0000"/>
          <w:kern w:val="2"/>
          <w:sz w:val="22"/>
          <w:szCs w:val="18"/>
          <w:lang w:eastAsia="zh-CN"/>
        </w:rPr>
      </w:pPr>
    </w:p>
    <w:p w14:paraId="253B02E4">
      <w:pPr>
        <w:widowControl w:val="0"/>
        <w:ind w:firstLine="0"/>
        <w:jc w:val="center"/>
        <w:rPr>
          <w:rFonts w:hint="eastAsia" w:ascii="宋体" w:hAnsi="宋体" w:eastAsia="宋体" w:cs="宋体"/>
          <w:b/>
          <w:bCs/>
          <w:color w:val="FF0000"/>
          <w:kern w:val="2"/>
          <w:sz w:val="22"/>
          <w:szCs w:val="18"/>
          <w:lang w:eastAsia="zh-CN"/>
        </w:rPr>
      </w:pPr>
    </w:p>
    <w:p w14:paraId="5B73440E">
      <w:pPr>
        <w:widowControl w:val="0"/>
        <w:ind w:firstLine="0"/>
        <w:jc w:val="center"/>
        <w:rPr>
          <w:rFonts w:hint="eastAsia" w:ascii="宋体" w:hAnsi="宋体" w:eastAsia="宋体" w:cs="宋体"/>
          <w:b/>
          <w:bCs/>
          <w:color w:val="FF0000"/>
          <w:kern w:val="2"/>
          <w:sz w:val="22"/>
          <w:szCs w:val="18"/>
          <w:lang w:eastAsia="zh-CN"/>
        </w:rPr>
      </w:pPr>
    </w:p>
    <w:p w14:paraId="7FD993AA">
      <w:pPr>
        <w:widowControl w:val="0"/>
        <w:ind w:firstLine="0"/>
        <w:jc w:val="center"/>
        <w:rPr>
          <w:rFonts w:hint="eastAsia" w:ascii="宋体" w:hAnsi="宋体" w:eastAsia="宋体" w:cs="宋体"/>
          <w:b/>
          <w:bCs/>
          <w:color w:val="FF0000"/>
          <w:kern w:val="2"/>
          <w:sz w:val="22"/>
          <w:szCs w:val="18"/>
          <w:lang w:eastAsia="zh-CN"/>
        </w:rPr>
      </w:pPr>
    </w:p>
    <w:p w14:paraId="0B92E4D7">
      <w:pPr>
        <w:widowControl w:val="0"/>
        <w:ind w:firstLine="0"/>
        <w:jc w:val="center"/>
        <w:rPr>
          <w:rFonts w:hint="eastAsia" w:ascii="宋体" w:hAnsi="宋体" w:eastAsia="宋体" w:cs="宋体"/>
          <w:b/>
          <w:bCs/>
          <w:color w:val="FF0000"/>
          <w:kern w:val="2"/>
          <w:sz w:val="22"/>
          <w:szCs w:val="18"/>
          <w:lang w:eastAsia="zh-CN"/>
        </w:rPr>
      </w:pPr>
    </w:p>
    <w:p w14:paraId="2D3A6F9F">
      <w:pPr>
        <w:widowControl w:val="0"/>
        <w:ind w:firstLine="0"/>
        <w:jc w:val="both"/>
        <w:rPr>
          <w:rFonts w:ascii="宋体" w:hAnsi="宋体" w:eastAsia="宋体" w:cs="宋体"/>
          <w:kern w:val="2"/>
          <w:szCs w:val="20"/>
          <w:lang w:eastAsia="zh-CN"/>
        </w:rPr>
      </w:pPr>
    </w:p>
    <w:p w14:paraId="62D17154">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十三、技术负责人（项目负责人除外，仅限1人）（格式自定）</w:t>
      </w:r>
    </w:p>
    <w:p w14:paraId="0C35F060">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6BC096D2">
      <w:pPr>
        <w:widowControl w:val="0"/>
        <w:ind w:firstLine="0"/>
        <w:jc w:val="center"/>
        <w:rPr>
          <w:rFonts w:hint="eastAsia" w:ascii="宋体" w:hAnsi="宋体" w:eastAsia="宋体" w:cs="宋体"/>
          <w:b/>
          <w:bCs/>
          <w:color w:val="FF0000"/>
          <w:kern w:val="2"/>
          <w:sz w:val="22"/>
          <w:szCs w:val="18"/>
          <w:lang w:eastAsia="zh-CN"/>
        </w:rPr>
      </w:pPr>
    </w:p>
    <w:p w14:paraId="649FBD94">
      <w:pPr>
        <w:widowControl w:val="0"/>
        <w:ind w:firstLine="0"/>
        <w:jc w:val="center"/>
        <w:rPr>
          <w:rFonts w:hint="eastAsia" w:ascii="宋体" w:hAnsi="宋体" w:eastAsia="宋体" w:cs="宋体"/>
          <w:b/>
          <w:bCs/>
          <w:color w:val="FF0000"/>
          <w:kern w:val="2"/>
          <w:sz w:val="22"/>
          <w:szCs w:val="18"/>
          <w:lang w:eastAsia="zh-CN"/>
        </w:rPr>
      </w:pPr>
    </w:p>
    <w:p w14:paraId="793957B0">
      <w:pPr>
        <w:widowControl w:val="0"/>
        <w:ind w:firstLine="0"/>
        <w:jc w:val="center"/>
        <w:rPr>
          <w:rFonts w:hint="eastAsia" w:ascii="宋体" w:hAnsi="宋体" w:eastAsia="宋体" w:cs="宋体"/>
          <w:b/>
          <w:bCs/>
          <w:color w:val="FF0000"/>
          <w:kern w:val="2"/>
          <w:sz w:val="22"/>
          <w:szCs w:val="18"/>
          <w:lang w:eastAsia="zh-CN"/>
        </w:rPr>
      </w:pPr>
    </w:p>
    <w:p w14:paraId="3932AD57">
      <w:pPr>
        <w:widowControl w:val="0"/>
        <w:ind w:firstLine="0"/>
        <w:jc w:val="center"/>
        <w:rPr>
          <w:rFonts w:hint="eastAsia" w:ascii="宋体" w:hAnsi="宋体" w:eastAsia="宋体" w:cs="宋体"/>
          <w:b/>
          <w:bCs/>
          <w:color w:val="FF0000"/>
          <w:kern w:val="2"/>
          <w:sz w:val="22"/>
          <w:szCs w:val="18"/>
          <w:lang w:eastAsia="zh-CN"/>
        </w:rPr>
      </w:pPr>
    </w:p>
    <w:p w14:paraId="43D1ED61">
      <w:pPr>
        <w:widowControl w:val="0"/>
        <w:ind w:firstLine="0"/>
        <w:jc w:val="center"/>
        <w:rPr>
          <w:rFonts w:hint="eastAsia" w:ascii="宋体" w:hAnsi="宋体" w:eastAsia="宋体" w:cs="宋体"/>
          <w:b/>
          <w:bCs/>
          <w:color w:val="FF0000"/>
          <w:kern w:val="2"/>
          <w:sz w:val="22"/>
          <w:szCs w:val="18"/>
          <w:lang w:eastAsia="zh-CN"/>
        </w:rPr>
      </w:pPr>
    </w:p>
    <w:p w14:paraId="384A15FA">
      <w:pPr>
        <w:widowControl w:val="0"/>
        <w:spacing w:before="60" w:beforeLines="25" w:after="60" w:afterLines="25"/>
        <w:ind w:firstLine="0"/>
        <w:jc w:val="both"/>
        <w:rPr>
          <w:rFonts w:ascii="宋体" w:hAnsi="宋体" w:eastAsia="宋体" w:cs="宋体"/>
          <w:kern w:val="2"/>
          <w:szCs w:val="20"/>
          <w:lang w:eastAsia="zh-CN"/>
        </w:rPr>
      </w:pPr>
    </w:p>
    <w:p w14:paraId="5FB5ED55">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十四、拟安排的技术人员（项目负责人、技术负责人除外）（格式自定）</w:t>
      </w:r>
    </w:p>
    <w:p w14:paraId="761BA9BE">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6EB5F7CB">
      <w:pPr>
        <w:widowControl w:val="0"/>
        <w:ind w:firstLine="0"/>
        <w:jc w:val="center"/>
        <w:rPr>
          <w:rFonts w:hint="eastAsia" w:ascii="宋体" w:hAnsi="宋体" w:eastAsia="宋体" w:cs="宋体"/>
          <w:b/>
          <w:bCs/>
          <w:color w:val="FF0000"/>
          <w:kern w:val="2"/>
          <w:sz w:val="22"/>
          <w:szCs w:val="18"/>
          <w:lang w:eastAsia="zh-CN"/>
        </w:rPr>
      </w:pPr>
    </w:p>
    <w:p w14:paraId="6151E458">
      <w:pPr>
        <w:widowControl w:val="0"/>
        <w:ind w:firstLine="0"/>
        <w:jc w:val="center"/>
        <w:rPr>
          <w:rFonts w:hint="eastAsia" w:ascii="宋体" w:hAnsi="宋体" w:eastAsia="宋体" w:cs="宋体"/>
          <w:b/>
          <w:bCs/>
          <w:color w:val="FF0000"/>
          <w:kern w:val="2"/>
          <w:sz w:val="22"/>
          <w:szCs w:val="18"/>
          <w:lang w:eastAsia="zh-CN"/>
        </w:rPr>
      </w:pPr>
    </w:p>
    <w:p w14:paraId="6C8F61DE">
      <w:pPr>
        <w:widowControl w:val="0"/>
        <w:ind w:firstLine="0"/>
        <w:jc w:val="center"/>
        <w:rPr>
          <w:rFonts w:hint="eastAsia" w:ascii="宋体" w:hAnsi="宋体" w:eastAsia="宋体" w:cs="宋体"/>
          <w:b/>
          <w:bCs/>
          <w:color w:val="FF0000"/>
          <w:kern w:val="2"/>
          <w:sz w:val="22"/>
          <w:szCs w:val="18"/>
          <w:lang w:eastAsia="zh-CN"/>
        </w:rPr>
      </w:pPr>
    </w:p>
    <w:p w14:paraId="5520DB55">
      <w:pPr>
        <w:widowControl w:val="0"/>
        <w:ind w:firstLine="0"/>
        <w:jc w:val="center"/>
        <w:rPr>
          <w:rFonts w:hint="eastAsia" w:ascii="宋体" w:hAnsi="宋体" w:eastAsia="宋体" w:cs="宋体"/>
          <w:b/>
          <w:bCs/>
          <w:color w:val="FF0000"/>
          <w:kern w:val="2"/>
          <w:sz w:val="22"/>
          <w:szCs w:val="18"/>
          <w:lang w:eastAsia="zh-CN"/>
        </w:rPr>
      </w:pPr>
    </w:p>
    <w:p w14:paraId="081A8E93">
      <w:pPr>
        <w:widowControl w:val="0"/>
        <w:ind w:firstLine="0"/>
        <w:jc w:val="center"/>
        <w:rPr>
          <w:rFonts w:hint="eastAsia" w:ascii="宋体" w:hAnsi="宋体" w:eastAsia="宋体" w:cs="宋体"/>
          <w:b/>
          <w:bCs/>
          <w:color w:val="FF0000"/>
          <w:kern w:val="2"/>
          <w:sz w:val="22"/>
          <w:szCs w:val="18"/>
          <w:lang w:eastAsia="zh-CN"/>
        </w:rPr>
      </w:pPr>
    </w:p>
    <w:p w14:paraId="518FBBB9">
      <w:pPr>
        <w:widowControl w:val="0"/>
        <w:spacing w:before="60" w:beforeLines="25" w:after="60" w:afterLines="25"/>
        <w:ind w:firstLine="0"/>
        <w:jc w:val="both"/>
        <w:rPr>
          <w:rFonts w:ascii="宋体" w:hAnsi="宋体" w:eastAsia="宋体" w:cs="宋体"/>
          <w:kern w:val="2"/>
          <w:szCs w:val="20"/>
          <w:lang w:eastAsia="zh-CN"/>
        </w:rPr>
      </w:pPr>
    </w:p>
    <w:p w14:paraId="4A2A19E6">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十五、投标人认证证书（格式自定）</w:t>
      </w:r>
    </w:p>
    <w:p w14:paraId="487029E1">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37B35D31">
      <w:pPr>
        <w:widowControl w:val="0"/>
        <w:ind w:firstLine="0"/>
        <w:jc w:val="center"/>
        <w:rPr>
          <w:rFonts w:hint="eastAsia" w:ascii="宋体" w:hAnsi="宋体" w:eastAsia="宋体" w:cs="宋体"/>
          <w:b/>
          <w:bCs/>
          <w:color w:val="FF0000"/>
          <w:kern w:val="2"/>
          <w:sz w:val="22"/>
          <w:szCs w:val="18"/>
          <w:lang w:eastAsia="zh-CN"/>
        </w:rPr>
      </w:pPr>
    </w:p>
    <w:p w14:paraId="434F2112">
      <w:pPr>
        <w:widowControl w:val="0"/>
        <w:ind w:firstLine="0"/>
        <w:jc w:val="center"/>
        <w:rPr>
          <w:rFonts w:hint="eastAsia" w:ascii="宋体" w:hAnsi="宋体" w:eastAsia="宋体" w:cs="宋体"/>
          <w:b/>
          <w:bCs/>
          <w:color w:val="FF0000"/>
          <w:kern w:val="2"/>
          <w:sz w:val="22"/>
          <w:szCs w:val="18"/>
          <w:lang w:eastAsia="zh-CN"/>
        </w:rPr>
      </w:pPr>
    </w:p>
    <w:p w14:paraId="564E10A6">
      <w:pPr>
        <w:widowControl w:val="0"/>
        <w:ind w:firstLine="0"/>
        <w:jc w:val="center"/>
        <w:rPr>
          <w:rFonts w:hint="eastAsia" w:ascii="宋体" w:hAnsi="宋体" w:eastAsia="宋体" w:cs="宋体"/>
          <w:b/>
          <w:bCs/>
          <w:color w:val="FF0000"/>
          <w:kern w:val="2"/>
          <w:sz w:val="22"/>
          <w:szCs w:val="18"/>
          <w:lang w:eastAsia="zh-CN"/>
        </w:rPr>
      </w:pPr>
    </w:p>
    <w:p w14:paraId="3FEF97FB">
      <w:pPr>
        <w:widowControl w:val="0"/>
        <w:ind w:firstLine="0"/>
        <w:jc w:val="center"/>
        <w:rPr>
          <w:rFonts w:hint="eastAsia" w:ascii="宋体" w:hAnsi="宋体" w:eastAsia="宋体" w:cs="宋体"/>
          <w:b/>
          <w:bCs/>
          <w:color w:val="FF0000"/>
          <w:kern w:val="2"/>
          <w:sz w:val="22"/>
          <w:szCs w:val="18"/>
          <w:lang w:eastAsia="zh-CN"/>
        </w:rPr>
      </w:pPr>
    </w:p>
    <w:p w14:paraId="1A13C62F">
      <w:pPr>
        <w:widowControl w:val="0"/>
        <w:ind w:firstLine="0"/>
        <w:jc w:val="center"/>
        <w:rPr>
          <w:rFonts w:hint="eastAsia" w:ascii="宋体" w:hAnsi="宋体" w:eastAsia="宋体" w:cs="宋体"/>
          <w:b/>
          <w:bCs/>
          <w:color w:val="FF0000"/>
          <w:kern w:val="2"/>
          <w:sz w:val="22"/>
          <w:szCs w:val="18"/>
          <w:lang w:eastAsia="zh-CN"/>
        </w:rPr>
      </w:pPr>
    </w:p>
    <w:p w14:paraId="7015B6E3">
      <w:pPr>
        <w:widowControl w:val="0"/>
        <w:spacing w:before="60" w:beforeLines="25" w:after="60" w:afterLines="25"/>
        <w:ind w:firstLine="0"/>
        <w:jc w:val="both"/>
        <w:rPr>
          <w:rFonts w:ascii="宋体" w:hAnsi="宋体" w:eastAsia="宋体" w:cs="宋体"/>
          <w:kern w:val="2"/>
          <w:szCs w:val="20"/>
          <w:lang w:eastAsia="zh-CN"/>
        </w:rPr>
      </w:pPr>
    </w:p>
    <w:p w14:paraId="23164611">
      <w:pPr>
        <w:widowControl w:val="0"/>
        <w:spacing w:before="260" w:after="260"/>
        <w:jc w:val="both"/>
        <w:outlineLvl w:val="2"/>
        <w:rPr>
          <w:rFonts w:ascii="黑体" w:hAnsi="黑体" w:eastAsia="黑体" w:cs="黑体"/>
          <w:kern w:val="2"/>
          <w:szCs w:val="28"/>
          <w:lang w:eastAsia="zh-CN"/>
        </w:rPr>
      </w:pPr>
      <w:r>
        <w:rPr>
          <w:rFonts w:hint="eastAsia" w:ascii="黑体" w:hAnsi="黑体" w:eastAsia="黑体" w:cs="黑体"/>
          <w:kern w:val="2"/>
          <w:szCs w:val="28"/>
          <w:lang w:eastAsia="zh-CN"/>
        </w:rPr>
        <w:t>十六、投标人同类项目业绩情况（格式自定）</w:t>
      </w:r>
    </w:p>
    <w:p w14:paraId="5603DF6D">
      <w:pPr>
        <w:widowControl w:val="0"/>
        <w:ind w:firstLine="0"/>
        <w:jc w:val="center"/>
        <w:rPr>
          <w:rFonts w:hint="eastAsia" w:ascii="宋体" w:hAnsi="宋体" w:eastAsia="宋体" w:cs="宋体"/>
          <w:b/>
          <w:bCs/>
          <w:color w:val="FF0000"/>
          <w:kern w:val="2"/>
          <w:sz w:val="22"/>
          <w:szCs w:val="18"/>
          <w:lang w:eastAsia="zh-CN"/>
        </w:rPr>
      </w:pPr>
      <w:r>
        <w:rPr>
          <w:rFonts w:hint="eastAsia" w:ascii="宋体" w:hAnsi="宋体" w:eastAsia="宋体" w:cs="宋体"/>
          <w:b/>
          <w:bCs/>
          <w:color w:val="FF0000"/>
          <w:kern w:val="2"/>
          <w:sz w:val="22"/>
          <w:szCs w:val="18"/>
          <w:lang w:eastAsia="zh-CN"/>
        </w:rPr>
        <w:t>（特别提示：投标人须按本招标文件评标信息中这一评审因素要求，提供证明资料）</w:t>
      </w:r>
    </w:p>
    <w:p w14:paraId="49190907">
      <w:pPr>
        <w:widowControl w:val="0"/>
        <w:ind w:firstLine="0"/>
        <w:jc w:val="center"/>
        <w:rPr>
          <w:rFonts w:hint="eastAsia" w:ascii="宋体" w:hAnsi="宋体" w:eastAsia="宋体" w:cs="宋体"/>
          <w:b/>
          <w:bCs/>
          <w:color w:val="FF0000"/>
          <w:kern w:val="2"/>
          <w:sz w:val="22"/>
          <w:szCs w:val="18"/>
          <w:lang w:eastAsia="zh-CN"/>
        </w:rPr>
      </w:pPr>
    </w:p>
    <w:p w14:paraId="709D8D21">
      <w:pPr>
        <w:widowControl w:val="0"/>
        <w:ind w:firstLine="0"/>
        <w:jc w:val="center"/>
        <w:rPr>
          <w:rFonts w:hint="eastAsia" w:ascii="宋体" w:hAnsi="宋体" w:eastAsia="宋体" w:cs="宋体"/>
          <w:b/>
          <w:bCs/>
          <w:color w:val="FF0000"/>
          <w:kern w:val="2"/>
          <w:sz w:val="22"/>
          <w:szCs w:val="18"/>
          <w:lang w:eastAsia="zh-CN"/>
        </w:rPr>
      </w:pPr>
    </w:p>
    <w:p w14:paraId="12AC0F94">
      <w:pPr>
        <w:widowControl w:val="0"/>
        <w:ind w:firstLine="0"/>
        <w:jc w:val="center"/>
        <w:rPr>
          <w:rFonts w:hint="eastAsia" w:ascii="宋体" w:hAnsi="宋体" w:eastAsia="宋体" w:cs="宋体"/>
          <w:b/>
          <w:bCs/>
          <w:color w:val="FF0000"/>
          <w:kern w:val="2"/>
          <w:sz w:val="22"/>
          <w:szCs w:val="18"/>
          <w:lang w:eastAsia="zh-CN"/>
        </w:rPr>
      </w:pPr>
    </w:p>
    <w:p w14:paraId="1F7B8AA6">
      <w:pPr>
        <w:widowControl w:val="0"/>
        <w:ind w:firstLine="0"/>
        <w:jc w:val="center"/>
        <w:rPr>
          <w:rFonts w:hint="eastAsia" w:ascii="宋体" w:hAnsi="宋体" w:eastAsia="宋体" w:cs="宋体"/>
          <w:b/>
          <w:bCs/>
          <w:color w:val="FF0000"/>
          <w:kern w:val="2"/>
          <w:sz w:val="22"/>
          <w:szCs w:val="18"/>
          <w:lang w:eastAsia="zh-CN"/>
        </w:rPr>
      </w:pPr>
    </w:p>
    <w:p w14:paraId="03ED997A">
      <w:pPr>
        <w:widowControl w:val="0"/>
        <w:spacing w:line="360" w:lineRule="auto"/>
        <w:jc w:val="both"/>
        <w:rPr>
          <w:rFonts w:eastAsia="宋体"/>
          <w:b/>
          <w:bCs/>
          <w:kern w:val="2"/>
          <w:lang w:eastAsia="zh-CN"/>
        </w:rPr>
      </w:pPr>
    </w:p>
    <w:p w14:paraId="137DF50B">
      <w:pPr>
        <w:widowControl w:val="0"/>
        <w:spacing w:before="260" w:after="260"/>
        <w:jc w:val="both"/>
        <w:outlineLvl w:val="2"/>
        <w:rPr>
          <w:rFonts w:hint="eastAsia" w:ascii="黑体" w:hAnsi="黑体" w:eastAsia="黑体" w:cs="黑体"/>
          <w:kern w:val="2"/>
          <w:szCs w:val="28"/>
          <w:lang w:eastAsia="zh-CN"/>
        </w:rPr>
      </w:pPr>
      <w:r>
        <w:rPr>
          <w:rFonts w:hint="eastAsia" w:ascii="黑体" w:hAnsi="黑体" w:eastAsia="黑体" w:cs="黑体"/>
          <w:kern w:val="2"/>
          <w:szCs w:val="28"/>
          <w:lang w:eastAsia="zh-CN"/>
        </w:rPr>
        <w:t>十七、服务便利性（服务网点）</w:t>
      </w:r>
    </w:p>
    <w:p w14:paraId="3E11813D">
      <w:pPr>
        <w:widowControl w:val="0"/>
        <w:spacing w:line="360" w:lineRule="auto"/>
        <w:jc w:val="center"/>
        <w:rPr>
          <w:rFonts w:eastAsia="宋体"/>
          <w:kern w:val="2"/>
          <w:lang w:eastAsia="zh-CN"/>
        </w:rPr>
      </w:pPr>
      <w:r>
        <w:rPr>
          <w:rFonts w:hint="eastAsia" w:eastAsia="宋体"/>
          <w:kern w:val="2"/>
          <w:lang w:eastAsia="zh-CN"/>
        </w:rPr>
        <w:t>承诺函</w:t>
      </w:r>
    </w:p>
    <w:p w14:paraId="723CFACD">
      <w:pPr>
        <w:widowControl w:val="0"/>
        <w:spacing w:line="360" w:lineRule="auto"/>
        <w:jc w:val="both"/>
        <w:rPr>
          <w:rFonts w:eastAsia="宋体"/>
          <w:kern w:val="2"/>
          <w:lang w:eastAsia="zh-CN"/>
        </w:rPr>
      </w:pPr>
      <w:r>
        <w:rPr>
          <w:rFonts w:hint="eastAsia" w:eastAsia="宋体"/>
          <w:kern w:val="2"/>
          <w:lang w:eastAsia="zh-CN"/>
        </w:rPr>
        <w:t>致：深圳公共资源交易中心、采购人</w:t>
      </w:r>
    </w:p>
    <w:p w14:paraId="285D380A">
      <w:pPr>
        <w:widowControl w:val="0"/>
        <w:spacing w:line="360" w:lineRule="auto"/>
        <w:ind w:firstLine="480" w:firstLineChars="200"/>
        <w:jc w:val="both"/>
        <w:rPr>
          <w:rFonts w:eastAsia="宋体"/>
          <w:kern w:val="2"/>
          <w:lang w:eastAsia="zh-CN"/>
        </w:rPr>
      </w:pPr>
      <w:r>
        <w:rPr>
          <w:rFonts w:hint="eastAsia" w:eastAsia="宋体"/>
          <w:kern w:val="2"/>
          <w:lang w:eastAsia="zh-CN"/>
        </w:rPr>
        <w:t>我单位承诺，中标后为本项目提供本地经营（服务）网点，如不遵守相应承诺，愿按违约处理，并承担由此给采购人带来的损失。</w:t>
      </w:r>
    </w:p>
    <w:p w14:paraId="36248D5A">
      <w:pPr>
        <w:widowControl w:val="0"/>
        <w:spacing w:line="360" w:lineRule="auto"/>
        <w:ind w:right="960" w:firstLine="5280" w:firstLineChars="2200"/>
        <w:jc w:val="both"/>
        <w:rPr>
          <w:rFonts w:ascii="宋体" w:hAnsi="宋体" w:eastAsia="宋体"/>
          <w:snapToGrid w:val="0"/>
          <w:szCs w:val="21"/>
          <w:u w:val="single"/>
          <w:lang w:eastAsia="zh-CN"/>
        </w:rPr>
      </w:pPr>
      <w:r>
        <w:rPr>
          <w:rFonts w:hint="eastAsia" w:eastAsia="宋体"/>
          <w:kern w:val="2"/>
          <w:lang w:eastAsia="zh-CN"/>
        </w:rPr>
        <w:t>投标人：</w:t>
      </w:r>
      <w:r>
        <w:rPr>
          <w:rFonts w:hint="eastAsia" w:ascii="宋体" w:hAnsi="宋体" w:eastAsia="宋体"/>
          <w:snapToGrid w:val="0"/>
          <w:szCs w:val="21"/>
          <w:u w:val="single"/>
          <w:lang w:eastAsia="zh-CN"/>
        </w:rPr>
        <w:t xml:space="preserve">             </w:t>
      </w:r>
      <w:r>
        <w:rPr>
          <w:rFonts w:hint="eastAsia" w:ascii="宋体" w:hAnsi="宋体" w:eastAsia="宋体"/>
          <w:snapToGrid w:val="0"/>
          <w:szCs w:val="21"/>
          <w:lang w:eastAsia="zh-CN"/>
        </w:rPr>
        <w:t>;</w:t>
      </w:r>
    </w:p>
    <w:p w14:paraId="5F8E31A4">
      <w:pPr>
        <w:widowControl w:val="0"/>
        <w:spacing w:line="360" w:lineRule="auto"/>
        <w:ind w:right="960" w:firstLine="5280" w:firstLineChars="2200"/>
        <w:jc w:val="both"/>
        <w:rPr>
          <w:rFonts w:eastAsia="宋体"/>
          <w:kern w:val="2"/>
          <w:lang w:eastAsia="zh-CN"/>
        </w:rPr>
      </w:pPr>
      <w:r>
        <w:rPr>
          <w:rFonts w:hint="eastAsia" w:eastAsia="宋体"/>
          <w:kern w:val="2"/>
          <w:lang w:eastAsia="zh-CN"/>
        </w:rPr>
        <w:t>日期：</w:t>
      </w:r>
      <w:r>
        <w:rPr>
          <w:rFonts w:hint="eastAsia" w:ascii="宋体" w:hAnsi="宋体" w:eastAsia="宋体"/>
          <w:snapToGrid w:val="0"/>
          <w:szCs w:val="21"/>
          <w:u w:val="single"/>
          <w:lang w:eastAsia="zh-CN"/>
        </w:rPr>
        <w:t xml:space="preserve">    </w:t>
      </w:r>
      <w:r>
        <w:rPr>
          <w:rFonts w:hint="eastAsia" w:eastAsia="宋体"/>
          <w:kern w:val="2"/>
          <w:lang w:eastAsia="zh-CN"/>
        </w:rPr>
        <w:t>年</w:t>
      </w:r>
      <w:r>
        <w:rPr>
          <w:rFonts w:hint="eastAsia" w:ascii="宋体" w:hAnsi="宋体" w:eastAsia="宋体"/>
          <w:snapToGrid w:val="0"/>
          <w:szCs w:val="21"/>
          <w:u w:val="single"/>
          <w:lang w:eastAsia="zh-CN"/>
        </w:rPr>
        <w:t xml:space="preserve">   </w:t>
      </w:r>
      <w:r>
        <w:rPr>
          <w:rFonts w:hint="eastAsia" w:eastAsia="宋体"/>
          <w:kern w:val="2"/>
          <w:lang w:eastAsia="zh-CN"/>
        </w:rPr>
        <w:t>月</w:t>
      </w:r>
      <w:r>
        <w:rPr>
          <w:rFonts w:hint="eastAsia" w:ascii="宋体" w:hAnsi="宋体" w:eastAsia="宋体"/>
          <w:snapToGrid w:val="0"/>
          <w:szCs w:val="21"/>
          <w:u w:val="single"/>
          <w:lang w:eastAsia="zh-CN"/>
        </w:rPr>
        <w:t xml:space="preserve">   </w:t>
      </w:r>
      <w:r>
        <w:rPr>
          <w:rFonts w:hint="eastAsia" w:eastAsia="宋体"/>
          <w:kern w:val="2"/>
          <w:lang w:eastAsia="zh-CN"/>
        </w:rPr>
        <w:t>日</w:t>
      </w:r>
    </w:p>
    <w:p w14:paraId="16EC3263">
      <w:pPr>
        <w:widowControl w:val="0"/>
        <w:spacing w:line="360" w:lineRule="auto"/>
        <w:jc w:val="center"/>
        <w:rPr>
          <w:rFonts w:eastAsia="宋体"/>
          <w:color w:val="FF0000"/>
          <w:kern w:val="2"/>
          <w:sz w:val="22"/>
          <w:szCs w:val="22"/>
          <w:lang w:eastAsia="zh-CN"/>
        </w:rPr>
      </w:pPr>
    </w:p>
    <w:p w14:paraId="518AA66E">
      <w:pPr>
        <w:widowControl w:val="0"/>
        <w:spacing w:line="360" w:lineRule="auto"/>
        <w:jc w:val="left"/>
        <w:rPr>
          <w:rFonts w:eastAsia="宋体"/>
          <w:color w:val="FF0000"/>
          <w:kern w:val="2"/>
          <w:lang w:eastAsia="zh-CN"/>
        </w:rPr>
      </w:pPr>
      <w:r>
        <w:rPr>
          <w:rFonts w:hint="eastAsia" w:eastAsia="宋体"/>
          <w:b/>
          <w:bCs/>
          <w:color w:val="FF0000"/>
          <w:kern w:val="2"/>
          <w:sz w:val="22"/>
          <w:szCs w:val="22"/>
          <w:lang w:eastAsia="zh-CN"/>
        </w:rPr>
        <w:t>（特别提示：投标人须按本招标文件评标信息中这一评审因素要求及以上模版要求提供承诺函，否则将按不得分处理）</w:t>
      </w:r>
    </w:p>
    <w:p w14:paraId="21611469">
      <w:pPr>
        <w:widowControl w:val="0"/>
        <w:jc w:val="both"/>
        <w:rPr>
          <w:rFonts w:hint="eastAsia" w:ascii="黑体" w:hAnsi="黑体" w:eastAsia="黑体" w:cs="黑体"/>
          <w:kern w:val="2"/>
          <w:szCs w:val="28"/>
          <w:lang w:eastAsia="zh-CN"/>
        </w:rPr>
      </w:pPr>
    </w:p>
    <w:p w14:paraId="78CB8754">
      <w:pPr>
        <w:widowControl w:val="0"/>
        <w:jc w:val="both"/>
        <w:rPr>
          <w:rFonts w:hint="eastAsia" w:ascii="黑体" w:hAnsi="黑体" w:eastAsia="黑体" w:cs="黑体"/>
          <w:kern w:val="2"/>
          <w:szCs w:val="28"/>
          <w:lang w:eastAsia="zh-CN"/>
        </w:rPr>
      </w:pPr>
    </w:p>
    <w:p w14:paraId="27EBD473">
      <w:pPr>
        <w:widowControl w:val="0"/>
        <w:bidi w:val="0"/>
        <w:spacing w:before="260" w:after="260"/>
        <w:jc w:val="both"/>
        <w:outlineLvl w:val="2"/>
        <w:rPr>
          <w:rFonts w:hint="eastAsia" w:ascii="黑体" w:hAnsi="黑体" w:eastAsia="黑体" w:cs="黑体"/>
          <w:kern w:val="2"/>
          <w:szCs w:val="40"/>
          <w:lang w:eastAsia="zh-CN"/>
        </w:rPr>
      </w:pPr>
      <w:r>
        <w:rPr>
          <w:rFonts w:hint="eastAsia" w:ascii="黑体" w:hAnsi="黑体" w:eastAsia="黑体" w:cs="黑体"/>
          <w:kern w:val="2"/>
          <w:szCs w:val="40"/>
          <w:lang w:eastAsia="zh-CN"/>
        </w:rPr>
        <w:t>十八、投标人认为需要加以说明的其他内容</w:t>
      </w:r>
    </w:p>
    <w:p w14:paraId="5189BED9">
      <w:pPr>
        <w:widowControl/>
        <w:jc w:val="center"/>
        <w:rPr>
          <w:rFonts w:ascii="黑体" w:hAnsi="宋体" w:eastAsia="黑体"/>
          <w:szCs w:val="20"/>
          <w:lang w:eastAsia="zh-CN"/>
        </w:rPr>
      </w:pPr>
      <w:r>
        <w:rPr>
          <w:rFonts w:hint="eastAsia" w:ascii="黑体" w:hAnsi="宋体" w:eastAsia="黑体"/>
          <w:szCs w:val="20"/>
          <w:lang w:eastAsia="zh-CN"/>
        </w:rPr>
        <w:t>（一）采购违法行为风险知悉确认书</w:t>
      </w:r>
    </w:p>
    <w:p w14:paraId="75A128EB">
      <w:pPr>
        <w:widowControl w:val="0"/>
        <w:spacing w:after="120" w:afterLines="50" w:line="360" w:lineRule="exact"/>
        <w:ind w:firstLine="422" w:firstLineChars="200"/>
        <w:jc w:val="both"/>
        <w:rPr>
          <w:rFonts w:ascii="宋体" w:hAnsi="宋体" w:eastAsia="宋体" w:cs="宋体"/>
          <w:b/>
          <w:bCs/>
          <w:kern w:val="2"/>
          <w:sz w:val="21"/>
          <w:szCs w:val="21"/>
          <w:lang w:eastAsia="zh-CN"/>
        </w:rPr>
      </w:pPr>
      <w:r>
        <w:rPr>
          <w:rFonts w:hint="eastAsia" w:ascii="宋体" w:hAnsi="宋体" w:eastAsia="宋体" w:cs="宋体"/>
          <w:b/>
          <w:bCs/>
          <w:kern w:val="2"/>
          <w:sz w:val="21"/>
          <w:szCs w:val="21"/>
          <w:lang w:eastAsia="zh-CN" w:bidi="ar"/>
        </w:rPr>
        <w:t>我单位在投标前已充分知悉以下情形为参与自行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8455"/>
      </w:tblGrid>
      <w:tr w14:paraId="5402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123D67B6">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序号</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581D0E65">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b/>
                <w:bCs/>
                <w:kern w:val="2"/>
                <w:sz w:val="21"/>
                <w:szCs w:val="21"/>
                <w:lang w:eastAsia="zh-CN" w:bidi="ar"/>
              </w:rPr>
              <w:t>供应商参与投标禁止情形</w:t>
            </w:r>
          </w:p>
        </w:tc>
      </w:tr>
      <w:tr w14:paraId="6FDE2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31014CEC">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1</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9F6CBA2">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与其他投标供应商的法定代表人、主要经营负责人、投标授权代表人、项目负责人、主要技术人员为</w:t>
            </w:r>
            <w:r>
              <w:rPr>
                <w:rFonts w:hint="eastAsia" w:ascii="宋体" w:hAnsi="宋体" w:eastAsia="宋体" w:cs="宋体"/>
                <w:b/>
                <w:bCs/>
                <w:kern w:val="2"/>
                <w:sz w:val="21"/>
                <w:szCs w:val="21"/>
                <w:lang w:eastAsia="zh-CN" w:bidi="ar"/>
              </w:rPr>
              <w:t>同一人、属同一单位或者在同一单位缴纳社会保险</w:t>
            </w:r>
            <w:r>
              <w:rPr>
                <w:rFonts w:hint="eastAsia" w:ascii="宋体" w:hAnsi="宋体" w:eastAsia="宋体" w:cs="宋体"/>
                <w:kern w:val="2"/>
                <w:sz w:val="21"/>
                <w:szCs w:val="21"/>
                <w:lang w:eastAsia="zh-CN" w:bidi="ar"/>
              </w:rPr>
              <w:t>。</w:t>
            </w:r>
          </w:p>
        </w:tc>
      </w:tr>
      <w:tr w14:paraId="65DF9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2EBFA02E">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2</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5F87CFA">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参与本项目采购活动时，与其他投标供应商存在单位负责人为</w:t>
            </w:r>
            <w:r>
              <w:rPr>
                <w:rFonts w:hint="eastAsia" w:ascii="宋体" w:hAnsi="宋体" w:eastAsia="宋体" w:cs="宋体"/>
                <w:b/>
                <w:bCs/>
                <w:kern w:val="2"/>
                <w:sz w:val="21"/>
                <w:szCs w:val="21"/>
                <w:lang w:eastAsia="zh-CN" w:bidi="ar"/>
              </w:rPr>
              <w:t>同一人或直接控股、管理关系</w:t>
            </w:r>
            <w:r>
              <w:rPr>
                <w:rFonts w:hint="eastAsia" w:ascii="宋体" w:hAnsi="宋体" w:eastAsia="宋体" w:cs="宋体"/>
                <w:kern w:val="2"/>
                <w:sz w:val="21"/>
                <w:szCs w:val="21"/>
                <w:lang w:eastAsia="zh-CN" w:bidi="ar"/>
              </w:rPr>
              <w:t>。</w:t>
            </w:r>
          </w:p>
        </w:tc>
      </w:tr>
      <w:tr w14:paraId="213B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9C0D9A3">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3</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473CC88A">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与其他投标供应商的投标文件或部分投标文件</w:t>
            </w:r>
            <w:r>
              <w:rPr>
                <w:rFonts w:hint="eastAsia" w:ascii="宋体" w:hAnsi="宋体" w:eastAsia="宋体" w:cs="宋体"/>
                <w:b/>
                <w:bCs/>
                <w:kern w:val="2"/>
                <w:sz w:val="21"/>
                <w:szCs w:val="21"/>
                <w:lang w:eastAsia="zh-CN" w:bidi="ar"/>
              </w:rPr>
              <w:t>相互混装或存在非正常一致</w:t>
            </w:r>
            <w:r>
              <w:rPr>
                <w:rFonts w:hint="eastAsia" w:ascii="宋体" w:hAnsi="宋体" w:eastAsia="宋体" w:cs="宋体"/>
                <w:kern w:val="2"/>
                <w:sz w:val="21"/>
                <w:szCs w:val="21"/>
                <w:lang w:eastAsia="zh-CN" w:bidi="ar"/>
              </w:rPr>
              <w:t>。</w:t>
            </w:r>
          </w:p>
        </w:tc>
      </w:tr>
      <w:tr w14:paraId="47DE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4C2F2409">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4</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7BAE0568">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与其他投标供应商的投标文件由</w:t>
            </w:r>
            <w:r>
              <w:rPr>
                <w:rFonts w:hint="eastAsia" w:ascii="宋体" w:hAnsi="宋体" w:eastAsia="宋体" w:cs="宋体"/>
                <w:b/>
                <w:bCs/>
                <w:kern w:val="2"/>
                <w:sz w:val="21"/>
                <w:szCs w:val="21"/>
                <w:lang w:eastAsia="zh-CN" w:bidi="ar"/>
              </w:rPr>
              <w:t>同一单位或者同一人编制</w:t>
            </w:r>
            <w:r>
              <w:rPr>
                <w:rFonts w:hint="eastAsia" w:ascii="宋体" w:hAnsi="宋体" w:eastAsia="宋体" w:cs="宋体"/>
                <w:kern w:val="2"/>
                <w:sz w:val="21"/>
                <w:szCs w:val="21"/>
                <w:lang w:eastAsia="zh-CN" w:bidi="ar"/>
              </w:rPr>
              <w:t>，或者使用</w:t>
            </w:r>
            <w:r>
              <w:rPr>
                <w:rFonts w:hint="eastAsia" w:ascii="宋体" w:hAnsi="宋体" w:eastAsia="宋体" w:cs="宋体"/>
                <w:b/>
                <w:bCs/>
                <w:kern w:val="2"/>
                <w:sz w:val="21"/>
                <w:szCs w:val="21"/>
                <w:lang w:eastAsia="zh-CN" w:bidi="ar"/>
              </w:rPr>
              <w:t>同一设备编制</w:t>
            </w:r>
            <w:r>
              <w:rPr>
                <w:rFonts w:hint="eastAsia" w:ascii="宋体" w:hAnsi="宋体" w:eastAsia="宋体" w:cs="宋体"/>
                <w:kern w:val="2"/>
                <w:sz w:val="21"/>
                <w:szCs w:val="21"/>
                <w:lang w:eastAsia="zh-CN" w:bidi="ar"/>
              </w:rPr>
              <w:t>。</w:t>
            </w:r>
          </w:p>
        </w:tc>
      </w:tr>
      <w:tr w14:paraId="556A9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5ECAD3F1">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5</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2A49617D">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提供</w:t>
            </w:r>
            <w:r>
              <w:rPr>
                <w:rFonts w:hint="eastAsia" w:ascii="宋体" w:hAnsi="宋体" w:eastAsia="宋体" w:cs="宋体"/>
                <w:b/>
                <w:bCs/>
                <w:kern w:val="2"/>
                <w:sz w:val="21"/>
                <w:szCs w:val="21"/>
                <w:lang w:eastAsia="zh-CN" w:bidi="ar"/>
              </w:rPr>
              <w:t>未经出具机构核实</w:t>
            </w:r>
            <w:r>
              <w:rPr>
                <w:rFonts w:hint="eastAsia" w:ascii="宋体" w:hAnsi="宋体" w:eastAsia="宋体" w:cs="宋体"/>
                <w:kern w:val="2"/>
                <w:sz w:val="21"/>
                <w:szCs w:val="21"/>
                <w:lang w:eastAsia="zh-CN" w:bidi="ar"/>
              </w:rPr>
              <w:t>的虚假的检验检测报告、业绩材料、社保缴纳证明、学历学位证书、职称认证证书等材料。</w:t>
            </w:r>
          </w:p>
        </w:tc>
      </w:tr>
      <w:tr w14:paraId="523DB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tcBorders>
              <w:top w:val="single" w:color="auto" w:sz="4" w:space="0"/>
              <w:left w:val="single" w:color="auto" w:sz="4" w:space="0"/>
              <w:bottom w:val="single" w:color="auto" w:sz="4" w:space="0"/>
              <w:right w:val="single" w:color="auto" w:sz="4" w:space="0"/>
            </w:tcBorders>
            <w:shd w:val="clear" w:color="auto" w:fill="auto"/>
            <w:vAlign w:val="center"/>
          </w:tcPr>
          <w:p w14:paraId="71CF7A2F">
            <w:pPr>
              <w:widowControl w:val="0"/>
              <w:spacing w:line="400" w:lineRule="exact"/>
              <w:jc w:val="center"/>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6</w:t>
            </w:r>
          </w:p>
        </w:tc>
        <w:tc>
          <w:tcPr>
            <w:tcW w:w="8223" w:type="dxa"/>
            <w:tcBorders>
              <w:top w:val="single" w:color="auto" w:sz="4" w:space="0"/>
              <w:left w:val="single" w:color="auto" w:sz="4" w:space="0"/>
              <w:bottom w:val="single" w:color="auto" w:sz="4" w:space="0"/>
              <w:right w:val="single" w:color="auto" w:sz="4" w:space="0"/>
            </w:tcBorders>
            <w:shd w:val="clear" w:color="auto" w:fill="auto"/>
            <w:vAlign w:val="center"/>
          </w:tcPr>
          <w:p w14:paraId="0EF6F694">
            <w:pPr>
              <w:widowControl w:val="0"/>
              <w:spacing w:line="400" w:lineRule="exact"/>
              <w:jc w:val="left"/>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擅自将投标密钥出借他人使用或未妥善保管。</w:t>
            </w:r>
          </w:p>
        </w:tc>
      </w:tr>
    </w:tbl>
    <w:p w14:paraId="5099F9D9">
      <w:pPr>
        <w:widowControl w:val="0"/>
        <w:spacing w:before="120" w:beforeLines="50" w:line="38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一、我单位已充分知悉“隐瞒真实情况，提供虚假资料”的法定情形，包括但不限于：</w:t>
      </w:r>
    </w:p>
    <w:p w14:paraId="69764B20">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（一）通过转让或者租借等方式从其他单位获取资格或者资质证书投标的。</w:t>
      </w:r>
    </w:p>
    <w:p w14:paraId="29FE60DE">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（二）由其他单位或者其他单位负责人在投标供应商编制的投标文件上加盖印章或者签字的。</w:t>
      </w:r>
    </w:p>
    <w:p w14:paraId="7A57D8FB">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（三）项目负责人或者主要技术人员不是本单位人员的。</w:t>
      </w:r>
    </w:p>
    <w:p w14:paraId="48FF9064">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（四）投标保证金不是从投标供应商基本账户转出的。</w:t>
      </w:r>
    </w:p>
    <w:p w14:paraId="31EFC93E">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（五）其他隐瞒真实情况、提供虚假资料的行为。</w:t>
      </w:r>
    </w:p>
    <w:p w14:paraId="5F5185FC">
      <w:pPr>
        <w:widowControl w:val="0"/>
        <w:spacing w:line="38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二、我单位已充分知悉“与其他采购参加人串通投标”的法定情形，包括但不限于：</w:t>
      </w:r>
    </w:p>
    <w:p w14:paraId="40826169">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（一）投标供应商之间相互约定给予未中标的供应商利益补偿。</w:t>
      </w:r>
    </w:p>
    <w:p w14:paraId="5EB331FF">
      <w:pPr>
        <w:widowControl w:val="0"/>
        <w:spacing w:line="38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（二）不同投标供应商的法定代表人、主要经营负责人、项目投标授权代表人、项目负责人、主要技术人员为同一人、属同一单位或者在同一单位缴纳社会保险。</w:t>
      </w:r>
    </w:p>
    <w:p w14:paraId="67701FE4">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（三）不同投标供应商的投标文件由同一单位或者同一人编制，或者由同一人分阶段参与编制的。</w:t>
      </w:r>
    </w:p>
    <w:p w14:paraId="5272D243">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（四）不同投标供应商的投标文件或部分投标文件相互混装。</w:t>
      </w:r>
    </w:p>
    <w:p w14:paraId="534A77F0">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（五）不同投标供应商的投标文件内容存在非正常一致。</w:t>
      </w:r>
    </w:p>
    <w:p w14:paraId="2B42B026">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（六）由同一单位工作人员为两家以上（含两家）供应商进行同一项投标活动的。</w:t>
      </w:r>
    </w:p>
    <w:p w14:paraId="6D5EBE76">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（七）不同投标人的投标报价呈规律性差异。</w:t>
      </w:r>
    </w:p>
    <w:p w14:paraId="0CE032DB">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（八）不同投标人的投标保证金从同一单位或者个人的账户转出。</w:t>
      </w:r>
    </w:p>
    <w:p w14:paraId="13B19B2F">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（九）主管部门依照法律、法规认定的其他情形。</w:t>
      </w:r>
    </w:p>
    <w:p w14:paraId="0D0BFDC2">
      <w:pPr>
        <w:widowControl w:val="0"/>
        <w:spacing w:line="34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三、我单位已充分知悉下列情形存在法律风险，在投标前已对相关风险事项进行排查。</w:t>
      </w:r>
    </w:p>
    <w:p w14:paraId="6B62D15D">
      <w:pPr>
        <w:widowControl w:val="0"/>
        <w:spacing w:line="340" w:lineRule="exact"/>
        <w:ind w:firstLine="420" w:firstLineChars="200"/>
        <w:jc w:val="both"/>
        <w:rPr>
          <w:rFonts w:ascii="宋体" w:hAnsi="宋体" w:eastAsia="宋体" w:cs="宋体"/>
          <w:b/>
          <w:kern w:val="2"/>
          <w:sz w:val="21"/>
          <w:szCs w:val="21"/>
          <w:lang w:eastAsia="zh-CN"/>
        </w:rPr>
      </w:pPr>
      <w:r>
        <w:rPr>
          <w:rFonts w:hint="eastAsia" w:ascii="宋体" w:hAnsi="宋体" w:eastAsia="宋体" w:cs="宋体"/>
          <w:kern w:val="2"/>
          <w:sz w:val="21"/>
          <w:szCs w:val="21"/>
          <w:lang w:eastAsia="zh-CN" w:bidi="ar"/>
        </w:rPr>
        <w:t>（一）对于从其他主体获取的投标资料，我单位应审慎核查，确保其真实性。</w:t>
      </w:r>
      <w:r>
        <w:rPr>
          <w:rFonts w:hint="eastAsia" w:ascii="宋体" w:hAnsi="宋体" w:eastAsia="宋体" w:cs="宋体"/>
          <w:b/>
          <w:kern w:val="2"/>
          <w:sz w:val="21"/>
          <w:szCs w:val="21"/>
          <w:lang w:eastAsia="zh-CN" w:bidi="ar"/>
        </w:rPr>
        <w:t>如主管部门查实投标文件中存在虚假资料的，无论相关资料是否由第三方或本公司员工提供，均不影响主管部门对供应商存在“隐瞒真实情况，提供虚假资料”违法行为的认定。</w:t>
      </w:r>
    </w:p>
    <w:p w14:paraId="5FC5E2D1">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（二）对于涉及国家机关出具的公文、证件、证明材料等文件，一旦涉嫌虚假，经查实，主管部门将依法从严处理，并移送有关部门追究法律责任；涉嫌犯罪的，移送司法机关处理。</w:t>
      </w:r>
    </w:p>
    <w:p w14:paraId="76B7D344">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（三）我单位对投标电子密钥负有妥善保管、及时变更和续期等主体责任；使用电子密钥在</w:t>
      </w:r>
      <w:r>
        <w:rPr>
          <w:rFonts w:hint="eastAsia" w:eastAsia="宋体"/>
          <w:kern w:val="2"/>
          <w:sz w:val="21"/>
          <w:lang w:eastAsia="zh-CN" w:bidi="ar"/>
        </w:rPr>
        <w:t>深圳自行采购网站</w:t>
      </w:r>
      <w:r>
        <w:rPr>
          <w:rFonts w:hint="eastAsia" w:ascii="宋体" w:hAnsi="宋体" w:eastAsia="宋体" w:cs="宋体"/>
          <w:kern w:val="2"/>
          <w:sz w:val="21"/>
          <w:szCs w:val="21"/>
          <w:lang w:eastAsia="zh-CN" w:bidi="ar"/>
        </w:rPr>
        <w:t>进行的活动，均具有法律效力，须承担相应的法律后果。若</w:t>
      </w:r>
      <w:r>
        <w:rPr>
          <w:rFonts w:hint="eastAsia" w:ascii="宋体" w:hAnsi="宋体" w:eastAsia="宋体" w:cs="宋体"/>
          <w:b/>
          <w:bCs/>
          <w:kern w:val="2"/>
          <w:sz w:val="21"/>
          <w:szCs w:val="21"/>
          <w:lang w:eastAsia="zh-CN" w:bidi="ar"/>
        </w:rPr>
        <w:t>擅自将投标密钥出借他人使用所造成的法律后果，由我单位自行承担</w:t>
      </w:r>
      <w:r>
        <w:rPr>
          <w:rFonts w:hint="eastAsia" w:ascii="宋体" w:hAnsi="宋体" w:eastAsia="宋体" w:cs="宋体"/>
          <w:kern w:val="2"/>
          <w:sz w:val="21"/>
          <w:szCs w:val="21"/>
          <w:lang w:eastAsia="zh-CN" w:bidi="ar"/>
        </w:rPr>
        <w:t>。</w:t>
      </w:r>
    </w:p>
    <w:p w14:paraId="5CC36E06">
      <w:pPr>
        <w:widowControl w:val="0"/>
        <w:spacing w:line="340" w:lineRule="exact"/>
        <w:ind w:firstLine="422" w:firstLineChars="200"/>
        <w:jc w:val="both"/>
        <w:rPr>
          <w:rFonts w:ascii="宋体" w:hAnsi="宋体" w:eastAsia="宋体" w:cs="宋体"/>
          <w:b/>
          <w:kern w:val="2"/>
          <w:sz w:val="21"/>
          <w:szCs w:val="21"/>
          <w:lang w:eastAsia="zh-CN"/>
        </w:rPr>
      </w:pPr>
      <w:r>
        <w:rPr>
          <w:rFonts w:hint="eastAsia" w:ascii="宋体" w:hAnsi="宋体" w:eastAsia="宋体" w:cs="宋体"/>
          <w:b/>
          <w:kern w:val="2"/>
          <w:sz w:val="21"/>
          <w:szCs w:val="21"/>
          <w:lang w:eastAsia="zh-CN" w:bidi="ar"/>
        </w:rPr>
        <w:t>四、我单位已充分知悉政府采购违法、违规行为的法律后果。</w:t>
      </w:r>
    </w:p>
    <w:p w14:paraId="485F39EE">
      <w:pPr>
        <w:widowControl w:val="0"/>
        <w:spacing w:line="340" w:lineRule="exact"/>
        <w:ind w:firstLine="420" w:firstLineChars="200"/>
        <w:jc w:val="both"/>
        <w:rPr>
          <w:rFonts w:ascii="宋体" w:hAnsi="宋体" w:eastAsia="宋体" w:cs="宋体"/>
          <w:kern w:val="2"/>
          <w:sz w:val="21"/>
          <w:szCs w:val="21"/>
          <w:lang w:eastAsia="zh-CN"/>
        </w:rPr>
      </w:pPr>
      <w:r>
        <w:rPr>
          <w:rFonts w:hint="eastAsia" w:ascii="宋体" w:hAnsi="宋体" w:eastAsia="宋体" w:cs="宋体"/>
          <w:kern w:val="2"/>
          <w:sz w:val="21"/>
          <w:szCs w:val="21"/>
          <w:lang w:eastAsia="zh-CN" w:bidi="ar"/>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06EA3273">
      <w:pPr>
        <w:widowControl w:val="0"/>
        <w:spacing w:line="340" w:lineRule="exact"/>
        <w:ind w:firstLine="420" w:firstLineChars="200"/>
        <w:jc w:val="both"/>
        <w:rPr>
          <w:rFonts w:ascii="宋体" w:hAnsi="宋体" w:eastAsia="宋体" w:cs="宋体"/>
          <w:kern w:val="2"/>
          <w:sz w:val="21"/>
          <w:szCs w:val="21"/>
          <w:highlight w:val="yellow"/>
          <w:lang w:eastAsia="zh-CN"/>
        </w:rPr>
      </w:pPr>
      <w:r>
        <w:rPr>
          <w:rFonts w:hint="eastAsia" w:ascii="宋体" w:hAnsi="宋体" w:eastAsia="宋体" w:cs="宋体"/>
          <w:kern w:val="2"/>
          <w:sz w:val="21"/>
          <w:szCs w:val="21"/>
          <w:highlight w:val="yellow"/>
          <w:lang w:eastAsia="zh-CN" w:bidi="ar"/>
        </w:rPr>
        <w:t>以下文字请投标供应商抄写并确认：“我单位已仔细阅读《采购违法行为风险知悉确认书》，充分知悉违法行为的法律后果，并承诺将严谨、诚信、依法依规参与采购活动”。</w:t>
      </w:r>
    </w:p>
    <w:tbl>
      <w:tblPr>
        <w:tblStyle w:val="13"/>
        <w:tblW w:w="5000" w:type="pct"/>
        <w:tblInd w:w="0" w:type="dxa"/>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9289"/>
      </w:tblGrid>
      <w:tr w14:paraId="515A3805">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shd w:val="clear" w:color="auto" w:fill="auto"/>
          </w:tcPr>
          <w:p w14:paraId="4D800AE7">
            <w:pPr>
              <w:widowControl w:val="0"/>
              <w:autoSpaceDE w:val="0"/>
              <w:autoSpaceDN w:val="0"/>
              <w:spacing w:line="340" w:lineRule="exact"/>
              <w:ind w:firstLine="1866"/>
              <w:jc w:val="both"/>
              <w:rPr>
                <w:rFonts w:ascii="宋体" w:hAnsi="宋体" w:eastAsia="宋体" w:cs="宋体"/>
                <w:spacing w:val="-4"/>
                <w:sz w:val="21"/>
                <w:szCs w:val="21"/>
                <w:lang w:eastAsia="zh-CN"/>
              </w:rPr>
            </w:pPr>
          </w:p>
        </w:tc>
      </w:tr>
      <w:tr w14:paraId="174AA8A2">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shd w:val="clear" w:color="auto" w:fill="auto"/>
          </w:tcPr>
          <w:p w14:paraId="4D0AF421">
            <w:pPr>
              <w:widowControl w:val="0"/>
              <w:autoSpaceDE w:val="0"/>
              <w:autoSpaceDN w:val="0"/>
              <w:spacing w:line="340" w:lineRule="exact"/>
              <w:ind w:firstLine="1866"/>
              <w:jc w:val="both"/>
              <w:rPr>
                <w:rFonts w:ascii="宋体" w:hAnsi="宋体" w:eastAsia="宋体" w:cs="宋体"/>
                <w:spacing w:val="-4"/>
                <w:sz w:val="21"/>
                <w:szCs w:val="21"/>
                <w:lang w:eastAsia="zh-CN"/>
              </w:rPr>
            </w:pPr>
          </w:p>
        </w:tc>
      </w:tr>
      <w:tr w14:paraId="1A8A3CBB">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shd w:val="clear" w:color="auto" w:fill="auto"/>
          </w:tcPr>
          <w:p w14:paraId="44D3B080">
            <w:pPr>
              <w:widowControl w:val="0"/>
              <w:autoSpaceDE w:val="0"/>
              <w:autoSpaceDN w:val="0"/>
              <w:spacing w:line="340" w:lineRule="exact"/>
              <w:ind w:firstLine="1866"/>
              <w:jc w:val="both"/>
              <w:rPr>
                <w:rFonts w:ascii="宋体" w:hAnsi="宋体" w:eastAsia="宋体" w:cs="宋体"/>
                <w:spacing w:val="-4"/>
                <w:sz w:val="21"/>
                <w:szCs w:val="21"/>
                <w:lang w:eastAsia="zh-CN"/>
              </w:rPr>
            </w:pPr>
          </w:p>
        </w:tc>
      </w:tr>
      <w:tr w14:paraId="3EBCF537">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shd w:val="clear" w:color="auto" w:fill="auto"/>
          </w:tcPr>
          <w:p w14:paraId="3D9514AD">
            <w:pPr>
              <w:widowControl w:val="0"/>
              <w:autoSpaceDE w:val="0"/>
              <w:autoSpaceDN w:val="0"/>
              <w:spacing w:line="340" w:lineRule="exact"/>
              <w:ind w:firstLine="1866"/>
              <w:jc w:val="both"/>
              <w:rPr>
                <w:rFonts w:ascii="宋体" w:hAnsi="宋体" w:eastAsia="宋体" w:cs="宋体"/>
                <w:spacing w:val="-4"/>
                <w:sz w:val="21"/>
                <w:szCs w:val="21"/>
                <w:lang w:eastAsia="zh-CN"/>
              </w:rPr>
            </w:pPr>
          </w:p>
        </w:tc>
      </w:tr>
    </w:tbl>
    <w:p w14:paraId="2554357C">
      <w:pPr>
        <w:widowControl/>
        <w:wordWrap w:val="0"/>
        <w:autoSpaceDE w:val="0"/>
        <w:autoSpaceDN w:val="0"/>
        <w:spacing w:line="340" w:lineRule="exact"/>
        <w:ind w:right="808" w:firstLine="404" w:firstLineChars="200"/>
        <w:jc w:val="right"/>
        <w:rPr>
          <w:rFonts w:ascii="宋体" w:hAnsi="宋体" w:eastAsia="宋体" w:cs="宋体"/>
          <w:spacing w:val="-4"/>
          <w:sz w:val="21"/>
          <w:szCs w:val="21"/>
          <w:lang w:eastAsia="zh-CN"/>
        </w:rPr>
      </w:pPr>
    </w:p>
    <w:p w14:paraId="4D024BA6">
      <w:pPr>
        <w:widowControl/>
        <w:wordWrap w:val="0"/>
        <w:autoSpaceDE w:val="0"/>
        <w:autoSpaceDN w:val="0"/>
        <w:spacing w:line="340" w:lineRule="exact"/>
        <w:ind w:right="808" w:firstLine="404" w:firstLineChars="200"/>
        <w:jc w:val="right"/>
        <w:rPr>
          <w:rFonts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单位负责人签名：</w:t>
      </w:r>
      <w:r>
        <w:rPr>
          <w:rFonts w:hint="eastAsia" w:ascii="宋体" w:hAnsi="宋体" w:eastAsia="宋体" w:cs="宋体"/>
          <w:spacing w:val="-4"/>
          <w:sz w:val="21"/>
          <w:szCs w:val="21"/>
          <w:u w:val="single"/>
          <w:lang w:eastAsia="zh-CN" w:bidi="ar"/>
        </w:rPr>
        <w:t xml:space="preserve">              </w:t>
      </w:r>
      <w:r>
        <w:rPr>
          <w:rFonts w:hint="eastAsia" w:ascii="宋体" w:hAnsi="宋体" w:eastAsia="宋体" w:cs="宋体"/>
          <w:spacing w:val="-4"/>
          <w:sz w:val="21"/>
          <w:szCs w:val="21"/>
          <w:lang w:eastAsia="zh-CN" w:bidi="ar"/>
        </w:rPr>
        <w:t>；</w:t>
      </w:r>
    </w:p>
    <w:p w14:paraId="36B5829B">
      <w:pPr>
        <w:widowControl/>
        <w:wordWrap w:val="0"/>
        <w:autoSpaceDE w:val="0"/>
        <w:autoSpaceDN w:val="0"/>
        <w:spacing w:line="340" w:lineRule="exact"/>
        <w:ind w:right="808" w:firstLine="404" w:firstLineChars="200"/>
        <w:jc w:val="center"/>
        <w:rPr>
          <w:rFonts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 xml:space="preserve">                                 （加盖公章）</w:t>
      </w:r>
    </w:p>
    <w:p w14:paraId="092D70D3">
      <w:pPr>
        <w:widowControl/>
        <w:wordWrap w:val="0"/>
        <w:autoSpaceDE w:val="0"/>
        <w:autoSpaceDN w:val="0"/>
        <w:spacing w:line="340" w:lineRule="exact"/>
        <w:ind w:right="808" w:firstLine="404" w:firstLineChars="200"/>
        <w:jc w:val="right"/>
        <w:rPr>
          <w:rFonts w:ascii="宋体" w:hAnsi="宋体" w:eastAsia="宋体" w:cs="宋体"/>
          <w:spacing w:val="-4"/>
          <w:sz w:val="21"/>
          <w:szCs w:val="21"/>
          <w:u w:val="single"/>
          <w:lang w:eastAsia="zh-CN"/>
        </w:rPr>
      </w:pPr>
      <w:r>
        <w:rPr>
          <w:rFonts w:hint="eastAsia" w:ascii="宋体" w:hAnsi="宋体" w:eastAsia="宋体" w:cs="宋体"/>
          <w:spacing w:val="-4"/>
          <w:sz w:val="21"/>
          <w:szCs w:val="21"/>
          <w:lang w:eastAsia="zh-CN" w:bidi="ar"/>
        </w:rPr>
        <w:t xml:space="preserve">     日期：</w:t>
      </w:r>
      <w:r>
        <w:rPr>
          <w:rFonts w:hint="eastAsia" w:ascii="宋体" w:hAnsi="宋体" w:eastAsia="宋体" w:cs="宋体"/>
          <w:spacing w:val="-4"/>
          <w:sz w:val="21"/>
          <w:szCs w:val="21"/>
          <w:u w:val="single"/>
          <w:lang w:eastAsia="zh-CN" w:bidi="ar"/>
        </w:rPr>
        <w:t xml:space="preserve">              </w:t>
      </w:r>
      <w:r>
        <w:rPr>
          <w:rFonts w:hint="eastAsia" w:ascii="宋体" w:hAnsi="宋体" w:eastAsia="宋体" w:cs="宋体"/>
          <w:spacing w:val="-4"/>
          <w:sz w:val="21"/>
          <w:szCs w:val="21"/>
          <w:lang w:eastAsia="zh-CN" w:bidi="ar"/>
        </w:rPr>
        <w:t>；</w:t>
      </w:r>
    </w:p>
    <w:p w14:paraId="0A17D76F">
      <w:pPr>
        <w:widowControl/>
        <w:autoSpaceDE w:val="0"/>
        <w:autoSpaceDN w:val="0"/>
        <w:spacing w:line="340" w:lineRule="exact"/>
        <w:ind w:firstLine="406" w:firstLineChars="200"/>
        <w:jc w:val="left"/>
        <w:rPr>
          <w:rFonts w:ascii="宋体" w:hAnsi="宋体" w:eastAsia="宋体" w:cs="宋体"/>
          <w:b/>
          <w:bCs/>
          <w:color w:val="FF0000"/>
          <w:spacing w:val="-4"/>
          <w:sz w:val="21"/>
          <w:szCs w:val="21"/>
          <w:lang w:eastAsia="zh-CN"/>
        </w:rPr>
      </w:pPr>
    </w:p>
    <w:p w14:paraId="6D60179B">
      <w:pPr>
        <w:widowControl/>
        <w:autoSpaceDE w:val="0"/>
        <w:autoSpaceDN w:val="0"/>
        <w:spacing w:line="340" w:lineRule="exact"/>
        <w:jc w:val="left"/>
        <w:rPr>
          <w:rFonts w:ascii="宋体" w:hAnsi="宋体" w:eastAsia="宋体" w:cs="宋体"/>
          <w:b/>
          <w:bCs/>
          <w:color w:val="FF0000"/>
          <w:spacing w:val="-4"/>
          <w:sz w:val="21"/>
          <w:szCs w:val="21"/>
          <w:lang w:eastAsia="zh-CN"/>
        </w:rPr>
      </w:pPr>
      <w:r>
        <w:rPr>
          <w:rFonts w:hint="eastAsia" w:ascii="宋体" w:hAnsi="宋体" w:eastAsia="宋体" w:cs="宋体"/>
          <w:b/>
          <w:bCs/>
          <w:color w:val="FF0000"/>
          <w:spacing w:val="-4"/>
          <w:sz w:val="21"/>
          <w:szCs w:val="21"/>
          <w:lang w:eastAsia="zh-CN" w:bidi="ar"/>
        </w:rPr>
        <w:t>注：1.《采购违法行为风险知悉确认书》需由投标供应商负责人</w:t>
      </w:r>
      <w:r>
        <w:rPr>
          <w:rFonts w:hint="eastAsia" w:ascii="宋体" w:hAnsi="宋体" w:eastAsia="宋体" w:cs="宋体"/>
          <w:b/>
          <w:bCs/>
          <w:color w:val="FF0000"/>
          <w:spacing w:val="-4"/>
          <w:sz w:val="21"/>
          <w:szCs w:val="21"/>
          <w:highlight w:val="yellow"/>
          <w:lang w:eastAsia="zh-CN" w:bidi="ar"/>
        </w:rPr>
        <w:t>签字并加盖单位公章</w:t>
      </w:r>
      <w:r>
        <w:rPr>
          <w:rFonts w:hint="eastAsia" w:ascii="宋体" w:hAnsi="宋体" w:eastAsia="宋体" w:cs="宋体"/>
          <w:b/>
          <w:bCs/>
          <w:color w:val="FF0000"/>
          <w:spacing w:val="-4"/>
          <w:sz w:val="21"/>
          <w:szCs w:val="21"/>
          <w:lang w:eastAsia="zh-CN" w:bidi="ar"/>
        </w:rPr>
        <w:t>后，扫描上传至投标文件一并提交。</w:t>
      </w:r>
    </w:p>
    <w:p w14:paraId="6A3FC83F">
      <w:pPr>
        <w:widowControl w:val="0"/>
        <w:spacing w:beforeAutospacing="0" w:afterAutospacing="0"/>
        <w:jc w:val="both"/>
        <w:rPr>
          <w:rFonts w:eastAsia="宋体"/>
          <w:color w:val="FF0000"/>
          <w:lang w:eastAsia="zh-CN" w:bidi="ar"/>
        </w:rPr>
      </w:pPr>
      <w:r>
        <w:rPr>
          <w:rFonts w:hint="eastAsia" w:ascii="宋体" w:hAnsi="宋体" w:eastAsia="宋体" w:cs="宋体"/>
          <w:b/>
          <w:bCs/>
          <w:color w:val="FF0000"/>
          <w:spacing w:val="-4"/>
          <w:sz w:val="21"/>
          <w:szCs w:val="21"/>
          <w:lang w:eastAsia="zh-CN" w:bidi="ar"/>
        </w:rPr>
        <w:t>2.根据《深圳市财政局关于在采购文件及深圳政府采购智慧平台增设供应商投标特别警示条款等事宜的通知》（深财购〔2025〕7号）的要求，《采购违法行为风险知悉确认书》用于对供应商违法行为的提醒，不作为供应商资格性审查及符合性审查条件。</w:t>
      </w:r>
    </w:p>
    <w:p w14:paraId="018D1875">
      <w:pPr>
        <w:widowControl/>
        <w:autoSpaceDE w:val="0"/>
        <w:autoSpaceDN w:val="0"/>
        <w:spacing w:line="400" w:lineRule="exact"/>
        <w:ind w:firstLine="404" w:firstLineChars="200"/>
        <w:jc w:val="left"/>
        <w:rPr>
          <w:rFonts w:ascii="宋体" w:hAnsi="宋体" w:eastAsia="宋体" w:cs="宋体"/>
          <w:color w:val="FF0000"/>
          <w:spacing w:val="-4"/>
          <w:sz w:val="21"/>
          <w:szCs w:val="21"/>
          <w:lang w:eastAsia="zh-CN"/>
        </w:rPr>
      </w:pPr>
    </w:p>
    <w:p w14:paraId="61AF48F2">
      <w:pPr>
        <w:widowControl/>
        <w:autoSpaceDE w:val="0"/>
        <w:autoSpaceDN w:val="0"/>
        <w:spacing w:line="400" w:lineRule="exact"/>
        <w:ind w:right="1414" w:firstLine="480" w:firstLineChars="200"/>
        <w:jc w:val="right"/>
        <w:rPr>
          <w:rFonts w:eastAsia="宋体"/>
          <w:lang w:eastAsia="zh-CN"/>
        </w:rPr>
      </w:pPr>
    </w:p>
    <w:p w14:paraId="6FDD1815">
      <w:pPr>
        <w:widowControl w:val="0"/>
        <w:jc w:val="both"/>
        <w:rPr>
          <w:rFonts w:ascii="黑体" w:eastAsia="黑体" w:cs="黑体"/>
          <w:kern w:val="2"/>
          <w:szCs w:val="20"/>
          <w:lang w:eastAsia="zh-CN" w:bidi="ar"/>
        </w:rPr>
      </w:pPr>
      <w:r>
        <w:rPr>
          <w:rFonts w:hint="eastAsia" w:ascii="黑体" w:eastAsia="黑体" w:cs="黑体"/>
          <w:kern w:val="2"/>
          <w:szCs w:val="20"/>
          <w:lang w:eastAsia="zh-CN" w:bidi="ar"/>
        </w:rPr>
        <w:br w:type="page"/>
      </w:r>
    </w:p>
    <w:p w14:paraId="10C8E137">
      <w:pPr>
        <w:widowControl w:val="0"/>
        <w:jc w:val="center"/>
        <w:rPr>
          <w:rFonts w:ascii="黑体" w:eastAsia="黑体" w:cs="黑体"/>
          <w:kern w:val="2"/>
          <w:szCs w:val="20"/>
          <w:lang w:eastAsia="zh-CN"/>
        </w:rPr>
      </w:pPr>
      <w:r>
        <w:rPr>
          <w:rFonts w:hint="eastAsia" w:ascii="黑体" w:eastAsia="黑体" w:cs="黑体"/>
          <w:kern w:val="2"/>
          <w:szCs w:val="20"/>
          <w:lang w:eastAsia="zh-CN" w:bidi="ar"/>
        </w:rPr>
        <w:t>（二）订单融资情况</w:t>
      </w:r>
    </w:p>
    <w:p w14:paraId="7F7D1D7B">
      <w:pPr>
        <w:widowControl w:val="0"/>
        <w:ind w:firstLine="422" w:firstLineChars="200"/>
        <w:jc w:val="both"/>
        <w:rPr>
          <w:rFonts w:ascii="宋体" w:hAnsi="宋体" w:eastAsia="宋体" w:cs="宋体"/>
          <w:b/>
          <w:bCs/>
          <w:kern w:val="2"/>
          <w:sz w:val="21"/>
          <w:lang w:eastAsia="zh-CN"/>
        </w:rPr>
      </w:pPr>
      <w:r>
        <w:rPr>
          <w:rFonts w:hint="eastAsia" w:ascii="宋体" w:hAnsi="宋体" w:eastAsia="宋体" w:cs="宋体"/>
          <w:b/>
          <w:bCs/>
          <w:kern w:val="2"/>
          <w:sz w:val="21"/>
          <w:lang w:eastAsia="zh-CN" w:bidi="ar"/>
        </w:rPr>
        <w:t>1、关于订单融资政策</w:t>
      </w:r>
    </w:p>
    <w:p w14:paraId="355A74F3">
      <w:pPr>
        <w:widowControl w:val="0"/>
        <w:spacing w:beforeAutospacing="0" w:after="120" w:afterAutospacing="0"/>
        <w:ind w:firstLine="420" w:firstLineChars="200"/>
        <w:jc w:val="both"/>
        <w:rPr>
          <w:rFonts w:eastAsia="宋体"/>
          <w:b/>
          <w:szCs w:val="21"/>
          <w:lang w:eastAsia="zh-CN"/>
        </w:rPr>
      </w:pPr>
      <w:r>
        <w:rPr>
          <w:rFonts w:hint="eastAsia" w:eastAsia="宋体" w:cs="宋体"/>
          <w:bCs/>
          <w:kern w:val="2"/>
          <w:sz w:val="21"/>
          <w:szCs w:val="21"/>
          <w:lang w:eastAsia="zh-CN" w:bidi="ar"/>
        </w:rPr>
        <w:t>为深入贯彻落实国家深化政府采购制度改革精神，充分发挥政府采购扶持中小企业发展的政策功能，缓解中小微企业融资难、融资贵的问题，根据《深圳市财政局关于加大力度运用政府采购订单融资政策支持企业发展的通知》要求，参与深圳市自行采购活动供应商可凭借所获取的中标通知书与采购合同，向参与订单融资业务的金融机构提出融资申请，金融机构以各自信贷政策为基础，为中标（成交）供应商提供融资授信，订单融资具体流程可登录深圳要素交易金融服务平台</w:t>
      </w:r>
      <w:r>
        <w:rPr>
          <w:rFonts w:eastAsia="宋体"/>
          <w:bCs/>
          <w:kern w:val="2"/>
          <w:sz w:val="21"/>
          <w:szCs w:val="21"/>
          <w:lang w:eastAsia="zh-CN" w:bidi="ar"/>
        </w:rPr>
        <w:t>(https://finance.szexgrp.com/gtm/web/guarantee/#/)</w:t>
      </w:r>
      <w:r>
        <w:rPr>
          <w:rFonts w:hint="eastAsia" w:eastAsia="宋体" w:cs="宋体"/>
          <w:bCs/>
          <w:kern w:val="2"/>
          <w:sz w:val="21"/>
          <w:szCs w:val="21"/>
          <w:lang w:eastAsia="zh-CN" w:bidi="ar"/>
        </w:rPr>
        <w:t>，相关政策法规参阅深圳市政府采购监管网（</w:t>
      </w:r>
      <w:r>
        <w:rPr>
          <w:rFonts w:eastAsia="宋体"/>
          <w:bCs/>
          <w:kern w:val="2"/>
          <w:sz w:val="21"/>
          <w:szCs w:val="21"/>
          <w:lang w:eastAsia="zh-CN" w:bidi="ar"/>
        </w:rPr>
        <w:t>http://zfcg.sz.gov.cn/</w:t>
      </w:r>
      <w:r>
        <w:rPr>
          <w:rFonts w:hint="eastAsia" w:eastAsia="宋体" w:cs="宋体"/>
          <w:bCs/>
          <w:kern w:val="2"/>
          <w:sz w:val="21"/>
          <w:szCs w:val="21"/>
          <w:lang w:eastAsia="zh-CN" w:bidi="ar"/>
        </w:rPr>
        <w:t>）信息公开栏目。</w:t>
      </w:r>
    </w:p>
    <w:p w14:paraId="301E0665">
      <w:pPr>
        <w:widowControl w:val="0"/>
        <w:ind w:firstLine="422" w:firstLineChars="200"/>
        <w:jc w:val="both"/>
        <w:rPr>
          <w:rFonts w:ascii="宋体" w:hAnsi="宋体" w:eastAsia="宋体" w:cs="宋体"/>
          <w:b/>
          <w:bCs/>
          <w:kern w:val="2"/>
          <w:sz w:val="21"/>
          <w:lang w:eastAsia="zh-CN"/>
        </w:rPr>
      </w:pPr>
      <w:r>
        <w:rPr>
          <w:rFonts w:hint="eastAsia" w:ascii="宋体" w:hAnsi="宋体" w:eastAsia="宋体" w:cs="宋体"/>
          <w:b/>
          <w:bCs/>
          <w:kern w:val="2"/>
          <w:sz w:val="21"/>
          <w:lang w:eastAsia="zh-CN" w:bidi="ar"/>
        </w:rPr>
        <w:t>2、供应商账户信息</w:t>
      </w:r>
    </w:p>
    <w:p w14:paraId="439C304B">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投标人（单位全称）：</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r>
        <w:rPr>
          <w:rFonts w:eastAsia="宋体"/>
          <w:kern w:val="2"/>
          <w:sz w:val="21"/>
          <w:szCs w:val="21"/>
          <w:lang w:eastAsia="zh-CN" w:bidi="ar"/>
        </w:rPr>
        <w:t xml:space="preserve">  </w:t>
      </w:r>
    </w:p>
    <w:p w14:paraId="6C3F7464">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投标人单位地址：</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035E4021">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法定代表人（负责人）或其授权委托代理人：</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39BBFCEA">
      <w:pPr>
        <w:widowControl w:val="0"/>
        <w:ind w:left="480" w:leftChars="200" w:firstLine="210" w:firstLineChars="100"/>
        <w:jc w:val="both"/>
        <w:rPr>
          <w:rFonts w:eastAsia="宋体"/>
          <w:kern w:val="2"/>
          <w:sz w:val="21"/>
          <w:szCs w:val="21"/>
          <w:u w:val="thick"/>
          <w:lang w:eastAsia="zh-CN"/>
        </w:rPr>
      </w:pPr>
      <w:r>
        <w:rPr>
          <w:rFonts w:hint="eastAsia" w:eastAsia="宋体" w:cs="宋体"/>
          <w:kern w:val="2"/>
          <w:sz w:val="21"/>
          <w:szCs w:val="21"/>
          <w:lang w:eastAsia="zh-CN" w:bidi="ar"/>
        </w:rPr>
        <w:t>联系电话：</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0FDC602D">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开户银行名称：</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623D65E5">
      <w:pPr>
        <w:widowControl w:val="0"/>
        <w:ind w:left="480" w:leftChars="200" w:firstLine="210" w:firstLineChars="100"/>
        <w:jc w:val="both"/>
        <w:rPr>
          <w:rFonts w:eastAsia="宋体"/>
          <w:kern w:val="2"/>
          <w:sz w:val="21"/>
          <w:szCs w:val="21"/>
          <w:u w:val="thick"/>
          <w:lang w:eastAsia="zh-CN"/>
        </w:rPr>
      </w:pPr>
      <w:r>
        <w:rPr>
          <w:rFonts w:hint="eastAsia" w:eastAsia="宋体" w:cs="宋体"/>
          <w:kern w:val="2"/>
          <w:sz w:val="21"/>
          <w:szCs w:val="21"/>
          <w:lang w:eastAsia="zh-CN" w:bidi="ar"/>
        </w:rPr>
        <w:t>开户银行账号：</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39384823">
      <w:pPr>
        <w:widowControl w:val="0"/>
        <w:ind w:left="480" w:leftChars="200" w:firstLine="210" w:firstLineChars="100"/>
        <w:jc w:val="both"/>
        <w:rPr>
          <w:rFonts w:eastAsia="宋体"/>
          <w:kern w:val="2"/>
          <w:sz w:val="21"/>
          <w:szCs w:val="21"/>
          <w:lang w:eastAsia="zh-CN"/>
        </w:rPr>
      </w:pPr>
      <w:r>
        <w:rPr>
          <w:rFonts w:hint="eastAsia" w:eastAsia="宋体" w:cs="宋体"/>
          <w:kern w:val="2"/>
          <w:sz w:val="21"/>
          <w:szCs w:val="21"/>
          <w:lang w:eastAsia="zh-CN" w:bidi="ar"/>
        </w:rPr>
        <w:t>开户银行地址：</w:t>
      </w:r>
      <w:r>
        <w:rPr>
          <w:rFonts w:eastAsia="宋体"/>
          <w:kern w:val="2"/>
          <w:sz w:val="21"/>
          <w:szCs w:val="21"/>
          <w:u w:val="thick"/>
          <w:lang w:eastAsia="zh-CN" w:bidi="ar"/>
        </w:rPr>
        <w:t xml:space="preserve">                                                  </w:t>
      </w:r>
      <w:r>
        <w:rPr>
          <w:rFonts w:hint="eastAsia" w:eastAsia="宋体" w:cs="宋体"/>
          <w:kern w:val="2"/>
          <w:sz w:val="21"/>
          <w:szCs w:val="21"/>
          <w:lang w:eastAsia="zh-CN" w:bidi="ar"/>
        </w:rPr>
        <w:t>。</w:t>
      </w:r>
    </w:p>
    <w:p w14:paraId="170B0AEB">
      <w:pPr>
        <w:widowControl w:val="0"/>
        <w:jc w:val="both"/>
        <w:rPr>
          <w:rFonts w:eastAsia="宋体"/>
          <w:kern w:val="2"/>
          <w:sz w:val="21"/>
          <w:szCs w:val="21"/>
          <w:lang w:eastAsia="zh-CN"/>
        </w:rPr>
      </w:pPr>
      <w:r>
        <w:rPr>
          <w:rFonts w:eastAsia="宋体"/>
          <w:kern w:val="2"/>
          <w:sz w:val="21"/>
          <w:szCs w:val="21"/>
          <w:lang w:eastAsia="zh-CN" w:bidi="ar"/>
        </w:rPr>
        <w:t xml:space="preserve"> </w:t>
      </w:r>
      <w:r>
        <w:rPr>
          <w:rFonts w:hint="eastAsia" w:ascii="宋体" w:hAnsi="宋体" w:eastAsia="宋体" w:cs="宋体"/>
          <w:b/>
          <w:bCs/>
          <w:color w:val="FF0000"/>
          <w:spacing w:val="-4"/>
          <w:sz w:val="21"/>
          <w:szCs w:val="21"/>
          <w:lang w:eastAsia="zh-CN" w:bidi="ar"/>
        </w:rPr>
        <w:t>注：本项填写内容作为订单融资开展的参考信息，不作为供应商资格性审查及符合性审查条件。</w:t>
      </w:r>
    </w:p>
    <w:p w14:paraId="42190FA1">
      <w:pPr>
        <w:widowControl/>
        <w:autoSpaceDE w:val="0"/>
        <w:autoSpaceDN w:val="0"/>
        <w:spacing w:line="400" w:lineRule="exact"/>
        <w:ind w:right="1414" w:firstLine="480" w:firstLineChars="200"/>
        <w:jc w:val="right"/>
        <w:rPr>
          <w:rFonts w:eastAsia="宋体"/>
          <w:lang w:eastAsia="zh-CN"/>
        </w:rPr>
      </w:pPr>
    </w:p>
    <w:p w14:paraId="58C88880">
      <w:pPr>
        <w:widowControl w:val="0"/>
        <w:jc w:val="both"/>
        <w:rPr>
          <w:rFonts w:ascii="黑体" w:hAnsi="宋体" w:eastAsia="黑体" w:cs="黑体"/>
          <w:szCs w:val="20"/>
          <w:lang w:eastAsia="zh-CN" w:bidi="ar"/>
        </w:rPr>
      </w:pPr>
      <w:r>
        <w:rPr>
          <w:rFonts w:hint="eastAsia" w:ascii="黑体" w:hAnsi="宋体" w:eastAsia="黑体" w:cs="黑体"/>
          <w:szCs w:val="20"/>
          <w:lang w:eastAsia="zh-CN" w:bidi="ar"/>
        </w:rPr>
        <w:br w:type="page"/>
      </w:r>
    </w:p>
    <w:p w14:paraId="280CA1ED">
      <w:pPr>
        <w:widowControl/>
        <w:jc w:val="center"/>
        <w:rPr>
          <w:rFonts w:ascii="黑体" w:hAnsi="宋体" w:eastAsia="黑体" w:cs="黑体"/>
          <w:szCs w:val="20"/>
          <w:lang w:eastAsia="zh-CN"/>
        </w:rPr>
      </w:pPr>
      <w:r>
        <w:rPr>
          <w:rFonts w:hint="eastAsia" w:ascii="黑体" w:hAnsi="宋体" w:eastAsia="黑体" w:cs="黑体"/>
          <w:szCs w:val="20"/>
          <w:lang w:eastAsia="zh-CN" w:bidi="ar"/>
        </w:rPr>
        <w:t>（三）投标人认为需要加以说明的其他内容（格式自定）</w:t>
      </w:r>
    </w:p>
    <w:p w14:paraId="4FD9E110">
      <w:pPr>
        <w:widowControl w:val="0"/>
        <w:bidi w:val="0"/>
        <w:spacing w:before="260" w:after="260"/>
        <w:jc w:val="center"/>
        <w:outlineLvl w:val="2"/>
        <w:rPr>
          <w:rFonts w:ascii="宋体" w:hAnsi="宋体" w:eastAsia="宋体"/>
          <w:kern w:val="2"/>
          <w:sz w:val="21"/>
          <w:szCs w:val="32"/>
          <w:lang w:eastAsia="zh-CN"/>
        </w:rPr>
      </w:pPr>
      <w:r>
        <w:rPr>
          <w:rFonts w:ascii="宋体" w:hAnsi="宋体" w:eastAsia="宋体"/>
          <w:kern w:val="2"/>
          <w:sz w:val="21"/>
          <w:szCs w:val="32"/>
          <w:lang w:eastAsia="zh-CN"/>
        </w:rPr>
        <w:br w:type="page"/>
      </w:r>
      <w:r>
        <w:rPr>
          <w:rFonts w:hint="eastAsia" w:ascii="宋体" w:hAnsi="宋体" w:eastAsia="宋体"/>
          <w:b/>
          <w:bCs/>
          <w:kern w:val="2"/>
          <w:sz w:val="28"/>
          <w:szCs w:val="44"/>
          <w:lang w:eastAsia="zh-CN"/>
        </w:rPr>
        <w:t>第五章  合同条款及格式</w:t>
      </w:r>
    </w:p>
    <w:p w14:paraId="2246F4F0">
      <w:pPr>
        <w:widowControl w:val="0"/>
        <w:jc w:val="center"/>
        <w:outlineLvl w:val="0"/>
        <w:rPr>
          <w:rFonts w:eastAsia="宋体"/>
          <w:kern w:val="2"/>
          <w:sz w:val="21"/>
          <w:lang w:eastAsia="zh-CN"/>
        </w:rPr>
      </w:pPr>
      <w:r>
        <w:rPr>
          <w:rFonts w:hint="eastAsia" w:eastAsia="宋体"/>
          <w:b/>
          <w:kern w:val="2"/>
          <w:lang w:eastAsia="zh-CN"/>
        </w:rPr>
        <w:t>（仅供参考，具体以项目需求及采购结果为准）</w:t>
      </w:r>
    </w:p>
    <w:p w14:paraId="36A91050">
      <w:pPr>
        <w:widowControl w:val="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甲方：</w:t>
      </w:r>
    </w:p>
    <w:p w14:paraId="51230724">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地址：</w:t>
      </w:r>
    </w:p>
    <w:p w14:paraId="2D9A5A05">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联系人：</w:t>
      </w:r>
      <w:r>
        <w:rPr>
          <w:rFonts w:ascii="宋体" w:hAnsi="宋体" w:eastAsia="宋体"/>
          <w:kern w:val="2"/>
          <w:sz w:val="21"/>
          <w:szCs w:val="21"/>
          <w:lang w:eastAsia="zh-CN"/>
        </w:rPr>
        <w:t xml:space="preserve">                          </w:t>
      </w:r>
    </w:p>
    <w:p w14:paraId="4CBB735C">
      <w:pPr>
        <w:widowControl w:val="0"/>
        <w:jc w:val="both"/>
        <w:rPr>
          <w:rFonts w:ascii="宋体" w:hAnsi="宋体" w:eastAsia="宋体"/>
          <w:b/>
          <w:bCs/>
          <w:kern w:val="2"/>
          <w:sz w:val="21"/>
          <w:szCs w:val="21"/>
          <w:lang w:eastAsia="zh-CN"/>
        </w:rPr>
      </w:pPr>
      <w:r>
        <w:rPr>
          <w:rFonts w:hint="eastAsia" w:ascii="宋体" w:hAnsi="宋体" w:eastAsia="宋体"/>
          <w:kern w:val="2"/>
          <w:sz w:val="21"/>
          <w:szCs w:val="21"/>
          <w:lang w:eastAsia="zh-CN"/>
        </w:rPr>
        <w:t>联系电话：</w:t>
      </w:r>
    </w:p>
    <w:p w14:paraId="4D0CB48A">
      <w:pPr>
        <w:widowControl w:val="0"/>
        <w:jc w:val="both"/>
        <w:rPr>
          <w:rFonts w:ascii="宋体" w:hAnsi="宋体" w:eastAsia="宋体"/>
          <w:b/>
          <w:bCs/>
          <w:kern w:val="2"/>
          <w:sz w:val="21"/>
          <w:szCs w:val="21"/>
          <w:lang w:eastAsia="zh-CN"/>
        </w:rPr>
      </w:pPr>
      <w:r>
        <w:rPr>
          <w:rFonts w:ascii="宋体" w:hAnsi="宋体" w:eastAsia="宋体"/>
          <w:b/>
          <w:bCs/>
          <w:kern w:val="2"/>
          <w:sz w:val="21"/>
          <w:szCs w:val="21"/>
          <w:lang w:eastAsia="zh-CN"/>
        </w:rPr>
        <w:t xml:space="preserve"> </w:t>
      </w:r>
      <w:r>
        <w:rPr>
          <w:rFonts w:hint="eastAsia" w:ascii="宋体" w:hAnsi="宋体" w:eastAsia="宋体"/>
          <w:b/>
          <w:bCs/>
          <w:kern w:val="2"/>
          <w:sz w:val="21"/>
          <w:szCs w:val="21"/>
          <w:lang w:eastAsia="zh-CN"/>
        </w:rPr>
        <w:t xml:space="preserve"> </w:t>
      </w:r>
      <w:r>
        <w:rPr>
          <w:rFonts w:ascii="宋体" w:hAnsi="宋体" w:eastAsia="宋体"/>
          <w:b/>
          <w:bCs/>
          <w:kern w:val="2"/>
          <w:sz w:val="21"/>
          <w:szCs w:val="21"/>
          <w:lang w:eastAsia="zh-CN"/>
        </w:rPr>
        <w:t xml:space="preserve"> </w:t>
      </w:r>
    </w:p>
    <w:p w14:paraId="00886ED0">
      <w:pPr>
        <w:widowControl w:val="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乙方：</w:t>
      </w:r>
    </w:p>
    <w:p w14:paraId="4957D37A">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地址：</w:t>
      </w:r>
    </w:p>
    <w:p w14:paraId="656070D2">
      <w:pPr>
        <w:widowControl w:val="0"/>
        <w:jc w:val="both"/>
        <w:rPr>
          <w:rFonts w:ascii="宋体" w:hAnsi="宋体" w:eastAsia="宋体"/>
          <w:kern w:val="2"/>
          <w:sz w:val="21"/>
          <w:szCs w:val="21"/>
          <w:lang w:eastAsia="zh-CN"/>
        </w:rPr>
      </w:pPr>
      <w:r>
        <w:rPr>
          <w:rFonts w:hint="eastAsia" w:ascii="宋体" w:hAnsi="宋体" w:eastAsia="宋体"/>
          <w:kern w:val="2"/>
          <w:sz w:val="21"/>
          <w:szCs w:val="21"/>
          <w:lang w:eastAsia="zh-CN"/>
        </w:rPr>
        <w:t>联系人：</w:t>
      </w:r>
      <w:r>
        <w:rPr>
          <w:rFonts w:ascii="宋体" w:hAnsi="宋体" w:eastAsia="宋体"/>
          <w:kern w:val="2"/>
          <w:sz w:val="21"/>
          <w:szCs w:val="21"/>
          <w:lang w:eastAsia="zh-CN"/>
        </w:rPr>
        <w:t xml:space="preserve">                          </w:t>
      </w:r>
    </w:p>
    <w:p w14:paraId="435CDCED">
      <w:pPr>
        <w:widowControl w:val="0"/>
        <w:jc w:val="both"/>
        <w:rPr>
          <w:rFonts w:ascii="宋体" w:hAnsi="宋体" w:eastAsia="宋体"/>
          <w:b/>
          <w:bCs/>
          <w:kern w:val="2"/>
          <w:sz w:val="21"/>
          <w:szCs w:val="21"/>
          <w:lang w:eastAsia="zh-CN"/>
        </w:rPr>
      </w:pPr>
      <w:r>
        <w:rPr>
          <w:rFonts w:hint="eastAsia" w:ascii="宋体" w:hAnsi="宋体" w:eastAsia="宋体"/>
          <w:kern w:val="2"/>
          <w:sz w:val="21"/>
          <w:szCs w:val="21"/>
          <w:lang w:eastAsia="zh-CN"/>
        </w:rPr>
        <w:t>联系电话：</w:t>
      </w:r>
    </w:p>
    <w:p w14:paraId="68436BD6">
      <w:pPr>
        <w:widowControl w:val="0"/>
        <w:jc w:val="both"/>
        <w:rPr>
          <w:rFonts w:ascii="宋体" w:hAnsi="宋体" w:eastAsia="宋体"/>
          <w:kern w:val="2"/>
          <w:sz w:val="21"/>
          <w:szCs w:val="21"/>
          <w:lang w:eastAsia="zh-CN"/>
        </w:rPr>
      </w:pPr>
      <w:r>
        <w:rPr>
          <w:rFonts w:ascii="宋体" w:hAnsi="宋体" w:eastAsia="宋体"/>
          <w:b/>
          <w:bCs/>
          <w:kern w:val="2"/>
          <w:sz w:val="21"/>
          <w:szCs w:val="21"/>
          <w:lang w:eastAsia="zh-CN"/>
        </w:rPr>
        <w:t xml:space="preserve">            </w:t>
      </w:r>
      <w:r>
        <w:rPr>
          <w:rFonts w:hint="eastAsia" w:ascii="宋体" w:hAnsi="宋体" w:eastAsia="宋体"/>
          <w:b/>
          <w:bCs/>
          <w:kern w:val="2"/>
          <w:sz w:val="21"/>
          <w:szCs w:val="21"/>
          <w:lang w:eastAsia="zh-CN"/>
        </w:rPr>
        <w:t xml:space="preserve">          </w:t>
      </w:r>
    </w:p>
    <w:p w14:paraId="2756F50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根据深圳公共资源交易中心（深圳交易集团有限公司政府采购业务分公司）*</w:t>
      </w:r>
      <w:r>
        <w:rPr>
          <w:rFonts w:ascii="宋体" w:hAnsi="宋体" w:eastAsia="宋体"/>
          <w:kern w:val="2"/>
          <w:sz w:val="21"/>
          <w:szCs w:val="21"/>
          <w:lang w:eastAsia="zh-CN"/>
        </w:rPr>
        <w:t>**</w:t>
      </w:r>
      <w:r>
        <w:rPr>
          <w:rFonts w:hint="eastAsia" w:ascii="宋体" w:hAnsi="宋体" w:eastAsia="宋体"/>
          <w:kern w:val="2"/>
          <w:sz w:val="21"/>
          <w:szCs w:val="21"/>
          <w:lang w:eastAsia="zh-CN"/>
        </w:rPr>
        <w:t>号项目结果，*</w:t>
      </w:r>
      <w:r>
        <w:rPr>
          <w:rFonts w:ascii="宋体" w:hAnsi="宋体" w:eastAsia="宋体"/>
          <w:kern w:val="2"/>
          <w:sz w:val="21"/>
          <w:szCs w:val="21"/>
          <w:lang w:eastAsia="zh-CN"/>
        </w:rPr>
        <w:t>**</w:t>
      </w:r>
      <w:r>
        <w:rPr>
          <w:rFonts w:hint="eastAsia" w:ascii="宋体" w:hAnsi="宋体" w:eastAsia="宋体"/>
          <w:kern w:val="2"/>
          <w:sz w:val="21"/>
          <w:szCs w:val="21"/>
          <w:lang w:eastAsia="zh-CN"/>
        </w:rPr>
        <w:t>单位为中标人。按照《中华人民共和国民法典》（第三编 合同）》和《深圳经济特区政府采购条例》，经深圳市（以下简称甲方）和单位（以下简称乙方）协商，就甲方委托乙方承担</w:t>
      </w:r>
      <w:r>
        <w:rPr>
          <w:rFonts w:hint="eastAsia" w:ascii="宋体" w:hAnsi="宋体" w:eastAsia="宋体"/>
          <w:b/>
          <w:bCs/>
          <w:snapToGrid w:val="0"/>
          <w:sz w:val="21"/>
          <w:szCs w:val="21"/>
          <w:u w:val="single"/>
          <w:lang w:val="zh-CN" w:eastAsia="zh-CN"/>
        </w:rPr>
        <w:t xml:space="preserve">                      服务项目</w:t>
      </w:r>
      <w:r>
        <w:rPr>
          <w:rFonts w:hint="eastAsia" w:ascii="宋体" w:hAnsi="宋体" w:eastAsia="宋体"/>
          <w:kern w:val="2"/>
          <w:sz w:val="21"/>
          <w:szCs w:val="21"/>
          <w:lang w:eastAsia="zh-CN"/>
        </w:rPr>
        <w:t>，达成以下合同条款：</w:t>
      </w:r>
    </w:p>
    <w:p w14:paraId="32E61DF1">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第一条　项目概况</w:t>
      </w:r>
    </w:p>
    <w:p w14:paraId="64E1B26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项目名称： </w:t>
      </w:r>
    </w:p>
    <w:p w14:paraId="02825A0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项目内容： </w:t>
      </w:r>
    </w:p>
    <w:p w14:paraId="13D25B4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服务时间： </w:t>
      </w:r>
    </w:p>
    <w:p w14:paraId="33A5532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合同价款：合同总价为元，含一切税、费。</w:t>
      </w:r>
      <w:r>
        <w:rPr>
          <w:rFonts w:eastAsia="宋体"/>
          <w:kern w:val="2"/>
          <w:sz w:val="21"/>
          <w:lang w:eastAsia="zh-CN"/>
        </w:rPr>
        <w:t>本合同总价包括</w:t>
      </w:r>
      <w:r>
        <w:rPr>
          <w:rFonts w:hint="eastAsia" w:ascii="宋体" w:hAnsi="宋体" w:eastAsia="宋体"/>
          <w:kern w:val="2"/>
          <w:sz w:val="21"/>
          <w:szCs w:val="21"/>
          <w:lang w:eastAsia="zh-CN"/>
        </w:rPr>
        <w:t>乙方为实施本项目*</w:t>
      </w:r>
      <w:r>
        <w:rPr>
          <w:rFonts w:ascii="宋体" w:hAnsi="宋体" w:eastAsia="宋体"/>
          <w:kern w:val="2"/>
          <w:sz w:val="21"/>
          <w:szCs w:val="21"/>
          <w:lang w:eastAsia="zh-CN"/>
        </w:rPr>
        <w:t>**</w:t>
      </w:r>
      <w:r>
        <w:rPr>
          <w:rFonts w:hint="eastAsia" w:ascii="宋体" w:hAnsi="宋体" w:eastAsia="宋体"/>
          <w:kern w:val="2"/>
          <w:sz w:val="21"/>
          <w:szCs w:val="21"/>
          <w:lang w:eastAsia="zh-CN"/>
        </w:rPr>
        <w:t>所需的设备仪器费、车辆租赁费、</w:t>
      </w:r>
      <w:r>
        <w:rPr>
          <w:rFonts w:eastAsia="宋体"/>
          <w:kern w:val="2"/>
          <w:sz w:val="21"/>
          <w:lang w:eastAsia="zh-CN"/>
        </w:rPr>
        <w:t>服务</w:t>
      </w:r>
      <w:r>
        <w:rPr>
          <w:rFonts w:hint="eastAsia" w:eastAsia="宋体"/>
          <w:kern w:val="2"/>
          <w:sz w:val="21"/>
          <w:lang w:eastAsia="zh-CN"/>
        </w:rPr>
        <w:t>和</w:t>
      </w:r>
      <w:r>
        <w:rPr>
          <w:rFonts w:eastAsia="宋体"/>
          <w:kern w:val="2"/>
          <w:sz w:val="21"/>
          <w:lang w:eastAsia="zh-CN"/>
        </w:rPr>
        <w:t>技术费用</w:t>
      </w:r>
      <w:r>
        <w:rPr>
          <w:rFonts w:hint="eastAsia" w:eastAsia="宋体"/>
          <w:kern w:val="2"/>
          <w:sz w:val="21"/>
          <w:lang w:eastAsia="zh-CN"/>
        </w:rPr>
        <w:t>等</w:t>
      </w:r>
      <w:r>
        <w:rPr>
          <w:rFonts w:eastAsia="宋体"/>
          <w:kern w:val="2"/>
          <w:sz w:val="21"/>
          <w:lang w:eastAsia="zh-CN"/>
        </w:rPr>
        <w:t>，为固定不变价格，且不随通货膨胀的影响而波动。合同总价包括</w:t>
      </w:r>
      <w:r>
        <w:rPr>
          <w:rFonts w:hint="eastAsia" w:ascii="宋体" w:hAnsi="宋体" w:eastAsia="宋体"/>
          <w:kern w:val="2"/>
          <w:sz w:val="21"/>
          <w:szCs w:val="21"/>
          <w:lang w:eastAsia="zh-CN"/>
        </w:rPr>
        <w:t>乙方</w:t>
      </w:r>
      <w:r>
        <w:rPr>
          <w:rFonts w:eastAsia="宋体"/>
          <w:kern w:val="2"/>
          <w:sz w:val="21"/>
          <w:lang w:eastAsia="zh-CN"/>
        </w:rPr>
        <w:t>履行本合同义务所发生的一切费用和支出和以各种方式寄送技术资料到</w:t>
      </w:r>
      <w:r>
        <w:rPr>
          <w:rFonts w:hint="eastAsia" w:eastAsia="宋体"/>
          <w:kern w:val="2"/>
          <w:sz w:val="21"/>
          <w:lang w:eastAsia="zh-CN"/>
        </w:rPr>
        <w:t>甲</w:t>
      </w:r>
      <w:r>
        <w:rPr>
          <w:rFonts w:eastAsia="宋体"/>
          <w:kern w:val="2"/>
          <w:sz w:val="21"/>
          <w:lang w:eastAsia="zh-CN"/>
        </w:rPr>
        <w:t>方办公室所发生的费用。</w:t>
      </w:r>
    </w:p>
    <w:p w14:paraId="70C34985">
      <w:pPr>
        <w:widowControl w:val="0"/>
        <w:ind w:firstLine="420"/>
        <w:jc w:val="both"/>
        <w:rPr>
          <w:rFonts w:ascii="宋体" w:hAnsi="宋体" w:eastAsia="宋体"/>
          <w:kern w:val="2"/>
          <w:sz w:val="21"/>
          <w:szCs w:val="21"/>
          <w:lang w:eastAsia="zh-CN"/>
        </w:rPr>
      </w:pPr>
      <w:r>
        <w:rPr>
          <w:rFonts w:hint="eastAsia" w:ascii="宋体" w:hAnsi="宋体" w:eastAsia="宋体"/>
          <w:kern w:val="2"/>
          <w:sz w:val="21"/>
          <w:szCs w:val="21"/>
          <w:lang w:eastAsia="zh-CN"/>
        </w:rPr>
        <w:t>支付方式：分期支付。</w:t>
      </w:r>
    </w:p>
    <w:p w14:paraId="20F8C217">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第二条  服务范围</w:t>
      </w:r>
    </w:p>
    <w:p w14:paraId="7C4597B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  </w:t>
      </w:r>
    </w:p>
    <w:p w14:paraId="4D5D0C2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  </w:t>
      </w:r>
    </w:p>
    <w:p w14:paraId="7939A88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3、  </w:t>
      </w:r>
    </w:p>
    <w:p w14:paraId="6C9B857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 其他合同未明示的相关工作。</w:t>
      </w:r>
    </w:p>
    <w:p w14:paraId="2AD731FD">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第三条  时间要求及阶段成果</w:t>
      </w:r>
    </w:p>
    <w:p w14:paraId="3566EFF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1、合同签订天内完成项目实施的准备工作，包括工作大纲和试验细则的编制；</w:t>
      </w:r>
    </w:p>
    <w:p w14:paraId="7FE6039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 </w:t>
      </w:r>
    </w:p>
    <w:p w14:paraId="0C589A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w:t>
      </w:r>
    </w:p>
    <w:p w14:paraId="03CC73D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w:t>
      </w:r>
    </w:p>
    <w:p w14:paraId="73AABDE0">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第四条  服务资料归属</w:t>
      </w:r>
    </w:p>
    <w:p w14:paraId="42501D33">
      <w:pPr>
        <w:widowControl w:val="0"/>
        <w:ind w:firstLine="420" w:firstLineChars="200"/>
        <w:jc w:val="both"/>
        <w:rPr>
          <w:rFonts w:eastAsia="宋体"/>
          <w:kern w:val="2"/>
          <w:sz w:val="21"/>
          <w:lang w:eastAsia="zh-CN"/>
        </w:rPr>
      </w:pPr>
      <w:r>
        <w:rPr>
          <w:rFonts w:eastAsia="宋体"/>
          <w:kern w:val="2"/>
          <w:sz w:val="21"/>
          <w:lang w:eastAsia="zh-CN"/>
        </w:rPr>
        <w:t>1</w:t>
      </w:r>
      <w:r>
        <w:rPr>
          <w:rFonts w:hint="eastAsia" w:eastAsia="宋体"/>
          <w:kern w:val="2"/>
          <w:sz w:val="21"/>
          <w:lang w:eastAsia="zh-CN"/>
        </w:rPr>
        <w:t>、</w:t>
      </w:r>
      <w:r>
        <w:rPr>
          <w:rFonts w:eastAsia="宋体"/>
          <w:kern w:val="2"/>
          <w:sz w:val="21"/>
          <w:lang w:eastAsia="zh-CN"/>
        </w:rPr>
        <w:t>所有提交给</w:t>
      </w:r>
      <w:r>
        <w:rPr>
          <w:rFonts w:hint="eastAsia" w:eastAsia="宋体"/>
          <w:kern w:val="2"/>
          <w:sz w:val="21"/>
          <w:lang w:eastAsia="zh-CN"/>
        </w:rPr>
        <w:t>甲</w:t>
      </w:r>
      <w:r>
        <w:rPr>
          <w:rFonts w:eastAsia="宋体"/>
          <w:kern w:val="2"/>
          <w:sz w:val="21"/>
          <w:lang w:eastAsia="zh-CN"/>
        </w:rPr>
        <w:t>方的服务</w:t>
      </w:r>
      <w:r>
        <w:rPr>
          <w:rFonts w:hint="eastAsia" w:eastAsia="宋体"/>
          <w:kern w:val="2"/>
          <w:sz w:val="21"/>
          <w:lang w:eastAsia="zh-CN"/>
        </w:rPr>
        <w:t>文件</w:t>
      </w:r>
      <w:r>
        <w:rPr>
          <w:rFonts w:eastAsia="宋体"/>
          <w:kern w:val="2"/>
          <w:sz w:val="21"/>
          <w:lang w:eastAsia="zh-CN"/>
        </w:rPr>
        <w:t>及相关的资料的最后文本，包括为履行技术服务范围所编制的图纸、计划和证明资料等，都属于</w:t>
      </w:r>
      <w:r>
        <w:rPr>
          <w:rFonts w:hint="eastAsia" w:eastAsia="宋体"/>
          <w:kern w:val="2"/>
          <w:sz w:val="21"/>
          <w:lang w:eastAsia="zh-CN"/>
        </w:rPr>
        <w:t>甲</w:t>
      </w:r>
      <w:r>
        <w:rPr>
          <w:rFonts w:eastAsia="宋体"/>
          <w:kern w:val="2"/>
          <w:sz w:val="21"/>
          <w:lang w:eastAsia="zh-CN"/>
        </w:rPr>
        <w:t>方的财产，</w:t>
      </w:r>
      <w:r>
        <w:rPr>
          <w:rFonts w:hint="eastAsia" w:ascii="宋体" w:hAnsi="宋体" w:eastAsia="宋体"/>
          <w:kern w:val="2"/>
          <w:sz w:val="21"/>
          <w:szCs w:val="21"/>
          <w:lang w:eastAsia="zh-CN"/>
        </w:rPr>
        <w:t>乙</w:t>
      </w:r>
      <w:r>
        <w:rPr>
          <w:rFonts w:eastAsia="宋体"/>
          <w:kern w:val="2"/>
          <w:sz w:val="21"/>
          <w:lang w:eastAsia="zh-CN"/>
        </w:rPr>
        <w:t>方在提交给</w:t>
      </w:r>
      <w:r>
        <w:rPr>
          <w:rFonts w:hint="eastAsia" w:eastAsia="宋体"/>
          <w:kern w:val="2"/>
          <w:sz w:val="21"/>
          <w:lang w:eastAsia="zh-CN"/>
        </w:rPr>
        <w:t>甲</w:t>
      </w:r>
      <w:r>
        <w:rPr>
          <w:rFonts w:eastAsia="宋体"/>
          <w:kern w:val="2"/>
          <w:sz w:val="21"/>
          <w:lang w:eastAsia="zh-CN"/>
        </w:rPr>
        <w:t>方之前应将上述资料进行整理归类和编制索引</w:t>
      </w:r>
      <w:r>
        <w:rPr>
          <w:rFonts w:hint="eastAsia" w:eastAsia="宋体"/>
          <w:kern w:val="2"/>
          <w:sz w:val="21"/>
          <w:lang w:eastAsia="zh-CN"/>
        </w:rPr>
        <w:t>。</w:t>
      </w:r>
    </w:p>
    <w:p w14:paraId="555F37CB">
      <w:pPr>
        <w:widowControl w:val="0"/>
        <w:ind w:firstLine="420" w:firstLineChars="200"/>
        <w:jc w:val="both"/>
        <w:rPr>
          <w:rFonts w:eastAsia="宋体"/>
          <w:kern w:val="2"/>
          <w:sz w:val="21"/>
          <w:lang w:eastAsia="zh-CN"/>
        </w:rPr>
      </w:pPr>
      <w:r>
        <w:rPr>
          <w:rFonts w:eastAsia="宋体"/>
          <w:kern w:val="2"/>
          <w:sz w:val="21"/>
          <w:lang w:eastAsia="zh-CN"/>
        </w:rPr>
        <w:t>2</w:t>
      </w:r>
      <w:r>
        <w:rPr>
          <w:rFonts w:hint="eastAsia" w:eastAsia="宋体"/>
          <w:kern w:val="2"/>
          <w:sz w:val="21"/>
          <w:lang w:eastAsia="zh-CN"/>
        </w:rPr>
        <w:t>、</w:t>
      </w:r>
      <w:r>
        <w:rPr>
          <w:rFonts w:hint="eastAsia" w:ascii="宋体" w:hAnsi="宋体" w:eastAsia="宋体"/>
          <w:kern w:val="2"/>
          <w:sz w:val="21"/>
          <w:szCs w:val="21"/>
          <w:lang w:eastAsia="zh-CN"/>
        </w:rPr>
        <w:t>乙</w:t>
      </w:r>
      <w:r>
        <w:rPr>
          <w:rFonts w:eastAsia="宋体"/>
          <w:kern w:val="2"/>
          <w:sz w:val="21"/>
          <w:lang w:eastAsia="zh-CN"/>
        </w:rPr>
        <w:t>方未经</w:t>
      </w:r>
      <w:r>
        <w:rPr>
          <w:rFonts w:hint="eastAsia" w:eastAsia="宋体"/>
          <w:kern w:val="2"/>
          <w:sz w:val="21"/>
          <w:lang w:eastAsia="zh-CN"/>
        </w:rPr>
        <w:t>甲</w:t>
      </w:r>
      <w:r>
        <w:rPr>
          <w:rFonts w:eastAsia="宋体"/>
          <w:kern w:val="2"/>
          <w:sz w:val="21"/>
          <w:lang w:eastAsia="zh-CN"/>
        </w:rPr>
        <w:t>方的书面同意，不得将上述资料用于与本服务项目之外的任何项目</w:t>
      </w:r>
      <w:r>
        <w:rPr>
          <w:rFonts w:hint="eastAsia" w:eastAsia="宋体"/>
          <w:kern w:val="2"/>
          <w:sz w:val="21"/>
          <w:lang w:eastAsia="zh-CN"/>
        </w:rPr>
        <w:t>。</w:t>
      </w:r>
    </w:p>
    <w:p w14:paraId="74135C6E">
      <w:pPr>
        <w:widowControl w:val="0"/>
        <w:ind w:firstLine="420" w:firstLineChars="200"/>
        <w:jc w:val="both"/>
        <w:rPr>
          <w:rFonts w:eastAsia="宋体"/>
          <w:kern w:val="2"/>
          <w:sz w:val="21"/>
          <w:lang w:eastAsia="zh-CN"/>
        </w:rPr>
      </w:pPr>
      <w:r>
        <w:rPr>
          <w:rFonts w:hint="eastAsia" w:eastAsia="宋体"/>
          <w:kern w:val="2"/>
          <w:sz w:val="21"/>
          <w:lang w:eastAsia="zh-CN"/>
        </w:rPr>
        <w:t>3、</w:t>
      </w:r>
      <w:r>
        <w:rPr>
          <w:rFonts w:eastAsia="宋体"/>
          <w:kern w:val="2"/>
          <w:sz w:val="21"/>
          <w:lang w:eastAsia="zh-CN"/>
        </w:rPr>
        <w:t>合同履行</w:t>
      </w:r>
      <w:r>
        <w:rPr>
          <w:rFonts w:hint="eastAsia" w:eastAsia="宋体"/>
          <w:kern w:val="2"/>
          <w:sz w:val="21"/>
          <w:lang w:eastAsia="zh-CN"/>
        </w:rPr>
        <w:t>完毕，</w:t>
      </w:r>
      <w:r>
        <w:rPr>
          <w:rFonts w:eastAsia="宋体"/>
          <w:kern w:val="2"/>
          <w:sz w:val="21"/>
          <w:lang w:eastAsia="zh-CN"/>
        </w:rPr>
        <w:t>未经</w:t>
      </w:r>
      <w:r>
        <w:rPr>
          <w:rFonts w:hint="eastAsia" w:eastAsia="宋体"/>
          <w:kern w:val="2"/>
          <w:sz w:val="21"/>
          <w:lang w:eastAsia="zh-CN"/>
        </w:rPr>
        <w:t>甲</w:t>
      </w:r>
      <w:r>
        <w:rPr>
          <w:rFonts w:eastAsia="宋体"/>
          <w:kern w:val="2"/>
          <w:sz w:val="21"/>
          <w:lang w:eastAsia="zh-CN"/>
        </w:rPr>
        <w:t>方的书面同意</w:t>
      </w:r>
      <w:r>
        <w:rPr>
          <w:rFonts w:hint="eastAsia" w:eastAsia="宋体"/>
          <w:kern w:val="2"/>
          <w:sz w:val="21"/>
          <w:lang w:eastAsia="zh-CN"/>
        </w:rPr>
        <w:t>，</w:t>
      </w:r>
      <w:r>
        <w:rPr>
          <w:rFonts w:hint="eastAsia" w:ascii="宋体" w:hAnsi="宋体" w:eastAsia="宋体"/>
          <w:kern w:val="2"/>
          <w:sz w:val="21"/>
          <w:szCs w:val="21"/>
          <w:lang w:eastAsia="zh-CN"/>
        </w:rPr>
        <w:t>乙</w:t>
      </w:r>
      <w:r>
        <w:rPr>
          <w:rFonts w:eastAsia="宋体"/>
          <w:kern w:val="2"/>
          <w:sz w:val="21"/>
          <w:lang w:eastAsia="zh-CN"/>
        </w:rPr>
        <w:t>方</w:t>
      </w:r>
      <w:r>
        <w:rPr>
          <w:rFonts w:hint="eastAsia" w:eastAsia="宋体"/>
          <w:kern w:val="2"/>
          <w:sz w:val="21"/>
          <w:lang w:eastAsia="zh-CN"/>
        </w:rPr>
        <w:t>不得保存在</w:t>
      </w:r>
      <w:r>
        <w:rPr>
          <w:rFonts w:eastAsia="宋体"/>
          <w:kern w:val="2"/>
          <w:sz w:val="21"/>
          <w:lang w:eastAsia="zh-CN"/>
        </w:rPr>
        <w:t>履行合同过程中所获得或接触到的任何</w:t>
      </w:r>
      <w:r>
        <w:rPr>
          <w:rFonts w:hint="eastAsia" w:ascii="宋体" w:hAnsi="宋体" w:eastAsia="宋体"/>
          <w:kern w:val="2"/>
          <w:sz w:val="21"/>
          <w:szCs w:val="21"/>
          <w:lang w:eastAsia="zh-CN"/>
        </w:rPr>
        <w:t>内部数据资料。</w:t>
      </w:r>
    </w:p>
    <w:p w14:paraId="7FE114AA">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第五条  甲方的义务</w:t>
      </w:r>
    </w:p>
    <w:p w14:paraId="0B563F3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1、负责与本服务项目有关的第三方的协调，提供开展服务工作的外部条件。</w:t>
      </w:r>
    </w:p>
    <w:p w14:paraId="1189A87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2、向乙方提供与本项目服务工作有关的资料。</w:t>
      </w:r>
    </w:p>
    <w:p w14:paraId="29A4C3D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3、负责组织有关专家对项目试验成果评估报告的评审。</w:t>
      </w:r>
    </w:p>
    <w:p w14:paraId="5639AAF1">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第六条　乙方的义务</w:t>
      </w:r>
    </w:p>
    <w:p w14:paraId="5FF576D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１、应按照招标文件、投标文件要求按期完成本项目服务工作。</w:t>
      </w:r>
    </w:p>
    <w:p w14:paraId="134365C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2、负责组织项目的实施，保证工程进度和成桥荷载试验工作质量，并满足交通部交工验收相关标准。</w:t>
      </w:r>
    </w:p>
    <w:p w14:paraId="13EFE91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w:t>
      </w:r>
      <w:r>
        <w:rPr>
          <w:rFonts w:hint="eastAsia" w:ascii="宋体" w:hAnsi="宋体" w:eastAsia="宋体"/>
          <w:kern w:val="2"/>
          <w:sz w:val="21"/>
          <w:lang w:eastAsia="zh-CN"/>
        </w:rPr>
        <w:t>向甲方提交检测资料等各套，一套电子版文件。</w:t>
      </w:r>
    </w:p>
    <w:p w14:paraId="5D5EE61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4、在履行合同期间或合同规定期限内，不得泄露与本合同规定业务活动有关的保密资料。</w:t>
      </w:r>
    </w:p>
    <w:p w14:paraId="65ABCF61">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第七条  甲方的权利</w:t>
      </w:r>
    </w:p>
    <w:p w14:paraId="01387AFF">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1</w:t>
      </w:r>
      <w:r>
        <w:rPr>
          <w:rFonts w:hint="eastAsia" w:ascii="宋体" w:hAnsi="宋体" w:eastAsia="宋体"/>
          <w:kern w:val="2"/>
          <w:sz w:val="21"/>
          <w:szCs w:val="21"/>
          <w:lang w:eastAsia="zh-CN"/>
        </w:rPr>
        <w:t>、有权向乙方询问工作进展情况及相关的内容。</w:t>
      </w:r>
    </w:p>
    <w:p w14:paraId="7E28EF6B">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、有权阐述对具体问题的意见和建议。</w:t>
      </w:r>
    </w:p>
    <w:p w14:paraId="2C36172A">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3</w:t>
      </w:r>
      <w:r>
        <w:rPr>
          <w:rFonts w:hint="eastAsia" w:ascii="宋体" w:hAnsi="宋体" w:eastAsia="宋体"/>
          <w:kern w:val="2"/>
          <w:sz w:val="21"/>
          <w:szCs w:val="21"/>
          <w:lang w:eastAsia="zh-CN"/>
        </w:rPr>
        <w:t>、当甲方认定乙方人员不按合同履行其职责，或与第三人串通给甲方造成经济损失的，甲方有权要求更换人员，直至终止合同并要求乙方承担相应的赔偿责任。</w:t>
      </w:r>
    </w:p>
    <w:p w14:paraId="77E4C1CC">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第八条  乙方的权利</w:t>
      </w:r>
    </w:p>
    <w:p w14:paraId="448F8474">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1</w:t>
      </w:r>
      <w:r>
        <w:rPr>
          <w:rFonts w:hint="eastAsia" w:ascii="宋体" w:hAnsi="宋体" w:eastAsia="宋体"/>
          <w:kern w:val="2"/>
          <w:sz w:val="21"/>
          <w:szCs w:val="21"/>
          <w:lang w:eastAsia="zh-CN"/>
        </w:rPr>
        <w:t>、乙方在本项目服务过程中，如甲方提供的资料不明确时可向甲方提出书面报告。</w:t>
      </w:r>
    </w:p>
    <w:p w14:paraId="171C6C4A">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2</w:t>
      </w:r>
      <w:r>
        <w:rPr>
          <w:rFonts w:hint="eastAsia" w:ascii="宋体" w:hAnsi="宋体" w:eastAsia="宋体"/>
          <w:kern w:val="2"/>
          <w:sz w:val="21"/>
          <w:szCs w:val="21"/>
          <w:lang w:eastAsia="zh-CN"/>
        </w:rPr>
        <w:t>、乙方在本项目服务过程中，有权对第三方提出与本服务业务有关的问题进行核对或查问。</w:t>
      </w:r>
    </w:p>
    <w:p w14:paraId="1461E15C">
      <w:pPr>
        <w:widowControl w:val="0"/>
        <w:ind w:firstLine="420" w:firstLineChars="200"/>
        <w:jc w:val="both"/>
        <w:rPr>
          <w:rFonts w:ascii="宋体" w:hAnsi="宋体" w:eastAsia="宋体"/>
          <w:kern w:val="2"/>
          <w:sz w:val="21"/>
          <w:szCs w:val="21"/>
          <w:lang w:eastAsia="zh-CN"/>
        </w:rPr>
      </w:pPr>
      <w:r>
        <w:rPr>
          <w:rFonts w:ascii="宋体" w:hAnsi="宋体" w:eastAsia="宋体"/>
          <w:kern w:val="2"/>
          <w:sz w:val="21"/>
          <w:szCs w:val="21"/>
          <w:lang w:eastAsia="zh-CN"/>
        </w:rPr>
        <w:t>3</w:t>
      </w:r>
      <w:r>
        <w:rPr>
          <w:rFonts w:hint="eastAsia" w:ascii="宋体" w:hAnsi="宋体" w:eastAsia="宋体"/>
          <w:kern w:val="2"/>
          <w:sz w:val="21"/>
          <w:szCs w:val="21"/>
          <w:lang w:eastAsia="zh-CN"/>
        </w:rPr>
        <w:t>、乙方在本项目服务过程中，有到工程现场勘察的权利。</w:t>
      </w:r>
    </w:p>
    <w:p w14:paraId="7DCDD92F">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第九条  甲方的责任</w:t>
      </w:r>
    </w:p>
    <w:p w14:paraId="7526DD7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1、应当履行本合同约定的义务，如有违反则应当承担违约责任，赔偿给乙方造成的损失。</w:t>
      </w:r>
    </w:p>
    <w:p w14:paraId="1519EC7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2、甲方向乙方提出赔偿要求不能成立时，则应补偿由于该赔偿或其他要求所导致乙方的各种费用的支出。</w:t>
      </w:r>
    </w:p>
    <w:p w14:paraId="77CB6A45">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第十条  乙方的责任</w:t>
      </w:r>
    </w:p>
    <w:p w14:paraId="01909CE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1、乙方的责任期即本合同有效期。如因非乙方的责任造成进度的推迟或延误而超过约定的日期，双方应进一步约定相应延长合同有效期。</w:t>
      </w:r>
    </w:p>
    <w:p w14:paraId="19FC1AD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2、乙方的责任期内，应当履行本合同中约定的义务，因乙方的单方过失造成的经济损失，应当向甲方进行赔偿。</w:t>
      </w:r>
    </w:p>
    <w:p w14:paraId="0519DBE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3、乙方对甲方或第三方所提出的问题不能及时核对或答复，导致合同不能全部或部分履行，乙方应承担责任。</w:t>
      </w:r>
    </w:p>
    <w:p w14:paraId="15C346D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4、乙方向甲方提出赔偿要求不能成立时，则应补偿由于该赔偿或其他要求所导致甲方的各种费用的支出。</w:t>
      </w:r>
    </w:p>
    <w:p w14:paraId="082B593D">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第十一条  人员要求</w:t>
      </w:r>
    </w:p>
    <w:p w14:paraId="3E98158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1、参加本项目试验的人员必须具有国家和有关部门规定的相应资质。</w:t>
      </w:r>
    </w:p>
    <w:p w14:paraId="1570FC8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2、参加本项目的试验人员的配置必须与投标文件中的服务承诺书和试验服务组织实施方案一致。</w:t>
      </w:r>
    </w:p>
    <w:p w14:paraId="14165B1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3、必须以直属试验人员参与本项目服务，不得使用挂靠队伍。</w:t>
      </w:r>
    </w:p>
    <w:p w14:paraId="035FE799">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第十二条  乙方服务工具要求</w:t>
      </w:r>
    </w:p>
    <w:p w14:paraId="12AE91D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1、乙方应配备中标项目所需的足够数量的仪器、仪表以及工具等设备。用户不需向乙方提供施工工具和仪器、仪表。</w:t>
      </w:r>
    </w:p>
    <w:p w14:paraId="7828857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2、乙方在提供服务过程中应自备车辆。</w:t>
      </w:r>
    </w:p>
    <w:p w14:paraId="27F9C718">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第十三条  保密要求</w:t>
      </w:r>
    </w:p>
    <w:p w14:paraId="781AA5D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w:t>
      </w:r>
      <w:r>
        <w:rPr>
          <w:rFonts w:ascii="宋体" w:hAnsi="宋体" w:eastAsia="宋体"/>
          <w:kern w:val="2"/>
          <w:sz w:val="21"/>
          <w:szCs w:val="21"/>
          <w:lang w:eastAsia="zh-CN"/>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4128528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w:t>
      </w:r>
      <w:r>
        <w:rPr>
          <w:rFonts w:ascii="宋体" w:hAnsi="宋体" w:eastAsia="宋体"/>
          <w:kern w:val="2"/>
          <w:sz w:val="21"/>
          <w:szCs w:val="21"/>
          <w:lang w:eastAsia="zh-CN"/>
        </w:rPr>
        <w:t>乙方在履行合同过程中所获得或接触到的任何</w:t>
      </w:r>
      <w:r>
        <w:rPr>
          <w:rFonts w:hint="eastAsia" w:ascii="宋体" w:hAnsi="宋体" w:eastAsia="宋体"/>
          <w:kern w:val="2"/>
          <w:sz w:val="21"/>
          <w:szCs w:val="21"/>
          <w:lang w:eastAsia="zh-CN"/>
        </w:rPr>
        <w:t>内部数据资料，未经甲方同意，不得向第三方透露。</w:t>
      </w:r>
    </w:p>
    <w:p w14:paraId="7EF2D8E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w:t>
      </w:r>
      <w:r>
        <w:rPr>
          <w:rFonts w:ascii="宋体" w:hAnsi="宋体" w:eastAsia="宋体"/>
          <w:kern w:val="2"/>
          <w:sz w:val="21"/>
          <w:szCs w:val="21"/>
          <w:lang w:eastAsia="zh-CN"/>
        </w:rPr>
        <w:t>乙方</w:t>
      </w:r>
      <w:r>
        <w:rPr>
          <w:rFonts w:hint="eastAsia" w:ascii="宋体" w:hAnsi="宋体" w:eastAsia="宋体"/>
          <w:kern w:val="2"/>
          <w:sz w:val="21"/>
          <w:szCs w:val="21"/>
          <w:lang w:eastAsia="zh-CN"/>
        </w:rPr>
        <w:t>实施项目的一切程序都应符合国家安全、保密的有关规定和标准。</w:t>
      </w:r>
    </w:p>
    <w:p w14:paraId="462266A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w:t>
      </w:r>
      <w:r>
        <w:rPr>
          <w:rFonts w:ascii="宋体" w:hAnsi="宋体" w:eastAsia="宋体"/>
          <w:kern w:val="2"/>
          <w:sz w:val="21"/>
          <w:szCs w:val="21"/>
          <w:lang w:eastAsia="zh-CN"/>
        </w:rPr>
        <w:t>乙方</w:t>
      </w:r>
      <w:r>
        <w:rPr>
          <w:rFonts w:hint="eastAsia" w:ascii="宋体" w:hAnsi="宋体" w:eastAsia="宋体"/>
          <w:kern w:val="2"/>
          <w:sz w:val="21"/>
          <w:szCs w:val="21"/>
          <w:lang w:eastAsia="zh-CN"/>
        </w:rPr>
        <w:t>参加项目的有关人员均需同甲方签订保密协议。</w:t>
      </w:r>
    </w:p>
    <w:p w14:paraId="46920A1B">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 xml:space="preserve">第十四条  验收     </w:t>
      </w:r>
    </w:p>
    <w:p w14:paraId="48B24BE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1、下列文件的验收分为</w:t>
      </w:r>
      <w:r>
        <w:rPr>
          <w:rFonts w:hint="eastAsia" w:ascii="宋体" w:hAnsi="宋体" w:eastAsia="宋体"/>
          <w:kern w:val="2"/>
          <w:sz w:val="21"/>
          <w:szCs w:val="21"/>
          <w:u w:val="single"/>
          <w:lang w:eastAsia="zh-CN"/>
        </w:rPr>
        <w:t xml:space="preserve">          三</w:t>
      </w:r>
      <w:r>
        <w:rPr>
          <w:rFonts w:hint="eastAsia" w:ascii="宋体" w:hAnsi="宋体" w:eastAsia="宋体"/>
          <w:kern w:val="2"/>
          <w:sz w:val="21"/>
          <w:szCs w:val="21"/>
          <w:lang w:eastAsia="zh-CN"/>
        </w:rPr>
        <w:t>个阶段:</w:t>
      </w:r>
    </w:p>
    <w:p w14:paraId="56459CE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2、其余文件和工作由用户组织有关技术人员根据国家和行业有关规范、规程、标准和用户需求直接验收。</w:t>
      </w:r>
    </w:p>
    <w:p w14:paraId="307FE9E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3、验收依据为招标文件、投标文件，国家和行业有关规范、规程和标准。</w:t>
      </w:r>
    </w:p>
    <w:p w14:paraId="4C567D06">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第十五条  付款方式</w:t>
      </w:r>
    </w:p>
    <w:p w14:paraId="00AA25A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1、合同签订后   天内乙方向甲方开具合法有效的发票后，甲方于   天内向乙方支付合同总价%的款项。</w:t>
      </w:r>
    </w:p>
    <w:p w14:paraId="76188E5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2、检测完成并提交评估报告后  天内，乙方向甲方开具合法有效发票后 天，甲方向乙方支付合同总价%的款项。</w:t>
      </w:r>
    </w:p>
    <w:p w14:paraId="1BA835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3、报告通过专家评审后，甲方向乙方支付合同总价%的款项。</w:t>
      </w:r>
    </w:p>
    <w:p w14:paraId="3C0F7DD2">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第十六条  争议解决办法</w:t>
      </w:r>
    </w:p>
    <w:p w14:paraId="538AD33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执行本合同发生的争议，由甲乙双方协商解决，如协商不成的，应提交甲方所在地人民法院诉讼解决。</w:t>
      </w:r>
    </w:p>
    <w:p w14:paraId="69397DCF">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第十七条  风险责任</w:t>
      </w:r>
    </w:p>
    <w:p w14:paraId="76A864D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１、乙方应完全地按照招标文件的要求和乙方投标文件的承诺完成本项目，出于自身财务、技术、人力等原因导致项目失败的，应承担全部责任。</w:t>
      </w:r>
    </w:p>
    <w:p w14:paraId="142EA62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2、乙方在实施荷载试验过程中应对自身的安全生产负责，若非因甲方原因发生的各种事故甲方不承担任何责任。</w:t>
      </w:r>
    </w:p>
    <w:p w14:paraId="4DCA25D0">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第十八条  违约责任</w:t>
      </w:r>
    </w:p>
    <w:p w14:paraId="23A907A4">
      <w:pPr>
        <w:widowControl w:val="0"/>
        <w:spacing w:line="240" w:lineRule="auto"/>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１、因乙方原因，未能按规定时间完成有关工作的，每延误一天，甲方可在支付合同余款中扣除合同价款千分之一。</w:t>
      </w:r>
    </w:p>
    <w:p w14:paraId="4F1ED95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2、由于乙方原因造成试验成果质量低劣，不能满足大纲要求时，应继续完善试验工作，其费用由乙方承担。</w:t>
      </w:r>
    </w:p>
    <w:p w14:paraId="4DE8D3F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3、乙方交付的成果经验收不合格，应于7日内无条件修改，费用由乙方自行承担，在甲方要求整改后再次验收不合格的，甲方有权解除合同、要求乙方返还甲方已支付的合同款项，并有权要求乙方按合同总额   %支付违约金。。</w:t>
      </w:r>
    </w:p>
    <w:p w14:paraId="262FF20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7E2A50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5、乙方或其工作人员违反本合同约定的保密义务，甲方有权要求乙方按合同总额   %支付违约金；造成不良影响或对甲方造成损失的，甲方有权要求乙方消除影响，承担赔偿责任，并有权解除合同。</w:t>
      </w:r>
    </w:p>
    <w:p w14:paraId="52D615E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6、因乙方提供的服务成果受到侵权指控或者引发法律纠纷，影响甲方使用服务成果或者导致合同目的不能实现的，甲方有权要求乙方按合同总额   %支付违约金，并有权解除合同。</w:t>
      </w:r>
    </w:p>
    <w:p w14:paraId="76980A6A">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第十九条  其他</w:t>
      </w:r>
    </w:p>
    <w:p w14:paraId="26FCB50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1、本协议书与下列文件一起构成合同文件，如下述文件之间有任何抵触、矛盾或歧义，应按以下顺序解释：</w:t>
      </w:r>
    </w:p>
    <w:p w14:paraId="4AB65ED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（1）合同协议书及其变更、补充协议</w:t>
      </w:r>
    </w:p>
    <w:p w14:paraId="64224DB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（2）合同专用条款</w:t>
      </w:r>
    </w:p>
    <w:p w14:paraId="07D62AD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（3）合同通用条款</w:t>
      </w:r>
    </w:p>
    <w:p w14:paraId="1DBDAF5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（4）中标（成交）通知书</w:t>
      </w:r>
    </w:p>
    <w:p w14:paraId="7BF0204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（5）投标（响应）文件</w:t>
      </w:r>
    </w:p>
    <w:p w14:paraId="65524B4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（6）采购文件</w:t>
      </w:r>
    </w:p>
    <w:p w14:paraId="4FD6E54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（7）有关技术文件，图纸</w:t>
      </w:r>
    </w:p>
    <w:p w14:paraId="0CA1C5F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（8）国家法律、行政法规和规章制度规定或合同约定的作为合同组成部分的其他文件。</w:t>
      </w:r>
    </w:p>
    <w:p w14:paraId="5339E1F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2、下列文件均为本合同的组成部分：</w:t>
      </w:r>
    </w:p>
    <w:p w14:paraId="2204F79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（1）招标文件、答疑及补充通知；</w:t>
      </w:r>
    </w:p>
    <w:p w14:paraId="4C80973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（2）投标文件；</w:t>
      </w:r>
    </w:p>
    <w:p w14:paraId="057F4D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（3）本合同执行中共同签署的补充与修正文件。</w:t>
      </w:r>
    </w:p>
    <w:p w14:paraId="6F63E95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本合同一式份，甲、乙方双方各执份，具有同等法律效力。本合同自双方法人代表签字（盖章）认可之日起生效。</w:t>
      </w:r>
    </w:p>
    <w:p w14:paraId="078B0F1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本合同未尽事宜，双方友好协商，达成解决方案，经双方签字后，可作为本合同的有效附件。</w:t>
      </w:r>
    </w:p>
    <w:p w14:paraId="465E913A">
      <w:pPr>
        <w:widowControl w:val="0"/>
        <w:ind w:firstLine="420" w:firstLineChars="200"/>
        <w:jc w:val="both"/>
        <w:rPr>
          <w:rFonts w:ascii="宋体" w:hAnsi="宋体" w:eastAsia="宋体"/>
          <w:kern w:val="2"/>
          <w:sz w:val="21"/>
          <w:szCs w:val="21"/>
          <w:lang w:eastAsia="zh-CN"/>
        </w:rPr>
      </w:pPr>
    </w:p>
    <w:p w14:paraId="090E185D">
      <w:pPr>
        <w:widowControl w:val="0"/>
        <w:ind w:firstLine="420" w:firstLineChars="200"/>
        <w:jc w:val="both"/>
        <w:rPr>
          <w:rFonts w:ascii="宋体" w:hAnsi="宋体" w:eastAsia="宋体"/>
          <w:kern w:val="2"/>
          <w:sz w:val="21"/>
          <w:szCs w:val="21"/>
          <w:lang w:eastAsia="zh-CN"/>
        </w:rPr>
      </w:pPr>
    </w:p>
    <w:p w14:paraId="1643B5FD">
      <w:pPr>
        <w:widowControl w:val="0"/>
        <w:spacing w:line="360" w:lineRule="auto"/>
        <w:ind w:firstLine="560"/>
        <w:jc w:val="left"/>
        <w:rPr>
          <w:rFonts w:ascii="宋体" w:hAnsi="宋体" w:eastAsia="宋体"/>
          <w:kern w:val="2"/>
          <w:sz w:val="21"/>
          <w:szCs w:val="21"/>
          <w:lang w:eastAsia="zh-CN"/>
        </w:rPr>
      </w:pPr>
      <w:r>
        <w:rPr>
          <w:rFonts w:hint="eastAsia" w:ascii="宋体" w:hAnsi="宋体" w:eastAsia="宋体"/>
          <w:kern w:val="2"/>
          <w:sz w:val="21"/>
          <w:szCs w:val="21"/>
          <w:lang w:eastAsia="zh-CN"/>
        </w:rPr>
        <w:t>甲方（采购人）：   （盖章）       乙方（供应商）：    （盖章）</w:t>
      </w:r>
    </w:p>
    <w:p w14:paraId="6C9B6011">
      <w:pPr>
        <w:widowControl w:val="0"/>
        <w:spacing w:line="360" w:lineRule="auto"/>
        <w:ind w:firstLine="560"/>
        <w:jc w:val="left"/>
        <w:rPr>
          <w:rFonts w:ascii="宋体" w:hAnsi="宋体" w:eastAsia="宋体"/>
          <w:kern w:val="2"/>
          <w:sz w:val="21"/>
          <w:szCs w:val="21"/>
          <w:lang w:eastAsia="zh-CN"/>
        </w:rPr>
      </w:pPr>
      <w:r>
        <w:rPr>
          <w:rFonts w:hint="eastAsia" w:ascii="宋体" w:hAnsi="宋体" w:eastAsia="宋体"/>
          <w:kern w:val="2"/>
          <w:sz w:val="21"/>
          <w:szCs w:val="21"/>
          <w:lang w:eastAsia="zh-CN"/>
        </w:rPr>
        <w:t xml:space="preserve">法定代表人：                     法定代表人： </w:t>
      </w:r>
    </w:p>
    <w:p w14:paraId="2D28EE1B">
      <w:pPr>
        <w:widowControl w:val="0"/>
        <w:spacing w:line="360" w:lineRule="auto"/>
        <w:ind w:firstLine="560"/>
        <w:jc w:val="left"/>
        <w:rPr>
          <w:rFonts w:ascii="宋体" w:hAnsi="宋体" w:eastAsia="宋体"/>
          <w:kern w:val="2"/>
          <w:sz w:val="21"/>
          <w:szCs w:val="21"/>
          <w:lang w:eastAsia="zh-CN"/>
        </w:rPr>
      </w:pPr>
      <w:r>
        <w:rPr>
          <w:rFonts w:hint="eastAsia" w:ascii="宋体" w:hAnsi="宋体" w:eastAsia="宋体"/>
          <w:kern w:val="2"/>
          <w:sz w:val="21"/>
          <w:szCs w:val="21"/>
          <w:lang w:eastAsia="zh-CN"/>
        </w:rPr>
        <w:t>委托代理人：                     委托代理人：</w:t>
      </w:r>
    </w:p>
    <w:p w14:paraId="1FD694F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日期：   年     月    日         日期：   年     月    日</w:t>
      </w:r>
    </w:p>
    <w:p w14:paraId="77AB6512">
      <w:pPr>
        <w:widowControl w:val="0"/>
        <w:adjustRightInd w:val="0"/>
        <w:spacing w:before="120" w:beforeLines="50" w:after="120" w:afterLines="50"/>
        <w:ind w:left="562"/>
        <w:jc w:val="center"/>
        <w:textAlignment w:val="baseline"/>
        <w:outlineLvl w:val="1"/>
        <w:rPr>
          <w:rFonts w:ascii="宋体" w:hAnsi="宋体" w:eastAsia="宋体"/>
          <w:b/>
          <w:sz w:val="28"/>
          <w:szCs w:val="28"/>
          <w:lang w:eastAsia="zh-CN"/>
        </w:rPr>
      </w:pPr>
      <w:r>
        <w:rPr>
          <w:rFonts w:hint="eastAsia" w:ascii="宋体" w:hAnsi="宋体" w:eastAsia="宋体"/>
          <w:b/>
          <w:sz w:val="28"/>
          <w:szCs w:val="28"/>
          <w:lang w:eastAsia="zh-CN"/>
        </w:rPr>
        <w:t>第二册  通用条款（公开招标）</w:t>
      </w:r>
    </w:p>
    <w:p w14:paraId="65751447">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bookmarkStart w:id="53" w:name="_Hlk72399513"/>
      <w:bookmarkStart w:id="54" w:name="_Hlk72439706"/>
      <w:r>
        <w:rPr>
          <w:rFonts w:hint="eastAsia" w:ascii="Cambria" w:hAnsi="Cambria" w:eastAsia="宋体" w:cs="宋体"/>
          <w:b/>
          <w:bCs/>
          <w:kern w:val="2"/>
          <w:sz w:val="28"/>
          <w:szCs w:val="28"/>
          <w:lang w:eastAsia="zh-CN"/>
        </w:rPr>
        <w:t>总则</w:t>
      </w:r>
    </w:p>
    <w:bookmarkEnd w:id="53"/>
    <w:p w14:paraId="32173FF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 通用条款说明</w:t>
      </w:r>
    </w:p>
    <w:p w14:paraId="0037A20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1.1采购代理机构发出招标文件通用条款版本，列出深圳市自行采购项目进行招标采购所适用的通用条款内容。</w:t>
      </w:r>
      <w:bookmarkStart w:id="55" w:name="_Hlk72399729"/>
      <w:r>
        <w:rPr>
          <w:rFonts w:hint="eastAsia" w:ascii="宋体" w:hAnsi="宋体" w:eastAsia="宋体"/>
          <w:kern w:val="2"/>
          <w:sz w:val="21"/>
          <w:szCs w:val="21"/>
          <w:lang w:eastAsia="zh-CN"/>
        </w:rPr>
        <w:t>如有需要，采购代理机构可以对通用条款的内容进行补充。</w:t>
      </w:r>
      <w:bookmarkEnd w:id="55"/>
    </w:p>
    <w:p w14:paraId="55DB3A1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1.2招标文件分为第一册“专用条款”和第二册“通用条款”。</w:t>
      </w:r>
    </w:p>
    <w:p w14:paraId="020A0BA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1.3“专用条款”是对本次采购项目的具体要求，包含招标公告、对通用条款的补充内容及其他关键信息、用户需求书、投标文件格式及附件、合同条款及格式等内容。</w:t>
      </w:r>
    </w:p>
    <w:p w14:paraId="7BEA953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1.4“通用条款”是适用于自行采购公开招标项目的基础性条款，具有普遍性和通用性。</w:t>
      </w:r>
    </w:p>
    <w:p w14:paraId="1259140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1.5 “专用条款”和“通用条款”表述不一致或有冲突时，以“专用条款”为准。</w:t>
      </w:r>
    </w:p>
    <w:p w14:paraId="24E94EA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2．招标说明</w:t>
      </w:r>
    </w:p>
    <w:p w14:paraId="6B5E61CF">
      <w:pPr>
        <w:widowControl w:val="0"/>
        <w:ind w:firstLine="422" w:firstLineChars="200"/>
        <w:jc w:val="both"/>
        <w:rPr>
          <w:rFonts w:ascii="宋体" w:hAnsi="宋体" w:eastAsia="宋体"/>
          <w:b/>
          <w:bCs/>
          <w:color w:val="FF0000"/>
          <w:kern w:val="2"/>
          <w:sz w:val="21"/>
          <w:szCs w:val="21"/>
          <w:lang w:eastAsia="zh-CN"/>
        </w:rPr>
      </w:pPr>
      <w:r>
        <w:rPr>
          <w:rFonts w:hint="eastAsia" w:ascii="宋体" w:hAnsi="宋体" w:eastAsia="宋体"/>
          <w:b/>
          <w:bCs/>
          <w:color w:val="FF0000"/>
          <w:kern w:val="2"/>
          <w:sz w:val="21"/>
          <w:szCs w:val="21"/>
          <w:lang w:eastAsia="zh-CN"/>
        </w:rPr>
        <w:t>本项目为自行采购项目，参照《深圳经济特区政府采购条例》、《深圳经济特区政府采购条例实施细则》及政府采购其他法律法规，通过公开招标方式确定中标供应商。</w:t>
      </w:r>
    </w:p>
    <w:p w14:paraId="62A3E84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3．定义</w:t>
      </w:r>
    </w:p>
    <w:p w14:paraId="05B2A9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招标文件中下列术语应解释为：</w:t>
      </w:r>
    </w:p>
    <w:p w14:paraId="6896784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3.1“采购人”：指依法进行</w:t>
      </w:r>
      <w:r>
        <w:rPr>
          <w:rFonts w:hint="eastAsia" w:ascii="宋体" w:hAnsi="宋体" w:eastAsia="宋体"/>
          <w:b/>
          <w:bCs/>
          <w:color w:val="FF0000"/>
          <w:kern w:val="2"/>
          <w:sz w:val="21"/>
          <w:szCs w:val="21"/>
          <w:lang w:eastAsia="zh-CN"/>
        </w:rPr>
        <w:t>自行采购</w:t>
      </w:r>
      <w:r>
        <w:rPr>
          <w:rFonts w:hint="eastAsia" w:ascii="宋体" w:hAnsi="宋体" w:eastAsia="宋体"/>
          <w:kern w:val="2"/>
          <w:sz w:val="21"/>
          <w:szCs w:val="21"/>
          <w:lang w:eastAsia="zh-CN"/>
        </w:rPr>
        <w:t xml:space="preserve">的国家机关、事业单位、团体组织； </w:t>
      </w:r>
    </w:p>
    <w:p w14:paraId="7C62184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 “政府集中采购机构”</w:t>
      </w:r>
      <w:r>
        <w:rPr>
          <w:rFonts w:hint="eastAsia" w:ascii="Arial" w:hAnsi="Arial" w:eastAsia="宋体" w:cs="Arial"/>
          <w:kern w:val="2"/>
          <w:sz w:val="21"/>
          <w:szCs w:val="21"/>
          <w:shd w:val="clear" w:color="auto" w:fill="FFFFFF"/>
          <w:lang w:eastAsia="zh-CN"/>
        </w:rPr>
        <w:t>是指市政府设立的，组织实施采购项目，并对采购活动提供服务的专门机构；</w:t>
      </w:r>
      <w:r>
        <w:rPr>
          <w:rFonts w:hint="eastAsia" w:ascii="宋体" w:hAnsi="宋体" w:eastAsia="宋体"/>
          <w:kern w:val="2"/>
          <w:sz w:val="21"/>
          <w:szCs w:val="21"/>
          <w:lang w:eastAsia="zh-CN"/>
        </w:rPr>
        <w:t>本文件所述的“采购代理机构”指</w:t>
      </w:r>
      <w:r>
        <w:rPr>
          <w:rFonts w:hint="eastAsia" w:ascii="宋体" w:hAnsi="宋体" w:eastAsia="宋体"/>
          <w:b/>
          <w:bCs/>
          <w:kern w:val="2"/>
          <w:sz w:val="21"/>
          <w:szCs w:val="21"/>
          <w:lang w:eastAsia="zh-CN"/>
        </w:rPr>
        <w:t>深圳公共资源交易中心（</w:t>
      </w:r>
      <w:r>
        <w:rPr>
          <w:rFonts w:hint="eastAsia" w:ascii="宋体" w:hAnsi="宋体" w:eastAsia="宋体"/>
          <w:b/>
          <w:bCs/>
          <w:kern w:val="2"/>
          <w:sz w:val="21"/>
          <w:lang w:eastAsia="zh-CN"/>
        </w:rPr>
        <w:t>深圳交易集团有限公司政府采购业务分公司）</w:t>
      </w:r>
      <w:r>
        <w:rPr>
          <w:rFonts w:hint="eastAsia" w:ascii="宋体" w:hAnsi="宋体" w:eastAsia="宋体"/>
          <w:kern w:val="2"/>
          <w:sz w:val="21"/>
          <w:szCs w:val="21"/>
          <w:lang w:eastAsia="zh-CN"/>
        </w:rPr>
        <w:t>；</w:t>
      </w:r>
    </w:p>
    <w:p w14:paraId="142FE63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3.3“投标人”，即供应商，指参加投标竞争并愿意按照招标文件要求向采购人提供货物、工程或者服务的依法成立的法人、其他组织或者自然人；</w:t>
      </w:r>
    </w:p>
    <w:p w14:paraId="26F3CAA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3.4“评审委员会”是依据《深圳经济特区政府采购条例》、《深圳经济特区政府采购条例实施细则》等有关规定组建的专门负责本次招标其评审工作的临时性机构；</w:t>
      </w:r>
    </w:p>
    <w:p w14:paraId="201FD2C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3.5“日期”指公历日；</w:t>
      </w:r>
    </w:p>
    <w:p w14:paraId="174E5AF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3.6“合同”指由本次招标所产生的合同或合约文件；</w:t>
      </w:r>
    </w:p>
    <w:p w14:paraId="2EFDDC3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3.7“电子投标文件”指利用</w:t>
      </w:r>
      <w:r>
        <w:rPr>
          <w:rFonts w:hint="eastAsia" w:ascii="宋体" w:hAnsi="宋体" w:eastAsia="宋体"/>
          <w:b/>
          <w:bCs/>
          <w:kern w:val="2"/>
          <w:sz w:val="21"/>
          <w:szCs w:val="21"/>
          <w:lang w:eastAsia="zh-CN"/>
        </w:rPr>
        <w:t>深圳公共资源交易中心（深圳交易集团有限公司政府采购业务分公司）</w:t>
      </w:r>
      <w:r>
        <w:rPr>
          <w:rFonts w:hint="eastAsia" w:ascii="宋体" w:hAnsi="宋体" w:eastAsia="宋体"/>
          <w:kern w:val="2"/>
          <w:sz w:val="21"/>
          <w:szCs w:val="21"/>
          <w:lang w:eastAsia="zh-CN"/>
        </w:rPr>
        <w:t>网站提供的深圳市自行采购系统投标文件制作专用软件（以下简称：投标文件制作软件）制作的投标文件,适用于网上投标；（投标文件制作软件可从“下载地址：https://www.szggzy.com/jyfw/details.html?contentId=2053275深圳市自行采购系统投标文件编制工具”下载）</w:t>
      </w:r>
    </w:p>
    <w:p w14:paraId="6029CC5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3.8“网上投标”指通过</w:t>
      </w:r>
      <w:r>
        <w:rPr>
          <w:rFonts w:hint="eastAsia" w:ascii="宋体" w:hAnsi="宋体" w:eastAsia="宋体"/>
          <w:b/>
          <w:bCs/>
          <w:color w:val="FF0000"/>
          <w:kern w:val="2"/>
          <w:sz w:val="21"/>
          <w:szCs w:val="21"/>
          <w:lang w:eastAsia="zh-CN"/>
        </w:rPr>
        <w:t>深圳市自行采购系统</w:t>
      </w:r>
      <w:r>
        <w:rPr>
          <w:rFonts w:hint="eastAsia" w:ascii="宋体" w:hAnsi="宋体" w:eastAsia="宋体"/>
          <w:kern w:val="2"/>
          <w:sz w:val="21"/>
          <w:szCs w:val="21"/>
          <w:lang w:eastAsia="zh-CN"/>
        </w:rPr>
        <w:t>网站上传电子投标文件；</w:t>
      </w:r>
    </w:p>
    <w:p w14:paraId="26DBBD7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3.9招标文件中的标题或题名仅起引导作用，而不应视为对招标文件内容的理解和解释。</w:t>
      </w:r>
    </w:p>
    <w:p w14:paraId="7BDAD4A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 xml:space="preserve">4. </w:t>
      </w:r>
      <w:bookmarkStart w:id="56" w:name="_Hlk72398643"/>
      <w:r>
        <w:rPr>
          <w:rFonts w:hint="eastAsia" w:ascii="黑体" w:hAnsi="宋体" w:eastAsia="黑体"/>
          <w:kern w:val="2"/>
          <w:sz w:val="21"/>
          <w:szCs w:val="21"/>
          <w:lang w:eastAsia="zh-CN"/>
        </w:rPr>
        <w:t>自行采购供应商责任</w:t>
      </w:r>
    </w:p>
    <w:p w14:paraId="240CFCD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4.1欢迎诚信、有实力和有社会责任心的供应商参与自行采购事业。</w:t>
      </w:r>
    </w:p>
    <w:p w14:paraId="2591D3E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4.2投标人应当遵循公平竞争的原则，不得恶意串通，不得妨碍其他投标人的竞争行为，不得损害采购人或者其他投标人的合法权益。如违反上述要求，经核实后，供应商的投标无效。</w:t>
      </w:r>
    </w:p>
    <w:p w14:paraId="489C063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5．投标人参加自行采购的条件</w:t>
      </w:r>
    </w:p>
    <w:p w14:paraId="0D020A8E">
      <w:pPr>
        <w:widowControl w:val="0"/>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5.1投标人应在投标前到</w:t>
      </w:r>
      <w:r>
        <w:rPr>
          <w:rFonts w:hint="eastAsia" w:ascii="宋体" w:hAnsi="宋体" w:eastAsia="宋体"/>
          <w:b/>
          <w:bCs/>
          <w:kern w:val="2"/>
          <w:sz w:val="21"/>
          <w:szCs w:val="21"/>
          <w:lang w:eastAsia="zh-CN"/>
        </w:rPr>
        <w:t>深圳市自行采购系统（具体在深圳交易集团有限公司政府采购业务分公司进行办理）</w:t>
      </w:r>
      <w:r>
        <w:rPr>
          <w:rFonts w:hint="eastAsia" w:ascii="宋体" w:hAnsi="宋体" w:eastAsia="宋体"/>
          <w:kern w:val="2"/>
          <w:sz w:val="21"/>
          <w:szCs w:val="21"/>
          <w:lang w:eastAsia="zh-CN"/>
        </w:rPr>
        <w:t>进行注册并办理电子密钥。《深圳政府采购自行采购系统用户操作指引（供应商）》详见www.szggzy.com网站“交易服务指南-政府采购-资料下载”。</w:t>
      </w:r>
    </w:p>
    <w:p w14:paraId="2FA5514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5.2投标人资格要求</w:t>
      </w:r>
    </w:p>
    <w:p w14:paraId="0F4B426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参加本项目的投标人应具备的资格条件详见本项目招标公告中 “投标人资格要求”的内容。</w:t>
      </w:r>
    </w:p>
    <w:p w14:paraId="745044F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5.3联合体投标</w:t>
      </w:r>
    </w:p>
    <w:p w14:paraId="2532690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5.3.1以下有关联合体投标的条款仅适用于允许投标人组成联合体投标的项目。</w:t>
      </w:r>
    </w:p>
    <w:p w14:paraId="577E328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5.3.2  由两个或两个以上的自然人、法人或者其他组织可以组成一个联合体，以一个供应商的身份共同投标时，应符合以下原则：</w:t>
      </w:r>
    </w:p>
    <w:p w14:paraId="0CCAF3B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（1）投标联合体各方参加采购活动应当具备下列条件： </w:t>
      </w:r>
    </w:p>
    <w:p w14:paraId="78A63A6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1、具有独立承担民事责任的能力； </w:t>
      </w:r>
    </w:p>
    <w:p w14:paraId="3AC6D1F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2、有良好的商业信誉和健全的财务会计制度； </w:t>
      </w:r>
    </w:p>
    <w:p w14:paraId="0723E6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3、具有履行合同所必需的设备和专业技术能力； </w:t>
      </w:r>
    </w:p>
    <w:p w14:paraId="715CD8F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4、有依法缴纳税收和社会保障资金的良好记录； </w:t>
      </w:r>
    </w:p>
    <w:p w14:paraId="394CF4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5、参加采购活动前三年内，在经营活动中没有重大违法记录； </w:t>
      </w:r>
    </w:p>
    <w:p w14:paraId="2AABC3F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6、法律、行政法规规定的其他条件。 </w:t>
      </w:r>
    </w:p>
    <w:p w14:paraId="7F80F3B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（2）在投标截止前，投标联合体各方均应注册成</w:t>
      </w:r>
      <w:r>
        <w:rPr>
          <w:rFonts w:hint="eastAsia" w:ascii="宋体" w:hAnsi="宋体" w:eastAsia="宋体"/>
          <w:b/>
          <w:bCs/>
          <w:color w:val="FF0000"/>
          <w:kern w:val="2"/>
          <w:sz w:val="21"/>
          <w:szCs w:val="21"/>
          <w:lang w:eastAsia="zh-CN"/>
        </w:rPr>
        <w:t>深圳市自行采购系统</w:t>
      </w:r>
      <w:r>
        <w:rPr>
          <w:rFonts w:hint="eastAsia" w:ascii="宋体" w:hAnsi="宋体" w:eastAsia="宋体"/>
          <w:kern w:val="2"/>
          <w:sz w:val="21"/>
          <w:szCs w:val="21"/>
          <w:lang w:eastAsia="zh-CN"/>
        </w:rPr>
        <w:t>供应商；</w:t>
      </w:r>
    </w:p>
    <w:p w14:paraId="765CFE8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（3）联合体中有同类资质的供应商按照联合体分工承担相同工作的，应当按照资质等级较低的供应商确定资质等级；</w:t>
      </w:r>
    </w:p>
    <w:p w14:paraId="08FF5A26">
      <w:pPr>
        <w:widowControl w:val="0"/>
        <w:ind w:firstLine="420" w:firstLineChars="200"/>
        <w:jc w:val="both"/>
        <w:rPr>
          <w:rFonts w:eastAsia="宋体"/>
          <w:kern w:val="2"/>
          <w:sz w:val="21"/>
          <w:szCs w:val="21"/>
          <w:lang w:eastAsia="zh-CN"/>
        </w:rPr>
      </w:pPr>
      <w:r>
        <w:rPr>
          <w:rFonts w:hint="eastAsia" w:eastAsia="宋体"/>
          <w:kern w:val="2"/>
          <w:sz w:val="21"/>
          <w:szCs w:val="21"/>
          <w:lang w:eastAsia="zh-CN"/>
        </w:rPr>
        <w:t>（</w:t>
      </w:r>
      <w:r>
        <w:rPr>
          <w:rFonts w:eastAsia="宋体"/>
          <w:kern w:val="2"/>
          <w:sz w:val="21"/>
          <w:szCs w:val="21"/>
          <w:lang w:eastAsia="zh-CN"/>
        </w:rPr>
        <w:t>4</w:t>
      </w:r>
      <w:r>
        <w:rPr>
          <w:rFonts w:hint="eastAsia" w:eastAsia="宋体"/>
          <w:kern w:val="2"/>
          <w:sz w:val="21"/>
          <w:szCs w:val="21"/>
          <w:lang w:eastAsia="zh-CN"/>
        </w:rPr>
        <w:t>）是否允许联合体参加投标，应当由采购人和采购代理机构根据项目的实际情况和潜在供应商的数量自主决定，如果决定接受联合体投标则应当在招标公告中明示；</w:t>
      </w:r>
    </w:p>
    <w:p w14:paraId="5E499CD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（5）投标人的投标文件及中标后签署的合同协议对联合体各方均具法律约束力；</w:t>
      </w:r>
    </w:p>
    <w:p w14:paraId="52533CF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（6）联合体各方应当签订联合体投标协议，明确约定各方拟承担的工作和责任，并将该协议随投标文件一并递交给采购代理机构；</w:t>
      </w:r>
    </w:p>
    <w:p w14:paraId="7B6B5D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（7）联合体中标后，联合体各方应当共同与采购人签订合同，就中标项目向采购人承担连带责任；</w:t>
      </w:r>
    </w:p>
    <w:p w14:paraId="0BB917D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（8）以联合体形式参加采购活动的，联合体各方不得再单独参加或者与其他供应商另外组成联合体参加同一合同项下的采购活动，出现上述情况者，其投标和与此有关联合体、总包单位的投标将被拒绝；</w:t>
      </w:r>
    </w:p>
    <w:p w14:paraId="0403A64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（9）本通用条款中“投标人”一词亦指联合体各方，专用条款另有规定或说明的除外。</w:t>
      </w:r>
    </w:p>
    <w:p w14:paraId="47EBBFF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6．政策导向</w:t>
      </w:r>
    </w:p>
    <w:p w14:paraId="3148939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6.1  采购扶持贫困地区、中小企业、监狱企业和残疾人福利性单位发展，支持节能减排、环境保护。</w:t>
      </w:r>
    </w:p>
    <w:p w14:paraId="521AA79D">
      <w:pPr>
        <w:widowControl w:val="0"/>
        <w:ind w:firstLine="420" w:firstLineChars="200"/>
        <w:jc w:val="both"/>
        <w:rPr>
          <w:rFonts w:eastAsia="宋体"/>
          <w:kern w:val="2"/>
          <w:sz w:val="21"/>
          <w:szCs w:val="21"/>
          <w:shd w:val="clear" w:color="auto" w:fill="FFFFFF"/>
          <w:lang w:eastAsia="zh-CN"/>
        </w:rPr>
      </w:pPr>
      <w:r>
        <w:rPr>
          <w:rFonts w:hint="eastAsia" w:ascii="宋体" w:hAnsi="宋体" w:eastAsia="宋体"/>
          <w:kern w:val="2"/>
          <w:sz w:val="21"/>
          <w:szCs w:val="21"/>
          <w:lang w:eastAsia="zh-CN"/>
        </w:rPr>
        <w:t>6.2  本项目落实深圳市政府采购供应商诚信管理政策要求。</w:t>
      </w:r>
    </w:p>
    <w:p w14:paraId="340BD6D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7. 本项目若涉及采购货物，则合格的货物及相应服务应满足以下要求：</w:t>
      </w:r>
    </w:p>
    <w:p w14:paraId="7380771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7.1  必须是全新、未使用过的原装合格正品（包括零部件），如安装或配置了软件的，须为正版软件。</w:t>
      </w:r>
    </w:p>
    <w:p w14:paraId="7C5F8FE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7.2  国产的货物及其有关服务必须符合中华人民共和国的设计、制造生产标准及行业标准。招标公告有其他要求的，亦应符合其要求。</w:t>
      </w:r>
    </w:p>
    <w:p w14:paraId="69CA37C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7.3  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6C5B91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7.4  投标人</w:t>
      </w:r>
      <w:bookmarkStart w:id="57" w:name="_Hlk72152753"/>
      <w:r>
        <w:rPr>
          <w:rFonts w:hint="eastAsia" w:ascii="宋体" w:hAnsi="宋体" w:eastAsia="宋体"/>
          <w:kern w:val="2"/>
          <w:sz w:val="21"/>
          <w:szCs w:val="21"/>
          <w:lang w:eastAsia="zh-CN"/>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57"/>
    </w:p>
    <w:p w14:paraId="164394C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7.5  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4D2BE1D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7.6  工期要求：投标人在投标时对其所投项目应提交交货进度、交货计划等，在合同规定的时间内完成项目实施工作。</w:t>
      </w:r>
    </w:p>
    <w:p w14:paraId="3FF6AA6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7.7  投标人必须承担的设备运输、安装调试、验收检测和提供设备操作说明书、图纸等其他相关及类似的义务。</w:t>
      </w:r>
    </w:p>
    <w:p w14:paraId="3486EDF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8．投标费用</w:t>
      </w:r>
    </w:p>
    <w:p w14:paraId="013F0DC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不论投标结果如何，投标人应承担其编制投标文件与递交投标文件所涉及的一切费用。</w:t>
      </w:r>
    </w:p>
    <w:p w14:paraId="0AEA9C7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9．踏勘现场</w:t>
      </w:r>
    </w:p>
    <w:p w14:paraId="33C96BA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9.1如有需要（详见专用条款），采购人或采购代理机构将组织投标人对项目现场及周围环境进行踏勘，以便投标人获取有关编制投标文件和签署合同所需的资料。踏勘现场所发生的费用由投标人自行承担。投标人应按招标文件所约定的时间、地点踏勘现场。</w:t>
      </w:r>
    </w:p>
    <w:p w14:paraId="6C8E4EF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9.2投标人及其人员经过采购人的允许，可以进入采购人的项目现场踏勘。若招标文件要求投标人于统一时间地点踏勘现场的，投标人应当按时前往。</w:t>
      </w:r>
    </w:p>
    <w:p w14:paraId="0C7D841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9.3采购人应当通过采购代理机构向投标人提供有关现场的书面资料和数据。</w:t>
      </w:r>
    </w:p>
    <w:p w14:paraId="50CF68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9.4任何人或任何组织在踏勘现场时向投标人提供的任何书面资料或口头承诺，未经采购代理机构在网上发布或书面通知，均作无效处理。</w:t>
      </w:r>
    </w:p>
    <w:p w14:paraId="3217F30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9.5未参与踏勘现场不作为否定投标人资格的理由。</w:t>
      </w:r>
    </w:p>
    <w:p w14:paraId="1AF765C6">
      <w:pPr>
        <w:widowControl w:val="0"/>
        <w:ind w:firstLine="420" w:firstLineChars="200"/>
        <w:jc w:val="both"/>
        <w:rPr>
          <w:rFonts w:ascii="宋体" w:hAnsi="宋体" w:eastAsia="宋体"/>
          <w:kern w:val="2"/>
          <w:sz w:val="21"/>
          <w:szCs w:val="21"/>
          <w:lang w:eastAsia="zh-CN"/>
        </w:rPr>
      </w:pPr>
      <w:r>
        <w:rPr>
          <w:rFonts w:hint="eastAsia" w:ascii="黑体" w:hAnsi="宋体" w:eastAsia="黑体"/>
          <w:kern w:val="2"/>
          <w:sz w:val="21"/>
          <w:szCs w:val="21"/>
          <w:lang w:eastAsia="zh-CN"/>
        </w:rPr>
        <w:t>10．标前会议</w:t>
      </w:r>
    </w:p>
    <w:p w14:paraId="631824D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10.1如采购人或采购代理机构认为有必要组织标前会议，投标人应按照招标文件规定的时间或采购代理机构另行书面通知（包括采购代理机构网站发布方式，如更正公告等）的时间和地点，参与标前会议。</w:t>
      </w:r>
    </w:p>
    <w:p w14:paraId="1C413F2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10.2任何人或任何组织在标前会议时向投标人提供的任何书面资料或口头承诺，未经采购代理机构在网上发布或书面通知，均作无效处理。</w:t>
      </w:r>
    </w:p>
    <w:p w14:paraId="478A030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10.3未参与标前会议不作为否定投标人资格的理由。</w:t>
      </w:r>
    </w:p>
    <w:bookmarkEnd w:id="56"/>
    <w:p w14:paraId="4DEC9125">
      <w:pPr>
        <w:widowControl w:val="0"/>
        <w:ind w:firstLine="411" w:firstLineChars="196"/>
        <w:jc w:val="both"/>
        <w:rPr>
          <w:rFonts w:ascii="宋体" w:hAnsi="宋体" w:eastAsia="宋体"/>
          <w:kern w:val="2"/>
          <w:sz w:val="21"/>
          <w:lang w:eastAsia="zh-CN"/>
        </w:rPr>
      </w:pPr>
    </w:p>
    <w:p w14:paraId="63DB35A3">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招标文件</w:t>
      </w:r>
    </w:p>
    <w:p w14:paraId="27FEF52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11．</w:t>
      </w:r>
      <w:bookmarkStart w:id="58" w:name="_Hlk72399819"/>
      <w:r>
        <w:rPr>
          <w:rFonts w:hint="eastAsia" w:ascii="黑体" w:hAnsi="宋体" w:eastAsia="黑体"/>
          <w:kern w:val="2"/>
          <w:sz w:val="21"/>
          <w:szCs w:val="21"/>
          <w:lang w:eastAsia="zh-CN"/>
        </w:rPr>
        <w:t>招标文件的编制与组成</w:t>
      </w:r>
    </w:p>
    <w:p w14:paraId="3A28C2A2">
      <w:pPr>
        <w:widowControl w:val="0"/>
        <w:snapToGrid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11.1招标文件除以下内容外，采购代理机构在招标期间发出的澄清或修改等相关公告或通知内容，均是招标文件的组成部分，对投标人起约束作用；</w:t>
      </w:r>
    </w:p>
    <w:p w14:paraId="1133AFD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招标文件包括下列内容：</w:t>
      </w:r>
    </w:p>
    <w:p w14:paraId="26E9BC15">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第一册  专用条款</w:t>
      </w:r>
    </w:p>
    <w:p w14:paraId="59AD6E5E">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关键信息</w:t>
      </w:r>
    </w:p>
    <w:p w14:paraId="761F426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招标公告</w:t>
      </w:r>
    </w:p>
    <w:p w14:paraId="5E87D63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对通用条款的补充内容及其他关键信息</w:t>
      </w:r>
    </w:p>
    <w:p w14:paraId="53A8774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用户需求书</w:t>
      </w:r>
    </w:p>
    <w:p w14:paraId="40929039">
      <w:pPr>
        <w:widowControl w:val="0"/>
        <w:ind w:firstLine="420" w:firstLineChars="200"/>
        <w:jc w:val="both"/>
        <w:rPr>
          <w:rFonts w:ascii="宋体" w:hAnsi="宋体" w:eastAsia="宋体"/>
          <w:kern w:val="2"/>
          <w:sz w:val="21"/>
          <w:szCs w:val="21"/>
          <w:lang w:eastAsia="zh-CN"/>
        </w:rPr>
      </w:pPr>
      <w:r>
        <w:rPr>
          <w:rFonts w:hint="eastAsia" w:eastAsia="宋体"/>
          <w:kern w:val="2"/>
          <w:sz w:val="21"/>
          <w:szCs w:val="21"/>
          <w:lang w:eastAsia="zh-CN"/>
        </w:rPr>
        <w:t>第四章</w:t>
      </w:r>
      <w:r>
        <w:rPr>
          <w:rFonts w:eastAsia="宋体"/>
          <w:kern w:val="2"/>
          <w:sz w:val="21"/>
          <w:szCs w:val="21"/>
          <w:lang w:eastAsia="zh-CN"/>
        </w:rPr>
        <w:t xml:space="preserve">  </w:t>
      </w:r>
      <w:r>
        <w:rPr>
          <w:rFonts w:hint="eastAsia" w:eastAsia="宋体"/>
          <w:kern w:val="2"/>
          <w:sz w:val="21"/>
          <w:szCs w:val="21"/>
          <w:lang w:eastAsia="zh-CN"/>
        </w:rPr>
        <w:t>投标文件格式及附件</w:t>
      </w:r>
    </w:p>
    <w:p w14:paraId="58153F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合同条款及格式</w:t>
      </w:r>
    </w:p>
    <w:p w14:paraId="61EBB0C0">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第二册  通用条款</w:t>
      </w:r>
    </w:p>
    <w:p w14:paraId="32E4A14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第一章  总则</w:t>
      </w:r>
    </w:p>
    <w:p w14:paraId="77379FE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第二章  招标文件</w:t>
      </w:r>
    </w:p>
    <w:p w14:paraId="04321FC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第三章  投标文件的编制</w:t>
      </w:r>
    </w:p>
    <w:p w14:paraId="0BF15FA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第四章  投标文件的递交</w:t>
      </w:r>
    </w:p>
    <w:p w14:paraId="0C4763E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第五章  开标</w:t>
      </w:r>
    </w:p>
    <w:p w14:paraId="70B65BF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第六章  评审要求</w:t>
      </w:r>
    </w:p>
    <w:p w14:paraId="7CE0203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第七章  评审程序及评审方法</w:t>
      </w:r>
    </w:p>
    <w:p w14:paraId="5E4A870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第八章  定标及公示</w:t>
      </w:r>
    </w:p>
    <w:p w14:paraId="3519908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第九章  公开招标失败的后续处理</w:t>
      </w:r>
    </w:p>
    <w:p w14:paraId="6E89A46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第十章  合同的授予与备案</w:t>
      </w:r>
    </w:p>
    <w:p w14:paraId="7574A54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第十一章  质疑处理</w:t>
      </w:r>
    </w:p>
    <w:p w14:paraId="14F9188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11.2 投标人下载招标文件后，应仔细检查招标文件的所有内容，如有疑问应在答疑截止时间之前向采购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40B3AAF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11.3任何人或任何组织向投标人提交的任何书面或口头资料，未经采购代理机构在网上发布或书面通知，均作无效处理，不得作为招标文件的组成部分。采购代理机构对投标人由此而做出的推论、理解和结论概不负责。</w:t>
      </w:r>
    </w:p>
    <w:p w14:paraId="36ADF23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11.4在项目产生质疑、投诉等阶段，主管部门、采购人、代理机构、评审委员会等可以要求供应商提供原件进行核查。</w:t>
      </w:r>
    </w:p>
    <w:p w14:paraId="3ADED351">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12．招标文件的澄清</w:t>
      </w:r>
    </w:p>
    <w:p w14:paraId="5B7A18A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12.1招标文件澄清的目的是澄清、解答投标人在查阅招标文件后或现场踏勘中可能提出的与投标有关的疑问或询问。</w:t>
      </w:r>
    </w:p>
    <w:p w14:paraId="2B17B584">
      <w:pPr>
        <w:widowControl w:val="0"/>
        <w:ind w:firstLine="420" w:firstLineChars="200"/>
        <w:jc w:val="both"/>
        <w:rPr>
          <w:rFonts w:ascii="宋体" w:hAnsi="宋体" w:eastAsia="宋体"/>
          <w:color w:val="FF0000"/>
          <w:kern w:val="2"/>
          <w:sz w:val="21"/>
          <w:szCs w:val="21"/>
          <w:lang w:eastAsia="zh-CN"/>
        </w:rPr>
      </w:pPr>
      <w:r>
        <w:rPr>
          <w:rFonts w:hint="eastAsia" w:ascii="宋体" w:hAnsi="宋体" w:eastAsia="宋体"/>
          <w:color w:val="FF0000"/>
          <w:kern w:val="2"/>
          <w:sz w:val="21"/>
          <w:szCs w:val="21"/>
          <w:lang w:eastAsia="zh-CN"/>
        </w:rPr>
        <w:t>12.2投标人如对招标文件内容有疑问，应当在招标公告规定的澄清（提问）截止时间前将疑问内容加盖公章书面提交至采购代理机构。</w:t>
      </w:r>
    </w:p>
    <w:p w14:paraId="127B317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12.3不论是采购代理机构根据需要主动对招标文件进行必要的澄清或是根据投标人的要求对招标文件做出澄清，采购代理机构都将在投标截止日期前以书面形式（包括采购代理机构网站发布方式）答复或发送给所有投标人。答复内容是招标文件的组成部分，对投标人起约束作用，其有效性按照本通用条款第13.3、13.4款规定执行。</w:t>
      </w:r>
    </w:p>
    <w:p w14:paraId="68BFFF4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13．招标文件的修改</w:t>
      </w:r>
    </w:p>
    <w:p w14:paraId="52B3B26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13.1招标文件发出后，在投标截止日期前任何时候，确需要变更招标文件内容的，采购代理机构可主动或在解答投标人提出的澄清问题时对招标文件进行修改。</w:t>
      </w:r>
    </w:p>
    <w:p w14:paraId="59DE96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13.2招标文件的修改以书面形式（包括采购代理机构网站发布方式，如更正公告等）发送给所有投标人，招标文件的修改内容作为招标文件的组成部分，并具有约束力。</w:t>
      </w:r>
    </w:p>
    <w:p w14:paraId="2D814FD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13.3招标文件、招标文件澄清答复内容、招标文件修改补充内容均以书面形式（包括采购代理机构网站公开发布方式，如更正公告等）明确的内容为准。当招标文件、修改补充通知、招标文件澄清答复内容相互矛盾时，以最后发出的内容为准。</w:t>
      </w:r>
    </w:p>
    <w:p w14:paraId="37550E0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13.4采购代理机构保证招标文件澄清答复内容和招标文件修改补充内容在投标截止时间前以书面形式（包括采购代理机构网站发布方式，如更正公告等）发送给所有投标人。为使投标人在编制投标文件时有充分时间对招标文件的修改部分进行研究，采购代理机构可以酌情延长递交投标文件的截止日期。</w:t>
      </w:r>
      <w:bookmarkEnd w:id="58"/>
    </w:p>
    <w:p w14:paraId="66EF331C">
      <w:pPr>
        <w:widowControl w:val="0"/>
        <w:jc w:val="both"/>
        <w:rPr>
          <w:rFonts w:ascii="宋体" w:hAnsi="宋体" w:eastAsia="宋体"/>
          <w:kern w:val="2"/>
          <w:sz w:val="21"/>
          <w:szCs w:val="21"/>
          <w:lang w:eastAsia="zh-CN"/>
        </w:rPr>
      </w:pPr>
    </w:p>
    <w:p w14:paraId="047661C7">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投标文件的编制</w:t>
      </w:r>
    </w:p>
    <w:p w14:paraId="13C7183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14．</w:t>
      </w:r>
      <w:bookmarkStart w:id="59" w:name="_Hlk72400236"/>
      <w:r>
        <w:rPr>
          <w:rFonts w:hint="eastAsia" w:ascii="黑体" w:hAnsi="宋体" w:eastAsia="黑体"/>
          <w:kern w:val="2"/>
          <w:sz w:val="21"/>
          <w:szCs w:val="21"/>
          <w:lang w:eastAsia="zh-CN"/>
        </w:rPr>
        <w:t>投标文件的语言及度量单位</w:t>
      </w:r>
    </w:p>
    <w:p w14:paraId="5833703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14.1 投标人与采购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15E00E6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14.2 除技术规范另有规定外，投标文件使用的度量单位，均采用中华人民共和国法定计量单位。</w:t>
      </w:r>
    </w:p>
    <w:bookmarkEnd w:id="59"/>
    <w:p w14:paraId="3A7E97C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15．</w:t>
      </w:r>
      <w:bookmarkStart w:id="60" w:name="_Hlk72401567"/>
      <w:r>
        <w:rPr>
          <w:rFonts w:hint="eastAsia" w:ascii="黑体" w:hAnsi="宋体" w:eastAsia="黑体"/>
          <w:kern w:val="2"/>
          <w:sz w:val="21"/>
          <w:szCs w:val="21"/>
          <w:lang w:eastAsia="zh-CN"/>
        </w:rPr>
        <w:t>投标文件的组成</w:t>
      </w:r>
    </w:p>
    <w:p w14:paraId="222D3AF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具体内容在招标文件专用条款中进行规定。</w:t>
      </w:r>
    </w:p>
    <w:p w14:paraId="2209FC2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16．投标文件格式</w:t>
      </w:r>
    </w:p>
    <w:p w14:paraId="0B5B5F9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投标文件包括本通用条款第15条中规定的内容。如招标文件提供了投标文件格式，则</w:t>
      </w:r>
      <w:r>
        <w:rPr>
          <w:rFonts w:hint="eastAsia" w:ascii="宋体" w:hAnsi="宋体" w:eastAsia="宋体"/>
          <w:b/>
          <w:bCs/>
          <w:kern w:val="2"/>
          <w:sz w:val="21"/>
          <w:szCs w:val="21"/>
          <w:lang w:eastAsia="zh-CN"/>
        </w:rPr>
        <w:t>投标人提交的投标文件应毫无例外地使用招标文件所提供的相应格式</w:t>
      </w:r>
      <w:r>
        <w:rPr>
          <w:rFonts w:hint="eastAsia" w:ascii="宋体" w:hAnsi="宋体" w:eastAsia="宋体"/>
          <w:kern w:val="2"/>
          <w:sz w:val="21"/>
          <w:szCs w:val="21"/>
          <w:lang w:eastAsia="zh-CN"/>
        </w:rPr>
        <w:t>（表格均可按同样格式扩展）。</w:t>
      </w:r>
    </w:p>
    <w:p w14:paraId="0D1B04B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17．投标货币</w:t>
      </w:r>
    </w:p>
    <w:p w14:paraId="29DD246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本项目的投标报价应以人民币计。</w:t>
      </w:r>
    </w:p>
    <w:bookmarkEnd w:id="60"/>
    <w:p w14:paraId="50F920F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18．</w:t>
      </w:r>
      <w:bookmarkStart w:id="61" w:name="_Hlk72401735"/>
      <w:r>
        <w:rPr>
          <w:rFonts w:hint="eastAsia" w:ascii="黑体" w:hAnsi="宋体" w:eastAsia="黑体"/>
          <w:kern w:val="2"/>
          <w:sz w:val="21"/>
          <w:szCs w:val="21"/>
          <w:lang w:eastAsia="zh-CN"/>
        </w:rPr>
        <w:t>证明投标文件投标技术方案的合格性和符合招标文件规定的文件要求</w:t>
      </w:r>
    </w:p>
    <w:p w14:paraId="5D4051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18.1 投标人应提交证明文件，证明其投标技术方案项下的货物和服务的合格性符合招标文件规定。该投标技术方案及其证明文件均作为投标文件组成部分。</w:t>
      </w:r>
    </w:p>
    <w:p w14:paraId="74D95B3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 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4122E9F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18.2.1主要技术指标和性能的详细说明。</w:t>
      </w:r>
    </w:p>
    <w:p w14:paraId="0F5007C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18.2.2投标产品从采购人开始使用至招标文件中规定的周期内正常、连续地使用所必须的备件和专用工具清单，包括备件和专用工具的货源及现行价格。</w:t>
      </w:r>
    </w:p>
    <w:p w14:paraId="6116DB3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18.2.3对照招标文件技术规格，逐条说明投标技术方案已对采购人的技术规格做出了实质性的响应，或申明与技术规格条文的偏差和例外。投标人应详细说明投标技术方案中产品的具体参数，不得不合理照搬照抄招标文件的技术要求。</w:t>
      </w:r>
    </w:p>
    <w:p w14:paraId="50CBCAB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w:t>
      </w:r>
      <w:r>
        <w:rPr>
          <w:rFonts w:hint="eastAsia" w:eastAsia="宋体"/>
          <w:kern w:val="2"/>
          <w:sz w:val="21"/>
          <w:szCs w:val="21"/>
          <w:lang w:eastAsia="zh-CN"/>
        </w:rPr>
        <w:t>清晰度要求能够使用电脑阅读、识别和判断</w:t>
      </w:r>
      <w:r>
        <w:rPr>
          <w:rFonts w:hint="eastAsia" w:ascii="宋体" w:hAnsi="宋体" w:eastAsia="宋体"/>
          <w:kern w:val="2"/>
          <w:sz w:val="21"/>
          <w:szCs w:val="21"/>
          <w:lang w:eastAsia="zh-CN"/>
        </w:rPr>
        <w:t>；</w:t>
      </w:r>
    </w:p>
    <w:p w14:paraId="69AB067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18.2.5我国政府机构出具的产品检验和核准证件应为证件正面、背面和附件标注的全部具体内容；产品检验和核准证件的尺寸和清晰度应该能够在电脑上被阅读、识别和判断，提供原件扫描件。</w:t>
      </w:r>
    </w:p>
    <w:p w14:paraId="5674AF7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18.3相关资料不符合18.2款要求的，评审委员会有权认定为投标技术方案不合格响应，其相关分数予以扣减或作投标无效处理。</w:t>
      </w:r>
    </w:p>
    <w:p w14:paraId="0B93DE6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eastAsia="宋体"/>
          <w:kern w:val="2"/>
          <w:sz w:val="21"/>
          <w:szCs w:val="21"/>
          <w:lang w:eastAsia="zh-CN"/>
        </w:rPr>
        <w:t>满足要求</w:t>
      </w:r>
      <w:r>
        <w:rPr>
          <w:rFonts w:hint="eastAsia" w:ascii="宋体" w:hAnsi="宋体" w:eastAsia="宋体"/>
          <w:kern w:val="2"/>
          <w:sz w:val="21"/>
          <w:szCs w:val="21"/>
          <w:lang w:eastAsia="zh-CN"/>
        </w:rPr>
        <w:t>，由评审委员会来评判。</w:t>
      </w:r>
    </w:p>
    <w:p w14:paraId="0CA7121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18.5除非另有规定或说明，投标人对同一项目投标时，不得同时提供两套或两套以上的投标方案。</w:t>
      </w:r>
    </w:p>
    <w:bookmarkEnd w:id="61"/>
    <w:p w14:paraId="0B3EA285">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19．</w:t>
      </w:r>
      <w:bookmarkStart w:id="62" w:name="_Hlk72402034"/>
      <w:r>
        <w:rPr>
          <w:rFonts w:hint="eastAsia" w:ascii="黑体" w:hAnsi="宋体" w:eastAsia="黑体"/>
          <w:kern w:val="2"/>
          <w:sz w:val="21"/>
          <w:szCs w:val="21"/>
          <w:lang w:eastAsia="zh-CN"/>
        </w:rPr>
        <w:t>投标文件其他证明文件的要求</w:t>
      </w:r>
    </w:p>
    <w:p w14:paraId="7310FF00">
      <w:pPr>
        <w:widowControl w:val="0"/>
        <w:ind w:firstLine="420" w:firstLineChars="200"/>
        <w:jc w:val="both"/>
        <w:rPr>
          <w:rFonts w:ascii="宋体" w:hAnsi="宋体" w:eastAsia="宋体"/>
          <w:color w:val="FF0000"/>
          <w:kern w:val="2"/>
          <w:sz w:val="21"/>
          <w:szCs w:val="21"/>
          <w:lang w:eastAsia="zh-CN"/>
        </w:rPr>
      </w:pPr>
      <w:r>
        <w:rPr>
          <w:rFonts w:hint="eastAsia" w:ascii="宋体" w:hAnsi="宋体" w:eastAsia="宋体"/>
          <w:kern w:val="2"/>
          <w:sz w:val="21"/>
          <w:szCs w:val="21"/>
          <w:lang w:eastAsia="zh-CN"/>
        </w:rPr>
        <w:t>19.1采用综合评分法的项目，对项目招标文件《评标信息》评分项中涉及的相关业绩、社保情况等内容以及《资格性审查表》和《符合性审查表》中涉及的证明材料，投标人应提供相关部门出具的证明材料扫描件或照片。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评审委员会对供应商投标资料是否异常、是否有效问题进行核查和判定，如认为供应商投标资料有异常或无效的，若涉及资格性审查或符合性审查条款的，则应作投标无效处理；若涉及评分的，则作不得分处理。</w:t>
      </w:r>
      <w:bookmarkStart w:id="63" w:name="_Hlk71407299"/>
    </w:p>
    <w:bookmarkEnd w:id="63"/>
    <w:p w14:paraId="5B22383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19.2本项目涉及提供的有关资质（资格）证书，若原有资质（资格）证书处于年审期间，须提供证书颁发部门提供的回执，并且回执须证明该证书依然有效（若在法规范围不需提供的，供应商应做书面说明并提供证明文件，否则该证书无效），则该投标人提供年审证明的可按原资质（资格）投标；若投标人正在申报上一级别资质（资格），在未获批准之前，仍按原级别资质（资格）投标。</w:t>
      </w:r>
    </w:p>
    <w:p w14:paraId="7FDDC06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20．投标有效期</w:t>
      </w:r>
    </w:p>
    <w:bookmarkEnd w:id="62"/>
    <w:p w14:paraId="76DB59C8">
      <w:pPr>
        <w:widowControl w:val="0"/>
        <w:ind w:firstLine="420" w:firstLineChars="200"/>
        <w:jc w:val="both"/>
        <w:rPr>
          <w:rFonts w:ascii="宋体" w:hAnsi="宋体" w:eastAsia="宋体"/>
          <w:kern w:val="2"/>
          <w:sz w:val="21"/>
          <w:szCs w:val="21"/>
          <w:lang w:eastAsia="zh-CN"/>
        </w:rPr>
      </w:pPr>
      <w:bookmarkStart w:id="64" w:name="_Hlk72402214"/>
      <w:r>
        <w:rPr>
          <w:rFonts w:hint="eastAsia" w:ascii="宋体" w:hAnsi="宋体" w:eastAsia="宋体"/>
          <w:kern w:val="2"/>
          <w:sz w:val="21"/>
          <w:szCs w:val="21"/>
          <w:lang w:eastAsia="zh-CN"/>
        </w:rPr>
        <w:t>20.1 投标有效期为</w:t>
      </w:r>
      <w:r>
        <w:rPr>
          <w:rFonts w:hint="eastAsia" w:ascii="Arial" w:hAnsi="Arial" w:eastAsia="宋体" w:cs="Arial"/>
          <w:kern w:val="2"/>
          <w:sz w:val="21"/>
          <w:szCs w:val="21"/>
          <w:lang w:eastAsia="zh-CN"/>
        </w:rPr>
        <w:t>从投标截止之日算起的日历天数。</w:t>
      </w:r>
      <w:r>
        <w:rPr>
          <w:rFonts w:hint="eastAsia" w:ascii="宋体" w:hAnsi="宋体" w:eastAsia="宋体"/>
          <w:kern w:val="2"/>
          <w:sz w:val="21"/>
          <w:szCs w:val="21"/>
          <w:lang w:eastAsia="zh-CN"/>
        </w:rPr>
        <w:t>在此期限内，所有投标文件均保持有效。</w:t>
      </w:r>
    </w:p>
    <w:p w14:paraId="0F8CEF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20.2 在特殊情况下，采购代理机构在原定的投标有效期满之前，采购代理机构可以根据需要以书面形式（包括采购代理机构网站公开发布方式）向投标人提出延长投标有效期的要求，对此要求投标人须以书面形式予以答复，投标人可以拒绝采购代理机构此项要求，其投标在原投标有效期满后不再有效。同意延长投标有效期的投标人不能要求也不允许修改其投标文件。</w:t>
      </w:r>
    </w:p>
    <w:p w14:paraId="0A55CB5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20.3 中标供应商的投标文件有效期，截止于完成本招标文件规定的全部项目内容，并通过竣工验收及保修期结束。</w:t>
      </w:r>
    </w:p>
    <w:bookmarkEnd w:id="64"/>
    <w:p w14:paraId="44DE2B0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21．</w:t>
      </w:r>
      <w:bookmarkStart w:id="65" w:name="_Hlk72402325"/>
      <w:r>
        <w:rPr>
          <w:rFonts w:hint="eastAsia" w:ascii="黑体" w:hAnsi="宋体" w:eastAsia="黑体"/>
          <w:kern w:val="2"/>
          <w:sz w:val="21"/>
          <w:szCs w:val="21"/>
          <w:lang w:eastAsia="zh-CN"/>
        </w:rPr>
        <w:t xml:space="preserve">关于投标保证金 </w:t>
      </w:r>
    </w:p>
    <w:p w14:paraId="696EDF9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21.1</w:t>
      </w:r>
      <w:r>
        <w:rPr>
          <w:rFonts w:hint="eastAsia" w:eastAsia="宋体"/>
          <w:kern w:val="2"/>
          <w:sz w:val="21"/>
          <w:szCs w:val="21"/>
          <w:lang w:eastAsia="zh-CN"/>
        </w:rPr>
        <w:t>根据《深圳市财政局关于调整政府采购投标（响应）保证金管理政策的通知》（深财购〔</w:t>
      </w:r>
      <w:r>
        <w:rPr>
          <w:rFonts w:eastAsia="宋体"/>
          <w:kern w:val="2"/>
          <w:sz w:val="21"/>
          <w:szCs w:val="21"/>
          <w:lang w:eastAsia="zh-CN"/>
        </w:rPr>
        <w:t>2021</w:t>
      </w:r>
      <w:r>
        <w:rPr>
          <w:rFonts w:hint="eastAsia" w:eastAsia="宋体"/>
          <w:kern w:val="2"/>
          <w:sz w:val="21"/>
          <w:szCs w:val="21"/>
          <w:lang w:eastAsia="zh-CN"/>
        </w:rPr>
        <w:t>〕</w:t>
      </w:r>
      <w:r>
        <w:rPr>
          <w:rFonts w:eastAsia="宋体"/>
          <w:kern w:val="2"/>
          <w:sz w:val="21"/>
          <w:szCs w:val="21"/>
          <w:lang w:eastAsia="zh-CN"/>
        </w:rPr>
        <w:t>51</w:t>
      </w:r>
      <w:r>
        <w:rPr>
          <w:rFonts w:hint="eastAsia" w:eastAsia="宋体"/>
          <w:kern w:val="2"/>
          <w:sz w:val="21"/>
          <w:szCs w:val="21"/>
          <w:lang w:eastAsia="zh-CN"/>
        </w:rPr>
        <w:t>号）文的规定，本项目不收取投标保证金。</w:t>
      </w:r>
    </w:p>
    <w:p w14:paraId="6542C80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22．投标人的替代方案</w:t>
      </w:r>
    </w:p>
    <w:p w14:paraId="197DFC2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22.1投标人所提交的投标文件应完全满足招标文件（包括图纸和技术规范所示的基本技术设计）的要求。除非项目明确允许投标人提交替代方案，否则投标人有关替代方案的条款将初审不通过，作投标无效处理。</w:t>
      </w:r>
    </w:p>
    <w:p w14:paraId="73B9413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bookmarkEnd w:id="65"/>
    <w:p w14:paraId="351E9ED3">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23．</w:t>
      </w:r>
      <w:bookmarkStart w:id="66" w:name="_Hlk72402860"/>
      <w:r>
        <w:rPr>
          <w:rFonts w:hint="eastAsia" w:ascii="黑体" w:hAnsi="宋体" w:eastAsia="黑体"/>
          <w:kern w:val="2"/>
          <w:sz w:val="21"/>
          <w:szCs w:val="21"/>
          <w:lang w:eastAsia="zh-CN"/>
        </w:rPr>
        <w:t>投标文件的制作要求</w:t>
      </w:r>
    </w:p>
    <w:p w14:paraId="29E3E70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23.1投标人应准备所投项目的电子投标文件一份。</w:t>
      </w:r>
    </w:p>
    <w:p w14:paraId="6B8C986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23.2投标人在使用《投标书编制软件》编制投标书时须注意：</w:t>
      </w:r>
    </w:p>
    <w:p w14:paraId="15AD6F5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23.2.1导入《投标书编制软件》的招标文件项目编号、包号应与以此制作的投标文件项目编号、包号一致。例如，不能将甲项目A包的招标书导入《投标书编制软件》，制作乙项目B包的投标书。</w:t>
      </w:r>
    </w:p>
    <w:p w14:paraId="3AF4E5C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23.2.2不能用非本公司的电子密钥加密本公司的投标文件，或者用其它公司的登录用户上传本公司的投标文件。</w:t>
      </w:r>
    </w:p>
    <w:p w14:paraId="5DAD33F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23.2.3要求用《投标书编制软件》编制投标书的包，不能用其它方式编制投标书。编制投标文件时，电脑须连通互联网。</w:t>
      </w:r>
    </w:p>
    <w:p w14:paraId="28557FF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23.2.4投标文件不能带病毒。采购代理机构将用专业杀毒软件对投标文件进行病毒检测，如果这两种软件均报告发现病毒，则采购代理机构认为该投标文件带病毒。</w:t>
      </w:r>
    </w:p>
    <w:p w14:paraId="0C1B80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23.2.5投标人在编辑投标文件时，在投标文件目录中属于本节点内容的需在对应节点中填写，填写到其他节点后果由供应商自行承担。</w:t>
      </w:r>
    </w:p>
    <w:p w14:paraId="0ECBF1F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23.2.6采购代理机构不接受投标截止时间后递交的纸质、电子、传真等所有形式的投标文件。由于对网上自行采购系统操作不熟悉或自身电脑、网络等原因导致不能在投标截止时间之前上传投标文件，采购代理机构概不负责。建议于开标前一个工作日完成投标文件的制作与上传，如上传确有困难，请及时咨询。</w:t>
      </w:r>
    </w:p>
    <w:p w14:paraId="35DFAFC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23.2.7如果开标时出现网络故障、技术故障，影响了采购活动，采购代理机构有权采取措施如延期、接受无法从网上上传的投标书等，以保障采购活动的公开、公平和公正。</w:t>
      </w:r>
    </w:p>
    <w:p w14:paraId="7C14F8A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23.3电报、电话、传真形式的投标概不接受。</w:t>
      </w:r>
    </w:p>
    <w:p w14:paraId="68BE9D6F">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23.4经投标人电子密钥加密的投标文件无须盖章或签字，</w:t>
      </w:r>
      <w:r>
        <w:rPr>
          <w:rFonts w:hint="eastAsia" w:ascii="宋体" w:hAnsi="宋体" w:eastAsia="宋体"/>
          <w:kern w:val="2"/>
          <w:sz w:val="21"/>
          <w:szCs w:val="21"/>
          <w:lang w:eastAsia="zh-CN"/>
        </w:rPr>
        <w:t>专用条款另有要求的除外。</w:t>
      </w:r>
    </w:p>
    <w:p w14:paraId="42F6BA85">
      <w:pPr>
        <w:widowControl w:val="0"/>
        <w:ind w:firstLine="422" w:firstLineChars="200"/>
        <w:jc w:val="both"/>
        <w:rPr>
          <w:rFonts w:ascii="宋体" w:hAnsi="宋体" w:eastAsia="宋体"/>
          <w:kern w:val="2"/>
          <w:sz w:val="21"/>
          <w:lang w:eastAsia="zh-CN"/>
        </w:rPr>
      </w:pPr>
      <w:r>
        <w:rPr>
          <w:rFonts w:hint="eastAsia" w:ascii="宋体" w:hAnsi="宋体" w:eastAsia="宋体"/>
          <w:b/>
          <w:kern w:val="2"/>
          <w:sz w:val="21"/>
          <w:szCs w:val="21"/>
          <w:lang w:eastAsia="zh-CN"/>
        </w:rPr>
        <w:t>23.5</w:t>
      </w:r>
      <w:r>
        <w:rPr>
          <w:rFonts w:hint="eastAsia" w:ascii="宋体" w:hAnsi="宋体" w:eastAsia="宋体"/>
          <w:kern w:val="2"/>
          <w:sz w:val="21"/>
          <w:szCs w:val="21"/>
          <w:lang w:eastAsia="zh-CN"/>
        </w:rPr>
        <w:t xml:space="preserve"> 各类资格（资质）文件提供扫描件，专用条款另有要求的除外。</w:t>
      </w:r>
      <w:bookmarkEnd w:id="66"/>
    </w:p>
    <w:p w14:paraId="35C3A5D8">
      <w:pPr>
        <w:widowControl w:val="0"/>
        <w:ind w:firstLine="411" w:firstLineChars="196"/>
        <w:jc w:val="both"/>
        <w:rPr>
          <w:rFonts w:ascii="宋体" w:hAnsi="宋体" w:eastAsia="宋体"/>
          <w:kern w:val="2"/>
          <w:sz w:val="21"/>
          <w:szCs w:val="21"/>
          <w:lang w:eastAsia="zh-CN"/>
        </w:rPr>
      </w:pPr>
    </w:p>
    <w:p w14:paraId="023D3433">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投标文件的递交</w:t>
      </w:r>
    </w:p>
    <w:p w14:paraId="754A5116">
      <w:pPr>
        <w:widowControl w:val="0"/>
        <w:ind w:firstLine="420" w:firstLineChars="200"/>
        <w:jc w:val="both"/>
        <w:rPr>
          <w:rFonts w:ascii="黑体" w:hAnsi="宋体" w:eastAsia="黑体"/>
          <w:kern w:val="2"/>
          <w:sz w:val="21"/>
          <w:szCs w:val="21"/>
          <w:lang w:eastAsia="zh-CN"/>
        </w:rPr>
      </w:pPr>
      <w:bookmarkStart w:id="67" w:name="_Hlk72405459"/>
      <w:r>
        <w:rPr>
          <w:rFonts w:hint="eastAsia" w:ascii="黑体" w:hAnsi="宋体" w:eastAsia="黑体"/>
          <w:kern w:val="2"/>
          <w:sz w:val="21"/>
          <w:szCs w:val="21"/>
          <w:lang w:eastAsia="zh-CN"/>
        </w:rPr>
        <w:t>24．投标文件的保密</w:t>
      </w:r>
    </w:p>
    <w:p w14:paraId="25C2916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24.1在投标文件制作完成后，生成后会选择是否加密投标文件，如不加密则直接点击生成文件即可，如需加密请插入CA锁，点击加密后生成文件，需输入CA锁密码即可加密成功。加密后会提示文件生成成功！(注意：如对投标文件加密的，则投标人必须在开标当日用加密文件时使用的锁在项目规定时间内解密！逾期未解密的作投标无效处理。)</w:t>
      </w:r>
    </w:p>
    <w:p w14:paraId="70E229C4">
      <w:pPr>
        <w:widowControl w:val="0"/>
        <w:ind w:firstLine="422" w:firstLineChars="200"/>
        <w:jc w:val="both"/>
        <w:rPr>
          <w:rFonts w:ascii="宋体" w:hAnsi="宋体" w:eastAsia="宋体"/>
          <w:b/>
          <w:kern w:val="2"/>
          <w:sz w:val="21"/>
          <w:szCs w:val="21"/>
          <w:lang w:eastAsia="zh-CN"/>
        </w:rPr>
      </w:pPr>
      <w:r>
        <w:rPr>
          <w:rFonts w:hint="eastAsia" w:ascii="宋体" w:hAnsi="宋体" w:eastAsia="宋体"/>
          <w:b/>
          <w:kern w:val="2"/>
          <w:sz w:val="21"/>
          <w:szCs w:val="21"/>
          <w:lang w:eastAsia="zh-CN"/>
        </w:rPr>
        <w:t>24.2若采购项目出现延期情况：</w:t>
      </w:r>
    </w:p>
    <w:p w14:paraId="6F0A48D7">
      <w:pPr>
        <w:widowControl w:val="0"/>
        <w:ind w:firstLine="422" w:firstLineChars="200"/>
        <w:jc w:val="both"/>
        <w:rPr>
          <w:rFonts w:ascii="黑体" w:hAnsi="宋体" w:eastAsia="黑体"/>
          <w:b/>
          <w:kern w:val="2"/>
          <w:sz w:val="21"/>
          <w:szCs w:val="21"/>
          <w:lang w:eastAsia="zh-CN"/>
        </w:rPr>
      </w:pPr>
      <w:r>
        <w:rPr>
          <w:rFonts w:hint="eastAsia" w:ascii="宋体" w:hAnsi="宋体" w:eastAsia="宋体"/>
          <w:b/>
          <w:kern w:val="2"/>
          <w:sz w:val="21"/>
          <w:szCs w:val="21"/>
          <w:lang w:eastAsia="zh-CN"/>
        </w:rPr>
        <w:t>如果供下载的招标文件有更新，投标人必须重新下载招标文件、重新制作投标文件、重新上传投标文件。</w:t>
      </w:r>
    </w:p>
    <w:p w14:paraId="519D06C7">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25．上传投标文件及投标截止日期</w:t>
      </w:r>
    </w:p>
    <w:p w14:paraId="1C4B8C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25.1实行网上投标，投标人必须在招标文件规定的投标截止时间前用电子密钥登录“深圳市自行采购系统（https://trade.szggzy.com/ggzy/center/#/login）”上传投标文件。如上传过程中遇到问题，可拨打采购公告中的技术支持电话。如多次上传均告失败，请在投标截止时间之前携带电子投标文件送达至</w:t>
      </w:r>
      <w:r>
        <w:rPr>
          <w:rFonts w:hint="eastAsia" w:ascii="宋体" w:hAnsi="宋体" w:eastAsia="宋体"/>
          <w:b/>
          <w:bCs/>
          <w:kern w:val="2"/>
          <w:sz w:val="21"/>
          <w:szCs w:val="21"/>
          <w:lang w:eastAsia="zh-CN"/>
        </w:rPr>
        <w:t>深圳公共资源交易中心（深圳交易集团有限公司政府采购业务分公司）3楼服务大厅（地址：深圳市南山区沙河西路3185号南山智谷A座深圳交易集团总部大楼）协助上传，但上传过程中投标截止时间到达仍无法上传成功的，由投标人自行负责</w:t>
      </w:r>
      <w:r>
        <w:rPr>
          <w:rFonts w:hint="eastAsia" w:ascii="宋体" w:hAnsi="宋体" w:eastAsia="宋体"/>
          <w:kern w:val="2"/>
          <w:sz w:val="21"/>
          <w:szCs w:val="21"/>
          <w:lang w:eastAsia="zh-CN"/>
        </w:rPr>
        <w:t>。</w:t>
      </w:r>
    </w:p>
    <w:p w14:paraId="1411FF8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25.2采购代理机构可以按本通用条款第13条规定，通过修改招标文件自行决定酌情延长投标截止期。在此情况下，采购代理机构、采购人和投标人受投标截止期制约的所有权利和义务均应延长至新的截止期。</w:t>
      </w:r>
    </w:p>
    <w:p w14:paraId="441D71E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25.3投标截止时间以后不得上传投标文件。</w:t>
      </w:r>
    </w:p>
    <w:bookmarkEnd w:id="67"/>
    <w:p w14:paraId="43D7BDA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26. 样品、现场演示、方案讲解</w:t>
      </w:r>
    </w:p>
    <w:p w14:paraId="1F14F22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26.1 样品、现场演示、方案讲解等事项在招标文件专用条款中进行规定。</w:t>
      </w:r>
    </w:p>
    <w:p w14:paraId="19C8DA9C">
      <w:pPr>
        <w:widowControl w:val="0"/>
        <w:ind w:firstLine="420" w:firstLineChars="200"/>
        <w:jc w:val="both"/>
        <w:rPr>
          <w:rFonts w:ascii="黑体" w:hAnsi="宋体" w:eastAsia="黑体"/>
          <w:kern w:val="2"/>
          <w:sz w:val="21"/>
          <w:szCs w:val="21"/>
          <w:lang w:eastAsia="zh-CN"/>
        </w:rPr>
      </w:pPr>
      <w:bookmarkStart w:id="68" w:name="_Hlk72428346"/>
      <w:r>
        <w:rPr>
          <w:rFonts w:hint="eastAsia" w:ascii="黑体" w:hAnsi="宋体" w:eastAsia="黑体"/>
          <w:kern w:val="2"/>
          <w:sz w:val="21"/>
          <w:szCs w:val="21"/>
          <w:lang w:eastAsia="zh-CN"/>
        </w:rPr>
        <w:t>27．投标文件的修改和撤销</w:t>
      </w:r>
    </w:p>
    <w:p w14:paraId="6125DB7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27.1投标方在提交投标文件后可对其投标文件进行修改并重新上传投标文件或在网上进行撤销投标的操作。</w:t>
      </w:r>
    </w:p>
    <w:p w14:paraId="480934A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27.2投标截止时间以后不得修改投标文件。</w:t>
      </w:r>
    </w:p>
    <w:p w14:paraId="7A9A633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27.3从投标截止期至投标人在投标文件中确定的投标有效期之间的这段时间内，投标人不得撤回其投标。</w:t>
      </w:r>
    </w:p>
    <w:p w14:paraId="36A3096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27.4采购代理机构不退还投标文件，专用条款另有规定的除外。</w:t>
      </w:r>
    </w:p>
    <w:bookmarkEnd w:id="68"/>
    <w:p w14:paraId="5C6DAF63">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开标</w:t>
      </w:r>
    </w:p>
    <w:p w14:paraId="41206D7B">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28．开标</w:t>
      </w:r>
    </w:p>
    <w:p w14:paraId="1CB27DA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28.1如对投标文件加密的，则投标人须在开标当日的开标时间至解密截止时间内进行解密，逾期未解密的作投标无效处理。解密方法：登录“深圳市自行采购系统（https://trade.szggzy.com/ggzy/center/#/login）”，使用本单位制作电子投标文件同一个电子密钥进行在线解密、查询开标情况。</w:t>
      </w:r>
    </w:p>
    <w:p w14:paraId="64B817F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28.2采购代理机构将在满足开标条件【解密时间结束，未对投标文件加密的供应商（未加密的投标文件无需解密）及对投标文件加密并在解密时间结束前成功解密的投标供应商数量满足开标条件后】对投标文件进行开标，并在网上公布开标结果。</w:t>
      </w:r>
    </w:p>
    <w:p w14:paraId="4C4D85F1">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评审要求</w:t>
      </w:r>
    </w:p>
    <w:p w14:paraId="0EF17605">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29．评审委员会组成</w:t>
      </w:r>
    </w:p>
    <w:p w14:paraId="32EDCD2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29.1网上开标结束后召开评审会议，评审委员会由采购代理机构依法组建，负责评审活动。</w:t>
      </w:r>
    </w:p>
    <w:p w14:paraId="6D1720B3">
      <w:pPr>
        <w:widowControl w:val="0"/>
        <w:ind w:firstLine="420" w:firstLineChars="200"/>
        <w:jc w:val="both"/>
        <w:rPr>
          <w:rFonts w:ascii="宋体" w:hAnsi="宋体" w:eastAsia="宋体"/>
          <w:color w:val="FF0000"/>
          <w:kern w:val="2"/>
          <w:sz w:val="21"/>
          <w:szCs w:val="21"/>
          <w:lang w:eastAsia="zh-CN"/>
        </w:rPr>
      </w:pPr>
      <w:bookmarkStart w:id="69" w:name="_Hlk72436580"/>
      <w:r>
        <w:rPr>
          <w:rFonts w:hint="eastAsia" w:ascii="宋体" w:hAnsi="宋体" w:eastAsia="宋体"/>
          <w:kern w:val="2"/>
          <w:sz w:val="21"/>
          <w:szCs w:val="21"/>
          <w:lang w:eastAsia="zh-CN"/>
        </w:rPr>
        <w:t>评审委员会由采购人代表和评审专家组成，成员人数应当为5人以上单数（部分条件下为7人以上单数），其中评审专家不得少于成员总数的三分之二。</w:t>
      </w:r>
      <w:bookmarkEnd w:id="69"/>
      <w:r>
        <w:rPr>
          <w:rFonts w:hint="eastAsia" w:ascii="宋体" w:hAnsi="宋体" w:eastAsia="宋体"/>
          <w:kern w:val="2"/>
          <w:sz w:val="21"/>
          <w:szCs w:val="21"/>
          <w:lang w:eastAsia="zh-CN"/>
        </w:rPr>
        <w:t>评定</w:t>
      </w:r>
      <w:r>
        <w:rPr>
          <w:rFonts w:hint="eastAsia" w:eastAsia="宋体"/>
          <w:kern w:val="2"/>
          <w:sz w:val="21"/>
          <w:szCs w:val="21"/>
          <w:lang w:eastAsia="zh-CN"/>
        </w:rPr>
        <w:t>分离项目评审专家均由评审专家组成。</w:t>
      </w:r>
      <w:r>
        <w:rPr>
          <w:rFonts w:hint="eastAsia" w:ascii="宋体" w:hAnsi="宋体" w:eastAsia="宋体"/>
          <w:kern w:val="2"/>
          <w:sz w:val="21"/>
          <w:szCs w:val="21"/>
          <w:lang w:eastAsia="zh-CN"/>
        </w:rPr>
        <w:t>评审专家一般是从深圳市政府采购评审专家库中随机抽取。采购人代表须持本单位签发的《评审授权书》参加评审。</w:t>
      </w:r>
      <w:r>
        <w:rPr>
          <w:rFonts w:hint="eastAsia" w:ascii="宋体" w:hAnsi="宋体" w:eastAsia="宋体"/>
          <w:color w:val="FF0000"/>
          <w:kern w:val="2"/>
          <w:sz w:val="21"/>
          <w:szCs w:val="21"/>
          <w:lang w:eastAsia="zh-CN"/>
        </w:rPr>
        <w:t>根据财政部门要求，将食材、物业管理、清扫保洁、保安服务、家具、窗帘、园林绿化、社工服务、“城市管家”九类采购项目作为严管项目，实行“通用品目+专业品目”组合抽取制。严管项目的范围由市财政部门根据监管需要适时调整。上述所称专业品目是指，与项目采购标的相对应的品目，具体由采购人商采购代理机构根据项目需求自主确定。通用品目具体由会计、审计、法律、人力资源管理、资产评估、金融服务品目下的所有专家合并组成。专业品目下产生的专家人数占抽取总人数的比例不得超过50%（含本数），除此之外的专家均从通用品目库中随机抽取。注：论证专家抽取规则无需按此要求执行，具体严管项目的范围由市财政部门根据监管需要适时调整。</w:t>
      </w:r>
    </w:p>
    <w:p w14:paraId="6C27713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29.2评审定标应当遵循公平、公正、科学、择优的原则。</w:t>
      </w:r>
    </w:p>
    <w:p w14:paraId="3833C98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29.3评审活动依法进行，任何单位和个人不得非法干预评标过程和结果。</w:t>
      </w:r>
    </w:p>
    <w:p w14:paraId="332A9A6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29.4评审过程中不允许违背评标程序或采用招标文件未载明的评标方法或评标因素进行评标。</w:t>
      </w:r>
    </w:p>
    <w:p w14:paraId="7E9383C4">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29.5 开标后，直到签订合同为止，凡属于对投标文件的审查、澄清、评价和比较的有关资料以及中标候选人的推荐情况、与评审有关的其他任何情况均严格保密（</w:t>
      </w:r>
      <w:r>
        <w:rPr>
          <w:rFonts w:hint="eastAsia" w:eastAsia="宋体"/>
          <w:kern w:val="2"/>
          <w:sz w:val="21"/>
          <w:szCs w:val="21"/>
          <w:lang w:eastAsia="zh-CN"/>
        </w:rPr>
        <w:t>信息公开的内容除外</w:t>
      </w:r>
      <w:r>
        <w:rPr>
          <w:rFonts w:hint="eastAsia" w:ascii="宋体" w:hAnsi="宋体" w:eastAsia="宋体"/>
          <w:bCs/>
          <w:kern w:val="2"/>
          <w:sz w:val="21"/>
          <w:szCs w:val="21"/>
          <w:lang w:eastAsia="zh-CN"/>
        </w:rPr>
        <w:t>）。</w:t>
      </w:r>
    </w:p>
    <w:p w14:paraId="1F529F5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30．向评审委员会提供的资料</w:t>
      </w:r>
    </w:p>
    <w:p w14:paraId="1B74B4D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30.1公开发布的招标文件，包括图纸、服务清单、答疑文件等；</w:t>
      </w:r>
    </w:p>
    <w:p w14:paraId="310211E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30.2其他评标必须的资料。</w:t>
      </w:r>
    </w:p>
    <w:p w14:paraId="5F4F0B4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30.3评审委员会应当认真研究招标文件，至少应了解熟悉以下内容：</w:t>
      </w:r>
    </w:p>
    <w:p w14:paraId="0AB3A36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（1）招标的目的；</w:t>
      </w:r>
    </w:p>
    <w:p w14:paraId="79CE06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（2）招标项目需求的范围和性质；</w:t>
      </w:r>
    </w:p>
    <w:p w14:paraId="5767FEF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（3）招标文件规定的投标人的资格、财政预算限额、商务条款；</w:t>
      </w:r>
    </w:p>
    <w:p w14:paraId="55A972B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（4）招标文件规定的评标程序、评标方法和评标因素；</w:t>
      </w:r>
    </w:p>
    <w:p w14:paraId="2B5105C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（5）招标文件所列示的资格性审查表及符合性审查表。</w:t>
      </w:r>
    </w:p>
    <w:p w14:paraId="2667CAD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31．独立评审</w:t>
      </w:r>
    </w:p>
    <w:p w14:paraId="72DA593B">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31.1</w:t>
      </w:r>
      <w:r>
        <w:rPr>
          <w:rFonts w:hint="eastAsia" w:ascii="宋体" w:hAnsi="宋体" w:eastAsia="宋体"/>
          <w:kern w:val="2"/>
          <w:sz w:val="21"/>
          <w:szCs w:val="21"/>
          <w:lang w:eastAsia="zh-CN"/>
        </w:rPr>
        <w:t>评审委员会</w:t>
      </w:r>
      <w:r>
        <w:rPr>
          <w:rFonts w:hint="eastAsia" w:ascii="宋体" w:hAnsi="宋体" w:eastAsia="宋体"/>
          <w:bCs/>
          <w:kern w:val="2"/>
          <w:sz w:val="21"/>
          <w:szCs w:val="21"/>
          <w:lang w:eastAsia="zh-CN"/>
        </w:rPr>
        <w:t>成员的评标活动应当独立进行，并应遵循投标文件初审、澄清有关问题、比较与评价、确定中标供应商、编写评审报告的工作程序。</w:t>
      </w:r>
    </w:p>
    <w:p w14:paraId="402921D4">
      <w:pPr>
        <w:widowControl w:val="0"/>
        <w:ind w:firstLine="411" w:firstLineChars="196"/>
        <w:jc w:val="both"/>
        <w:rPr>
          <w:rFonts w:ascii="宋体" w:hAnsi="宋体" w:eastAsia="宋体"/>
          <w:bCs/>
          <w:kern w:val="2"/>
          <w:sz w:val="21"/>
          <w:szCs w:val="21"/>
          <w:lang w:eastAsia="zh-CN"/>
        </w:rPr>
      </w:pPr>
    </w:p>
    <w:p w14:paraId="297FB4D8">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评审程序及评审方法</w:t>
      </w:r>
    </w:p>
    <w:p w14:paraId="01E7CD5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32．投标文件初审</w:t>
      </w:r>
    </w:p>
    <w:p w14:paraId="637FBB3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32.1投标文件初审包括资格性审查和符合性审查。</w:t>
      </w:r>
    </w:p>
    <w:p w14:paraId="08FDD35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资格性审查：依据法律法规和招标文件的规定，对投标文件中的资格证明等进行审查，以确定投标供应商是否具备投标资格。</w:t>
      </w:r>
    </w:p>
    <w:p w14:paraId="54AF603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符合性审查：依据招标文件的规定，对投标文件的有效性、完整性和对招标文件的响应程度进行审查，以确定是否满足符合性审查的要求。</w:t>
      </w:r>
    </w:p>
    <w:p w14:paraId="1A8D87B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32.2 投标文件初审内容请详见《资格性审查表》和《符合性审查表》部分。投标人若有一条审查不通过则按投标无效处理。</w:t>
      </w:r>
    </w:p>
    <w:p w14:paraId="6A807692">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 投标文件初审中关于供应商家数的计算:</w:t>
      </w:r>
    </w:p>
    <w:p w14:paraId="0F079C9D">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138752AF">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4122A43F">
      <w:pPr>
        <w:widowControl w:val="0"/>
        <w:ind w:firstLine="420" w:firstLineChars="200"/>
        <w:jc w:val="both"/>
        <w:rPr>
          <w:rFonts w:ascii="宋体" w:hAnsi="宋体" w:eastAsia="宋体"/>
          <w:bCs/>
          <w:kern w:val="2"/>
          <w:sz w:val="21"/>
          <w:szCs w:val="21"/>
          <w:lang w:eastAsia="zh-CN"/>
        </w:rPr>
      </w:pPr>
      <w:r>
        <w:rPr>
          <w:rFonts w:hint="eastAsia" w:ascii="宋体" w:hAnsi="宋体" w:eastAsia="宋体"/>
          <w:bCs/>
          <w:kern w:val="2"/>
          <w:sz w:val="21"/>
          <w:szCs w:val="21"/>
          <w:lang w:eastAsia="zh-CN"/>
        </w:rPr>
        <w:t>32.3.3非单一产品采购项目，采购人应当根据采购项目技术构成、产品价格比重等合理确定核心产品，并在招标文件中载明。多家投标人提供的核心产品品牌相同的，按前两款规定处理。</w:t>
      </w:r>
    </w:p>
    <w:p w14:paraId="3B40155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32.4投标人投标文件作无效处理的情形，具体包括但不限于以下：</w:t>
      </w:r>
    </w:p>
    <w:p w14:paraId="591FDA54">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32.4.1</w:t>
      </w:r>
      <w:r>
        <w:rPr>
          <w:rFonts w:hint="eastAsia" w:eastAsia="宋体"/>
          <w:kern w:val="2"/>
          <w:sz w:val="21"/>
          <w:szCs w:val="21"/>
          <w:lang w:eastAsia="zh-CN"/>
        </w:rPr>
        <w:t>不同投标人的投标文件由同一单位或者同一个人编制，或者由同一个人分阶段参与编制；</w:t>
      </w:r>
    </w:p>
    <w:p w14:paraId="09832643">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32.4.2</w:t>
      </w:r>
      <w:r>
        <w:rPr>
          <w:rFonts w:hint="eastAsia" w:eastAsia="宋体"/>
          <w:kern w:val="2"/>
          <w:sz w:val="21"/>
          <w:szCs w:val="21"/>
          <w:lang w:eastAsia="zh-CN"/>
        </w:rPr>
        <w:t>不同投标人委托同一单位或者个人办理投标事宜；</w:t>
      </w:r>
    </w:p>
    <w:p w14:paraId="0E85144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32.4.3不同投标人的投标文件载明的项目管理成员或者联系人员为同一人；</w:t>
      </w:r>
    </w:p>
    <w:p w14:paraId="5C40F11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32.4.4不同投标人的投标文件异常一致或者投标报价呈规律性差异；</w:t>
      </w:r>
    </w:p>
    <w:p w14:paraId="354A76C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32.4.5不同投标供应商的投标文件或部分投标文件相互混装；</w:t>
      </w:r>
    </w:p>
    <w:p w14:paraId="5504BEB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32.4.6投标供应商之间相互约定给予未中标的供应商利益补偿；</w:t>
      </w:r>
    </w:p>
    <w:p w14:paraId="33EA70F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32.4.7不同投标供应商的法定代表人、主要经营负责人、项目投标授权代表人、项目负责人、主要技术人员为同一人、属同一单位或者同一单位缴纳社会保险；</w:t>
      </w:r>
    </w:p>
    <w:p w14:paraId="4F213A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32.4.8不同投标供应商的投标文件内容存在非正常一致；</w:t>
      </w:r>
    </w:p>
    <w:p w14:paraId="32822BD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32.4.9在同一单位工作人员为两家以上（含两家）供应商进行同一项投标活动；</w:t>
      </w:r>
    </w:p>
    <w:p w14:paraId="459B879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32.4.10主管部门依照法律、法规认定的其他情形。</w:t>
      </w:r>
    </w:p>
    <w:p w14:paraId="01B1432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32.5对不属于《资格性审查表》和《符合性审查表》所列的其他情形，除专用条款另有规定和32.4条款所列情形外，不得作为投标无效的理由。</w:t>
      </w:r>
    </w:p>
    <w:p w14:paraId="049062B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33．澄清有关问题</w:t>
      </w:r>
    </w:p>
    <w:p w14:paraId="4FF51F29">
      <w:pPr>
        <w:widowControl w:val="0"/>
        <w:ind w:firstLine="420" w:firstLineChars="200"/>
        <w:jc w:val="both"/>
        <w:rPr>
          <w:rFonts w:ascii="宋体" w:hAnsi="宋体" w:eastAsia="宋体"/>
          <w:kern w:val="2"/>
          <w:sz w:val="21"/>
          <w:szCs w:val="21"/>
          <w:lang w:eastAsia="zh-CN"/>
        </w:rPr>
      </w:pPr>
      <w:bookmarkStart w:id="70" w:name="_Hlk71407321"/>
      <w:r>
        <w:rPr>
          <w:rFonts w:hint="eastAsia" w:ascii="宋体" w:hAnsi="宋体" w:eastAsia="宋体"/>
          <w:kern w:val="2"/>
          <w:sz w:val="21"/>
          <w:szCs w:val="21"/>
          <w:lang w:eastAsia="zh-CN"/>
        </w:rPr>
        <w:t>33.1对招标文件中描述有歧义或前后不一致的地方（不含</w:t>
      </w:r>
      <w:r>
        <w:rPr>
          <w:rFonts w:hint="eastAsia" w:eastAsia="宋体"/>
          <w:kern w:val="2"/>
          <w:sz w:val="21"/>
          <w:szCs w:val="21"/>
          <w:lang w:eastAsia="zh-CN"/>
        </w:rPr>
        <w:t>招标文件存在歧义、重大缺陷导致评审工作无法进行的情况）</w:t>
      </w:r>
      <w:r>
        <w:rPr>
          <w:rFonts w:hint="eastAsia" w:ascii="宋体" w:hAnsi="宋体" w:eastAsia="宋体"/>
          <w:kern w:val="2"/>
          <w:sz w:val="21"/>
          <w:szCs w:val="21"/>
          <w:lang w:eastAsia="zh-CN"/>
        </w:rPr>
        <w:t>，评审委员会有权进行评判，但对同一条款的评判应适用于每个投标人。</w:t>
      </w:r>
      <w:bookmarkEnd w:id="70"/>
    </w:p>
    <w:p w14:paraId="2C14FC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33.2</w:t>
      </w:r>
      <w:r>
        <w:rPr>
          <w:rFonts w:hint="eastAsia" w:eastAsia="宋体"/>
          <w:kern w:val="2"/>
          <w:sz w:val="21"/>
          <w:szCs w:val="21"/>
          <w:lang w:eastAsia="zh-CN"/>
        </w:rPr>
        <w:t>评审委员会发现招标文件存在歧义、重大缺陷导致评审工作无法进行，或者招标文件内容违反国家有关强制性规定的，应当停止评审工作，与</w:t>
      </w:r>
      <w:r>
        <w:rPr>
          <w:rFonts w:hint="eastAsia" w:ascii="宋体" w:hAnsi="宋体" w:eastAsia="宋体"/>
          <w:kern w:val="2"/>
          <w:sz w:val="21"/>
          <w:szCs w:val="21"/>
          <w:lang w:eastAsia="zh-CN"/>
        </w:rPr>
        <w:t>采购代理机构</w:t>
      </w:r>
      <w:r>
        <w:rPr>
          <w:rFonts w:hint="eastAsia" w:eastAsia="宋体"/>
          <w:kern w:val="2"/>
          <w:sz w:val="21"/>
          <w:szCs w:val="21"/>
          <w:lang w:eastAsia="zh-CN"/>
        </w:rPr>
        <w:t>沟通并作书面记录。经确认后，项目应当修改招标文件，重新组织采购活动。</w:t>
      </w:r>
    </w:p>
    <w:p w14:paraId="3AA550D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33.3对于投标文件中含义不明确、同类问题表述不一致或者有明显文字和计算错误的内容，评审委员会应当以书面形式要求投标人作出必要的澄清、说明或者补正。</w:t>
      </w:r>
    </w:p>
    <w:p w14:paraId="3622A2F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人的澄清、说明或者补正应当采用书面形式【书面形式是指文书、信件（含电子邮件）、电报、电传、传真等形式】，并加盖公章（或者由法定代表人或其授权的代表签字）。投标人的澄清、说明或者补正不得超出投标文件的范围或者改变投标文件的实质性内容。</w:t>
      </w:r>
    </w:p>
    <w:p w14:paraId="35084C7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根据本通用条款第34条，凡属于评审委员会在评审中发现的算术错误进行核实的修改不在此列。</w:t>
      </w:r>
    </w:p>
    <w:p w14:paraId="650F5B2A">
      <w:pPr>
        <w:widowControl w:val="0"/>
        <w:ind w:firstLine="420" w:firstLineChars="200"/>
        <w:jc w:val="both"/>
        <w:rPr>
          <w:rFonts w:ascii="黑体" w:hAnsi="宋体" w:eastAsia="黑体"/>
          <w:kern w:val="2"/>
          <w:sz w:val="21"/>
          <w:szCs w:val="21"/>
          <w:lang w:eastAsia="zh-CN"/>
        </w:rPr>
      </w:pPr>
      <w:bookmarkStart w:id="71" w:name="_Toc73517673"/>
      <w:bookmarkStart w:id="72" w:name="_Toc73518151"/>
      <w:bookmarkStart w:id="73" w:name="_Toc73521581"/>
      <w:bookmarkStart w:id="74" w:name="_Toc73521669"/>
      <w:bookmarkStart w:id="75" w:name="_Toc100052400"/>
      <w:r>
        <w:rPr>
          <w:rFonts w:hint="eastAsia" w:ascii="黑体" w:hAnsi="宋体" w:eastAsia="黑体"/>
          <w:kern w:val="2"/>
          <w:sz w:val="21"/>
          <w:szCs w:val="21"/>
          <w:lang w:eastAsia="zh-CN"/>
        </w:rPr>
        <w:t>34．错误的修正</w:t>
      </w:r>
      <w:bookmarkEnd w:id="71"/>
      <w:bookmarkEnd w:id="72"/>
      <w:bookmarkEnd w:id="73"/>
      <w:bookmarkEnd w:id="74"/>
      <w:bookmarkEnd w:id="75"/>
    </w:p>
    <w:p w14:paraId="6236D9B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投标文件报价出现前后不一致的，除专用条款另有规定外，按照下列规定修正：</w:t>
      </w:r>
    </w:p>
    <w:p w14:paraId="2BEE13A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34.1投标文件中开标一览表投标报价内容与投标文件中投标报价相应内容不一致的，以开标一览表为准；</w:t>
      </w:r>
    </w:p>
    <w:p w14:paraId="0775EAC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34.2大写金额和小写金额不一致的，以大写金额为准；</w:t>
      </w:r>
    </w:p>
    <w:p w14:paraId="012AE89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34.3单价金额小数点或者百分比有明显错位，以开标一览表的总价为准，并修改单价；</w:t>
      </w:r>
    </w:p>
    <w:p w14:paraId="165815C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34.4总价金额与按单价汇总金额不一致的，以单价金额计算结果为准。</w:t>
      </w:r>
    </w:p>
    <w:p w14:paraId="4C0D87E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34.5同时出现两种以上不一致的，按照前款规定的顺序修正。修正后的报价按照本通用条款33条的规定，经投标人确认后产生约束力，投标人不确认的，其投标无效。</w:t>
      </w:r>
    </w:p>
    <w:p w14:paraId="1B0075D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35．投标文件的比较与评价</w:t>
      </w:r>
    </w:p>
    <w:p w14:paraId="37914FB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委员会将按照《深圳经济特区政府采购条例》、《深圳经济特区政府采购条例实施细则》、《深圳市政府采购评标定标分离管理办法》及政府采购其他法律法规，仅对通过资格性审查和符合性审查的投标文件进行综合比较与评价。</w:t>
      </w:r>
    </w:p>
    <w:p w14:paraId="776CD31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评审委员会成员对需要共同认定的事项存在争议的，应当按照少数服从多数的原则作出结论。持不同意见的评审委员会成员应当书面作出说明，否则视为无异议。</w:t>
      </w:r>
    </w:p>
    <w:p w14:paraId="415E6719">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36. 实地考察或资料查验</w:t>
      </w:r>
    </w:p>
    <w:p w14:paraId="5DEF5B0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36.1在评审过程中，评审委员会有权决定是否对本项目投标人进行实地考察或资料查验（原件）。投标人应随时做好接受实地考察或资料查验的准备。</w:t>
      </w:r>
    </w:p>
    <w:p w14:paraId="2219B0FF">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37．评审方法</w:t>
      </w:r>
    </w:p>
    <w:p w14:paraId="798D25D8">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37.1.1最低价法</w:t>
      </w:r>
    </w:p>
    <w:p w14:paraId="720102FE">
      <w:pPr>
        <w:widowControl w:val="0"/>
        <w:ind w:firstLine="420" w:firstLineChars="200"/>
        <w:jc w:val="both"/>
        <w:rPr>
          <w:rFonts w:ascii="ˎ̥" w:hAnsi="ˎ̥" w:eastAsia="宋体"/>
          <w:kern w:val="2"/>
          <w:sz w:val="21"/>
          <w:szCs w:val="21"/>
          <w:lang w:eastAsia="zh-CN"/>
        </w:rPr>
      </w:pPr>
      <w:bookmarkStart w:id="76" w:name="_Hlk72438142"/>
      <w:r>
        <w:rPr>
          <w:rFonts w:hint="eastAsia" w:ascii="ˎ̥" w:hAnsi="ˎ̥" w:eastAsia="宋体"/>
          <w:kern w:val="2"/>
          <w:sz w:val="21"/>
          <w:szCs w:val="21"/>
          <w:lang w:eastAsia="zh-CN"/>
        </w:rPr>
        <w:t>最低价法，是指完全满足招标文件实质性要求，按照报价由低到高的顺序，依据招标文件中规定的数量或者比例推荐候选中标供应商。</w:t>
      </w:r>
    </w:p>
    <w:p w14:paraId="7D54EE7D">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37.1.2综合评分法</w:t>
      </w:r>
    </w:p>
    <w:p w14:paraId="4200D061">
      <w:pPr>
        <w:widowControl w:val="0"/>
        <w:ind w:firstLine="420" w:firstLineChars="200"/>
        <w:jc w:val="both"/>
        <w:rPr>
          <w:rFonts w:ascii="ˎ̥" w:hAnsi="ˎ̥" w:eastAsia="宋体"/>
          <w:kern w:val="2"/>
          <w:sz w:val="21"/>
          <w:szCs w:val="21"/>
          <w:lang w:eastAsia="zh-CN"/>
        </w:rPr>
      </w:pPr>
      <w:r>
        <w:rPr>
          <w:rFonts w:hint="eastAsia" w:ascii="ˎ̥" w:hAnsi="ˎ̥" w:eastAsia="宋体"/>
          <w:kern w:val="2"/>
          <w:sz w:val="21"/>
          <w:szCs w:val="21"/>
          <w:lang w:eastAsia="zh-CN"/>
        </w:rPr>
        <w:t>综合评分法，是指在满足招标文件全部实质性要求的前提下，按照招标文件中规定的各项因素进行综合评审，评审总得分排名前列的投标人，作为推荐的候选中标供应商。</w:t>
      </w:r>
      <w:bookmarkEnd w:id="76"/>
      <w:r>
        <w:rPr>
          <w:rFonts w:hint="eastAsia" w:ascii="宋体" w:hAnsi="宋体" w:eastAsia="宋体"/>
          <w:bCs/>
          <w:color w:val="FF0000"/>
          <w:kern w:val="2"/>
          <w:sz w:val="21"/>
          <w:szCs w:val="21"/>
          <w:lang w:eastAsia="zh-CN"/>
        </w:rPr>
        <w:t xml:space="preserve">  </w:t>
      </w:r>
      <w:r>
        <w:rPr>
          <w:rFonts w:hint="eastAsia" w:ascii="宋体" w:hAnsi="宋体" w:eastAsia="宋体"/>
          <w:bCs/>
          <w:kern w:val="2"/>
          <w:sz w:val="21"/>
          <w:szCs w:val="21"/>
          <w:lang w:eastAsia="zh-CN"/>
        </w:rPr>
        <w:t xml:space="preserve">                                                                                                                                                                                                                                                                                                                                                                                                                                                                                                                                                                                                                                                                                                                                                                                                                                                                                                                                                                                                                                                                                                                                                                                                                                                                                                                                                                                                                                                                                                                                                                                                                                                                                                                                                                                                                                                                                                                                                                                                                                                                                                                                                                                                                                                                                                                                                                                                                                                                                                                                                                                                                                                                                                                                                                                                                                                                                                                                                                                                                           </w:t>
      </w:r>
    </w:p>
    <w:p w14:paraId="6E3623AB">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37.2 本项目采用的评审方法见本项目招标文件第一册“专用条款”的相关内容。</w:t>
      </w:r>
    </w:p>
    <w:p w14:paraId="1225C376">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37.3重新评审的情形</w:t>
      </w:r>
    </w:p>
    <w:p w14:paraId="6CC24723">
      <w:pPr>
        <w:widowControl w:val="0"/>
        <w:ind w:firstLine="420" w:firstLineChars="200"/>
        <w:jc w:val="both"/>
        <w:rPr>
          <w:rFonts w:ascii="宋体" w:hAnsi="宋体" w:eastAsia="宋体"/>
          <w:b/>
          <w:bCs/>
          <w:kern w:val="2"/>
          <w:sz w:val="21"/>
          <w:szCs w:val="21"/>
          <w:lang w:eastAsia="zh-CN"/>
        </w:rPr>
      </w:pPr>
      <w:r>
        <w:rPr>
          <w:rFonts w:hint="eastAsia" w:ascii="宋体" w:hAnsi="宋体" w:eastAsia="宋体" w:cs="宋体"/>
          <w:sz w:val="21"/>
          <w:szCs w:val="21"/>
          <w:lang w:eastAsia="zh-CN"/>
        </w:rPr>
        <w:t>评审结果汇总完成后，除下列情形外，任何人不得修改评审结果：</w:t>
      </w:r>
    </w:p>
    <w:p w14:paraId="4386D205">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37.3.1分值汇总计算错误的；</w:t>
      </w:r>
    </w:p>
    <w:p w14:paraId="3331DD36">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37.3.2分项评分超出评分标准范围的；</w:t>
      </w:r>
    </w:p>
    <w:p w14:paraId="0519752F">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37.3.3评审委员会成员对客观评审因素评分不一致的；</w:t>
      </w:r>
    </w:p>
    <w:p w14:paraId="24FC62A0">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37.3.4经评审委员会认定评分畸高、畸低的。</w:t>
      </w:r>
    </w:p>
    <w:p w14:paraId="122AD9EB">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本级财政部门。</w:t>
      </w:r>
    </w:p>
    <w:p w14:paraId="50A8269E">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投标人对本条第一款情形提出质疑的，采购人或者采购代理机构可以组织原评审委员会进行重新评审，重新评审改变评审结果的，应当书面报告本级财政部门。</w:t>
      </w:r>
    </w:p>
    <w:p w14:paraId="55154340">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 xml:space="preserve"> 37.4重新组建评审委员会的情形</w:t>
      </w:r>
    </w:p>
    <w:p w14:paraId="53884A3E">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评审委员会或者其成员存在下列情形导致评审结果无效的，重新组建评审委员会进行评标，并书面报告本级财政部门：</w:t>
      </w:r>
    </w:p>
    <w:p w14:paraId="3E39A454">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37.4.1评审委员会组成不符合《政府采购货物和服务招标投标管理办法》规定的；</w:t>
      </w:r>
    </w:p>
    <w:p w14:paraId="55A84C42">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37.4.2有《政府采购货物和服务招标投标管理办法》第六十二条第一至五项情形的；</w:t>
      </w:r>
    </w:p>
    <w:p w14:paraId="71E9E15A">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37.4.3评审委员会及其成员独立评标受到非法干预的；</w:t>
      </w:r>
    </w:p>
    <w:p w14:paraId="1F4C7E9B">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37.4.4有政府采购法实施条例第七十五条规定的违法行为的。</w:t>
      </w:r>
    </w:p>
    <w:p w14:paraId="7481F61A">
      <w:pPr>
        <w:widowControl w:val="0"/>
        <w:ind w:firstLine="420" w:firstLineChars="200"/>
        <w:jc w:val="both"/>
        <w:rPr>
          <w:rFonts w:ascii="宋体" w:hAnsi="宋体" w:eastAsia="宋体" w:cs="宋体"/>
          <w:sz w:val="21"/>
          <w:szCs w:val="21"/>
          <w:lang w:eastAsia="zh-CN"/>
        </w:rPr>
      </w:pPr>
      <w:r>
        <w:rPr>
          <w:rFonts w:hint="eastAsia" w:ascii="宋体" w:hAnsi="宋体" w:eastAsia="宋体" w:cs="宋体"/>
          <w:sz w:val="21"/>
          <w:szCs w:val="21"/>
          <w:lang w:eastAsia="zh-CN"/>
        </w:rPr>
        <w:t>有违法违规行为的原评审委员会成员不得参加重新组建的评审委员会。</w:t>
      </w:r>
    </w:p>
    <w:p w14:paraId="61091685">
      <w:pPr>
        <w:widowControl w:val="0"/>
        <w:ind w:firstLine="411" w:firstLineChars="196"/>
        <w:jc w:val="both"/>
        <w:rPr>
          <w:rFonts w:ascii="宋体" w:hAnsi="宋体" w:eastAsia="宋体"/>
          <w:kern w:val="2"/>
          <w:sz w:val="21"/>
          <w:szCs w:val="21"/>
          <w:lang w:eastAsia="zh-CN"/>
        </w:rPr>
      </w:pPr>
    </w:p>
    <w:p w14:paraId="0317D128">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定标及公示</w:t>
      </w:r>
    </w:p>
    <w:p w14:paraId="4390C6BC">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38．定标方法</w:t>
      </w:r>
    </w:p>
    <w:p w14:paraId="7970BDE7">
      <w:pPr>
        <w:widowControl w:val="0"/>
        <w:ind w:firstLine="420" w:firstLineChars="200"/>
        <w:jc w:val="both"/>
        <w:rPr>
          <w:rFonts w:ascii="宋体" w:hAnsi="宋体" w:eastAsia="宋体"/>
          <w:kern w:val="2"/>
          <w:sz w:val="21"/>
          <w:szCs w:val="21"/>
          <w:lang w:eastAsia="zh-CN"/>
        </w:rPr>
      </w:pPr>
      <w:bookmarkStart w:id="77" w:name="_Hlk73782795"/>
      <w:r>
        <w:rPr>
          <w:rFonts w:hint="eastAsia" w:ascii="宋体" w:hAnsi="宋体" w:eastAsia="宋体"/>
          <w:kern w:val="2"/>
          <w:sz w:val="21"/>
          <w:szCs w:val="21"/>
          <w:lang w:eastAsia="zh-CN"/>
        </w:rPr>
        <w:t>38.1非评定分离项目定标方法</w:t>
      </w:r>
    </w:p>
    <w:p w14:paraId="258E319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38.1.1评审委员会依据本项目招标文件所约定的评审方法进行评审和比较，向采购代理机构提交书面评审报告，并根据评审方法比较评价结果从优到劣进行排序，确定候选中标供应商。</w:t>
      </w:r>
    </w:p>
    <w:p w14:paraId="3DCD92CE">
      <w:pPr>
        <w:widowControl w:val="0"/>
        <w:ind w:firstLine="420" w:firstLineChars="200"/>
        <w:jc w:val="both"/>
        <w:rPr>
          <w:rFonts w:ascii="ˎ̥" w:hAnsi="ˎ̥" w:eastAsia="宋体"/>
          <w:kern w:val="2"/>
          <w:sz w:val="21"/>
          <w:szCs w:val="21"/>
          <w:lang w:eastAsia="zh-CN"/>
        </w:rPr>
      </w:pPr>
      <w:r>
        <w:rPr>
          <w:rFonts w:hint="eastAsia" w:ascii="宋体" w:hAnsi="宋体" w:eastAsia="宋体"/>
          <w:kern w:val="2"/>
          <w:sz w:val="21"/>
          <w:szCs w:val="21"/>
          <w:lang w:eastAsia="zh-CN"/>
        </w:rPr>
        <w:t>38.1.2</w:t>
      </w:r>
      <w:r>
        <w:rPr>
          <w:rFonts w:ascii="ˎ̥" w:hAnsi="ˎ̥" w:eastAsia="宋体"/>
          <w:kern w:val="2"/>
          <w:sz w:val="21"/>
          <w:lang w:eastAsia="zh-CN"/>
        </w:rPr>
        <w:t>采用最低价法的，评</w:t>
      </w:r>
      <w:r>
        <w:rPr>
          <w:rFonts w:hint="eastAsia" w:ascii="ˎ̥" w:hAnsi="ˎ̥" w:eastAsia="宋体"/>
          <w:kern w:val="2"/>
          <w:sz w:val="21"/>
          <w:lang w:eastAsia="zh-CN"/>
        </w:rPr>
        <w:t>审</w:t>
      </w:r>
      <w:r>
        <w:rPr>
          <w:rFonts w:ascii="ˎ̥" w:hAnsi="ˎ̥" w:eastAsia="宋体"/>
          <w:kern w:val="2"/>
          <w:sz w:val="21"/>
          <w:lang w:eastAsia="zh-CN"/>
        </w:rPr>
        <w:t>结果按投标报价由低到高顺序排列。投标报价相同的并列。投标文件满足招标文件全部实质性要求且投标报价最低的</w:t>
      </w:r>
      <w:r>
        <w:rPr>
          <w:rFonts w:hint="eastAsia" w:ascii="ˎ̥" w:hAnsi="ˎ̥" w:eastAsia="宋体"/>
          <w:kern w:val="2"/>
          <w:sz w:val="21"/>
          <w:lang w:eastAsia="zh-CN"/>
        </w:rPr>
        <w:t>投标人为中标供应商</w:t>
      </w:r>
      <w:r>
        <w:rPr>
          <w:rFonts w:hint="eastAsia" w:ascii="ˎ̥" w:hAnsi="ˎ̥" w:eastAsia="宋体"/>
          <w:kern w:val="2"/>
          <w:sz w:val="21"/>
          <w:szCs w:val="21"/>
          <w:lang w:eastAsia="zh-CN"/>
        </w:rPr>
        <w:t>。</w:t>
      </w:r>
    </w:p>
    <w:p w14:paraId="0BAE57B8">
      <w:pPr>
        <w:widowControl w:val="0"/>
        <w:ind w:firstLine="420" w:firstLineChars="200"/>
        <w:jc w:val="both"/>
        <w:rPr>
          <w:rFonts w:ascii="ˎ̥" w:hAnsi="ˎ̥" w:eastAsia="宋体"/>
          <w:kern w:val="2"/>
          <w:sz w:val="21"/>
          <w:szCs w:val="21"/>
          <w:lang w:eastAsia="zh-CN"/>
        </w:rPr>
      </w:pPr>
      <w:r>
        <w:rPr>
          <w:rFonts w:hint="eastAsia" w:ascii="宋体" w:hAnsi="宋体" w:eastAsia="宋体"/>
          <w:kern w:val="2"/>
          <w:sz w:val="21"/>
          <w:szCs w:val="21"/>
          <w:lang w:eastAsia="zh-CN"/>
        </w:rPr>
        <w:t>38.1.3采</w:t>
      </w:r>
      <w:r>
        <w:rPr>
          <w:rFonts w:hint="eastAsia" w:ascii="ˎ̥" w:hAnsi="ˎ̥" w:eastAsia="宋体"/>
          <w:kern w:val="2"/>
          <w:sz w:val="21"/>
          <w:szCs w:val="21"/>
          <w:lang w:eastAsia="zh-CN"/>
        </w:rPr>
        <w:t>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中标供应商。出现得分且投标报价相同的并列情况时，采取随机抽取的方式确定，具体操作办法及流程由评审委员会确定（如“专用条款”中另有规定的以“专用条款”相关规定内容为准）。</w:t>
      </w:r>
    </w:p>
    <w:p w14:paraId="0AB72D6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38.2评定分离项目定标方法</w:t>
      </w:r>
    </w:p>
    <w:p w14:paraId="4D8AAC0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38.2.1评定分离是指在采购程序中，以公开招标方式执行采购，评审委员会负责对投标文件进行评审、推荐候选中标供应商并出具书面评审报告，由采购人根据评审委员会出具的评审报告从推荐的候选中标供应商中确定中标供应商。单个项目需要确定多家中标供应商的，不适用评定分离。</w:t>
      </w:r>
    </w:p>
    <w:p w14:paraId="66934175">
      <w:pPr>
        <w:widowControl w:val="0"/>
        <w:ind w:firstLine="420" w:firstLineChars="200"/>
        <w:jc w:val="both"/>
        <w:rPr>
          <w:rFonts w:eastAsia="宋体"/>
          <w:kern w:val="2"/>
          <w:sz w:val="21"/>
          <w:szCs w:val="21"/>
          <w:lang w:eastAsia="zh-CN"/>
        </w:rPr>
      </w:pPr>
      <w:r>
        <w:rPr>
          <w:rFonts w:hint="eastAsia" w:ascii="宋体" w:hAnsi="宋体" w:eastAsia="宋体"/>
          <w:kern w:val="2"/>
          <w:sz w:val="21"/>
          <w:szCs w:val="21"/>
          <w:lang w:eastAsia="zh-CN"/>
        </w:rPr>
        <w:t xml:space="preserve">38.2.2 </w:t>
      </w:r>
      <w:bookmarkStart w:id="78" w:name="_Hlk71469733"/>
      <w:r>
        <w:rPr>
          <w:rFonts w:hint="eastAsia" w:eastAsia="宋体"/>
          <w:kern w:val="2"/>
          <w:sz w:val="21"/>
          <w:szCs w:val="21"/>
          <w:lang w:eastAsia="zh-CN"/>
        </w:rPr>
        <w:t>适用评定分离的采购项目，采用综合评分法评审。</w:t>
      </w:r>
      <w:r>
        <w:rPr>
          <w:rFonts w:hint="eastAsia" w:ascii="宋体" w:hAnsi="宋体" w:eastAsia="宋体"/>
          <w:kern w:val="2"/>
          <w:sz w:val="21"/>
          <w:szCs w:val="21"/>
          <w:lang w:eastAsia="zh-CN"/>
        </w:rPr>
        <w:t>评审委员会按照评审结果，推荐</w:t>
      </w:r>
      <w:r>
        <w:rPr>
          <w:rFonts w:hint="eastAsia" w:eastAsia="宋体"/>
          <w:kern w:val="2"/>
          <w:sz w:val="21"/>
          <w:szCs w:val="21"/>
          <w:lang w:eastAsia="zh-CN"/>
        </w:rPr>
        <w:t>三个合格的候选中标供应商。</w:t>
      </w:r>
    </w:p>
    <w:p w14:paraId="3BBE257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38.2.3</w:t>
      </w:r>
      <w:bookmarkStart w:id="79" w:name="_Hlk71469688"/>
      <w:r>
        <w:rPr>
          <w:rFonts w:hint="eastAsia" w:eastAsia="宋体"/>
          <w:kern w:val="2"/>
          <w:sz w:val="21"/>
          <w:szCs w:val="21"/>
          <w:lang w:eastAsia="zh-CN"/>
        </w:rPr>
        <w:t>适用评定分离的采购项目，</w:t>
      </w:r>
      <w:r>
        <w:rPr>
          <w:rFonts w:hint="eastAsia" w:ascii="宋体" w:hAnsi="宋体" w:eastAsia="宋体"/>
          <w:kern w:val="2"/>
          <w:sz w:val="21"/>
          <w:szCs w:val="21"/>
          <w:lang w:eastAsia="zh-CN"/>
        </w:rPr>
        <w:t>按照自定法确定中标供应商：自定法是指采购人组织定标委员会，由定标委员会在三家候选中标供应商中确定中标供应商。</w:t>
      </w:r>
      <w:bookmarkEnd w:id="78"/>
      <w:bookmarkEnd w:id="79"/>
    </w:p>
    <w:p w14:paraId="4C44F19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38.2.4采购代理机构</w:t>
      </w:r>
      <w:r>
        <w:rPr>
          <w:rFonts w:hint="eastAsia" w:eastAsia="宋体"/>
          <w:kern w:val="2"/>
          <w:sz w:val="21"/>
          <w:szCs w:val="21"/>
          <w:lang w:eastAsia="zh-CN"/>
        </w:rPr>
        <w:t>应当自评审结束之日起两个工作日内将候选中标供应商名单及其投标文件、评审报告送交采购人</w:t>
      </w:r>
      <w:r>
        <w:rPr>
          <w:rFonts w:hint="eastAsia" w:ascii="宋体" w:hAnsi="宋体" w:eastAsia="宋体"/>
          <w:kern w:val="2"/>
          <w:sz w:val="21"/>
          <w:szCs w:val="21"/>
          <w:lang w:eastAsia="zh-CN"/>
        </w:rPr>
        <w:t>。</w:t>
      </w:r>
      <w:r>
        <w:rPr>
          <w:rFonts w:hint="eastAsia" w:eastAsia="宋体"/>
          <w:kern w:val="2"/>
          <w:sz w:val="21"/>
          <w:szCs w:val="21"/>
          <w:lang w:eastAsia="zh-CN"/>
        </w:rPr>
        <w:t>采购人应当安排专人对定标过程进行书面记录，形成定标报告，作为采购文件的组成部分存档，并及时将定标结果反馈</w:t>
      </w:r>
      <w:r>
        <w:rPr>
          <w:rFonts w:hint="eastAsia" w:ascii="宋体" w:hAnsi="宋体" w:eastAsia="宋体"/>
          <w:kern w:val="2"/>
          <w:sz w:val="21"/>
          <w:szCs w:val="21"/>
          <w:lang w:eastAsia="zh-CN"/>
        </w:rPr>
        <w:t>采购代理机构</w:t>
      </w:r>
      <w:r>
        <w:rPr>
          <w:rFonts w:hint="eastAsia" w:eastAsia="宋体"/>
          <w:kern w:val="2"/>
          <w:sz w:val="21"/>
          <w:szCs w:val="21"/>
          <w:lang w:eastAsia="zh-CN"/>
        </w:rPr>
        <w:t>。具体定标程序及相关要求以参照《深圳市财政局关于印发</w:t>
      </w:r>
      <w:r>
        <w:rPr>
          <w:rFonts w:hint="eastAsia" w:ascii="宋体" w:hAnsi="宋体" w:eastAsia="宋体"/>
          <w:kern w:val="2"/>
          <w:sz w:val="21"/>
          <w:szCs w:val="21"/>
          <w:lang w:eastAsia="zh-CN"/>
        </w:rPr>
        <w:t>〈</w:t>
      </w:r>
      <w:r>
        <w:rPr>
          <w:rFonts w:hint="eastAsia" w:eastAsia="宋体"/>
          <w:kern w:val="2"/>
          <w:sz w:val="21"/>
          <w:szCs w:val="21"/>
          <w:lang w:eastAsia="zh-CN"/>
        </w:rPr>
        <w:t>深圳市政府采购评标定标分离管理办法</w:t>
      </w:r>
      <w:r>
        <w:rPr>
          <w:rFonts w:hint="eastAsia" w:ascii="宋体" w:hAnsi="宋体" w:eastAsia="宋体"/>
          <w:kern w:val="2"/>
          <w:sz w:val="21"/>
          <w:szCs w:val="21"/>
          <w:lang w:eastAsia="zh-CN"/>
        </w:rPr>
        <w:t>〉</w:t>
      </w:r>
      <w:r>
        <w:rPr>
          <w:rFonts w:hint="eastAsia" w:eastAsia="宋体"/>
          <w:kern w:val="2"/>
          <w:sz w:val="21"/>
          <w:szCs w:val="21"/>
          <w:lang w:eastAsia="zh-CN"/>
        </w:rPr>
        <w:t>的通知》（深财规【</w:t>
      </w:r>
      <w:r>
        <w:rPr>
          <w:rFonts w:eastAsia="宋体"/>
          <w:kern w:val="2"/>
          <w:sz w:val="21"/>
          <w:szCs w:val="21"/>
          <w:lang w:eastAsia="zh-CN"/>
        </w:rPr>
        <w:t>2020</w:t>
      </w:r>
      <w:r>
        <w:rPr>
          <w:rFonts w:hint="eastAsia" w:eastAsia="宋体"/>
          <w:kern w:val="2"/>
          <w:sz w:val="21"/>
          <w:szCs w:val="21"/>
          <w:lang w:eastAsia="zh-CN"/>
        </w:rPr>
        <w:t>】</w:t>
      </w:r>
      <w:r>
        <w:rPr>
          <w:rFonts w:eastAsia="宋体"/>
          <w:kern w:val="2"/>
          <w:sz w:val="21"/>
          <w:szCs w:val="21"/>
          <w:lang w:eastAsia="zh-CN"/>
        </w:rPr>
        <w:t>1</w:t>
      </w:r>
      <w:r>
        <w:rPr>
          <w:rFonts w:hint="eastAsia" w:eastAsia="宋体"/>
          <w:kern w:val="2"/>
          <w:sz w:val="21"/>
          <w:szCs w:val="21"/>
          <w:lang w:eastAsia="zh-CN"/>
        </w:rPr>
        <w:t>号）执行。</w:t>
      </w:r>
    </w:p>
    <w:p w14:paraId="3C2714B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说明：采购人及投标供应商应按照上述方法提前做好相关准备。</w:t>
      </w:r>
    </w:p>
    <w:p w14:paraId="29C296F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38.3专用条款另有规定的，按专用条款相关要求定标。</w:t>
      </w:r>
      <w:bookmarkEnd w:id="77"/>
    </w:p>
    <w:p w14:paraId="64A5A03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39．编写评审报告</w:t>
      </w:r>
    </w:p>
    <w:p w14:paraId="7816E9F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评审报告是评审委员会根据全体评标成员签字的原始评审记录和评审结果编写的报告，评审报告由评审委员会全体成员签字。对评审结论持有异议的评审委员会成员可以书面方式阐述其不同意见和理由。评审委员会成员拒绝在评审报告上签字且不陈述其不同意见和理由的，视为同意评审结论。评审委员会应当对此作出书面说明并记录存档。</w:t>
      </w:r>
    </w:p>
    <w:p w14:paraId="6C8B4C48">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40．中标公告</w:t>
      </w:r>
    </w:p>
    <w:p w14:paraId="0BF8CCA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40.1</w:t>
      </w:r>
      <w:bookmarkStart w:id="80" w:name="_Hlk72438709"/>
      <w:r>
        <w:rPr>
          <w:rFonts w:hint="eastAsia" w:ascii="宋体" w:hAnsi="宋体" w:eastAsia="宋体"/>
          <w:kern w:val="2"/>
          <w:sz w:val="21"/>
          <w:szCs w:val="21"/>
          <w:lang w:eastAsia="zh-CN"/>
        </w:rPr>
        <w:t>为体现“公开、公平、公正”的原则，评审结束后经采购人确认（确定）评审结果，采购代理机构将在深圳交易集团（深圳公共资源交易中心）官网</w:t>
      </w:r>
      <w:r>
        <w:rPr>
          <w:rFonts w:hint="eastAsia" w:ascii="宋体" w:hAnsi="宋体" w:eastAsia="宋体"/>
          <w:b/>
          <w:bCs/>
          <w:kern w:val="2"/>
          <w:sz w:val="21"/>
          <w:szCs w:val="21"/>
          <w:lang w:eastAsia="zh-CN"/>
        </w:rPr>
        <w:t>https://www.szexgrp.com/jyfw/zfcg-view.html?id=zfcg</w:t>
      </w:r>
      <w:r>
        <w:rPr>
          <w:rFonts w:hint="eastAsia" w:ascii="宋体" w:hAnsi="宋体" w:eastAsia="宋体"/>
          <w:kern w:val="2"/>
          <w:sz w:val="21"/>
          <w:szCs w:val="21"/>
          <w:lang w:eastAsia="zh-CN"/>
        </w:rPr>
        <w:t>上发布中标结果公告。</w:t>
      </w:r>
      <w:bookmarkEnd w:id="80"/>
      <w:bookmarkStart w:id="81" w:name="_Hlk72438751"/>
      <w:r>
        <w:rPr>
          <w:rFonts w:hint="eastAsia" w:ascii="宋体" w:hAnsi="宋体" w:eastAsia="宋体"/>
          <w:kern w:val="2"/>
          <w:sz w:val="21"/>
          <w:szCs w:val="21"/>
          <w:lang w:eastAsia="zh-CN"/>
        </w:rPr>
        <w:t>供应商如对评审结果有异议，可在发布公示日期起七个工作日内向采购代理机构提出。监督电话：0755-86500050。若在公示期内未提出质疑，则视为认同该评审结果。</w:t>
      </w:r>
    </w:p>
    <w:bookmarkEnd w:id="81"/>
    <w:p w14:paraId="2B628C0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40.2质疑、投诉供应商应保证质疑、投诉内容的真实性和可靠性，并承担相应的法律责任。</w:t>
      </w:r>
    </w:p>
    <w:p w14:paraId="337E7344">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41．中标通知书</w:t>
      </w:r>
    </w:p>
    <w:p w14:paraId="24E9ABC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41.1</w:t>
      </w:r>
      <w:bookmarkStart w:id="82" w:name="_Hlk72438863"/>
      <w:r>
        <w:rPr>
          <w:rFonts w:hint="eastAsia" w:ascii="宋体" w:hAnsi="宋体" w:eastAsia="宋体"/>
          <w:kern w:val="2"/>
          <w:sz w:val="21"/>
          <w:szCs w:val="21"/>
          <w:lang w:eastAsia="zh-CN"/>
        </w:rPr>
        <w:t>中标公告公布以后无异常的情况下,中标供应商和采购人可自行在</w:t>
      </w:r>
      <w:r>
        <w:rPr>
          <w:rFonts w:hint="eastAsia" w:ascii="宋体" w:hAnsi="宋体" w:eastAsia="宋体"/>
          <w:b/>
          <w:bCs/>
          <w:kern w:val="2"/>
          <w:sz w:val="21"/>
          <w:szCs w:val="21"/>
          <w:lang w:eastAsia="zh-CN"/>
        </w:rPr>
        <w:t>“</w:t>
      </w:r>
      <w:r>
        <w:rPr>
          <w:rFonts w:hint="eastAsia" w:ascii="宋体" w:hAnsi="宋体" w:eastAsia="宋体"/>
          <w:kern w:val="2"/>
          <w:sz w:val="21"/>
          <w:szCs w:val="21"/>
          <w:lang w:eastAsia="zh-CN"/>
        </w:rPr>
        <w:t>深圳市自行采购系统（https://trade.szggzy.com/ggzy/center/#/login）</w:t>
      </w:r>
      <w:r>
        <w:rPr>
          <w:rFonts w:hint="eastAsia" w:ascii="宋体" w:hAnsi="宋体" w:eastAsia="宋体"/>
          <w:b/>
          <w:bCs/>
          <w:kern w:val="2"/>
          <w:sz w:val="21"/>
          <w:szCs w:val="21"/>
          <w:lang w:eastAsia="zh-CN"/>
        </w:rPr>
        <w:t>”</w:t>
      </w:r>
      <w:r>
        <w:rPr>
          <w:rFonts w:hint="eastAsia" w:ascii="宋体" w:hAnsi="宋体" w:eastAsia="宋体"/>
          <w:kern w:val="2"/>
          <w:sz w:val="21"/>
          <w:szCs w:val="21"/>
          <w:lang w:eastAsia="zh-CN"/>
        </w:rPr>
        <w:t>上打印</w:t>
      </w:r>
      <w:r>
        <w:rPr>
          <w:rFonts w:hint="eastAsia" w:ascii="宋体" w:hAnsi="宋体" w:eastAsia="宋体"/>
          <w:b/>
          <w:kern w:val="2"/>
          <w:sz w:val="21"/>
          <w:szCs w:val="21"/>
          <w:lang w:eastAsia="zh-CN"/>
        </w:rPr>
        <w:t>《数字中标通知书》</w:t>
      </w:r>
      <w:r>
        <w:rPr>
          <w:rFonts w:hint="eastAsia" w:ascii="宋体" w:hAnsi="宋体" w:eastAsia="宋体"/>
          <w:kern w:val="2"/>
          <w:sz w:val="21"/>
          <w:szCs w:val="21"/>
          <w:lang w:eastAsia="zh-CN"/>
        </w:rPr>
        <w:t>。</w:t>
      </w:r>
      <w:bookmarkEnd w:id="82"/>
    </w:p>
    <w:p w14:paraId="339B4CB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41.2中标通知书是合同的重要组成部分。</w:t>
      </w:r>
    </w:p>
    <w:p w14:paraId="3FBAAF56">
      <w:pPr>
        <w:widowControl w:val="0"/>
        <w:ind w:firstLine="420" w:firstLineChars="200"/>
        <w:jc w:val="both"/>
        <w:rPr>
          <w:rFonts w:ascii="宋体" w:hAnsi="宋体" w:eastAsia="宋体"/>
          <w:kern w:val="2"/>
          <w:sz w:val="21"/>
          <w:szCs w:val="21"/>
          <w:lang w:eastAsia="zh-CN"/>
        </w:rPr>
      </w:pPr>
      <w:bookmarkStart w:id="83" w:name="_Hlk71407340"/>
      <w:r>
        <w:rPr>
          <w:rFonts w:hint="eastAsia" w:ascii="宋体" w:hAnsi="宋体" w:eastAsia="宋体"/>
          <w:kern w:val="2"/>
          <w:sz w:val="21"/>
          <w:szCs w:val="21"/>
          <w:lang w:eastAsia="zh-CN"/>
        </w:rPr>
        <w:t>41.3因质疑投诉或其它原因导致项目结果变更或采购终止的，采购代理机构有权吊销中标通知书。</w:t>
      </w:r>
      <w:bookmarkEnd w:id="83"/>
    </w:p>
    <w:p w14:paraId="48E3A14D">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公开招标失败的后续处理</w:t>
      </w:r>
    </w:p>
    <w:p w14:paraId="317D0350">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42．公开招标失败的处理</w:t>
      </w:r>
    </w:p>
    <w:p w14:paraId="3E52FC4E">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szCs w:val="21"/>
          <w:lang w:eastAsia="zh-CN"/>
        </w:rPr>
        <w:t>42.1本项目公开招标过程中若由于投标截止后</w:t>
      </w:r>
      <w:r>
        <w:rPr>
          <w:rFonts w:hint="eastAsia" w:ascii="宋体" w:hAnsi="宋体" w:eastAsia="宋体"/>
          <w:kern w:val="2"/>
          <w:sz w:val="21"/>
          <w:lang w:eastAsia="zh-CN"/>
        </w:rPr>
        <w:t>实际递交投标文件的供应商数量不足、经</w:t>
      </w:r>
      <w:r>
        <w:rPr>
          <w:rFonts w:hint="eastAsia" w:ascii="宋体" w:hAnsi="宋体" w:eastAsia="宋体"/>
          <w:kern w:val="2"/>
          <w:sz w:val="21"/>
          <w:szCs w:val="21"/>
          <w:lang w:eastAsia="zh-CN"/>
        </w:rPr>
        <w:t>评审委员会</w:t>
      </w:r>
      <w:r>
        <w:rPr>
          <w:rFonts w:hint="eastAsia" w:ascii="宋体" w:hAnsi="宋体" w:eastAsia="宋体"/>
          <w:kern w:val="2"/>
          <w:sz w:val="21"/>
          <w:lang w:eastAsia="zh-CN"/>
        </w:rPr>
        <w:t>评审对招标文件作实质响应的供应商不足等原因造成公开招标失败，可由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重新组织采购。</w:t>
      </w:r>
    </w:p>
    <w:p w14:paraId="162C7ED2">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42.2对公开招标失败的项目，评审委员会在出具该项目招标失败结论的同时，可以提出重新采购组织形式的建议，以及进一步完善招标文件的资格、技术、商务要求的修改建议。</w:t>
      </w:r>
    </w:p>
    <w:p w14:paraId="0AD34CB0">
      <w:pPr>
        <w:widowControl w:val="0"/>
        <w:ind w:firstLine="411" w:firstLineChars="196"/>
        <w:jc w:val="both"/>
        <w:rPr>
          <w:rFonts w:ascii="宋体" w:hAnsi="宋体" w:eastAsia="宋体"/>
          <w:kern w:val="2"/>
          <w:sz w:val="21"/>
          <w:szCs w:val="21"/>
          <w:lang w:eastAsia="zh-CN"/>
        </w:rPr>
      </w:pPr>
      <w:r>
        <w:rPr>
          <w:rFonts w:hint="eastAsia" w:ascii="宋体" w:hAnsi="宋体" w:eastAsia="宋体"/>
          <w:kern w:val="2"/>
          <w:sz w:val="21"/>
          <w:szCs w:val="21"/>
          <w:lang w:eastAsia="zh-CN"/>
        </w:rPr>
        <w:t>42.3重新组织采购有以下两种组织形式：</w:t>
      </w:r>
    </w:p>
    <w:p w14:paraId="5B3A3784">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（1）由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重新组织公开招标；</w:t>
      </w:r>
    </w:p>
    <w:p w14:paraId="7A6EF705">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（2）如需要根据实际情况向采购人主管部门提出非公开招标方式申请的，经采购人主管部门批准，公开招标失败采购项目可转为竞争性谈判或单一来源谈判方式采购。</w:t>
      </w:r>
    </w:p>
    <w:p w14:paraId="40F075E5">
      <w:pPr>
        <w:widowControl w:val="0"/>
        <w:ind w:firstLine="411" w:firstLineChars="196"/>
        <w:jc w:val="both"/>
        <w:rPr>
          <w:rFonts w:ascii="宋体" w:hAnsi="宋体" w:eastAsia="宋体"/>
          <w:kern w:val="2"/>
          <w:sz w:val="21"/>
          <w:lang w:eastAsia="zh-CN"/>
        </w:rPr>
      </w:pPr>
      <w:r>
        <w:rPr>
          <w:rFonts w:hint="eastAsia" w:ascii="宋体" w:hAnsi="宋体" w:eastAsia="宋体"/>
          <w:kern w:val="2"/>
          <w:sz w:val="21"/>
          <w:lang w:eastAsia="zh-CN"/>
        </w:rPr>
        <w:t>42.4公开招标失败的采购项目重新组织公开招标，由</w:t>
      </w:r>
      <w:r>
        <w:rPr>
          <w:rFonts w:hint="eastAsia" w:ascii="宋体" w:hAnsi="宋体" w:eastAsia="宋体"/>
          <w:kern w:val="2"/>
          <w:sz w:val="21"/>
          <w:szCs w:val="21"/>
          <w:lang w:eastAsia="zh-CN"/>
        </w:rPr>
        <w:t>采购代理机构</w:t>
      </w:r>
      <w:r>
        <w:rPr>
          <w:rFonts w:hint="eastAsia" w:ascii="宋体" w:hAnsi="宋体" w:eastAsia="宋体"/>
          <w:kern w:val="2"/>
          <w:sz w:val="21"/>
          <w:lang w:eastAsia="zh-CN"/>
        </w:rPr>
        <w:t>重新按公开招标流程组织采购活动。</w:t>
      </w:r>
    </w:p>
    <w:p w14:paraId="54726036">
      <w:pPr>
        <w:widowControl w:val="0"/>
        <w:ind w:firstLine="420" w:firstLineChars="200"/>
        <w:jc w:val="both"/>
        <w:rPr>
          <w:rFonts w:ascii="黑体" w:hAnsi="宋体" w:eastAsia="黑体"/>
          <w:kern w:val="2"/>
          <w:lang w:eastAsia="zh-CN"/>
        </w:rPr>
      </w:pPr>
      <w:r>
        <w:rPr>
          <w:rFonts w:hint="eastAsia" w:ascii="宋体" w:hAnsi="宋体" w:eastAsia="宋体"/>
          <w:kern w:val="2"/>
          <w:sz w:val="21"/>
          <w:lang w:eastAsia="zh-CN"/>
        </w:rPr>
        <w:t>42.5公开招标失败的采购项目转为竞争性谈判或单一来源谈判方式采购的，按规定要求组织自行采购工作。</w:t>
      </w:r>
    </w:p>
    <w:p w14:paraId="2297340A">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bookmarkStart w:id="84" w:name="_Hlk72439043"/>
      <w:r>
        <w:rPr>
          <w:rFonts w:hint="eastAsia" w:ascii="Cambria" w:hAnsi="Cambria" w:eastAsia="宋体" w:cs="宋体"/>
          <w:b/>
          <w:bCs/>
          <w:kern w:val="2"/>
          <w:sz w:val="28"/>
          <w:szCs w:val="28"/>
          <w:lang w:eastAsia="zh-CN"/>
        </w:rPr>
        <w:t>合同的授予与备案</w:t>
      </w:r>
      <w:bookmarkEnd w:id="84"/>
    </w:p>
    <w:p w14:paraId="05F5A40E">
      <w:pPr>
        <w:widowControl w:val="0"/>
        <w:ind w:firstLine="420" w:firstLineChars="200"/>
        <w:jc w:val="both"/>
        <w:rPr>
          <w:rFonts w:ascii="黑体" w:hAnsi="宋体" w:eastAsia="黑体"/>
          <w:kern w:val="2"/>
          <w:sz w:val="21"/>
          <w:szCs w:val="21"/>
          <w:lang w:eastAsia="zh-CN"/>
        </w:rPr>
      </w:pPr>
      <w:bookmarkStart w:id="85" w:name="_Toc73521586"/>
      <w:bookmarkStart w:id="86" w:name="_Toc73521674"/>
      <w:bookmarkStart w:id="87" w:name="_Toc73518157"/>
      <w:bookmarkStart w:id="88" w:name="_Toc100052408"/>
      <w:bookmarkStart w:id="89" w:name="_Toc73517679"/>
      <w:bookmarkStart w:id="90" w:name="_Hlk72439088"/>
      <w:r>
        <w:rPr>
          <w:rFonts w:hint="eastAsia" w:ascii="黑体" w:hAnsi="宋体" w:eastAsia="黑体"/>
          <w:kern w:val="2"/>
          <w:sz w:val="21"/>
          <w:szCs w:val="21"/>
          <w:lang w:eastAsia="zh-CN"/>
        </w:rPr>
        <w:t>43．合同授予标准</w:t>
      </w:r>
      <w:bookmarkEnd w:id="85"/>
      <w:bookmarkEnd w:id="86"/>
      <w:bookmarkEnd w:id="87"/>
      <w:bookmarkEnd w:id="88"/>
      <w:bookmarkEnd w:id="89"/>
    </w:p>
    <w:p w14:paraId="79FFA0C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本项目的合同将授予经本招标文件规定评审确定的中标供应商。</w:t>
      </w:r>
    </w:p>
    <w:p w14:paraId="08A234CD">
      <w:pPr>
        <w:widowControl w:val="0"/>
        <w:ind w:firstLine="420" w:firstLineChars="200"/>
        <w:jc w:val="both"/>
        <w:rPr>
          <w:rFonts w:ascii="黑体" w:hAnsi="宋体" w:eastAsia="黑体"/>
          <w:kern w:val="2"/>
          <w:sz w:val="21"/>
          <w:szCs w:val="21"/>
          <w:lang w:eastAsia="zh-CN"/>
        </w:rPr>
      </w:pPr>
      <w:bookmarkStart w:id="91" w:name="_Toc100052409"/>
      <w:bookmarkStart w:id="92" w:name="_Toc73517680"/>
      <w:bookmarkStart w:id="93" w:name="_Toc73518158"/>
      <w:bookmarkStart w:id="94" w:name="_Toc73521587"/>
      <w:bookmarkStart w:id="95" w:name="_Toc73521675"/>
      <w:r>
        <w:rPr>
          <w:rFonts w:hint="eastAsia" w:ascii="黑体" w:hAnsi="宋体" w:eastAsia="黑体"/>
          <w:kern w:val="2"/>
          <w:sz w:val="21"/>
          <w:szCs w:val="21"/>
          <w:lang w:eastAsia="zh-CN"/>
        </w:rPr>
        <w:t>44．</w:t>
      </w:r>
      <w:bookmarkEnd w:id="91"/>
      <w:bookmarkEnd w:id="92"/>
      <w:bookmarkEnd w:id="93"/>
      <w:bookmarkEnd w:id="94"/>
      <w:bookmarkEnd w:id="95"/>
      <w:r>
        <w:rPr>
          <w:rFonts w:hint="eastAsia" w:ascii="黑体" w:hAnsi="宋体" w:eastAsia="黑体"/>
          <w:kern w:val="2"/>
          <w:sz w:val="21"/>
          <w:szCs w:val="21"/>
          <w:lang w:eastAsia="zh-CN"/>
        </w:rPr>
        <w:t>接受和拒绝任何或所有投标的权力</w:t>
      </w:r>
    </w:p>
    <w:p w14:paraId="6899207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采购代理机构和采购人保留在投标之前任何时候接受或拒绝任何投标或所有投标，以及宣布招标无效的权力，对受影响的投标人不承担任何责任，也无义务向受影响的投标人解释采取这一行动的理由。</w:t>
      </w:r>
    </w:p>
    <w:p w14:paraId="52DC7F2B">
      <w:pPr>
        <w:widowControl w:val="0"/>
        <w:ind w:firstLine="420" w:firstLineChars="200"/>
        <w:jc w:val="both"/>
        <w:rPr>
          <w:rFonts w:ascii="黑体" w:hAnsi="宋体" w:eastAsia="黑体"/>
          <w:kern w:val="2"/>
          <w:sz w:val="21"/>
          <w:szCs w:val="21"/>
          <w:lang w:eastAsia="zh-CN"/>
        </w:rPr>
      </w:pPr>
      <w:bookmarkStart w:id="96" w:name="_Toc73517682"/>
      <w:bookmarkStart w:id="97" w:name="_Toc73521589"/>
      <w:bookmarkStart w:id="98" w:name="_Toc73518160"/>
      <w:bookmarkStart w:id="99" w:name="_Toc73521677"/>
      <w:bookmarkStart w:id="100" w:name="_Toc100052410"/>
      <w:r>
        <w:rPr>
          <w:rFonts w:hint="eastAsia" w:ascii="黑体" w:hAnsi="宋体" w:eastAsia="黑体"/>
          <w:kern w:val="2"/>
          <w:sz w:val="21"/>
          <w:szCs w:val="21"/>
          <w:lang w:eastAsia="zh-CN"/>
        </w:rPr>
        <w:t>45．合同的签订</w:t>
      </w:r>
      <w:bookmarkEnd w:id="96"/>
      <w:bookmarkEnd w:id="97"/>
      <w:bookmarkEnd w:id="98"/>
      <w:bookmarkEnd w:id="99"/>
      <w:bookmarkEnd w:id="100"/>
    </w:p>
    <w:p w14:paraId="5C434F6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45.1中标人将于中标通知书发出之日起十个工作日内，按照采购文件（招标文件和投标文件等）内容与采购人签订采购合同；合同的实质性内容应当符合招标文件的规定；</w:t>
      </w:r>
    </w:p>
    <w:p w14:paraId="17D53C5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45.2中标人如不按本通用条款第45.1款的规定与采购人签订合同，</w:t>
      </w:r>
      <w:r>
        <w:rPr>
          <w:rFonts w:hint="eastAsia" w:ascii="宋体" w:hAnsi="宋体" w:eastAsia="宋体" w:cs="宋体"/>
          <w:sz w:val="21"/>
          <w:szCs w:val="21"/>
          <w:lang w:eastAsia="zh-CN"/>
        </w:rPr>
        <w:t>情节严重的，由同级财政部门记入供应商诚信档案，予以通报</w:t>
      </w:r>
      <w:r>
        <w:rPr>
          <w:rFonts w:hint="eastAsia" w:ascii="宋体" w:hAnsi="宋体" w:eastAsia="宋体"/>
          <w:kern w:val="2"/>
          <w:sz w:val="21"/>
          <w:szCs w:val="21"/>
          <w:lang w:eastAsia="zh-CN"/>
        </w:rPr>
        <w:t>；</w:t>
      </w:r>
    </w:p>
    <w:p w14:paraId="0DB3504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45.3中标人应当按照合同约定履行义务，完成中标项目，不得将中标项目转让（转包）给他人。</w:t>
      </w:r>
    </w:p>
    <w:p w14:paraId="559B8F09">
      <w:pPr>
        <w:widowControl w:val="0"/>
        <w:ind w:firstLine="420" w:firstLineChars="200"/>
        <w:jc w:val="both"/>
        <w:rPr>
          <w:rFonts w:ascii="黑体" w:hAnsi="宋体" w:eastAsia="黑体"/>
          <w:kern w:val="2"/>
          <w:sz w:val="21"/>
          <w:szCs w:val="21"/>
          <w:lang w:eastAsia="zh-CN"/>
        </w:rPr>
      </w:pPr>
      <w:bookmarkStart w:id="101" w:name="_Toc73521590"/>
      <w:bookmarkStart w:id="102" w:name="_Toc73518161"/>
      <w:bookmarkStart w:id="103" w:name="_Toc100052411"/>
      <w:bookmarkStart w:id="104" w:name="_Toc73517683"/>
      <w:bookmarkStart w:id="105" w:name="_Toc73521678"/>
      <w:r>
        <w:rPr>
          <w:rFonts w:hint="eastAsia" w:ascii="黑体" w:hAnsi="宋体" w:eastAsia="黑体"/>
          <w:kern w:val="2"/>
          <w:sz w:val="21"/>
          <w:szCs w:val="21"/>
          <w:lang w:eastAsia="zh-CN"/>
        </w:rPr>
        <w:t>46．履约担保</w:t>
      </w:r>
      <w:bookmarkEnd w:id="101"/>
      <w:bookmarkEnd w:id="102"/>
      <w:bookmarkEnd w:id="103"/>
      <w:bookmarkEnd w:id="104"/>
      <w:bookmarkEnd w:id="105"/>
    </w:p>
    <w:p w14:paraId="184DD51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46.1在签订项目合同的同时，中标人应按“对通用条款的补充内容”中规定的金额向采购人提交履约担保；</w:t>
      </w:r>
    </w:p>
    <w:p w14:paraId="61BAB0E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46.2，允许供应商自主选择以支票、汇票、本票、保函等非现金方式提交履约担保；</w:t>
      </w:r>
      <w:r>
        <w:rPr>
          <w:rFonts w:hint="eastAsia" w:eastAsia="宋体"/>
          <w:kern w:val="2"/>
          <w:sz w:val="21"/>
          <w:szCs w:val="21"/>
          <w:lang w:eastAsia="zh-CN"/>
        </w:rPr>
        <w:t>中标人提交履约担保不是合同签订的前提条件，不要求中标人提供除法律、法规明确规定外的其他担保。</w:t>
      </w:r>
    </w:p>
    <w:p w14:paraId="0EBFDD8D">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47. 合同备案</w:t>
      </w:r>
    </w:p>
    <w:p w14:paraId="6204098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自行采购项目，无需办理政府采购合同备案。</w:t>
      </w:r>
    </w:p>
    <w:p w14:paraId="1CE5A9B5">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48. 合同变更</w:t>
      </w:r>
    </w:p>
    <w:p w14:paraId="6705EB8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合同变更事宜参照《深圳市财政局关于优化政府采购合同备案的通知》（深财发保〔2022〕2号）相关规定，按采购人内控制度执行。</w:t>
      </w:r>
    </w:p>
    <w:p w14:paraId="701763F2">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49. 项目验收</w:t>
      </w:r>
    </w:p>
    <w:p w14:paraId="4CA69C15">
      <w:pPr>
        <w:widowControl/>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 xml:space="preserve">49.1采购人应当按照招标文件和合同规定的标准和方法，及时组织验收。 </w:t>
      </w:r>
    </w:p>
    <w:p w14:paraId="54D472E8">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50. 宣传</w:t>
      </w:r>
    </w:p>
    <w:p w14:paraId="4DB05F6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凡与采购活动有关的宣传或广告，若当中提及本项目采购，必须事先将具体对外宣传方案报采购人预算主管部门，并征得其同意。对外市场宣传包括但不限于以下形式：</w:t>
      </w:r>
    </w:p>
    <w:p w14:paraId="64F2B2D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a.名片、宣传册、广告标语等；</w:t>
      </w:r>
    </w:p>
    <w:p w14:paraId="30CA509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b.案例介绍、推广等；</w:t>
      </w:r>
    </w:p>
    <w:p w14:paraId="12CB7779">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c.工作人员向其他消费群体宣传。</w:t>
      </w:r>
    </w:p>
    <w:p w14:paraId="1CDF9C9E">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51. 供应商违法责任</w:t>
      </w:r>
    </w:p>
    <w:p w14:paraId="676AFA2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51.1《深圳经济特区政府采购条例》第五十七条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524701A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（1）在采购活动中应当回避而未回避的；</w:t>
      </w:r>
    </w:p>
    <w:p w14:paraId="03E3B32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（2）未按本条例规定签订、履行采购合同，造成严重后果的；</w:t>
      </w:r>
    </w:p>
    <w:p w14:paraId="4D07E14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（3）隐瞒真实情况，提供虚假资料的；</w:t>
      </w:r>
    </w:p>
    <w:p w14:paraId="4045B47D">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（4）以非法手段排斥其他供应商参与竞争的；</w:t>
      </w:r>
    </w:p>
    <w:p w14:paraId="05FF36E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（5）与其他采购参加人串通投标的；</w:t>
      </w:r>
    </w:p>
    <w:p w14:paraId="6535E4F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（6）恶意投诉的；</w:t>
      </w:r>
    </w:p>
    <w:p w14:paraId="4DD8E10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（7）向采购项目相关人行贿或者提供其他不当利益的；</w:t>
      </w:r>
    </w:p>
    <w:p w14:paraId="71BB15C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（8）阻碍、抗拒主管部门监督检查的；</w:t>
      </w:r>
    </w:p>
    <w:p w14:paraId="79A83750">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（9）其他违反本条例规定的行为。</w:t>
      </w:r>
    </w:p>
    <w:p w14:paraId="71500D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51.2 根据《深圳市财政局关于调整政府采购投标（响应）保证金管理政策的通知 》（深财购〔2021〕51 号）的要求，供应商在采购活动中出现《深圳经济特区政府采购条例实施细则》第八十条所列情形的，</w:t>
      </w:r>
      <w:bookmarkStart w:id="106" w:name="_Hlk72440769"/>
      <w:r>
        <w:rPr>
          <w:rFonts w:hint="eastAsia" w:ascii="宋体" w:hAnsi="宋体" w:eastAsia="宋体"/>
          <w:kern w:val="2"/>
          <w:sz w:val="21"/>
          <w:szCs w:val="21"/>
          <w:lang w:eastAsia="zh-CN"/>
        </w:rPr>
        <w:t>采购代理机构或采购人不予退还其交纳的谈判保证金，情节严重的，并由主管部门</w:t>
      </w:r>
      <w:bookmarkEnd w:id="106"/>
      <w:r>
        <w:rPr>
          <w:rFonts w:hint="eastAsia" w:ascii="宋体" w:hAnsi="宋体" w:eastAsia="宋体"/>
          <w:kern w:val="2"/>
          <w:sz w:val="21"/>
          <w:szCs w:val="21"/>
          <w:lang w:eastAsia="zh-CN"/>
        </w:rPr>
        <w:t>记入供应商诚信档案，予以通报：</w:t>
      </w:r>
    </w:p>
    <w:p w14:paraId="41F372B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（1）投标截止后，撤销投标的；</w:t>
      </w:r>
    </w:p>
    <w:p w14:paraId="10BCBBB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（2）中标后无正当理由未在规定期限内签订合同的；</w:t>
      </w:r>
    </w:p>
    <w:p w14:paraId="08A9CCE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（3）将中标项目转让给他人、或者在投标文件中未说明且未经采购人、采购招标机构同意，将中标项目分包给他人的；</w:t>
      </w:r>
    </w:p>
    <w:p w14:paraId="42AD7E29">
      <w:pPr>
        <w:widowControl w:val="0"/>
        <w:ind w:firstLine="420" w:firstLineChars="200"/>
        <w:jc w:val="both"/>
        <w:rPr>
          <w:rFonts w:eastAsia="宋体"/>
          <w:kern w:val="2"/>
          <w:sz w:val="21"/>
          <w:lang w:eastAsia="zh-CN"/>
        </w:rPr>
      </w:pPr>
      <w:r>
        <w:rPr>
          <w:rFonts w:hint="eastAsia" w:ascii="宋体" w:hAnsi="宋体" w:eastAsia="宋体"/>
          <w:kern w:val="2"/>
          <w:sz w:val="21"/>
          <w:szCs w:val="21"/>
          <w:lang w:eastAsia="zh-CN"/>
        </w:rPr>
        <w:t>（4）拒绝履行合同义务的。</w:t>
      </w:r>
    </w:p>
    <w:bookmarkEnd w:id="90"/>
    <w:p w14:paraId="2269B81A">
      <w:pPr>
        <w:keepNext/>
        <w:keepLines/>
        <w:widowControl w:val="0"/>
        <w:numPr>
          <w:ilvl w:val="0"/>
          <w:numId w:val="3"/>
        </w:numPr>
        <w:tabs>
          <w:tab w:val="left" w:pos="720"/>
        </w:tabs>
        <w:adjustRightInd w:val="0"/>
        <w:spacing w:before="120" w:beforeLines="50" w:after="120" w:afterLines="50"/>
        <w:ind w:left="1080" w:hanging="1080" w:firstLineChars="0"/>
        <w:jc w:val="center"/>
        <w:textAlignment w:val="baseline"/>
        <w:outlineLvl w:val="1"/>
        <w:rPr>
          <w:rFonts w:ascii="Cambria" w:hAnsi="Cambria" w:eastAsia="宋体" w:cs="宋体"/>
          <w:b/>
          <w:bCs/>
          <w:kern w:val="2"/>
          <w:sz w:val="28"/>
          <w:szCs w:val="28"/>
          <w:lang w:eastAsia="zh-CN"/>
        </w:rPr>
      </w:pPr>
      <w:r>
        <w:rPr>
          <w:rFonts w:hint="eastAsia" w:ascii="Cambria" w:hAnsi="Cambria" w:eastAsia="宋体" w:cs="宋体"/>
          <w:b/>
          <w:bCs/>
          <w:kern w:val="2"/>
          <w:sz w:val="28"/>
          <w:szCs w:val="28"/>
          <w:lang w:eastAsia="zh-CN"/>
        </w:rPr>
        <w:t>质疑处理</w:t>
      </w:r>
    </w:p>
    <w:p w14:paraId="0585B8A0">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52.质疑提出与答复</w:t>
      </w:r>
    </w:p>
    <w:p w14:paraId="2673EB8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52.1提出质疑</w:t>
      </w:r>
    </w:p>
    <w:p w14:paraId="2912EE7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参与采购活动的供应商认为自己的权益在采购活动中受到损害的，应当自知道或者应当知道其权益受到损害之日起七个工作日内向采购人、采购代理机构以书面形式提出质疑。</w:t>
      </w:r>
    </w:p>
    <w:p w14:paraId="5748E90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52.2法律依据</w:t>
      </w:r>
    </w:p>
    <w:p w14:paraId="08B1308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中华人民共和国政府采购法》、《中华人民共和国政府采购法实施条例》、《深圳经济特区政府采购条例》、《深圳经济特区政府采购条例实施细则》、《政府采购质疑和投诉办法》（财政部令第94号）和其他有关法律法规规定。</w:t>
      </w:r>
    </w:p>
    <w:p w14:paraId="1C0F3E8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52.3质疑条件</w:t>
      </w:r>
    </w:p>
    <w:p w14:paraId="3A1BEE8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52.3.1提出质疑的供应商应当是参与所质疑项目采购活动的供应商；</w:t>
      </w:r>
      <w:bookmarkStart w:id="107" w:name="_Hlk75374941"/>
      <w:r>
        <w:rPr>
          <w:rFonts w:hint="eastAsia" w:ascii="宋体" w:hAnsi="宋体" w:eastAsia="宋体"/>
          <w:kern w:val="2"/>
          <w:sz w:val="21"/>
          <w:szCs w:val="21"/>
          <w:lang w:eastAsia="zh-CN"/>
        </w:rPr>
        <w:t>以联合体形式参与的，质疑应当由组成联合体的所有成员共同提出</w:t>
      </w:r>
      <w:bookmarkEnd w:id="107"/>
      <w:r>
        <w:rPr>
          <w:rFonts w:hint="eastAsia" w:ascii="宋体" w:hAnsi="宋体" w:eastAsia="宋体"/>
          <w:kern w:val="2"/>
          <w:sz w:val="21"/>
          <w:szCs w:val="21"/>
          <w:lang w:eastAsia="zh-CN"/>
        </w:rPr>
        <w:t>；</w:t>
      </w:r>
    </w:p>
    <w:p w14:paraId="329A4B7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成交）结果以及评审委员会组成人员的质疑，为中标（成交）结果公示之日；</w:t>
      </w:r>
    </w:p>
    <w:p w14:paraId="2790C26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 xml:space="preserve">52.3.3应提交书面质疑函，质疑函应当包括以下内容： </w:t>
      </w:r>
    </w:p>
    <w:p w14:paraId="598C1EF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（1）供应商的名称（或者姓名）、地址、邮编、邮箱、联系人及联系电话；</w:t>
      </w:r>
    </w:p>
    <w:p w14:paraId="732DDE6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（2）质疑项目的名称、编号；</w:t>
      </w:r>
    </w:p>
    <w:p w14:paraId="25F396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（3）具体、明确的质疑对象、质疑事项和质疑请求；</w:t>
      </w:r>
    </w:p>
    <w:p w14:paraId="761900A5">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（4）因质疑事项而受损害的权益；</w:t>
      </w:r>
    </w:p>
    <w:p w14:paraId="3939B2F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（5）事实依据；</w:t>
      </w:r>
    </w:p>
    <w:p w14:paraId="5FD8674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（6）必要的法律依据；</w:t>
      </w:r>
    </w:p>
    <w:p w14:paraId="289CAB0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（7）提出质疑的日期。</w:t>
      </w:r>
    </w:p>
    <w:p w14:paraId="70B90C12">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供应商为自然人的，应当由本人签字；供应商为法人或者其他组织的，应当由法定代表人（负责人），或者其授权代理人签字或者盖章，并加盖公章。</w:t>
      </w:r>
    </w:p>
    <w:p w14:paraId="16BD6154">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52.4提交材料</w:t>
      </w:r>
    </w:p>
    <w:p w14:paraId="44368B7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供应商质疑实行实名制。供应商为自然人的，应当提交本人身份证复印件；供应商为法人或者其他组织的，应当根据自身性质提交营业执照复印件或者其他证明文件（如事业单位法人证书等）复印件。</w:t>
      </w:r>
    </w:p>
    <w:p w14:paraId="3608613C">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4328D20E">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52.5收文地点</w:t>
      </w:r>
    </w:p>
    <w:p w14:paraId="78F52853">
      <w:pPr>
        <w:widowControl w:val="0"/>
        <w:ind w:firstLine="422" w:firstLineChars="200"/>
        <w:jc w:val="both"/>
        <w:rPr>
          <w:rFonts w:ascii="宋体" w:hAnsi="宋体" w:eastAsia="宋体"/>
          <w:b/>
          <w:bCs/>
          <w:kern w:val="2"/>
          <w:sz w:val="21"/>
          <w:szCs w:val="21"/>
          <w:lang w:eastAsia="zh-CN"/>
        </w:rPr>
      </w:pPr>
      <w:r>
        <w:rPr>
          <w:rFonts w:hint="eastAsia" w:ascii="宋体" w:hAnsi="宋体" w:eastAsia="宋体"/>
          <w:b/>
          <w:bCs/>
          <w:kern w:val="2"/>
          <w:sz w:val="21"/>
          <w:szCs w:val="21"/>
          <w:lang w:eastAsia="zh-CN"/>
        </w:rPr>
        <w:t>地址：深圳公共资源交易中心（深圳交易集团有限公司政府采购业务分公司）深圳市南山区沙河西路3185号南山智谷A座（深圳交易集团总部大楼）27楼，质疑咨询电话：0755-</w:t>
      </w:r>
      <w:r>
        <w:rPr>
          <w:rFonts w:hint="eastAsia" w:ascii="宋体" w:hAnsi="宋体" w:eastAsia="宋体"/>
          <w:b/>
          <w:kern w:val="2"/>
          <w:sz w:val="21"/>
          <w:lang w:eastAsia="zh-CN"/>
        </w:rPr>
        <w:t>86500050</w:t>
      </w:r>
      <w:r>
        <w:rPr>
          <w:rFonts w:hint="eastAsia" w:ascii="宋体" w:hAnsi="宋体" w:eastAsia="宋体"/>
          <w:b/>
          <w:bCs/>
          <w:kern w:val="2"/>
          <w:sz w:val="21"/>
          <w:szCs w:val="21"/>
          <w:lang w:eastAsia="zh-CN"/>
        </w:rPr>
        <w:t>。</w:t>
      </w:r>
    </w:p>
    <w:p w14:paraId="22703A5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52.6收文办理程序</w:t>
      </w:r>
    </w:p>
    <w:p w14:paraId="3605D68F">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52.6.1供应商提交的质疑符合受理条件的，采购代理机构自收到质疑材料之日起即为受理，应当向供应商出具质疑函收文回执并可以要求其递交质疑的法定代表人（负责人）或者授权代理人签署质疑文书送达地址确认书。</w:t>
      </w:r>
    </w:p>
    <w:p w14:paraId="3415C6ED">
      <w:pPr>
        <w:widowControl w:val="0"/>
        <w:ind w:firstLine="420" w:firstLineChars="200"/>
        <w:jc w:val="both"/>
        <w:rPr>
          <w:rFonts w:ascii="仿宋" w:hAnsi="仿宋" w:eastAsia="仿宋"/>
          <w:kern w:val="2"/>
          <w:sz w:val="21"/>
          <w:szCs w:val="21"/>
          <w:lang w:eastAsia="zh-CN"/>
        </w:rPr>
      </w:pPr>
      <w:r>
        <w:rPr>
          <w:rFonts w:hint="eastAsia" w:ascii="宋体" w:hAnsi="宋体" w:eastAsia="宋体"/>
          <w:kern w:val="2"/>
          <w:sz w:val="21"/>
          <w:szCs w:val="21"/>
          <w:lang w:eastAsia="zh-CN"/>
        </w:rPr>
        <w:t>52.6.2供应商提交的质疑材料不符合质疑条件的，视情况处理：</w:t>
      </w:r>
    </w:p>
    <w:p w14:paraId="013CD6C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供应商提交的质疑材料不全或者未按要求签字或者盖章的，采购代理机构应当一次性告知供应商需补正的内容和补正期限。</w:t>
      </w:r>
    </w:p>
    <w:p w14:paraId="2172754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供应商提交的质疑存在下列情形之一的，不予受理：</w:t>
      </w:r>
    </w:p>
    <w:p w14:paraId="5038A1B6">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（1）质疑主体不满足要求的；</w:t>
      </w:r>
    </w:p>
    <w:p w14:paraId="54352D8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（2）供应商自身权益未受到损害的；</w:t>
      </w:r>
    </w:p>
    <w:p w14:paraId="234D5BCA">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（3）供应商未在法定质疑期限内提出质疑的；</w:t>
      </w:r>
    </w:p>
    <w:p w14:paraId="6764263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（4）质疑材料不全或者未按要求签字或者盖章的情况下，要求补正后，逾期未补正或者补正后仍不符合规定的；</w:t>
      </w:r>
    </w:p>
    <w:p w14:paraId="44AD97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（5）其他不符合受理条件情形的。</w:t>
      </w:r>
    </w:p>
    <w:p w14:paraId="4F403C7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质疑事项不予受理的，采购代理机构应当向供应商出具不符合质疑条件告知书。</w:t>
      </w:r>
    </w:p>
    <w:p w14:paraId="52248EB3">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52.7质疑答复时限</w:t>
      </w:r>
    </w:p>
    <w:p w14:paraId="1301FF8B">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自收文之日起七个工作日内。</w:t>
      </w:r>
    </w:p>
    <w:p w14:paraId="47BDEC41">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52.8投诉</w:t>
      </w:r>
    </w:p>
    <w:p w14:paraId="4ECEC1F8">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对质疑答复不满意或者未在规定时间内答复的，提出质疑的供应商可以在答复期满后15个工作日内向采购文件第一册专用条款，第二章 对通用条款的补充内容及其他关键信息，一、对通用条款的补充内容中规定的单位投诉。</w:t>
      </w:r>
    </w:p>
    <w:p w14:paraId="7D61F946">
      <w:pPr>
        <w:widowControl w:val="0"/>
        <w:ind w:firstLine="420" w:firstLineChars="200"/>
        <w:jc w:val="both"/>
        <w:rPr>
          <w:rFonts w:ascii="黑体" w:hAnsi="宋体" w:eastAsia="黑体"/>
          <w:kern w:val="2"/>
          <w:sz w:val="21"/>
          <w:szCs w:val="21"/>
          <w:lang w:eastAsia="zh-CN"/>
        </w:rPr>
      </w:pPr>
      <w:r>
        <w:rPr>
          <w:rFonts w:hint="eastAsia" w:ascii="黑体" w:hAnsi="宋体" w:eastAsia="黑体"/>
          <w:kern w:val="2"/>
          <w:sz w:val="21"/>
          <w:szCs w:val="21"/>
          <w:lang w:eastAsia="zh-CN"/>
        </w:rPr>
        <w:t>53.质疑后续处理</w:t>
      </w:r>
    </w:p>
    <w:p w14:paraId="0FD9F027">
      <w:pPr>
        <w:widowControl w:val="0"/>
        <w:ind w:firstLine="420" w:firstLineChars="200"/>
        <w:jc w:val="both"/>
        <w:rPr>
          <w:rFonts w:ascii="宋体" w:hAnsi="宋体" w:eastAsia="宋体"/>
          <w:kern w:val="2"/>
          <w:sz w:val="21"/>
          <w:szCs w:val="21"/>
          <w:lang w:eastAsia="zh-CN"/>
        </w:rPr>
      </w:pPr>
      <w:r>
        <w:rPr>
          <w:rFonts w:hint="eastAsia" w:ascii="宋体" w:hAnsi="宋体" w:eastAsia="宋体"/>
          <w:kern w:val="2"/>
          <w:sz w:val="21"/>
          <w:szCs w:val="21"/>
          <w:lang w:eastAsia="zh-CN"/>
        </w:rPr>
        <w:t>53.1供应商质疑不成立，或者成立但未对中标、成交结果构成影响的，继续开展采购活动。</w:t>
      </w:r>
    </w:p>
    <w:p w14:paraId="7EABFC2B">
      <w:pPr>
        <w:widowControl w:val="0"/>
        <w:ind w:firstLine="420" w:firstLineChars="200"/>
        <w:jc w:val="left"/>
        <w:rPr>
          <w:rFonts w:ascii="宋体" w:hAnsi="宋体" w:eastAsia="宋体"/>
          <w:kern w:val="2"/>
          <w:sz w:val="21"/>
          <w:szCs w:val="21"/>
          <w:lang w:eastAsia="zh-CN"/>
        </w:rPr>
      </w:pPr>
      <w:r>
        <w:rPr>
          <w:rFonts w:hint="eastAsia" w:ascii="宋体" w:hAnsi="宋体" w:eastAsia="宋体"/>
          <w:kern w:val="2"/>
          <w:sz w:val="21"/>
          <w:szCs w:val="21"/>
          <w:lang w:eastAsia="zh-CN"/>
        </w:rPr>
        <w:t>53.2供应商质疑成立且影响或者可能影响中标、成交结果的，按照下列情况处理：（1）对采购文件提出的质疑，依法通过澄清或者修改可以继续开展采购活动的，澄清或者修改采购文件后继续开展采购活动；否则应当修改采购文件后重新开展采购活动。（2）对采购过程、中标或者成交结果提出的质疑，合格供应商符合法定数量时，可以从合格的中标或者成交候选人中另行确定中标、成交供应商的，应当依法另行确定中标、成交供应商；否则应当重新开展采购活动。</w:t>
      </w:r>
    </w:p>
    <w:p w14:paraId="524B90FB">
      <w:pPr>
        <w:widowControl w:val="0"/>
        <w:ind w:firstLine="420" w:firstLineChars="200"/>
        <w:jc w:val="left"/>
        <w:rPr>
          <w:rFonts w:eastAsia="宋体"/>
          <w:kern w:val="2"/>
          <w:sz w:val="21"/>
          <w:szCs w:val="21"/>
          <w:lang w:eastAsia="zh-CN"/>
        </w:rPr>
      </w:pPr>
      <w:r>
        <w:rPr>
          <w:rFonts w:hint="eastAsia" w:ascii="宋体" w:hAnsi="宋体" w:eastAsia="宋体"/>
          <w:kern w:val="2"/>
          <w:sz w:val="21"/>
          <w:szCs w:val="21"/>
          <w:lang w:eastAsia="zh-CN"/>
        </w:rPr>
        <w:t>53.3被质疑供应商应配合提供质疑答辩意见,并提供相关证据材料,逾期不作书面答辩的,视同放弃答辩权利,依法承担由此可能产生的不利法律后果。</w:t>
      </w:r>
    </w:p>
    <w:p w14:paraId="792E6F7F">
      <w:pPr>
        <w:widowControl w:val="0"/>
        <w:jc w:val="center"/>
        <w:rPr>
          <w:rFonts w:eastAsia="宋体"/>
          <w:kern w:val="2"/>
          <w:sz w:val="21"/>
          <w:lang w:eastAsia="zh-CN"/>
        </w:rPr>
      </w:pPr>
      <w:r>
        <w:rPr>
          <w:rFonts w:eastAsia="宋体"/>
          <w:kern w:val="2"/>
          <w:sz w:val="21"/>
          <w:lang w:eastAsia="zh-CN"/>
        </w:rPr>
        <w:t>---- END ----</w:t>
      </w:r>
      <w:bookmarkEnd w:id="54"/>
    </w:p>
    <w:p w14:paraId="0850242A">
      <w:pPr>
        <w:widowControl w:val="0"/>
        <w:adjustRightInd w:val="0"/>
        <w:spacing w:before="260" w:after="260"/>
        <w:jc w:val="center"/>
        <w:textAlignment w:val="baseline"/>
        <w:outlineLvl w:val="1"/>
        <w:rPr>
          <w:rFonts w:ascii="宋体" w:hAnsi="宋体" w:eastAsia="宋体"/>
          <w:szCs w:val="21"/>
          <w:lang w:eastAsia="zh-CN"/>
        </w:rPr>
        <w:sectPr>
          <w:headerReference r:id="rId4" w:type="first"/>
          <w:headerReference r:id="rId3" w:type="default"/>
          <w:footerReference r:id="rId5" w:type="default"/>
          <w:footerReference r:id="rId6" w:type="even"/>
          <w:pgSz w:w="11907" w:h="16840"/>
          <w:pgMar w:top="1361" w:right="1417" w:bottom="1417" w:left="1417" w:header="851" w:footer="992" w:gutter="0"/>
          <w:cols w:space="425" w:num="1"/>
          <w:titlePg/>
          <w:docGrid w:linePitch="462" w:charSpace="0"/>
        </w:sectPr>
      </w:pPr>
    </w:p>
    <w:p w14:paraId="0618ADD7">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投标文件格式</w:t>
      </w:r>
    </w:p>
    <w:p w14:paraId="1ADC32FA">
      <w:pPr>
        <w:pBdr>
          <w:top w:val="none" w:color="auto" w:sz="0" w:space="0"/>
          <w:left w:val="none" w:color="auto" w:sz="0" w:space="0"/>
          <w:bottom w:val="none" w:color="auto" w:sz="0" w:space="0"/>
          <w:right w:val="none" w:color="auto" w:sz="0" w:space="0"/>
        </w:pBdr>
        <w:spacing w:before="0" w:after="0" w:line="504" w:lineRule="atLeast"/>
        <w:ind w:left="15" w:right="15"/>
        <w:jc w:val="center"/>
        <w:rPr>
          <w:rFonts w:ascii="仿宋" w:hAnsi="仿宋" w:eastAsia="仿宋" w:cs="仿宋"/>
          <w:b/>
          <w:bCs/>
          <w:color w:val="333333"/>
          <w:sz w:val="28"/>
          <w:szCs w:val="28"/>
          <w:lang w:val="en" w:eastAsia="en"/>
        </w:rPr>
      </w:pPr>
      <w:r>
        <w:rPr>
          <w:rFonts w:ascii="仿宋" w:hAnsi="仿宋" w:eastAsia="仿宋" w:cs="仿宋"/>
          <w:b/>
          <w:bCs/>
          <w:color w:val="333333"/>
          <w:sz w:val="28"/>
          <w:szCs w:val="28"/>
          <w:lang w:val="en" w:eastAsia="en"/>
        </w:rPr>
        <w:t>深圳市急救指挥中心管理系统及深圳市医疗优先分级调度系统项目单位政务信息化运维服务（2025年度）项目</w:t>
      </w:r>
    </w:p>
    <w:tbl>
      <w:tblPr>
        <w:tblStyle w:val="15"/>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44"/>
        <w:gridCol w:w="7492"/>
      </w:tblGrid>
      <w:tr w14:paraId="5AC045F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tblHeader/>
        </w:trPr>
        <w:tc>
          <w:tcPr>
            <w:tcW w:w="9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262E1DC">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41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060CD6D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文件夹/文件名称</w:t>
            </w:r>
          </w:p>
        </w:tc>
      </w:tr>
      <w:tr w14:paraId="56D28AD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19CD3E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23AFED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投标函</w:t>
            </w:r>
          </w:p>
        </w:tc>
      </w:tr>
      <w:tr w14:paraId="09E8E1B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65A8C3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E7D0D9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采购投标及履约承诺函</w:t>
            </w:r>
          </w:p>
        </w:tc>
      </w:tr>
      <w:tr w14:paraId="69CA1DC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4F4CC7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7E90A4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投标人情况及资格证明文件</w:t>
            </w:r>
          </w:p>
        </w:tc>
      </w:tr>
      <w:tr w14:paraId="37BC64E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E60197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F0FFD6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项目详细报价</w:t>
            </w:r>
          </w:p>
        </w:tc>
      </w:tr>
      <w:tr w14:paraId="15E03CB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979FF1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0BCCB9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供应商基本情况表（须加盖投标单位公章）</w:t>
            </w:r>
          </w:p>
        </w:tc>
      </w:tr>
      <w:tr w14:paraId="0C3494E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FEAAC4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B242D6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法定代表人（负责人）证明书</w:t>
            </w:r>
          </w:p>
        </w:tc>
      </w:tr>
      <w:tr w14:paraId="7DC252A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167787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9CA9C7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投标文件签署授权委托书</w:t>
            </w:r>
          </w:p>
        </w:tc>
      </w:tr>
      <w:tr w14:paraId="2A7537A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83D3D0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B8133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实质性条款响应情况表</w:t>
            </w:r>
          </w:p>
        </w:tc>
      </w:tr>
      <w:tr w14:paraId="440B73C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8B09DE">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34B3D3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维护服务方案评价（格式自定）</w:t>
            </w:r>
          </w:p>
        </w:tc>
      </w:tr>
      <w:tr w14:paraId="7CAEA84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F18D9E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0990D7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项目重点难点分析、应对措施方案评价（格式自定）</w:t>
            </w:r>
          </w:p>
        </w:tc>
      </w:tr>
      <w:tr w14:paraId="2628E3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EFF243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BB9228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运维质量保障措施方案（格式自定）</w:t>
            </w:r>
          </w:p>
        </w:tc>
      </w:tr>
      <w:tr w14:paraId="04D7898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7BDF48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14D040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拟安排项目负责人情况（仅限1人）（格式自定）</w:t>
            </w:r>
          </w:p>
        </w:tc>
      </w:tr>
      <w:tr w14:paraId="4CF48A98">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A9FFB9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3D96B6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技术负责人（项目负责人除外，仅限1人）（格式自定）</w:t>
            </w:r>
          </w:p>
        </w:tc>
      </w:tr>
      <w:tr w14:paraId="35997B9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8B22AB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4A16F3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拟安排的技术人员（项目负责人、技术负责人除外）（格式自定）</w:t>
            </w:r>
          </w:p>
        </w:tc>
      </w:tr>
      <w:tr w14:paraId="359A858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A5D4C6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8BC3F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投标人认证证书（格式自定）</w:t>
            </w:r>
          </w:p>
        </w:tc>
      </w:tr>
      <w:tr w14:paraId="5539264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AB40FD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49F167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投标人同类项目业绩情况（格式自定）</w:t>
            </w:r>
          </w:p>
        </w:tc>
      </w:tr>
      <w:tr w14:paraId="7155CF7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39ABC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A1D047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服务便利性（服务网点）</w:t>
            </w:r>
          </w:p>
        </w:tc>
      </w:tr>
      <w:tr w14:paraId="4EEF0879">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E9C081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0BE0C8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投标人认为需要加以说明的其他内容</w:t>
            </w:r>
          </w:p>
        </w:tc>
      </w:tr>
    </w:tbl>
    <w:p w14:paraId="0C56E5A1">
      <w:pPr>
        <w:pBdr>
          <w:top w:val="none" w:color="auto" w:sz="0" w:space="0"/>
          <w:left w:val="none" w:color="auto" w:sz="0" w:space="0"/>
          <w:bottom w:val="none" w:color="auto" w:sz="0" w:space="0"/>
          <w:right w:val="none" w:color="auto" w:sz="0" w:space="0"/>
        </w:pBdr>
        <w:spacing w:line="432" w:lineRule="atLeast"/>
        <w:rPr>
          <w:rFonts w:ascii="仿宋" w:hAnsi="仿宋" w:eastAsia="仿宋" w:cs="仿宋"/>
          <w:b/>
          <w:bCs/>
          <w:color w:val="333333"/>
          <w:lang w:val="en" w:eastAsia="en"/>
        </w:rPr>
        <w:sectPr>
          <w:pgMar w:top="1440" w:right="1800" w:bottom="1440" w:left="1800" w:header="708" w:footer="708" w:gutter="0"/>
          <w:cols w:space="708" w:num="1"/>
        </w:sectPr>
      </w:pPr>
    </w:p>
    <w:p w14:paraId="5743B14B">
      <w:pPr>
        <w:pBdr>
          <w:top w:val="none" w:color="auto" w:sz="0" w:space="0"/>
          <w:left w:val="single" w:color="DDDDDD" w:sz="6" w:space="0"/>
          <w:bottom w:val="none" w:color="auto" w:sz="0" w:space="0"/>
          <w:right w:val="single" w:color="DDDDDD" w:sz="6" w:space="0"/>
        </w:pBdr>
        <w:spacing w:before="0" w:after="0" w:line="648" w:lineRule="atLeast"/>
        <w:ind w:left="15" w:right="15"/>
        <w:jc w:val="center"/>
        <w:outlineLvl w:val="0"/>
        <w:rPr>
          <w:rFonts w:ascii="仿宋" w:hAnsi="仿宋" w:eastAsia="仿宋" w:cs="仿宋"/>
          <w:b/>
          <w:bCs/>
          <w:color w:val="000000"/>
          <w:sz w:val="48"/>
          <w:szCs w:val="48"/>
          <w:lang w:val="en" w:eastAsia="en"/>
        </w:rPr>
      </w:pPr>
      <w:r>
        <w:rPr>
          <w:rFonts w:ascii="仿宋" w:hAnsi="仿宋" w:eastAsia="仿宋" w:cs="仿宋"/>
          <w:b/>
          <w:bCs/>
          <w:color w:val="000000"/>
          <w:sz w:val="48"/>
          <w:szCs w:val="48"/>
          <w:lang w:val="en" w:eastAsia="en"/>
        </w:rPr>
        <w:t>评标办法附表</w:t>
      </w:r>
    </w:p>
    <w:p w14:paraId="1754E52B">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1.标段基本信息</w:t>
      </w:r>
    </w:p>
    <w:p w14:paraId="36721FE5">
      <w:pPr>
        <w:pBdr>
          <w:top w:val="none" w:color="auto" w:sz="0" w:space="0"/>
          <w:left w:val="none" w:color="auto" w:sz="0" w:space="0"/>
          <w:bottom w:val="none" w:color="auto" w:sz="0" w:space="0"/>
          <w:right w:val="none" w:color="auto" w:sz="0" w:space="0"/>
        </w:pBdr>
        <w:spacing w:after="0"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标段编号：</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SZZXCG-2025-00301-001</w:t>
      </w:r>
      <w:r>
        <w:rPr>
          <w:rFonts w:ascii="仿宋" w:hAnsi="仿宋" w:eastAsia="仿宋" w:cs="仿宋"/>
          <w:color w:val="333333"/>
          <w:u w:val="single" w:color="333333"/>
          <w:lang w:val="en" w:eastAsia="en"/>
        </w:rPr>
        <w:br w:type="textWrapping"/>
      </w:r>
      <w:r>
        <w:rPr>
          <w:rFonts w:ascii="仿宋" w:hAnsi="仿宋" w:eastAsia="仿宋" w:cs="仿宋"/>
          <w:color w:val="333333"/>
          <w:lang w:val="en" w:eastAsia="en"/>
        </w:rPr>
        <w:t>标段名称：</w:t>
      </w:r>
      <w:r>
        <w:rPr>
          <w:rFonts w:ascii="微软雅黑" w:hAnsi="微软雅黑" w:eastAsia="微软雅黑" w:cs="微软雅黑"/>
          <w:color w:val="333333"/>
          <w:lang w:val="en" w:eastAsia="en"/>
        </w:rPr>
        <w:t xml:space="preserve"> </w:t>
      </w:r>
      <w:r>
        <w:rPr>
          <w:rFonts w:ascii="仿宋" w:hAnsi="仿宋" w:eastAsia="仿宋" w:cs="仿宋"/>
          <w:color w:val="333333"/>
          <w:u w:val="single" w:color="333333"/>
          <w:lang w:val="en" w:eastAsia="en"/>
        </w:rPr>
        <w:t>深圳市急救指挥中心管理系统及深圳市医疗优先分级调度系统项目单位政务信息化运维服务（2025年度）项目</w:t>
      </w:r>
      <w:r>
        <w:rPr>
          <w:rFonts w:ascii="仿宋" w:hAnsi="仿宋" w:eastAsia="仿宋" w:cs="仿宋"/>
          <w:color w:val="333333"/>
          <w:u w:val="single" w:color="333333"/>
          <w:lang w:val="en" w:eastAsia="en"/>
        </w:rPr>
        <w:br w:type="textWrapping"/>
      </w:r>
    </w:p>
    <w:p w14:paraId="67A43EAB">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p>
    <w:p w14:paraId="779C2F9C">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2.入围参数</w:t>
      </w:r>
    </w:p>
    <w:p w14:paraId="0E52F8B1">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是否过多投标人淘汰：</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否</w:t>
      </w:r>
    </w:p>
    <w:p w14:paraId="321DE898">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3.评审步骤</w:t>
      </w:r>
    </w:p>
    <w:tbl>
      <w:tblPr>
        <w:tblStyle w:val="23"/>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142"/>
        <w:gridCol w:w="6852"/>
        <w:gridCol w:w="1142"/>
      </w:tblGrid>
      <w:tr w14:paraId="3F43C60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1496585">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30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F40476F">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评审步骤</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04E0E5A">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r>
      <w:tr w14:paraId="679EE91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484B32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28EF39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资格性审查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F9DA7E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01912EE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0B2B0A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5C2308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符合性审查</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15E463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6BA0EE7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65E5BF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973EBC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详细评审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CB22DF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90</w:t>
            </w:r>
          </w:p>
        </w:tc>
      </w:tr>
      <w:tr w14:paraId="589B6DA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76B8C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023919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报价修正</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047807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733BCE6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7800F0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B022B6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价格评审</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B2C755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r>
      <w:tr w14:paraId="0D56B3A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3B22A2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2854B9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综合评分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E3A0F2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r w14:paraId="46554D4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743451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A58229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推荐中标候选人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A6B7E1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p>
        </w:tc>
      </w:tr>
    </w:tbl>
    <w:p w14:paraId="40C1BADC">
      <w:pPr>
        <w:pBdr>
          <w:top w:val="none" w:color="auto" w:sz="0" w:space="0"/>
          <w:left w:val="none" w:color="auto" w:sz="0" w:space="0"/>
          <w:bottom w:val="none" w:color="auto" w:sz="0" w:space="0"/>
          <w:right w:val="none" w:color="auto" w:sz="0" w:space="0"/>
        </w:pBdr>
        <w:spacing w:after="0" w:line="432" w:lineRule="atLeast"/>
        <w:ind w:left="15" w:right="15"/>
        <w:rPr>
          <w:rFonts w:ascii="微软雅黑" w:hAnsi="微软雅黑" w:eastAsia="微软雅黑" w:cs="微软雅黑"/>
          <w:color w:val="333333"/>
          <w:lang w:val="en" w:eastAsia="en"/>
        </w:rPr>
      </w:pPr>
    </w:p>
    <w:p w14:paraId="3EED8EBD">
      <w:pPr>
        <w:pBdr>
          <w:top w:val="none" w:color="auto" w:sz="0" w:space="0"/>
          <w:left w:val="none" w:color="auto" w:sz="0" w:space="0"/>
          <w:bottom w:val="none" w:color="auto" w:sz="0" w:space="0"/>
          <w:right w:val="none" w:color="auto" w:sz="0" w:space="0"/>
        </w:pBdr>
        <w:spacing w:before="0" w:after="288" w:line="432" w:lineRule="atLeast"/>
        <w:ind w:left="15" w:right="15"/>
        <w:rPr>
          <w:rFonts w:ascii="微软雅黑" w:hAnsi="微软雅黑" w:eastAsia="微软雅黑" w:cs="微软雅黑"/>
          <w:color w:val="333333"/>
          <w:lang w:val="en" w:eastAsia="en"/>
        </w:rPr>
      </w:pPr>
      <w:r>
        <w:rPr>
          <w:rFonts w:ascii="仿宋" w:hAnsi="仿宋" w:eastAsia="仿宋" w:cs="仿宋"/>
          <w:b/>
          <w:bCs/>
          <w:color w:val="333333"/>
          <w:sz w:val="28"/>
          <w:szCs w:val="28"/>
          <w:lang w:val="en" w:eastAsia="en"/>
        </w:rPr>
        <w:t>4.评审条款</w:t>
      </w:r>
    </w:p>
    <w:p w14:paraId="1EFED58A">
      <w:pPr>
        <w:pBdr>
          <w:top w:val="none" w:color="auto" w:sz="0" w:space="0"/>
          <w:left w:val="none" w:color="auto" w:sz="0" w:space="0"/>
          <w:bottom w:val="none" w:color="auto" w:sz="0" w:space="0"/>
          <w:right w:val="none" w:color="auto" w:sz="0" w:space="0"/>
        </w:pBdr>
        <w:spacing w:line="432" w:lineRule="atLeast"/>
        <w:ind w:left="15" w:right="15"/>
        <w:rPr>
          <w:rFonts w:ascii="仿宋" w:hAnsi="仿宋" w:eastAsia="仿宋" w:cs="仿宋"/>
          <w:color w:val="333333"/>
          <w:lang w:val="en" w:eastAsia="en"/>
        </w:rPr>
      </w:pPr>
      <w:r>
        <w:rPr>
          <w:rFonts w:ascii="仿宋" w:hAnsi="仿宋" w:eastAsia="仿宋" w:cs="仿宋"/>
          <w:color w:val="333333"/>
          <w:lang w:val="en" w:eastAsia="en"/>
        </w:rPr>
        <w:t>中标候选人：</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委托评标委员会直接定标</w:t>
      </w:r>
      <w:r>
        <w:rPr>
          <w:rFonts w:ascii="仿宋" w:hAnsi="仿宋" w:eastAsia="仿宋" w:cs="仿宋"/>
          <w:color w:val="333333"/>
          <w:lang w:val="en" w:eastAsia="en"/>
        </w:rPr>
        <w:br w:type="textWrapping"/>
      </w:r>
      <w:r>
        <w:rPr>
          <w:rFonts w:ascii="仿宋" w:hAnsi="仿宋" w:eastAsia="仿宋" w:cs="仿宋"/>
          <w:color w:val="333333"/>
          <w:lang w:val="en" w:eastAsia="en"/>
        </w:rPr>
        <w:br w:type="textWrapping"/>
      </w:r>
      <w:r>
        <w:rPr>
          <w:rFonts w:ascii="仿宋" w:hAnsi="仿宋" w:eastAsia="仿宋" w:cs="仿宋"/>
          <w:b/>
          <w:bCs/>
          <w:color w:val="000000"/>
          <w:lang w:val="en" w:eastAsia="en"/>
        </w:rPr>
        <w:t>4.1 资格性审查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23"/>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221F9D1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59CED43">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50BF07E6">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1674FEC2">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270FA8F3">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46DA5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C44E8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资质要求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29BBC9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1.具有独立法人资格或是具有独立承担民事责任能力的其他组织（提供营业执照或事业单位法人证书等证明资料扫描件；如果参与投标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w:t>
            </w:r>
            <w:r>
              <w:rPr>
                <w:rFonts w:ascii="仿宋" w:hAnsi="仿宋" w:eastAsia="仿宋" w:cs="仿宋"/>
                <w:color w:val="666666"/>
                <w:lang w:val="en" w:eastAsia="en"/>
              </w:rPr>
              <w:br w:type="textWrapping"/>
            </w:r>
            <w:r>
              <w:rPr>
                <w:rFonts w:ascii="仿宋" w:hAnsi="仿宋" w:eastAsia="仿宋" w:cs="仿宋"/>
                <w:color w:val="666666"/>
                <w:lang w:val="en" w:eastAsia="en"/>
              </w:rPr>
              <w:t>2.本项目不接受联合体投标，不接受投标人选用进口产品参与投标（由供应商在《采购投标及履约承诺函》中作出声明）；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3.参与本项目采购活动时不存在被有关部门禁止参与政府采购活动且在有效期内的情况（由供应商在《采购投标及履约承诺函》中作出声明）；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4.具备《中华人民共和国政府采购法》第二十二条第一款的条件（由供应商在《采购投标及履约承诺函》中作出声明）；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5.未被列入失信被执行人、重大税收违法案件当事人名单、政府采购严重违法失信行为记录名单（由供应商在《采购投标及履约承诺函》中作出声明）；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6.不存在《深圳市财政局政府采购供应商信用信息管理办法》（深财规〔2023〕3号）列明的严重违法失信行为（由供应商在《采购投标及履约承诺函》中作出声明）；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7.为采购项目提供整体设计、规范编制或者项目管理、监理、检测等服务的供应商，不得再参加该采购项目的其他采购活动（由供应商在《采购投标及履约承诺函》中作出声明）；</w:t>
            </w:r>
            <w:r>
              <w:rPr>
                <w:rFonts w:ascii="仿宋" w:hAnsi="仿宋" w:eastAsia="仿宋" w:cs="仿宋"/>
                <w:color w:val="666666"/>
                <w:lang w:val="en" w:eastAsia="en"/>
              </w:rPr>
              <w:br w:type="textWrapping"/>
            </w:r>
            <w:r>
              <w:rPr>
                <w:rFonts w:ascii="仿宋" w:hAnsi="仿宋" w:eastAsia="仿宋" w:cs="仿宋"/>
                <w:color w:val="666666"/>
                <w:lang w:val="en" w:eastAsia="en"/>
              </w:rPr>
              <w:t>8.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提供《供应商基本情况表》并加盖公章扫描件）；</w:t>
            </w:r>
            <w:r>
              <w:rPr>
                <w:rFonts w:ascii="仿宋" w:hAnsi="仿宋" w:eastAsia="仿宋" w:cs="仿宋"/>
                <w:color w:val="666666"/>
                <w:lang w:val="en" w:eastAsia="en"/>
              </w:rPr>
              <w:br w:type="textWrapping"/>
            </w:r>
            <w:r>
              <w:rPr>
                <w:rFonts w:ascii="仿宋" w:hAnsi="仿宋" w:eastAsia="仿宋" w:cs="仿宋"/>
                <w:color w:val="666666"/>
                <w:lang w:val="en" w:eastAsia="en"/>
              </w:rPr>
              <w:t>9.本项目是（否）专门面向中小企业采购：否。</w:t>
            </w:r>
          </w:p>
        </w:tc>
      </w:tr>
    </w:tbl>
    <w:p w14:paraId="22328EF5">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4.2 符合性审查</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按分项自动汇总并发起否决投标</w:t>
      </w:r>
      <w:r>
        <w:rPr>
          <w:rFonts w:ascii="微软雅黑" w:hAnsi="微软雅黑" w:eastAsia="微软雅黑" w:cs="微软雅黑"/>
          <w:color w:val="333333"/>
          <w:lang w:val="en" w:eastAsia="en"/>
        </w:rPr>
        <w:t xml:space="preserve"> </w:t>
      </w:r>
    </w:p>
    <w:tbl>
      <w:tblPr>
        <w:tblStyle w:val="23"/>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612"/>
        <w:gridCol w:w="3762"/>
        <w:gridCol w:w="3762"/>
      </w:tblGrid>
      <w:tr w14:paraId="024C0EC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blHeader/>
        </w:trPr>
        <w:tc>
          <w:tcPr>
            <w:tcW w:w="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6EEC8D3B">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4D3E6DE">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75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E5E08A0">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r>
      <w:tr w14:paraId="0E3A5E6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D7E6C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E4C3F6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976D76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不得将一个包内容拆开投标；</w:t>
            </w:r>
          </w:p>
        </w:tc>
      </w:tr>
      <w:tr w14:paraId="0D125FB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91B37B4">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7453DF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2AFE71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对同一项目投标时，不得提供两套以上的投标方案（招标文件另有规定的除外）；</w:t>
            </w:r>
          </w:p>
        </w:tc>
      </w:tr>
      <w:tr w14:paraId="73CB085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7C12EE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18D2B5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6E848A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分项报价或投标总价不得高于相应预算金额（或设定的预算金额下的最高限价）；</w:t>
            </w:r>
          </w:p>
        </w:tc>
      </w:tr>
      <w:tr w14:paraId="5A27EB6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6514E6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42C503A">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54490B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评审委员会认为投标人的报价明显低于其他通过符合性审查投标人的报价，有可能影响产品质量或者不能诚信履约的，应当要求其在评审现场合理的时间内提供书面说明，必要时提交相关证明材料；在此情况下，投标人仍不能证明其报价合理性的（评审委员会成员对投标人提供的说明材料判断不一致的，按照“少数服从多数”的原则确定评审委员会的意见）；</w:t>
            </w:r>
          </w:p>
        </w:tc>
      </w:tr>
      <w:tr w14:paraId="149AD4B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773533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838889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9B168F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所投货物、服务在技术、商务等方面没有实质性满足招标文件要求的（是否实质性满足招标文件要求，由评审委员会根据实质性条款响应情况做出评判；若招标文件未设置实质性条款，不得据此做投标无效处理）；</w:t>
            </w:r>
          </w:p>
        </w:tc>
      </w:tr>
      <w:tr w14:paraId="390EBC8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F99669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34307D5">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6652FB3">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未按招标文件所提供的样式填写《投标函》；未按招标文件所提供的《采购投标及履约承诺函》进行承诺；未按招标文件对投标文件组成的要求提供投标文件；</w:t>
            </w:r>
          </w:p>
        </w:tc>
      </w:tr>
      <w:tr w14:paraId="69536CE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C9209A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C8A210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采购标的/服务清单/报价等任意一类有缺漏项或响应不全，或者对招标文件规定的项目需求内容或者需求数量进行修改，评审委员会判定投标响应不满足采购需求；</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379671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采购标的/服务清单/报价等任意一类有缺漏项或响应不全，或者对招标文件规定的项目需求内容或者需求数量进行修改，评审委员会判定投标响应不满足采购需求；</w:t>
            </w:r>
          </w:p>
        </w:tc>
      </w:tr>
      <w:tr w14:paraId="40EC8570">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4E4B16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980FAA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C2E2D0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投标文件电子文档不得带病毒；</w:t>
            </w:r>
          </w:p>
        </w:tc>
      </w:tr>
      <w:tr w14:paraId="589E3DE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E21872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9BB0D7E">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2C7BD47">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投标文件用不属于本公司的电子密钥进行加密；</w:t>
            </w:r>
          </w:p>
        </w:tc>
      </w:tr>
      <w:tr w14:paraId="319C110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76D10A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6DF517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3EC1B0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法律、法规、规章、规范性文件规定的其他情形。</w:t>
            </w:r>
          </w:p>
        </w:tc>
      </w:tr>
    </w:tbl>
    <w:p w14:paraId="7E7FE063">
      <w:pPr>
        <w:pBdr>
          <w:top w:val="none" w:color="auto" w:sz="0" w:space="0"/>
          <w:left w:val="none" w:color="auto" w:sz="0" w:space="0"/>
          <w:bottom w:val="none" w:color="auto" w:sz="0" w:space="0"/>
          <w:right w:val="none" w:color="auto" w:sz="0" w:space="0"/>
        </w:pBdr>
        <w:spacing w:line="240" w:lineRule="atLeast"/>
        <w:ind w:left="15" w:right="15"/>
        <w:rPr>
          <w:rFonts w:ascii="仿宋" w:hAnsi="仿宋" w:eastAsia="仿宋" w:cs="仿宋"/>
          <w:b/>
          <w:bCs/>
          <w:color w:val="000000"/>
          <w:lang w:val="en" w:eastAsia="en"/>
        </w:rPr>
      </w:pPr>
      <w:r>
        <w:rPr>
          <w:rFonts w:ascii="仿宋" w:hAnsi="仿宋" w:eastAsia="仿宋" w:cs="仿宋"/>
          <w:b/>
          <w:bCs/>
          <w:color w:val="000000"/>
          <w:lang w:val="en" w:eastAsia="en"/>
        </w:rPr>
        <w:t>4.3 详细评审</w:t>
      </w:r>
      <w:r>
        <w:rPr>
          <w:rFonts w:ascii="仿宋" w:hAnsi="仿宋" w:eastAsia="仿宋" w:cs="仿宋"/>
          <w:b/>
          <w:bCs/>
          <w:color w:val="000000"/>
          <w:lang w:val="en" w:eastAsia="en"/>
        </w:rPr>
        <w:br w:type="textWrapping"/>
      </w:r>
      <w:r>
        <w:rPr>
          <w:rFonts w:ascii="仿宋" w:hAnsi="仿宋" w:eastAsia="仿宋" w:cs="仿宋"/>
          <w:color w:val="333333"/>
          <w:lang w:val="en" w:eastAsia="en"/>
        </w:rPr>
        <w:t>汇总规则：</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按评委打分直接平均</w:t>
      </w:r>
      <w:r>
        <w:rPr>
          <w:rFonts w:ascii="微软雅黑" w:hAnsi="微软雅黑" w:eastAsia="微软雅黑" w:cs="微软雅黑"/>
          <w:color w:val="333333"/>
          <w:lang w:val="en" w:eastAsia="en"/>
        </w:rPr>
        <w:t xml:space="preserve"> </w:t>
      </w:r>
    </w:p>
    <w:tbl>
      <w:tblPr>
        <w:tblStyle w:val="23"/>
        <w:tblW w:w="5000" w:type="pct"/>
        <w:tblInd w:w="15"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913"/>
        <w:gridCol w:w="3289"/>
        <w:gridCol w:w="3289"/>
        <w:gridCol w:w="914"/>
        <w:gridCol w:w="731"/>
      </w:tblGrid>
      <w:tr w14:paraId="7FF9795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PrEx>
        <w:trPr>
          <w:cantSplit/>
          <w:tblHeader/>
        </w:trPr>
        <w:tc>
          <w:tcPr>
            <w:tcW w:w="4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70BB31FE">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序号</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E2396E4">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评审要素</w:t>
            </w:r>
          </w:p>
        </w:tc>
        <w:tc>
          <w:tcPr>
            <w:tcW w:w="18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6BC5371">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评审标准</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38B08315">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分值</w:t>
            </w:r>
          </w:p>
        </w:tc>
        <w:tc>
          <w:tcPr>
            <w:tcW w:w="500" w:type="pct"/>
            <w:tcBorders>
              <w:top w:val="single" w:color="DDDDDD" w:sz="6" w:space="0"/>
              <w:left w:val="single" w:color="DDDDDD" w:sz="6" w:space="0"/>
              <w:bottom w:val="single" w:color="DDDDDD" w:sz="6" w:space="0"/>
              <w:right w:val="single" w:color="DDDDDD" w:sz="6" w:space="0"/>
            </w:tcBorders>
            <w:shd w:val="clear" w:color="auto" w:fill="F1F1F1"/>
            <w:noWrap/>
            <w:tcMar>
              <w:top w:w="120" w:type="dxa"/>
              <w:left w:w="248" w:type="dxa"/>
              <w:bottom w:w="120" w:type="dxa"/>
              <w:right w:w="248" w:type="dxa"/>
            </w:tcMar>
            <w:vAlign w:val="center"/>
          </w:tcPr>
          <w:p w14:paraId="2F84F52B">
            <w:pPr>
              <w:pBdr>
                <w:top w:val="none" w:color="auto" w:sz="0" w:space="0"/>
                <w:left w:val="none" w:color="auto" w:sz="0" w:space="0"/>
                <w:bottom w:val="none" w:color="auto" w:sz="0" w:space="0"/>
                <w:right w:val="none" w:color="auto" w:sz="0" w:space="0"/>
              </w:pBdr>
              <w:spacing w:line="432" w:lineRule="atLeast"/>
              <w:jc w:val="center"/>
              <w:rPr>
                <w:rFonts w:ascii="微软雅黑" w:hAnsi="微软雅黑" w:eastAsia="微软雅黑" w:cs="微软雅黑"/>
                <w:color w:val="666666"/>
                <w:lang w:val="en" w:eastAsia="en"/>
              </w:rPr>
            </w:pPr>
            <w:r>
              <w:rPr>
                <w:rFonts w:ascii="仿宋" w:hAnsi="仿宋" w:eastAsia="仿宋" w:cs="仿宋"/>
                <w:color w:val="666666"/>
                <w:lang w:val="en" w:eastAsia="en"/>
              </w:rPr>
              <w:t>权重</w:t>
            </w:r>
          </w:p>
        </w:tc>
      </w:tr>
      <w:tr w14:paraId="1418BC0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59319A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503831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维护服务方案评价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46D2A7D">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维护服务方案评价</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B0ED08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754033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20</w:t>
            </w:r>
          </w:p>
        </w:tc>
      </w:tr>
      <w:tr w14:paraId="27493E7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04AA8F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BF14FC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项目重点难点分析、应对措施方案评价</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F417F7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项目重点难点分析、应对措施方案评价</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575A76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644D35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16</w:t>
            </w:r>
          </w:p>
        </w:tc>
      </w:tr>
      <w:tr w14:paraId="042E28C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BBE351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3</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22C5B63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运维质量保障措施方案</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8B07CCF">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运维质量保障措施方案</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526D7C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401772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12</w:t>
            </w:r>
          </w:p>
        </w:tc>
      </w:tr>
      <w:tr w14:paraId="320D55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6FCC478">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4</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397228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拟安排项目负责人情况（仅限1人）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535C3F5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拟安排项目负责人情况（仅限1人）</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D9AE3E0">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317BC71F">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r w14:paraId="5342ECF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943C09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D1B487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技术负责人（项目负责人除外，仅限1人）</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58C7528">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技术负责人（项目负责人除外，仅限1人）</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0869E71">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2EC03DA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r w14:paraId="5B5CE3A5">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F344A3C">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6</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79A3B61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拟安排的技术人员（项目负责人、技术负责人除外）</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637012">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拟安排的技术人员（项目负责人、技术负责人除外）</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740862DA">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D03D9B6">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r w14:paraId="22DA57B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B3427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7</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C3C53B4">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投标人认证证书</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3959A450">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投标人认证证书</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666A34F9">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2D6D1FD">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2</w:t>
            </w:r>
          </w:p>
        </w:tc>
      </w:tr>
      <w:tr w14:paraId="7402DF9F">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07ADAB43">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8</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BD3969B">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投标人同类项目业绩情况</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D7B05E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投标人同类项目业绩情况</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0FA0829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34CE7FB">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15</w:t>
            </w:r>
          </w:p>
        </w:tc>
      </w:tr>
      <w:tr w14:paraId="077073AA">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A96638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9</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E39EA29">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服务便利性（服务网点）</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42F96B21">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服务便利性（服务网点）</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0640B0A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4E226E8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r w14:paraId="0AC82C7E">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0" w:type="dxa"/>
            <w:left w:w="0" w:type="dxa"/>
            <w:bottom w:w="0" w:type="dxa"/>
            <w:right w:w="0" w:type="dxa"/>
          </w:tblCellMar>
        </w:tblPrEx>
        <w:trPr>
          <w:cantSplit/>
        </w:trPr>
        <w:tc>
          <w:tcPr>
            <w:tcW w:w="500" w:type="pct"/>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D2EFFD7">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6D884EFC">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诚信分</w:t>
            </w:r>
          </w:p>
        </w:tc>
        <w:tc>
          <w:tcPr>
            <w:tcW w:w="360" w:type="dxa"/>
            <w:tcBorders>
              <w:top w:val="single" w:color="DDDDDD" w:sz="6" w:space="0"/>
              <w:left w:val="single" w:color="DDDDDD" w:sz="6" w:space="0"/>
              <w:bottom w:val="single" w:color="DDDDDD" w:sz="6" w:space="0"/>
              <w:right w:val="single" w:color="DDDDDD" w:sz="6" w:space="0"/>
            </w:tcBorders>
            <w:tcMar>
              <w:top w:w="120" w:type="dxa"/>
              <w:left w:w="248" w:type="dxa"/>
              <w:bottom w:w="120" w:type="dxa"/>
              <w:right w:w="248" w:type="dxa"/>
            </w:tcMar>
            <w:vAlign w:val="center"/>
          </w:tcPr>
          <w:p w14:paraId="1CA53276">
            <w:pPr>
              <w:pBdr>
                <w:top w:val="none" w:color="auto" w:sz="0" w:space="0"/>
                <w:left w:val="none" w:color="auto" w:sz="0" w:space="0"/>
                <w:bottom w:val="none" w:color="auto" w:sz="0" w:space="0"/>
                <w:right w:val="none" w:color="auto" w:sz="0" w:space="0"/>
              </w:pBdr>
              <w:spacing w:line="240" w:lineRule="atLeast"/>
              <w:rPr>
                <w:rFonts w:ascii="仿宋" w:hAnsi="仿宋" w:eastAsia="仿宋" w:cs="仿宋"/>
                <w:color w:val="666666"/>
                <w:lang w:val="en" w:eastAsia="en"/>
              </w:rPr>
            </w:pPr>
            <w:r>
              <w:rPr>
                <w:rFonts w:ascii="仿宋" w:hAnsi="仿宋" w:eastAsia="仿宋" w:cs="仿宋"/>
                <w:color w:val="666666"/>
                <w:lang w:val="en" w:eastAsia="en"/>
              </w:rPr>
              <w:t>诚信分</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16CBCCD2">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100</w:t>
            </w:r>
          </w:p>
        </w:tc>
        <w:tc>
          <w:tcPr>
            <w:tcW w:w="360" w:type="dxa"/>
            <w:tcBorders>
              <w:top w:val="single" w:color="DDDDDD" w:sz="6" w:space="0"/>
              <w:left w:val="single" w:color="DDDDDD" w:sz="6" w:space="0"/>
              <w:bottom w:val="single" w:color="DDDDDD" w:sz="6" w:space="0"/>
              <w:right w:val="single" w:color="DDDDDD" w:sz="6" w:space="0"/>
            </w:tcBorders>
            <w:tcMar>
              <w:top w:w="0" w:type="dxa"/>
              <w:left w:w="0" w:type="dxa"/>
              <w:bottom w:w="0" w:type="dxa"/>
              <w:right w:w="0" w:type="dxa"/>
            </w:tcMar>
            <w:vAlign w:val="center"/>
          </w:tcPr>
          <w:p w14:paraId="57BC96F5">
            <w:pPr>
              <w:pBdr>
                <w:top w:val="none" w:color="auto" w:sz="0" w:space="0"/>
                <w:left w:val="none" w:color="auto" w:sz="0" w:space="0"/>
                <w:bottom w:val="none" w:color="auto" w:sz="0" w:space="0"/>
                <w:right w:val="none" w:color="auto" w:sz="0" w:space="0"/>
              </w:pBdr>
              <w:spacing w:line="240" w:lineRule="atLeast"/>
              <w:jc w:val="center"/>
              <w:rPr>
                <w:rFonts w:ascii="仿宋" w:hAnsi="仿宋" w:eastAsia="仿宋" w:cs="仿宋"/>
                <w:color w:val="666666"/>
                <w:lang w:val="en" w:eastAsia="en"/>
              </w:rPr>
            </w:pPr>
            <w:r>
              <w:rPr>
                <w:rFonts w:ascii="仿宋" w:hAnsi="仿宋" w:eastAsia="仿宋" w:cs="仿宋"/>
                <w:color w:val="666666"/>
                <w:lang w:val="en" w:eastAsia="en"/>
              </w:rPr>
              <w:t>5</w:t>
            </w:r>
          </w:p>
        </w:tc>
      </w:tr>
    </w:tbl>
    <w:p w14:paraId="08630C1A">
      <w:pPr>
        <w:keepLines/>
        <w:pBdr>
          <w:top w:val="none" w:color="auto" w:sz="0" w:space="0"/>
          <w:left w:val="none" w:color="auto" w:sz="0" w:space="0"/>
          <w:bottom w:val="none" w:color="auto" w:sz="0" w:space="0"/>
          <w:right w:val="none" w:color="auto" w:sz="0" w:space="0"/>
        </w:pBdr>
        <w:spacing w:before="0" w:line="432" w:lineRule="atLeast"/>
        <w:ind w:left="15" w:right="15"/>
        <w:rPr>
          <w:rFonts w:ascii="微软雅黑" w:hAnsi="微软雅黑" w:eastAsia="微软雅黑" w:cs="微软雅黑"/>
          <w:color w:val="333333"/>
          <w:lang w:val="en" w:eastAsia="en"/>
        </w:rPr>
      </w:pPr>
      <w:r>
        <w:rPr>
          <w:rFonts w:ascii="仿宋" w:hAnsi="仿宋" w:eastAsia="仿宋" w:cs="仿宋"/>
          <w:b/>
          <w:bCs/>
          <w:color w:val="000000"/>
          <w:lang w:val="en" w:eastAsia="en"/>
        </w:rPr>
        <w:t>4.5 价格评审</w:t>
      </w:r>
      <w:r>
        <w:rPr>
          <w:rFonts w:ascii="微软雅黑" w:hAnsi="微软雅黑" w:eastAsia="微软雅黑" w:cs="微软雅黑"/>
          <w:color w:val="333333"/>
          <w:lang w:val="en" w:eastAsia="en"/>
        </w:rPr>
        <w:t xml:space="preserve"> </w:t>
      </w:r>
    </w:p>
    <w:p w14:paraId="462FC649">
      <w:pPr>
        <w:keepLines/>
        <w:pBdr>
          <w:top w:val="none" w:color="auto" w:sz="0" w:space="0"/>
          <w:left w:val="none" w:color="auto" w:sz="0" w:space="0"/>
          <w:bottom w:val="none" w:color="auto" w:sz="0" w:space="0"/>
          <w:right w:val="none" w:color="auto" w:sz="0" w:space="0"/>
        </w:pBdr>
        <w:spacing w:before="0" w:after="0" w:line="432" w:lineRule="atLeast"/>
        <w:ind w:left="15" w:right="15"/>
        <w:rPr>
          <w:rFonts w:ascii="微软雅黑" w:hAnsi="微软雅黑" w:eastAsia="微软雅黑" w:cs="微软雅黑"/>
          <w:color w:val="333333"/>
          <w:lang w:val="en" w:eastAsia="en"/>
        </w:rPr>
      </w:pPr>
      <w:r>
        <w:rPr>
          <w:rFonts w:ascii="仿宋" w:hAnsi="仿宋" w:eastAsia="仿宋" w:cs="仿宋"/>
          <w:color w:val="333333"/>
          <w:lang w:val="en" w:eastAsia="en"/>
        </w:rPr>
        <w:t>4.5.1 投标总价</w:t>
      </w:r>
      <w:r>
        <w:rPr>
          <w:rFonts w:ascii="仿宋" w:hAnsi="仿宋" w:eastAsia="仿宋" w:cs="仿宋"/>
          <w:color w:val="333333"/>
          <w:lang w:val="en" w:eastAsia="en"/>
        </w:rPr>
        <w:br w:type="textWrapping"/>
      </w:r>
      <w:r>
        <w:rPr>
          <w:rFonts w:ascii="仿宋" w:hAnsi="仿宋" w:eastAsia="仿宋" w:cs="仿宋"/>
          <w:color w:val="333333"/>
          <w:lang w:val="en" w:eastAsia="en"/>
        </w:rPr>
        <w:t>价格得分满分：</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10</w:t>
      </w:r>
      <w:r>
        <w:rPr>
          <w:rFonts w:ascii="仿宋" w:hAnsi="仿宋" w:eastAsia="仿宋" w:cs="仿宋"/>
          <w:color w:val="333333"/>
          <w:lang w:val="en" w:eastAsia="en"/>
        </w:rPr>
        <w:br w:type="textWrapping"/>
      </w:r>
      <w:r>
        <w:rPr>
          <w:rFonts w:ascii="仿宋" w:hAnsi="仿宋" w:eastAsia="仿宋" w:cs="仿宋"/>
          <w:color w:val="333333"/>
          <w:lang w:val="en" w:eastAsia="en"/>
        </w:rPr>
        <w:t>报价打分方式：</w:t>
      </w:r>
      <w:r>
        <w:rPr>
          <w:rFonts w:ascii="微软雅黑" w:hAnsi="微软雅黑" w:eastAsia="微软雅黑" w:cs="微软雅黑"/>
          <w:color w:val="333333"/>
          <w:lang w:val="en" w:eastAsia="en"/>
        </w:rPr>
        <w:t xml:space="preserve"> </w:t>
      </w:r>
      <w:r>
        <w:rPr>
          <w:rFonts w:ascii="仿宋" w:hAnsi="仿宋" w:eastAsia="仿宋" w:cs="仿宋"/>
          <w:color w:val="333333"/>
          <w:lang w:val="en" w:eastAsia="en"/>
        </w:rPr>
        <w:t>自动算分（内插法）</w:t>
      </w:r>
      <w:r>
        <w:rPr>
          <w:rFonts w:ascii="仿宋" w:hAnsi="仿宋" w:eastAsia="仿宋" w:cs="仿宋"/>
          <w:color w:val="333333"/>
          <w:lang w:val="en" w:eastAsia="en"/>
        </w:rPr>
        <w:br w:type="textWrapping"/>
      </w:r>
      <w:r>
        <w:rPr>
          <w:rFonts w:ascii="仿宋" w:hAnsi="仿宋" w:eastAsia="仿宋" w:cs="仿宋"/>
          <w:color w:val="333333"/>
          <w:lang w:val="en" w:eastAsia="en"/>
        </w:rPr>
        <w:t>参与基准价计算范围的计算公式：全部投标报价</w:t>
      </w:r>
      <w:r>
        <w:rPr>
          <w:rFonts w:ascii="仿宋" w:hAnsi="仿宋" w:eastAsia="仿宋" w:cs="仿宋"/>
          <w:color w:val="333333"/>
          <w:lang w:val="en" w:eastAsia="en"/>
        </w:rPr>
        <w:br w:type="textWrapping"/>
      </w:r>
      <w:r>
        <w:rPr>
          <w:rFonts w:ascii="仿宋" w:hAnsi="仿宋" w:eastAsia="仿宋" w:cs="仿宋"/>
          <w:color w:val="333333"/>
          <w:lang w:val="en" w:eastAsia="en"/>
        </w:rPr>
        <w:t>评标价计算公式：评标价=投标函中的投标报价*价格扣除（上浮）比例：中小微企业（或监狱企业或残疾人福利性单位）价格扣除比例：10%；中小微联合体（协议合同金额占到联合体协议合同总金额30%以上）价格扣除比例：0%；失信供应商价格上浮比例：0%。</w:t>
      </w:r>
      <w:r>
        <w:rPr>
          <w:rFonts w:ascii="仿宋" w:hAnsi="仿宋" w:eastAsia="仿宋" w:cs="仿宋"/>
          <w:color w:val="333333"/>
          <w:lang w:val="en" w:eastAsia="en"/>
        </w:rPr>
        <w:br w:type="textWrapping"/>
      </w:r>
      <w:r>
        <w:rPr>
          <w:rFonts w:ascii="仿宋" w:hAnsi="仿宋" w:eastAsia="仿宋" w:cs="仿宋"/>
          <w:color w:val="333333"/>
          <w:lang w:val="en" w:eastAsia="en"/>
        </w:rPr>
        <w:t>基准价计算公式：基准价=最低评标价</w:t>
      </w:r>
      <w:r>
        <w:rPr>
          <w:rFonts w:ascii="仿宋" w:hAnsi="仿宋" w:eastAsia="仿宋" w:cs="仿宋"/>
          <w:color w:val="333333"/>
          <w:lang w:val="en" w:eastAsia="en"/>
        </w:rPr>
        <w:br w:type="textWrapping"/>
      </w:r>
      <w:r>
        <w:rPr>
          <w:rFonts w:ascii="仿宋" w:hAnsi="仿宋" w:eastAsia="仿宋" w:cs="仿宋"/>
          <w:color w:val="333333"/>
          <w:lang w:val="en" w:eastAsia="en"/>
        </w:rPr>
        <w:t>报价打分计算公式：得分=（基准价/评标价）*总分</w:t>
      </w:r>
    </w:p>
    <w:sectPr>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9E87BF5-5CE7-4EA7-8C61-18DF23E2642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43590714-CF8D-4BEC-9306-F4E3863EC2DA}"/>
  </w:font>
  <w:font w:name="仿宋">
    <w:panose1 w:val="02010609060101010101"/>
    <w:charset w:val="86"/>
    <w:family w:val="auto"/>
    <w:pitch w:val="default"/>
    <w:sig w:usb0="800002BF" w:usb1="38CF7CFA" w:usb2="00000016" w:usb3="00000000" w:csb0="00040001" w:csb1="00000000"/>
    <w:embedRegular r:id="rId3" w:fontKey="{77A7FF50-38DE-4AAF-95AB-72B75E25FA83}"/>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embedRegular r:id="rId4" w:fontKey="{876EDD3D-07DA-4023-9E7F-BB4A7EB06C45}"/>
  </w:font>
  <w:font w:name="华文仿宋">
    <w:panose1 w:val="02010600040101010101"/>
    <w:charset w:val="86"/>
    <w:family w:val="auto"/>
    <w:pitch w:val="default"/>
    <w:sig w:usb0="00000287" w:usb1="080F0000" w:usb2="00000000" w:usb3="00000000" w:csb0="0004009F" w:csb1="DFD70000"/>
    <w:embedRegular r:id="rId5" w:fontKey="{6140A17B-6C47-474B-B0BC-7FE05603072E}"/>
  </w:font>
  <w:font w:name="Cambria">
    <w:panose1 w:val="02040503050406030204"/>
    <w:charset w:val="00"/>
    <w:family w:val="roman"/>
    <w:pitch w:val="default"/>
    <w:sig w:usb0="E00006FF" w:usb1="420024FF" w:usb2="02000000" w:usb3="00000000" w:csb0="2000019F" w:csb1="00000000"/>
    <w:embedRegular r:id="rId6" w:fontKey="{8AF01FBE-5266-4C1F-9F54-84AA48C27011}"/>
  </w:font>
  <w:font w:name="Arial">
    <w:panose1 w:val="020B0604020202020204"/>
    <w:charset w:val="CC"/>
    <w:family w:val="swiss"/>
    <w:pitch w:val="default"/>
    <w:sig w:usb0="E0002EFF" w:usb1="C000785B" w:usb2="00000009" w:usb3="00000000" w:csb0="400001FF" w:csb1="FFFF0000"/>
    <w:embedRegular r:id="rId7" w:fontKey="{82985A2A-AFE7-469A-8051-00BF79E5E86B}"/>
  </w:font>
  <w:font w:name="ˎ̥">
    <w:altName w:val="华文仿宋"/>
    <w:panose1 w:val="00000000000000000000"/>
    <w:charset w:val="00"/>
    <w:family w:val="roman"/>
    <w:pitch w:val="default"/>
    <w:sig w:usb0="00000000" w:usb1="00000000" w:usb2="00000000" w:usb3="00000000" w:csb0="00040001" w:csb1="00000000"/>
    <w:embedRegular r:id="rId8" w:fontKey="{BEC9A10F-2378-4A95-9DF1-F325A2602DB3}"/>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9A6F8">
    <w:pPr>
      <w:pStyle w:val="4"/>
      <w:framePr w:wrap="around" w:vAnchor="text" w:hAnchor="margin" w:xAlign="center" w:y="1"/>
      <w:rPr>
        <w:rStyle w:val="9"/>
      </w:rPr>
    </w:pPr>
    <w:r>
      <w:t xml:space="preserve">- </w:t>
    </w:r>
    <w:r>
      <w:fldChar w:fldCharType="begin"/>
    </w:r>
    <w:r>
      <w:instrText xml:space="preserve"> PAGE </w:instrText>
    </w:r>
    <w:r>
      <w:fldChar w:fldCharType="separate"/>
    </w:r>
    <w:r>
      <w:t>57</w:t>
    </w:r>
    <w:r>
      <w:fldChar w:fldCharType="end"/>
    </w:r>
    <w:r>
      <w:t xml:space="preserve"> -</w:t>
    </w:r>
  </w:p>
  <w:p w14:paraId="6B83D41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8E862">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10</w:t>
    </w:r>
    <w:r>
      <w:rPr>
        <w:rStyle w:val="9"/>
      </w:rPr>
      <w:fldChar w:fldCharType="end"/>
    </w:r>
  </w:p>
  <w:p w14:paraId="014253F1">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9C04F">
    <w:pPr>
      <w:pBdr>
        <w:top w:val="none" w:color="auto" w:sz="0" w:space="1"/>
        <w:left w:val="none" w:color="auto" w:sz="0" w:space="4"/>
        <w:bottom w:val="none" w:color="auto" w:sz="0" w:space="1"/>
        <w:right w:val="none" w:color="auto" w:sz="0" w:space="4"/>
      </w:pBdr>
      <w:tabs>
        <w:tab w:val="center" w:pos="4153"/>
        <w:tab w:val="right" w:pos="8306"/>
      </w:tabs>
      <w:snapToGrid w:val="0"/>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EF844">
    <w:pPr>
      <w:pStyle w:val="5"/>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BF41D"/>
    <w:multiLevelType w:val="multilevel"/>
    <w:tmpl w:val="A7BBF41D"/>
    <w:lvl w:ilvl="0" w:tentative="0">
      <w:start w:val="2"/>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0000000B"/>
    <w:multiLevelType w:val="multilevel"/>
    <w:tmpl w:val="0000000B"/>
    <w:lvl w:ilvl="0" w:tentative="0">
      <w:start w:val="1"/>
      <w:numFmt w:val="japaneseCounting"/>
      <w:lvlText w:val="第%1章"/>
      <w:lvlJc w:val="left"/>
      <w:pPr>
        <w:ind w:left="1080" w:hanging="108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F540BA1"/>
    <w:multiLevelType w:val="multilevel"/>
    <w:tmpl w:val="7F540BA1"/>
    <w:lvl w:ilvl="0" w:tentative="0">
      <w:start w:val="1"/>
      <w:numFmt w:val="decimal"/>
      <w:suff w:val="nothing"/>
      <w:lvlText w:val="%1、"/>
      <w:lvlJc w:val="left"/>
      <w:pPr>
        <w:ind w:left="0" w:firstLine="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7D1855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3"/>
    <w:next w:val="1"/>
    <w:link w:val="14"/>
    <w:qFormat/>
    <w:uiPriority w:val="0"/>
    <w:pPr>
      <w:spacing w:before="340" w:after="330" w:line="360" w:lineRule="auto"/>
      <w:jc w:val="center"/>
      <w:outlineLvl w:val="0"/>
    </w:pPr>
    <w:rPr>
      <w:rFonts w:eastAsia="黑体"/>
      <w:kern w:val="44"/>
      <w:szCs w:val="44"/>
    </w:rPr>
  </w:style>
  <w:style w:type="paragraph" w:styleId="3">
    <w:name w:val="heading 3"/>
    <w:basedOn w:val="1"/>
    <w:next w:val="1"/>
    <w:link w:val="10"/>
    <w:qFormat/>
    <w:uiPriority w:val="9"/>
    <w:pPr>
      <w:widowControl w:val="0"/>
      <w:spacing w:before="260" w:after="260"/>
      <w:jc w:val="both"/>
      <w:outlineLvl w:val="2"/>
    </w:pPr>
    <w:rPr>
      <w:rFonts w:ascii="宋体" w:hAnsi="宋体" w:eastAsia="宋体"/>
      <w:kern w:val="2"/>
      <w:sz w:val="21"/>
      <w:szCs w:val="32"/>
      <w:lang w:eastAsia="zh-CN"/>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link w:val="12"/>
    <w:qFormat/>
    <w:uiPriority w:val="0"/>
    <w:pPr>
      <w:widowControl w:val="0"/>
      <w:tabs>
        <w:tab w:val="center" w:pos="4153"/>
        <w:tab w:val="right" w:pos="8306"/>
      </w:tabs>
      <w:snapToGrid w:val="0"/>
    </w:pPr>
    <w:rPr>
      <w:rFonts w:eastAsia="宋体"/>
      <w:kern w:val="2"/>
      <w:sz w:val="18"/>
      <w:szCs w:val="18"/>
      <w:lang w:eastAsia="zh-CN"/>
    </w:rPr>
  </w:style>
  <w:style w:type="paragraph" w:styleId="5">
    <w:name w:val="header"/>
    <w:basedOn w:val="1"/>
    <w:next w:val="1"/>
    <w:link w:val="11"/>
    <w:qFormat/>
    <w:uiPriority w:val="99"/>
    <w:pPr>
      <w:widowControl w:val="0"/>
      <w:pBdr>
        <w:bottom w:val="single" w:color="auto" w:sz="6" w:space="1"/>
      </w:pBdr>
      <w:tabs>
        <w:tab w:val="center" w:pos="4153"/>
        <w:tab w:val="right" w:pos="8306"/>
      </w:tabs>
      <w:snapToGrid w:val="0"/>
      <w:jc w:val="center"/>
    </w:pPr>
    <w:rPr>
      <w:rFonts w:eastAsia="宋体"/>
      <w:kern w:val="2"/>
      <w:sz w:val="18"/>
      <w:szCs w:val="18"/>
      <w:lang w:eastAsia="zh-CN"/>
    </w:rPr>
  </w:style>
  <w:style w:type="table" w:styleId="7">
    <w:name w:val="Table Grid"/>
    <w:basedOn w:val="6"/>
    <w:qFormat/>
    <w:uiPriority w:val="39"/>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9">
    <w:name w:val="page number"/>
    <w:basedOn w:val="8"/>
    <w:qFormat/>
    <w:uiPriority w:val="0"/>
  </w:style>
  <w:style w:type="character" w:customStyle="1" w:styleId="10">
    <w:name w:val="标题 3 Char1"/>
    <w:link w:val="3"/>
    <w:qFormat/>
    <w:uiPriority w:val="9"/>
    <w:rPr>
      <w:rFonts w:ascii="宋体" w:hAnsi="宋体" w:eastAsia="宋体"/>
      <w:b/>
      <w:bCs/>
      <w:kern w:val="2"/>
      <w:sz w:val="28"/>
      <w:szCs w:val="32"/>
      <w:lang w:eastAsia="zh-CN"/>
    </w:rPr>
  </w:style>
  <w:style w:type="character" w:customStyle="1" w:styleId="11">
    <w:name w:val="页眉 Char"/>
    <w:link w:val="5"/>
    <w:qFormat/>
    <w:uiPriority w:val="99"/>
    <w:rPr>
      <w:rFonts w:eastAsia="宋体"/>
      <w:kern w:val="2"/>
      <w:sz w:val="18"/>
      <w:szCs w:val="18"/>
      <w:lang w:eastAsia="zh-CN"/>
    </w:rPr>
  </w:style>
  <w:style w:type="character" w:customStyle="1" w:styleId="12">
    <w:name w:val="页脚 Char"/>
    <w:link w:val="4"/>
    <w:qFormat/>
    <w:uiPriority w:val="0"/>
    <w:rPr>
      <w:rFonts w:eastAsia="宋体"/>
      <w:kern w:val="2"/>
      <w:sz w:val="18"/>
      <w:szCs w:val="18"/>
      <w:lang w:eastAsia="zh-CN"/>
    </w:rPr>
  </w:style>
  <w:style w:type="table" w:customStyle="1" w:styleId="13">
    <w:name w:val="网格型1"/>
    <w:basedOn w:val="6"/>
    <w:qFormat/>
    <w:uiPriority w:val="0"/>
    <w:pPr>
      <w:widowControl w:val="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1 Char"/>
    <w:link w:val="2"/>
    <w:qFormat/>
    <w:uiPriority w:val="0"/>
    <w:rPr>
      <w:rFonts w:ascii="宋体" w:hAnsi="宋体" w:eastAsia="黑体"/>
      <w:b/>
      <w:bCs/>
      <w:kern w:val="44"/>
      <w:sz w:val="28"/>
      <w:szCs w:val="44"/>
      <w:lang w:eastAsia="zh-CN"/>
    </w:rPr>
  </w:style>
  <w:style w:type="table" w:customStyle="1" w:styleId="15">
    <w:name w:val="typo_table"/>
    <w:basedOn w:val="6"/>
    <w:qFormat/>
    <w:uiPriority w:val="0"/>
  </w:style>
  <w:style w:type="paragraph" w:customStyle="1" w:styleId="16">
    <w:name w:val="typo_h1"/>
    <w:basedOn w:val="1"/>
    <w:uiPriority w:val="0"/>
    <w:pPr>
      <w:spacing w:line="648" w:lineRule="atLeast"/>
    </w:pPr>
    <w:rPr>
      <w:rFonts w:ascii="微软雅黑" w:hAnsi="微软雅黑" w:eastAsia="微软雅黑" w:cs="微软雅黑"/>
      <w:color w:val="333333"/>
      <w:sz w:val="48"/>
      <w:szCs w:val="48"/>
    </w:rPr>
  </w:style>
  <w:style w:type="character" w:customStyle="1" w:styleId="17">
    <w:name w:val="base"/>
    <w:basedOn w:val="8"/>
    <w:qFormat/>
    <w:uiPriority w:val="0"/>
    <w:rPr>
      <w:rFonts w:ascii="仿宋" w:hAnsi="仿宋" w:eastAsia="仿宋" w:cs="仿宋"/>
      <w:b/>
      <w:bCs/>
      <w:sz w:val="28"/>
      <w:szCs w:val="28"/>
    </w:rPr>
  </w:style>
  <w:style w:type="paragraph" w:customStyle="1" w:styleId="18">
    <w:name w:val="typo_p"/>
    <w:basedOn w:val="1"/>
    <w:qFormat/>
    <w:uiPriority w:val="0"/>
    <w:pPr>
      <w:spacing w:line="432" w:lineRule="atLeast"/>
    </w:pPr>
    <w:rPr>
      <w:rFonts w:ascii="微软雅黑" w:hAnsi="微软雅黑" w:eastAsia="微软雅黑" w:cs="微软雅黑"/>
      <w:color w:val="333333"/>
    </w:rPr>
  </w:style>
  <w:style w:type="character" w:customStyle="1" w:styleId="19">
    <w:name w:val="span"/>
    <w:basedOn w:val="8"/>
    <w:uiPriority w:val="0"/>
    <w:rPr>
      <w:rFonts w:ascii="仿宋" w:hAnsi="仿宋" w:eastAsia="仿宋" w:cs="仿宋"/>
    </w:rPr>
  </w:style>
  <w:style w:type="character" w:customStyle="1" w:styleId="20">
    <w:name w:val="underline"/>
    <w:basedOn w:val="8"/>
    <w:uiPriority w:val="0"/>
  </w:style>
  <w:style w:type="paragraph" w:customStyle="1" w:styleId="21">
    <w:name w:val="div"/>
    <w:basedOn w:val="1"/>
    <w:qFormat/>
    <w:uiPriority w:val="0"/>
    <w:pPr>
      <w:keepLines/>
      <w:spacing w:line="432" w:lineRule="atLeast"/>
    </w:pPr>
    <w:rPr>
      <w:rFonts w:ascii="微软雅黑" w:hAnsi="微软雅黑" w:eastAsia="微软雅黑" w:cs="微软雅黑"/>
      <w:color w:val="333333"/>
    </w:rPr>
  </w:style>
  <w:style w:type="character" w:customStyle="1" w:styleId="22">
    <w:name w:val="step-methods_step-item_label"/>
    <w:basedOn w:val="8"/>
    <w:qFormat/>
    <w:uiPriority w:val="0"/>
  </w:style>
  <w:style w:type="table" w:customStyle="1" w:styleId="23">
    <w:name w:val="typo_table_0"/>
    <w:basedOn w:val="6"/>
    <w:uiPriority w:val="0"/>
  </w:style>
  <w:style w:type="character" w:customStyle="1" w:styleId="24">
    <w:name w:val="strong"/>
    <w:basedOn w:val="8"/>
    <w:uiPriority w:val="0"/>
    <w:rPr>
      <w:b/>
      <w:bCs/>
      <w:color w:val="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63</Pages>
  <Words>10391</Words>
  <Characters>11053</Characters>
  <Lines>1</Lines>
  <Paragraphs>1</Paragraphs>
  <TotalTime>2</TotalTime>
  <ScaleCrop>false</ScaleCrop>
  <LinksUpToDate>false</LinksUpToDate>
  <CharactersWithSpaces>11139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2025-08-08T08:00:15Z</dcterms:created>
  <dc:creator>zan</dc:creator>
  <cp:lastModifiedBy>大白熊与小花花</cp:lastModifiedBy>
  <dcterms:modified xsi:type="dcterms:W3CDTF">2025-08-08T08:03:25Z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eyJoZGlkIjoiMjk5YTc0NzhhNjg4MmI0MTE1YWVjOTUzM2VlYjMwMTYiLCJ1c2VySWQiOiIyMTc0OTU0NzIifQ==</vt:lpwstr>
  </property>
  <property fmtid="{D5CDD505-2E9C-101B-9397-08002B2CF9AE}" pid="3" name="KSOProductBuildVer">
    <vt:lpwstr>2052-12.1.0.21915</vt:lpwstr>
  </property>
  <property fmtid="{D5CDD505-2E9C-101B-9397-08002B2CF9AE}" pid="4" name="ICV">
    <vt:lpwstr>30C5E08179644B858EE1A240C39CBC15_13</vt:lpwstr>
  </property>
</Properties>
</file>