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AD24E">
      <w:pPr>
        <w:pStyle w:val="38"/>
        <w:widowControl/>
        <w:jc w:val="center"/>
        <w:outlineLvl w:val="1"/>
        <w:rPr>
          <w:rFonts w:hint="eastAsia" w:ascii="黑体" w:hAnsi="宋体" w:eastAsia="黑体" w:cs="黑体"/>
          <w:sz w:val="40"/>
          <w:szCs w:val="40"/>
        </w:rPr>
      </w:pPr>
      <w:bookmarkStart w:id="0" w:name="_Hlk71456902"/>
    </w:p>
    <w:p w14:paraId="5C717F59">
      <w:pPr>
        <w:pStyle w:val="38"/>
        <w:widowControl/>
        <w:jc w:val="center"/>
        <w:outlineLvl w:val="1"/>
        <w:rPr>
          <w:rFonts w:hint="eastAsia" w:ascii="黑体" w:hAnsi="宋体" w:eastAsia="黑体" w:cs="黑体"/>
          <w:sz w:val="40"/>
          <w:szCs w:val="40"/>
        </w:rPr>
      </w:pPr>
    </w:p>
    <w:p w14:paraId="011249DE">
      <w:pPr>
        <w:pStyle w:val="38"/>
        <w:widowControl/>
        <w:jc w:val="center"/>
        <w:outlineLvl w:val="1"/>
        <w:rPr>
          <w:rFonts w:hint="eastAsia" w:ascii="黑体" w:hAnsi="宋体" w:eastAsia="黑体" w:cs="黑体"/>
          <w:sz w:val="40"/>
          <w:szCs w:val="40"/>
        </w:rPr>
      </w:pPr>
    </w:p>
    <w:p w14:paraId="43EDEBBF">
      <w:pPr>
        <w:pStyle w:val="38"/>
        <w:widowControl/>
        <w:jc w:val="center"/>
        <w:outlineLvl w:val="1"/>
        <w:rPr>
          <w:rFonts w:ascii="黑体" w:hAnsi="宋体" w:eastAsia="黑体" w:cs="黑体"/>
          <w:sz w:val="40"/>
          <w:szCs w:val="40"/>
        </w:rPr>
      </w:pPr>
      <w:r>
        <w:rPr>
          <w:rFonts w:hint="eastAsia" w:ascii="黑体" w:hAnsi="宋体" w:eastAsia="黑体" w:cs="黑体"/>
          <w:sz w:val="40"/>
          <w:szCs w:val="40"/>
        </w:rPr>
        <w:t>谈判文件信息</w:t>
      </w:r>
    </w:p>
    <w:tbl>
      <w:tblPr>
        <w:tblStyle w:val="43"/>
        <w:tblW w:w="7943" w:type="dxa"/>
        <w:jc w:val="center"/>
        <w:tblCellSpacing w:w="0" w:type="dxa"/>
        <w:tblLayout w:type="fixed"/>
        <w:tblCellMar>
          <w:top w:w="45" w:type="dxa"/>
          <w:left w:w="45" w:type="dxa"/>
          <w:bottom w:w="45" w:type="dxa"/>
          <w:right w:w="45" w:type="dxa"/>
        </w:tblCellMar>
      </w:tblPr>
      <w:tblGrid>
        <w:gridCol w:w="2723"/>
        <w:gridCol w:w="5220"/>
      </w:tblGrid>
      <w:tr w14:paraId="6641055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91962D4">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1292239C">
            <w:pPr>
              <w:widowControl/>
              <w:jc w:val="left"/>
              <w:rPr>
                <w:rFonts w:hint="eastAsia" w:eastAsia="宋体"/>
                <w:sz w:val="30"/>
                <w:szCs w:val="30"/>
                <w:lang w:eastAsia="zh-CN"/>
              </w:rPr>
            </w:pPr>
            <w:r>
              <w:rPr>
                <w:rFonts w:hint="eastAsia"/>
                <w:sz w:val="30"/>
                <w:szCs w:val="30"/>
              </w:rPr>
              <w:t>LGZXCG-2025-0000</w:t>
            </w:r>
            <w:r>
              <w:rPr>
                <w:rFonts w:hint="eastAsia"/>
                <w:sz w:val="30"/>
                <w:szCs w:val="30"/>
                <w:lang w:val="en-US" w:eastAsia="zh-CN"/>
              </w:rPr>
              <w:t>4</w:t>
            </w:r>
          </w:p>
        </w:tc>
      </w:tr>
      <w:tr w14:paraId="4534B85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0A05A6E">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6FBA7CB4">
            <w:pPr>
              <w:widowControl/>
              <w:jc w:val="left"/>
              <w:rPr>
                <w:rFonts w:hint="eastAsia" w:ascii="宋体" w:hAnsi="宋体" w:eastAsia="宋体" w:cs="宋体"/>
                <w:kern w:val="0"/>
                <w:sz w:val="30"/>
                <w:szCs w:val="30"/>
                <w:lang w:val="en-US" w:eastAsia="zh-CN" w:bidi="ar"/>
              </w:rPr>
            </w:pPr>
            <w:r>
              <w:rPr>
                <w:rFonts w:hint="eastAsia" w:ascii="宋体" w:hAnsi="宋体" w:eastAsia="宋体" w:cs="宋体"/>
                <w:kern w:val="0"/>
                <w:sz w:val="30"/>
                <w:szCs w:val="30"/>
                <w:lang w:bidi="ar"/>
              </w:rPr>
              <w:t>深圳市公安局龙岗分局大数据汇聚平台查询等服务采购项目</w:t>
            </w:r>
          </w:p>
        </w:tc>
      </w:tr>
      <w:tr w14:paraId="64C5C1B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36F464B">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08C3BB87">
            <w:pPr>
              <w:widowControl/>
              <w:jc w:val="left"/>
              <w:rPr>
                <w:sz w:val="30"/>
                <w:szCs w:val="30"/>
              </w:rPr>
            </w:pPr>
            <w:r>
              <w:rPr>
                <w:rFonts w:ascii="宋体" w:hAnsi="宋体" w:cs="宋体"/>
                <w:kern w:val="0"/>
                <w:sz w:val="30"/>
                <w:szCs w:val="30"/>
                <w:lang w:bidi="ar"/>
              </w:rPr>
              <w:t>A</w:t>
            </w:r>
          </w:p>
        </w:tc>
      </w:tr>
      <w:tr w14:paraId="4861EEBC">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B87DAF7">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141C7D77">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598B63E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1DB10F6">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0D687E3D">
            <w:pPr>
              <w:widowControl/>
              <w:jc w:val="left"/>
              <w:rPr>
                <w:rFonts w:hint="default" w:eastAsia="宋体"/>
                <w:sz w:val="30"/>
                <w:szCs w:val="30"/>
                <w:lang w:val="en-US" w:eastAsia="zh-CN"/>
              </w:rPr>
            </w:pPr>
            <w:r>
              <w:rPr>
                <w:rFonts w:hint="eastAsia"/>
                <w:sz w:val="30"/>
                <w:szCs w:val="30"/>
                <w:lang w:val="en-US" w:eastAsia="zh-CN"/>
              </w:rPr>
              <w:t>邀请竞标</w:t>
            </w:r>
          </w:p>
        </w:tc>
      </w:tr>
      <w:tr w14:paraId="280D9795">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392FA9A">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01CC54B3">
            <w:pPr>
              <w:widowControl/>
              <w:jc w:val="left"/>
              <w:rPr>
                <w:sz w:val="30"/>
                <w:szCs w:val="30"/>
              </w:rPr>
            </w:pPr>
            <w:r>
              <w:rPr>
                <w:rFonts w:ascii="宋体" w:hAnsi="宋体" w:cs="宋体"/>
                <w:kern w:val="0"/>
                <w:sz w:val="30"/>
                <w:szCs w:val="30"/>
                <w:lang w:bidi="ar"/>
              </w:rPr>
              <w:t>人民币</w:t>
            </w:r>
          </w:p>
        </w:tc>
      </w:tr>
      <w:tr w14:paraId="37CE2C09">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AC74DA2">
            <w:pPr>
              <w:widowControl/>
              <w:jc w:val="right"/>
              <w:rPr>
                <w:sz w:val="30"/>
                <w:szCs w:val="30"/>
              </w:rPr>
            </w:pPr>
            <w:r>
              <w:rPr>
                <w:rFonts w:hint="eastAsia" w:ascii="宋体" w:hAnsi="宋体" w:cs="宋体"/>
                <w:kern w:val="0"/>
                <w:sz w:val="30"/>
                <w:szCs w:val="30"/>
                <w:lang w:bidi="ar"/>
              </w:rPr>
              <w:t>评审</w:t>
            </w:r>
            <w:r>
              <w:rPr>
                <w:rFonts w:ascii="宋体" w:hAnsi="宋体" w:cs="宋体"/>
                <w:kern w:val="0"/>
                <w:sz w:val="30"/>
                <w:szCs w:val="30"/>
                <w:lang w:bidi="ar"/>
              </w:rPr>
              <w:t>方法：</w:t>
            </w:r>
          </w:p>
        </w:tc>
        <w:tc>
          <w:tcPr>
            <w:tcW w:w="5220" w:type="dxa"/>
            <w:shd w:val="clear" w:color="auto" w:fill="auto"/>
            <w:vAlign w:val="center"/>
          </w:tcPr>
          <w:p w14:paraId="71C663D1">
            <w:pPr>
              <w:widowControl/>
              <w:jc w:val="left"/>
              <w:rPr>
                <w:sz w:val="30"/>
                <w:szCs w:val="30"/>
              </w:rPr>
            </w:pPr>
            <w:r>
              <w:rPr>
                <w:rFonts w:hint="eastAsia" w:ascii="宋体" w:hAnsi="宋体" w:cs="宋体"/>
                <w:kern w:val="0"/>
                <w:sz w:val="30"/>
                <w:szCs w:val="30"/>
                <w:lang w:bidi="ar"/>
              </w:rPr>
              <w:t>最低价法</w:t>
            </w:r>
          </w:p>
        </w:tc>
      </w:tr>
      <w:bookmarkEnd w:id="0"/>
    </w:tbl>
    <w:p w14:paraId="30D18E2E">
      <w:pPr>
        <w:pStyle w:val="38"/>
        <w:widowControl/>
        <w:jc w:val="center"/>
        <w:outlineLvl w:val="1"/>
        <w:rPr>
          <w:rFonts w:hint="eastAsia" w:ascii="黑体" w:hAnsi="宋体" w:eastAsia="黑体" w:cs="黑体"/>
          <w:sz w:val="40"/>
          <w:szCs w:val="40"/>
        </w:rPr>
      </w:pPr>
    </w:p>
    <w:p w14:paraId="79E6F5E5">
      <w:pPr>
        <w:pStyle w:val="38"/>
        <w:widowControl/>
        <w:jc w:val="center"/>
        <w:outlineLvl w:val="1"/>
        <w:rPr>
          <w:rFonts w:hint="eastAsia" w:ascii="黑体" w:hAnsi="宋体" w:eastAsia="黑体" w:cs="黑体"/>
          <w:sz w:val="40"/>
          <w:szCs w:val="40"/>
        </w:rPr>
        <w:sectPr>
          <w:headerReference r:id="rId3" w:type="first"/>
          <w:footerReference r:id="rId4" w:type="default"/>
          <w:footerReference r:id="rId5" w:type="even"/>
          <w:pgSz w:w="11907" w:h="16840"/>
          <w:pgMar w:top="1440" w:right="1418" w:bottom="1440" w:left="1418" w:header="851" w:footer="992" w:gutter="0"/>
          <w:cols w:space="425" w:num="1"/>
          <w:titlePg/>
          <w:docGrid w:linePitch="462" w:charSpace="0"/>
        </w:sectPr>
      </w:pPr>
    </w:p>
    <w:p w14:paraId="6334CAE7">
      <w:pPr>
        <w:pStyle w:val="38"/>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43"/>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7E264C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1EE8708">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7E04BE8">
            <w:pPr>
              <w:widowControl/>
              <w:jc w:val="center"/>
              <w:rPr>
                <w:sz w:val="28"/>
                <w:szCs w:val="28"/>
              </w:rPr>
            </w:pPr>
            <w:r>
              <w:rPr>
                <w:rFonts w:ascii="宋体" w:hAnsi="宋体" w:cs="宋体"/>
                <w:kern w:val="0"/>
                <w:sz w:val="28"/>
                <w:szCs w:val="28"/>
                <w:lang w:bidi="ar"/>
              </w:rPr>
              <w:t>内容</w:t>
            </w:r>
          </w:p>
        </w:tc>
      </w:tr>
      <w:tr w14:paraId="483487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53D04EC">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A5DCC7E">
            <w:pPr>
              <w:widowControl/>
              <w:jc w:val="left"/>
              <w:textAlignment w:val="top"/>
              <w:rPr>
                <w:szCs w:val="21"/>
              </w:rPr>
            </w:pPr>
            <w:r>
              <w:rPr>
                <w:szCs w:val="21"/>
              </w:rPr>
              <w:t>供应商不符合项目资格要求，或未提交相应的资格证明资料</w:t>
            </w:r>
            <w:r>
              <w:rPr>
                <w:rFonts w:ascii="宋体" w:hAnsi="宋体" w:cs="宋体"/>
                <w:kern w:val="0"/>
                <w:szCs w:val="21"/>
                <w:lang w:bidi="ar"/>
              </w:rPr>
              <w:t>（详见</w:t>
            </w:r>
            <w:r>
              <w:rPr>
                <w:rFonts w:hint="eastAsia" w:ascii="宋体" w:hAnsi="宋体" w:cs="宋体"/>
                <w:kern w:val="0"/>
                <w:szCs w:val="21"/>
                <w:lang w:bidi="ar"/>
              </w:rPr>
              <w:t>谈判公告</w:t>
            </w:r>
            <w:r>
              <w:rPr>
                <w:rFonts w:hint="eastAsia" w:ascii="宋体" w:hAnsi="宋体" w:cs="宋体"/>
                <w:szCs w:val="21"/>
                <w:lang w:bidi="ar"/>
              </w:rPr>
              <w:t>供应商</w:t>
            </w:r>
            <w:r>
              <w:rPr>
                <w:rFonts w:hint="eastAsia" w:ascii="宋体" w:hAnsi="宋体"/>
                <w:szCs w:val="21"/>
              </w:rPr>
              <w:t>资格要求，即申请人的资格要求</w:t>
            </w:r>
            <w:r>
              <w:rPr>
                <w:rFonts w:ascii="宋体" w:hAnsi="宋体" w:cs="宋体"/>
                <w:kern w:val="0"/>
                <w:szCs w:val="21"/>
                <w:lang w:bidi="ar"/>
              </w:rPr>
              <w:t>）</w:t>
            </w:r>
            <w:r>
              <w:rPr>
                <w:szCs w:val="21"/>
              </w:rPr>
              <w:t>；</w:t>
            </w:r>
          </w:p>
        </w:tc>
      </w:tr>
      <w:tr w14:paraId="6AFA2D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CEFB374">
            <w:pPr>
              <w:widowControl/>
              <w:jc w:val="center"/>
              <w:textAlignment w:val="top"/>
              <w:rPr>
                <w:rFonts w:ascii="宋体" w:hAnsi="宋体" w:cs="宋体"/>
                <w:kern w:val="0"/>
                <w:szCs w:val="21"/>
                <w:lang w:bidi="ar"/>
              </w:rPr>
            </w:pPr>
            <w:r>
              <w:rPr>
                <w:rFonts w:hint="eastAsia"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25FFB0E">
            <w:pPr>
              <w:widowControl/>
              <w:jc w:val="left"/>
              <w:textAlignment w:val="top"/>
              <w:rPr>
                <w:rFonts w:ascii="宋体" w:hAnsi="宋体" w:cs="宋体"/>
                <w:kern w:val="0"/>
                <w:szCs w:val="21"/>
                <w:lang w:bidi="ar"/>
              </w:rPr>
            </w:pPr>
            <w:r>
              <w:rPr>
                <w:rFonts w:hint="eastAsia" w:ascii="宋体" w:hAnsi="宋体" w:cs="宋体"/>
                <w:kern w:val="0"/>
                <w:szCs w:val="21"/>
                <w:lang w:bidi="ar"/>
              </w:rPr>
              <w:t>供应商缺席谈判的；</w:t>
            </w:r>
          </w:p>
        </w:tc>
      </w:tr>
    </w:tbl>
    <w:p w14:paraId="19781F7F">
      <w:pPr>
        <w:pStyle w:val="38"/>
        <w:widowControl/>
        <w:spacing w:before="280" w:beforeAutospacing="0"/>
        <w:jc w:val="center"/>
        <w:outlineLvl w:val="1"/>
        <w:rPr>
          <w:rFonts w:ascii="黑体" w:hAnsi="宋体" w:eastAsia="黑体" w:cs="黑体"/>
          <w:sz w:val="40"/>
          <w:szCs w:val="40"/>
        </w:rPr>
      </w:pPr>
      <w:r>
        <w:rPr>
          <w:rFonts w:hint="eastAsia" w:ascii="黑体" w:hAnsi="宋体" w:eastAsia="黑体" w:cs="黑体"/>
          <w:sz w:val="40"/>
          <w:szCs w:val="40"/>
        </w:rPr>
        <w:t>符合性审查表</w:t>
      </w:r>
    </w:p>
    <w:tbl>
      <w:tblPr>
        <w:tblStyle w:val="43"/>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7FC2E7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438DA55">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D70797E">
            <w:pPr>
              <w:widowControl/>
              <w:jc w:val="center"/>
              <w:rPr>
                <w:sz w:val="28"/>
                <w:szCs w:val="28"/>
              </w:rPr>
            </w:pPr>
            <w:r>
              <w:rPr>
                <w:rFonts w:ascii="宋体" w:hAnsi="宋体" w:cs="宋体"/>
                <w:kern w:val="0"/>
                <w:sz w:val="28"/>
                <w:szCs w:val="28"/>
                <w:lang w:bidi="ar"/>
              </w:rPr>
              <w:t>内容</w:t>
            </w:r>
          </w:p>
        </w:tc>
      </w:tr>
      <w:tr w14:paraId="323FA2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E9B8885">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BB064F8">
            <w:pPr>
              <w:widowControl/>
              <w:jc w:val="left"/>
              <w:textAlignment w:val="top"/>
              <w:rPr>
                <w:szCs w:val="21"/>
              </w:rPr>
            </w:pPr>
            <w:r>
              <w:rPr>
                <w:rFonts w:hint="eastAsia"/>
                <w:lang w:val="en-US" w:eastAsia="zh-CN"/>
              </w:rPr>
              <w:t>不得</w:t>
            </w:r>
            <w:r>
              <w:rPr>
                <w:rFonts w:hint="eastAsia"/>
              </w:rPr>
              <w:t>将一个包的内容拆开进行应答；</w:t>
            </w:r>
          </w:p>
        </w:tc>
      </w:tr>
      <w:tr w14:paraId="1B0BA1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E0A572D">
            <w:pPr>
              <w:widowControl/>
              <w:jc w:val="center"/>
              <w:textAlignment w:val="top"/>
              <w:rPr>
                <w:rFonts w:ascii="宋体" w:hAnsi="宋体" w:cs="宋体"/>
                <w:kern w:val="0"/>
                <w:szCs w:val="21"/>
                <w:lang w:bidi="ar"/>
              </w:rPr>
            </w:pPr>
            <w:r>
              <w:rPr>
                <w:rFonts w:hint="eastAsia"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7F946DA">
            <w:pPr>
              <w:widowControl/>
              <w:jc w:val="left"/>
              <w:textAlignment w:val="top"/>
            </w:pPr>
            <w:r>
              <w:rPr>
                <w:rFonts w:hint="eastAsia"/>
                <w:szCs w:val="21"/>
                <w:lang w:val="en-US" w:eastAsia="zh-CN"/>
              </w:rPr>
              <w:t>不得</w:t>
            </w:r>
            <w:r>
              <w:rPr>
                <w:szCs w:val="21"/>
              </w:rPr>
              <w:t>以他人的名义参与谈判、相互串通进行谈判、以行贿手段谋取成交或者以其他弄虚作假方式谈判；</w:t>
            </w:r>
          </w:p>
        </w:tc>
      </w:tr>
      <w:tr w14:paraId="69DABA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E8F8902">
            <w:pPr>
              <w:widowControl/>
              <w:jc w:val="center"/>
              <w:textAlignment w:val="top"/>
              <w:rPr>
                <w:szCs w:val="21"/>
              </w:rPr>
            </w:pPr>
            <w:r>
              <w:rPr>
                <w:rFonts w:hint="eastAsia"/>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116B05B">
            <w:pPr>
              <w:widowControl/>
              <w:jc w:val="left"/>
              <w:textAlignment w:val="top"/>
              <w:rPr>
                <w:szCs w:val="21"/>
              </w:rPr>
            </w:pPr>
            <w:r>
              <w:rPr>
                <w:rFonts w:hint="eastAsia"/>
                <w:lang w:val="en-US" w:eastAsia="zh-CN"/>
              </w:rPr>
              <w:t>不得</w:t>
            </w:r>
            <w:r>
              <w:rPr>
                <w:rFonts w:hint="eastAsia"/>
              </w:rPr>
              <w:t>对同一项目提供两套以上的应答方案（谈判文件另有规定的除外）；</w:t>
            </w:r>
          </w:p>
        </w:tc>
      </w:tr>
      <w:tr w14:paraId="57B7F9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A75B792">
            <w:pPr>
              <w:widowControl/>
              <w:jc w:val="center"/>
              <w:textAlignment w:val="top"/>
              <w:rPr>
                <w:szCs w:val="21"/>
              </w:rPr>
            </w:pPr>
            <w:r>
              <w:rPr>
                <w:rFonts w:hint="eastAsia"/>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FC8BBD0">
            <w:pPr>
              <w:widowControl/>
              <w:jc w:val="left"/>
              <w:textAlignment w:val="top"/>
              <w:rPr>
                <w:szCs w:val="21"/>
              </w:rPr>
            </w:pPr>
            <w:r>
              <w:rPr>
                <w:rFonts w:hint="eastAsia"/>
              </w:rPr>
              <w:t>分项报价或谈判应答总价</w:t>
            </w:r>
            <w:r>
              <w:rPr>
                <w:rFonts w:hint="eastAsia"/>
                <w:lang w:val="en-US" w:eastAsia="zh-CN"/>
              </w:rPr>
              <w:t>不得</w:t>
            </w:r>
            <w:r>
              <w:rPr>
                <w:rFonts w:hint="eastAsia"/>
              </w:rPr>
              <w:t>高于</w:t>
            </w:r>
            <w:bookmarkStart w:id="1" w:name="_Hlk71832186"/>
            <w:r>
              <w:rPr>
                <w:rFonts w:hint="eastAsia"/>
              </w:rPr>
              <w:t>相应的预算金额（或设定的预算金额下的最高限价）</w:t>
            </w:r>
            <w:bookmarkEnd w:id="1"/>
            <w:r>
              <w:rPr>
                <w:rFonts w:hint="eastAsia"/>
              </w:rPr>
              <w:t>；</w:t>
            </w:r>
          </w:p>
        </w:tc>
      </w:tr>
      <w:tr w14:paraId="1E522C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C391424">
            <w:pPr>
              <w:widowControl/>
              <w:jc w:val="center"/>
              <w:textAlignment w:val="top"/>
              <w:rPr>
                <w:szCs w:val="21"/>
              </w:rPr>
            </w:pPr>
            <w:r>
              <w:rPr>
                <w:rFonts w:hint="eastAsia"/>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947A522">
            <w:pPr>
              <w:widowControl/>
              <w:jc w:val="left"/>
              <w:textAlignment w:val="top"/>
              <w:rPr>
                <w:szCs w:val="21"/>
              </w:rPr>
            </w:pPr>
            <w:r>
              <w:rPr>
                <w:rFonts w:hint="eastAsia"/>
              </w:rPr>
              <w:t>谈判小组认为谈判供应商的报价明显低于其他通过符合性审查谈判供应商的报价，有可能影响产品质量或者不能诚信履约的，应当要求其在谈判现场合理的时间内提供书面说明，必要时提交相关证明材料；在此情况下，谈判供应商仍不能证明其报价合理性的（谈判小组成员对谈判供应商提供的说明材料判断不一致的，按照“少数服从多数”的原则确定谈判小组的意见）；</w:t>
            </w:r>
          </w:p>
        </w:tc>
      </w:tr>
      <w:tr w14:paraId="103229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831367C">
            <w:pPr>
              <w:widowControl/>
              <w:jc w:val="center"/>
              <w:textAlignment w:val="top"/>
              <w:rPr>
                <w:szCs w:val="21"/>
              </w:rPr>
            </w:pPr>
            <w:r>
              <w:rPr>
                <w:rFonts w:hint="eastAsia"/>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FDAA942">
            <w:pPr>
              <w:widowControl/>
              <w:jc w:val="left"/>
              <w:textAlignment w:val="top"/>
              <w:rPr>
                <w:szCs w:val="21"/>
              </w:rPr>
            </w:pPr>
            <w:r>
              <w:rPr>
                <w:rFonts w:hint="eastAsia"/>
              </w:rPr>
              <w:t>所投货物、服务在技术、商务等方面没有实质性满足谈判文件要求的（是否实质性满足谈判文件要求，由谈判小组根据实质性条款响应情况做出评判）；</w:t>
            </w:r>
          </w:p>
        </w:tc>
      </w:tr>
      <w:tr w14:paraId="176134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6602C4E">
            <w:pPr>
              <w:widowControl/>
              <w:jc w:val="center"/>
              <w:textAlignment w:val="top"/>
              <w:rPr>
                <w:szCs w:val="21"/>
              </w:rPr>
            </w:pPr>
            <w:r>
              <w:rPr>
                <w:rFonts w:hint="eastAsia"/>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C60A2B3">
            <w:pPr>
              <w:widowControl/>
              <w:jc w:val="left"/>
              <w:textAlignment w:val="top"/>
              <w:rPr>
                <w:szCs w:val="21"/>
              </w:rPr>
            </w:pPr>
            <w:r>
              <w:rPr>
                <w:rFonts w:hint="eastAsia"/>
              </w:rPr>
              <w:t>未按谈判文件所提供的样式填写《应答书》；未按谈判文件所提供的《政府采购应答及履约承诺函》进行承诺或不符合承诺的；未按谈判文件对应答文件组成的要求提供应答文件；</w:t>
            </w:r>
          </w:p>
        </w:tc>
      </w:tr>
      <w:tr w14:paraId="56C9A6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717061F">
            <w:pPr>
              <w:widowControl/>
              <w:jc w:val="center"/>
              <w:textAlignment w:val="top"/>
              <w:rPr>
                <w:szCs w:val="21"/>
              </w:rPr>
            </w:pPr>
            <w:r>
              <w:rPr>
                <w:rFonts w:hint="eastAsia"/>
                <w:szCs w:val="21"/>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729605F">
            <w:pPr>
              <w:widowControl/>
              <w:jc w:val="left"/>
              <w:textAlignment w:val="top"/>
              <w:rPr>
                <w:szCs w:val="21"/>
              </w:rPr>
            </w:pPr>
            <w:r>
              <w:rPr>
                <w:rFonts w:hint="eastAsia" w:ascii="Times New Roman" w:eastAsia="宋体"/>
                <w:color w:val="auto"/>
                <w:lang w:val="en-US" w:eastAsia="zh-CN"/>
              </w:rPr>
              <w:t>采购标的/服务清单/报价等任意一类有缺漏项或响应不全，</w:t>
            </w:r>
            <w:r>
              <w:rPr>
                <w:rFonts w:hint="eastAsia"/>
              </w:rPr>
              <w:t>或者对谈判文件规定的项目需求内容或者需求数量进行修改</w:t>
            </w:r>
            <w:r>
              <w:rPr>
                <w:rFonts w:hint="eastAsia"/>
                <w:szCs w:val="21"/>
              </w:rPr>
              <w:t>，谈判小组判定谈判响应不满足谈判需求</w:t>
            </w:r>
            <w:r>
              <w:rPr>
                <w:rFonts w:hint="eastAsia"/>
              </w:rPr>
              <w:t>；</w:t>
            </w:r>
          </w:p>
        </w:tc>
      </w:tr>
      <w:tr w14:paraId="530132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A3B25F3">
            <w:pPr>
              <w:widowControl/>
              <w:jc w:val="center"/>
              <w:textAlignment w:val="top"/>
              <w:rPr>
                <w:szCs w:val="21"/>
              </w:rPr>
            </w:pPr>
            <w:r>
              <w:rPr>
                <w:rFonts w:hint="eastAsia"/>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4B92E1A">
            <w:pPr>
              <w:widowControl/>
              <w:jc w:val="left"/>
              <w:textAlignment w:val="top"/>
              <w:rPr>
                <w:szCs w:val="21"/>
              </w:rPr>
            </w:pPr>
            <w:r>
              <w:rPr>
                <w:rFonts w:hint="eastAsia"/>
              </w:rPr>
              <w:t>谈判应答附有采购人或谈判小组不能接受的条件；</w:t>
            </w:r>
          </w:p>
        </w:tc>
      </w:tr>
      <w:tr w14:paraId="0F7B21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0CEAC19">
            <w:pPr>
              <w:widowControl/>
              <w:jc w:val="center"/>
              <w:textAlignment w:val="top"/>
              <w:rPr>
                <w:rFonts w:ascii="宋体" w:hAnsi="宋体" w:cs="宋体"/>
                <w:kern w:val="0"/>
                <w:szCs w:val="21"/>
                <w:lang w:bidi="ar"/>
              </w:rPr>
            </w:pPr>
            <w:r>
              <w:rPr>
                <w:rFonts w:hint="eastAsia"/>
              </w:rPr>
              <w:t>10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E66C677">
            <w:pPr>
              <w:widowControl/>
              <w:jc w:val="left"/>
              <w:textAlignment w:val="top"/>
            </w:pPr>
            <w:r>
              <w:rPr>
                <w:rFonts w:hint="eastAsia"/>
              </w:rPr>
              <w:t>应答文件电子文档</w:t>
            </w:r>
            <w:r>
              <w:rPr>
                <w:rFonts w:hint="eastAsia"/>
                <w:lang w:val="en-US" w:eastAsia="zh-CN"/>
              </w:rPr>
              <w:t>不得</w:t>
            </w:r>
            <w:r>
              <w:rPr>
                <w:rFonts w:hint="eastAsia"/>
              </w:rPr>
              <w:t>带病毒；</w:t>
            </w:r>
          </w:p>
        </w:tc>
      </w:tr>
      <w:tr w14:paraId="750F2C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4A6BF77">
            <w:pPr>
              <w:widowControl/>
              <w:jc w:val="center"/>
              <w:textAlignment w:val="top"/>
              <w:rPr>
                <w:szCs w:val="21"/>
              </w:rPr>
            </w:pPr>
            <w:r>
              <w:rPr>
                <w:rFonts w:hint="eastAsia"/>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4C2455C">
            <w:pPr>
              <w:widowControl/>
              <w:jc w:val="left"/>
              <w:textAlignment w:val="top"/>
              <w:rPr>
                <w:szCs w:val="21"/>
              </w:rPr>
            </w:pPr>
            <w:r>
              <w:rPr>
                <w:rFonts w:hint="eastAsia"/>
              </w:rPr>
              <w:t>应答文件用不属于本公司的电子密钥或电子营业执照进行加密的；</w:t>
            </w:r>
          </w:p>
        </w:tc>
      </w:tr>
      <w:tr w14:paraId="773524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82330CF">
            <w:pPr>
              <w:widowControl/>
              <w:jc w:val="center"/>
              <w:textAlignment w:val="top"/>
              <w:rPr>
                <w:rFonts w:hint="default" w:eastAsia="宋体"/>
                <w:szCs w:val="21"/>
                <w:lang w:val="en-US" w:eastAsia="zh-CN"/>
              </w:rPr>
            </w:pPr>
            <w:r>
              <w:rPr>
                <w:rFonts w:hint="eastAsia"/>
                <w:szCs w:val="21"/>
                <w:lang w:val="en-US" w:eastAsia="zh-CN"/>
              </w:rPr>
              <w:t>12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B523F6E">
            <w:pPr>
              <w:widowControl/>
              <w:jc w:val="left"/>
              <w:textAlignment w:val="top"/>
              <w:rPr>
                <w:szCs w:val="21"/>
              </w:rPr>
            </w:pPr>
            <w:r>
              <w:rPr>
                <w:rFonts w:hint="eastAsia" w:ascii="Times New Roman" w:hAnsi="Times New Roman" w:eastAsia="宋体" w:cs="Times New Roman"/>
                <w:sz w:val="21"/>
                <w:szCs w:val="24"/>
              </w:rPr>
              <w:t>不同供应商</w:t>
            </w:r>
            <w:r>
              <w:rPr>
                <w:rFonts w:hint="eastAsia" w:eastAsia="宋体" w:cs="Times New Roman"/>
                <w:sz w:val="21"/>
                <w:szCs w:val="24"/>
                <w:lang w:val="en-US" w:eastAsia="zh-CN"/>
              </w:rPr>
              <w:t>应答</w:t>
            </w:r>
            <w:r>
              <w:rPr>
                <w:rFonts w:hint="eastAsia" w:ascii="Times New Roman" w:hAnsi="Times New Roman" w:eastAsia="宋体" w:cs="Times New Roman"/>
                <w:sz w:val="21"/>
                <w:szCs w:val="24"/>
              </w:rPr>
              <w:t>文件“文件制作机器码”一致</w:t>
            </w:r>
            <w:r>
              <w:rPr>
                <w:rFonts w:hint="eastAsia" w:ascii="Times New Roman" w:hAnsi="Times New Roman" w:eastAsia="宋体" w:cs="Times New Roman"/>
                <w:sz w:val="21"/>
                <w:szCs w:val="24"/>
                <w:lang w:eastAsia="zh-CN"/>
              </w:rPr>
              <w:t>；</w:t>
            </w:r>
          </w:p>
        </w:tc>
      </w:tr>
      <w:tr w14:paraId="56CC5D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BE10D8D">
            <w:pPr>
              <w:widowControl/>
              <w:jc w:val="center"/>
              <w:textAlignment w:val="top"/>
              <w:rPr>
                <w:rFonts w:hint="default" w:eastAsia="宋体"/>
                <w:szCs w:val="21"/>
                <w:lang w:val="en-US" w:eastAsia="zh-CN"/>
              </w:rPr>
            </w:pPr>
            <w:r>
              <w:rPr>
                <w:rFonts w:hint="eastAsia"/>
                <w:szCs w:val="21"/>
                <w:lang w:val="en-US" w:eastAsia="zh-CN"/>
              </w:rPr>
              <w:t>13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41F0AA4">
            <w:pPr>
              <w:widowControl/>
              <w:jc w:val="left"/>
              <w:textAlignment w:val="top"/>
              <w:rPr>
                <w:szCs w:val="21"/>
              </w:rPr>
            </w:pPr>
            <w:r>
              <w:rPr>
                <w:rFonts w:hint="eastAsia" w:ascii="Times New Roman" w:hAnsi="Times New Roman" w:eastAsia="宋体" w:cs="Times New Roman"/>
                <w:sz w:val="21"/>
                <w:szCs w:val="24"/>
              </w:rPr>
              <w:t>不同供应商</w:t>
            </w:r>
            <w:r>
              <w:rPr>
                <w:rFonts w:hint="eastAsia" w:eastAsia="宋体" w:cs="Times New Roman"/>
                <w:sz w:val="21"/>
                <w:szCs w:val="24"/>
                <w:lang w:val="en-US" w:eastAsia="zh-CN"/>
              </w:rPr>
              <w:t>应答</w:t>
            </w:r>
            <w:r>
              <w:rPr>
                <w:rFonts w:hint="eastAsia" w:ascii="Times New Roman" w:hAnsi="Times New Roman" w:eastAsia="宋体" w:cs="Times New Roman"/>
                <w:sz w:val="21"/>
                <w:szCs w:val="24"/>
              </w:rPr>
              <w:t>文件“文件创建标识码”一致</w:t>
            </w:r>
            <w:r>
              <w:rPr>
                <w:rFonts w:hint="eastAsia" w:ascii="Times New Roman" w:hAnsi="Times New Roman" w:eastAsia="宋体" w:cs="Times New Roman"/>
                <w:sz w:val="21"/>
                <w:szCs w:val="24"/>
                <w:lang w:eastAsia="zh-CN"/>
              </w:rPr>
              <w:t>；</w:t>
            </w:r>
          </w:p>
        </w:tc>
      </w:tr>
      <w:tr w14:paraId="012AAD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E693DFE">
            <w:pPr>
              <w:widowControl/>
              <w:jc w:val="center"/>
              <w:textAlignment w:val="top"/>
              <w:rPr>
                <w:rFonts w:hint="default" w:eastAsia="宋体"/>
                <w:szCs w:val="21"/>
                <w:lang w:val="en-US" w:eastAsia="zh-CN"/>
              </w:rPr>
            </w:pPr>
            <w:r>
              <w:rPr>
                <w:rFonts w:hint="eastAsia"/>
                <w:lang w:val="en-US" w:eastAsia="zh-CN"/>
              </w:rPr>
              <w:t>14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47EFC7B">
            <w:pPr>
              <w:widowControl/>
              <w:jc w:val="left"/>
              <w:textAlignment w:val="top"/>
              <w:rPr>
                <w:szCs w:val="21"/>
              </w:rPr>
            </w:pPr>
            <w:r>
              <w:rPr>
                <w:rFonts w:hint="eastAsia"/>
              </w:rPr>
              <w:t>法律、法规、规章、规范性文件规定的其他情形。</w:t>
            </w:r>
          </w:p>
        </w:tc>
      </w:tr>
    </w:tbl>
    <w:p w14:paraId="0880A4E9">
      <w:pPr>
        <w:pStyle w:val="38"/>
        <w:widowControl/>
        <w:jc w:val="center"/>
        <w:outlineLvl w:val="1"/>
        <w:rPr>
          <w:rFonts w:hint="eastAsia" w:ascii="黑体" w:hAnsi="宋体" w:eastAsia="黑体" w:cs="黑体"/>
          <w:sz w:val="40"/>
          <w:szCs w:val="40"/>
        </w:rPr>
        <w:sectPr>
          <w:pgSz w:w="11907" w:h="16840"/>
          <w:pgMar w:top="1440" w:right="1418" w:bottom="1440" w:left="1418" w:header="851" w:footer="992" w:gutter="0"/>
          <w:cols w:space="425" w:num="1"/>
          <w:titlePg/>
          <w:docGrid w:linePitch="462" w:charSpace="0"/>
        </w:sectPr>
      </w:pPr>
    </w:p>
    <w:p w14:paraId="5F1497E3">
      <w:pPr>
        <w:rPr>
          <w:b/>
          <w:sz w:val="84"/>
          <w:szCs w:val="84"/>
        </w:rPr>
      </w:pPr>
    </w:p>
    <w:p w14:paraId="717AFC72">
      <w:pPr>
        <w:jc w:val="center"/>
        <w:rPr>
          <w:b/>
          <w:sz w:val="84"/>
          <w:szCs w:val="84"/>
        </w:rPr>
      </w:pPr>
    </w:p>
    <w:p w14:paraId="5663D566">
      <w:pPr>
        <w:jc w:val="center"/>
        <w:rPr>
          <w:b/>
          <w:sz w:val="120"/>
          <w:szCs w:val="120"/>
        </w:rPr>
      </w:pPr>
      <w:r>
        <w:rPr>
          <w:rFonts w:hint="eastAsia"/>
          <w:b/>
          <w:sz w:val="120"/>
          <w:szCs w:val="120"/>
        </w:rPr>
        <w:t>政府采购</w:t>
      </w:r>
    </w:p>
    <w:p w14:paraId="37C4FD9E">
      <w:pPr>
        <w:jc w:val="center"/>
        <w:rPr>
          <w:b/>
          <w:sz w:val="120"/>
          <w:szCs w:val="120"/>
        </w:rPr>
      </w:pPr>
      <w:r>
        <w:rPr>
          <w:rFonts w:hint="eastAsia"/>
          <w:b/>
          <w:sz w:val="120"/>
          <w:szCs w:val="120"/>
        </w:rPr>
        <w:t>谈判文件</w:t>
      </w:r>
    </w:p>
    <w:p w14:paraId="10D29EC5">
      <w:pPr>
        <w:jc w:val="center"/>
        <w:rPr>
          <w:b/>
          <w:sz w:val="52"/>
          <w:szCs w:val="52"/>
        </w:rPr>
      </w:pPr>
      <w:r>
        <w:rPr>
          <w:rFonts w:hint="eastAsia"/>
          <w:b/>
          <w:sz w:val="52"/>
          <w:szCs w:val="52"/>
        </w:rPr>
        <w:t>（服务类）</w:t>
      </w:r>
    </w:p>
    <w:p w14:paraId="420A64C8"/>
    <w:p w14:paraId="723E83F3"/>
    <w:p w14:paraId="63B21D89"/>
    <w:p w14:paraId="4C7ED77E"/>
    <w:p w14:paraId="1B5ACF36"/>
    <w:p w14:paraId="6884A5BF"/>
    <w:p w14:paraId="44EE26C3"/>
    <w:p w14:paraId="6884F955"/>
    <w:p w14:paraId="3EDFC044"/>
    <w:p w14:paraId="1567939F"/>
    <w:p w14:paraId="4E3E0AA3"/>
    <w:p w14:paraId="24274B6C"/>
    <w:p w14:paraId="0AC39D1E"/>
    <w:p w14:paraId="3BAC559F"/>
    <w:p w14:paraId="16E2D461"/>
    <w:p w14:paraId="0663A2BD"/>
    <w:p w14:paraId="0EBAD285"/>
    <w:p w14:paraId="60391FF6"/>
    <w:p w14:paraId="1068D8A1"/>
    <w:p w14:paraId="047E3D35">
      <w:pPr>
        <w:jc w:val="center"/>
        <w:rPr>
          <w:b/>
          <w:sz w:val="44"/>
          <w:szCs w:val="44"/>
        </w:rPr>
      </w:pPr>
      <w:bookmarkStart w:id="2" w:name="_Hlk71465316"/>
      <w:r>
        <w:rPr>
          <w:rFonts w:hint="eastAsia"/>
          <w:b/>
          <w:sz w:val="44"/>
          <w:szCs w:val="44"/>
        </w:rPr>
        <w:t>深圳公共资源交易中心</w:t>
      </w:r>
    </w:p>
    <w:p w14:paraId="53804F98">
      <w:pPr>
        <w:jc w:val="center"/>
        <w:rPr>
          <w:b/>
          <w:sz w:val="44"/>
          <w:szCs w:val="44"/>
        </w:rPr>
      </w:pPr>
      <w:r>
        <w:rPr>
          <w:rFonts w:hint="eastAsia"/>
          <w:b/>
          <w:sz w:val="44"/>
          <w:szCs w:val="44"/>
        </w:rPr>
        <w:t>（</w:t>
      </w:r>
      <w:r>
        <w:rPr>
          <w:b/>
          <w:sz w:val="44"/>
          <w:szCs w:val="44"/>
        </w:rPr>
        <w:t>20</w:t>
      </w:r>
      <w:r>
        <w:rPr>
          <w:rFonts w:hint="eastAsia"/>
          <w:b/>
          <w:sz w:val="44"/>
          <w:szCs w:val="44"/>
        </w:rPr>
        <w:t>2</w:t>
      </w:r>
      <w:r>
        <w:rPr>
          <w:rFonts w:hint="eastAsia"/>
          <w:b/>
          <w:sz w:val="44"/>
          <w:szCs w:val="44"/>
          <w:lang w:val="en-US" w:eastAsia="zh-CN"/>
        </w:rPr>
        <w:t>4</w:t>
      </w:r>
      <w:r>
        <w:rPr>
          <w:rFonts w:hint="eastAsia"/>
          <w:b/>
          <w:sz w:val="44"/>
          <w:szCs w:val="44"/>
        </w:rPr>
        <w:t>）</w:t>
      </w:r>
      <w:bookmarkEnd w:id="2"/>
    </w:p>
    <w:p w14:paraId="467DD026">
      <w:pPr>
        <w:ind w:firstLine="435"/>
        <w:jc w:val="left"/>
      </w:pPr>
    </w:p>
    <w:p w14:paraId="573C6797">
      <w:pPr>
        <w:ind w:firstLine="435"/>
        <w:jc w:val="left"/>
      </w:pPr>
    </w:p>
    <w:p w14:paraId="59E99F51">
      <w:pPr>
        <w:ind w:firstLine="435"/>
        <w:jc w:val="left"/>
      </w:pPr>
    </w:p>
    <w:p w14:paraId="7ECF80B6">
      <w:pPr>
        <w:ind w:firstLine="435"/>
        <w:jc w:val="left"/>
      </w:pPr>
    </w:p>
    <w:p w14:paraId="7F947861">
      <w:pPr>
        <w:ind w:firstLine="435"/>
        <w:jc w:val="left"/>
      </w:pPr>
    </w:p>
    <w:p w14:paraId="4A456FAF">
      <w:pPr>
        <w:ind w:firstLine="435"/>
        <w:jc w:val="left"/>
      </w:pPr>
    </w:p>
    <w:p w14:paraId="0BE539BE">
      <w:pPr>
        <w:ind w:firstLine="435"/>
        <w:jc w:val="left"/>
      </w:pPr>
    </w:p>
    <w:p w14:paraId="456D3989">
      <w:pPr>
        <w:ind w:firstLine="435"/>
        <w:jc w:val="left"/>
      </w:pPr>
    </w:p>
    <w:p w14:paraId="370B5CF1">
      <w:pPr>
        <w:ind w:firstLine="435"/>
        <w:jc w:val="left"/>
      </w:pPr>
    </w:p>
    <w:p w14:paraId="40E762BC">
      <w:pPr>
        <w:pStyle w:val="7"/>
        <w:ind w:firstLine="3855" w:firstLineChars="1600"/>
        <w:jc w:val="both"/>
        <w:rPr>
          <w:color w:val="FF0000"/>
          <w:szCs w:val="21"/>
        </w:rPr>
      </w:pPr>
      <w:r>
        <w:rPr>
          <w:rFonts w:hint="eastAsia"/>
          <w:b/>
          <w:bCs/>
          <w:color w:val="FF0000"/>
        </w:rPr>
        <w:t>警示条款</w:t>
      </w:r>
    </w:p>
    <w:p w14:paraId="13621FED">
      <w:pPr>
        <w:ind w:firstLine="400" w:firstLineChars="200"/>
        <w:rPr>
          <w:rFonts w:ascii="宋体" w:hAnsi="宋体"/>
          <w:color w:val="FF0000"/>
          <w:sz w:val="20"/>
          <w:szCs w:val="20"/>
        </w:rPr>
      </w:pPr>
      <w:bookmarkStart w:id="3" w:name="_Hlk72218009"/>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5ADF4104">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7613DAA6">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1ADA144E">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34807B8A">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2B92A96E">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6CC74880">
      <w:pPr>
        <w:ind w:firstLine="400" w:firstLineChars="200"/>
        <w:rPr>
          <w:rFonts w:ascii="宋体" w:hAnsi="宋体"/>
          <w:color w:val="FF0000"/>
          <w:sz w:val="20"/>
          <w:szCs w:val="20"/>
        </w:rPr>
      </w:pPr>
      <w:r>
        <w:rPr>
          <w:rFonts w:hint="eastAsia" w:ascii="宋体" w:hAnsi="宋体"/>
          <w:color w:val="FF0000"/>
          <w:sz w:val="20"/>
          <w:szCs w:val="20"/>
        </w:rPr>
        <w:t>（六）恶意投诉的；</w:t>
      </w:r>
    </w:p>
    <w:p w14:paraId="7FC93AD8">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2A81A503">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27601417">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53212C9E">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14:paraId="0B4E502D">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14:paraId="416B0EF3">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19954043">
      <w:pPr>
        <w:ind w:firstLine="422" w:firstLineChars="200"/>
        <w:rPr>
          <w:rFonts w:hint="eastAsia"/>
          <w:b/>
          <w:color w:val="FF0000"/>
        </w:rPr>
      </w:pPr>
      <w:r>
        <w:rPr>
          <w:rFonts w:hint="eastAsia"/>
          <w:b/>
          <w:color w:val="FF000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4C01DE76">
      <w:pPr>
        <w:ind w:firstLine="400" w:firstLineChars="200"/>
        <w:rPr>
          <w:rFonts w:hint="eastAsia" w:ascii="宋体" w:hAnsi="宋体" w:eastAsia="宋体" w:cs="宋体"/>
          <w:b w:val="0"/>
          <w:bCs/>
          <w:color w:val="FF0000"/>
          <w:sz w:val="20"/>
          <w:szCs w:val="20"/>
          <w:lang w:val="en-US" w:eastAsia="zh-CN"/>
        </w:rPr>
      </w:pPr>
      <w:r>
        <w:rPr>
          <w:rFonts w:hint="eastAsia" w:ascii="宋体" w:hAnsi="宋体" w:eastAsia="宋体" w:cs="宋体"/>
          <w:b w:val="0"/>
          <w:bCs/>
          <w:color w:val="FF0000"/>
          <w:sz w:val="20"/>
          <w:szCs w:val="20"/>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493C4B76">
      <w:pPr>
        <w:ind w:firstLine="400" w:firstLineChars="200"/>
        <w:rPr>
          <w:rFonts w:hint="eastAsia" w:ascii="宋体" w:hAnsi="宋体" w:eastAsia="宋体" w:cs="宋体"/>
          <w:b w:val="0"/>
          <w:bCs/>
          <w:color w:val="FF0000"/>
          <w:sz w:val="20"/>
          <w:szCs w:val="20"/>
          <w:lang w:val="en-US" w:eastAsia="zh-CN"/>
        </w:rPr>
      </w:pPr>
      <w:r>
        <w:rPr>
          <w:rFonts w:hint="eastAsia" w:ascii="宋体" w:hAnsi="宋体" w:eastAsia="宋体" w:cs="宋体"/>
          <w:b w:val="0"/>
          <w:bCs/>
          <w:color w:val="FF0000"/>
          <w:sz w:val="20"/>
          <w:szCs w:val="20"/>
          <w:lang w:val="en-US" w:eastAsia="zh-CN"/>
        </w:rPr>
        <w:t>为避免出现不同供应商投标文件的文件制作机器码、文件创建标识码、IP地址一致的异常情况，建议各供应商编制、上传投标文件时不要使用公共电脑设备或公共网络。</w:t>
      </w:r>
    </w:p>
    <w:p w14:paraId="61CA2BB7">
      <w:pPr>
        <w:ind w:firstLine="400" w:firstLineChars="200"/>
        <w:rPr>
          <w:rFonts w:hint="eastAsia" w:ascii="宋体" w:hAnsi="宋体" w:eastAsia="宋体" w:cs="宋体"/>
          <w:b w:val="0"/>
          <w:bCs/>
          <w:color w:val="FF0000"/>
          <w:sz w:val="20"/>
          <w:szCs w:val="20"/>
          <w:lang w:val="en-US" w:eastAsia="zh-CN"/>
        </w:rPr>
        <w:sectPr>
          <w:pgSz w:w="11907" w:h="16840"/>
          <w:pgMar w:top="1440" w:right="1797" w:bottom="1440" w:left="1797" w:header="851" w:footer="992" w:gutter="0"/>
          <w:cols w:space="425" w:num="1"/>
          <w:titlePg/>
          <w:docGrid w:linePitch="462" w:charSpace="0"/>
        </w:sectPr>
      </w:pPr>
      <w:r>
        <w:rPr>
          <w:rFonts w:hint="eastAsia" w:ascii="宋体" w:hAnsi="宋体" w:eastAsia="宋体" w:cs="宋体"/>
          <w:b w:val="0"/>
          <w:bCs/>
          <w:color w:val="FF0000"/>
          <w:sz w:val="20"/>
          <w:szCs w:val="20"/>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FF0000"/>
          <w:sz w:val="20"/>
          <w:szCs w:val="20"/>
        </w:rPr>
        <w:t>取消参与本市政府采购资格</w:t>
      </w:r>
      <w:r>
        <w:rPr>
          <w:rFonts w:hint="eastAsia" w:ascii="宋体" w:hAnsi="宋体" w:eastAsia="宋体" w:cs="宋体"/>
          <w:color w:val="FF0000"/>
          <w:sz w:val="20"/>
          <w:szCs w:val="20"/>
          <w:lang w:eastAsia="zh-CN"/>
        </w:rPr>
        <w:t>、</w:t>
      </w:r>
      <w:r>
        <w:rPr>
          <w:rFonts w:hint="eastAsia" w:ascii="宋体" w:hAnsi="宋体" w:eastAsia="宋体" w:cs="宋体"/>
          <w:color w:val="FF0000"/>
          <w:sz w:val="20"/>
          <w:szCs w:val="20"/>
        </w:rPr>
        <w:t>依法吊销其营业</w:t>
      </w:r>
      <w:r>
        <w:rPr>
          <w:rFonts w:hint="eastAsia" w:ascii="宋体" w:hAnsi="宋体" w:eastAsia="宋体" w:cs="宋体"/>
          <w:color w:val="FF0000"/>
          <w:sz w:val="20"/>
          <w:szCs w:val="20"/>
          <w:lang w:val="en-US" w:eastAsia="zh-CN"/>
        </w:rPr>
        <w:t>执照等行政处罚，</w:t>
      </w:r>
      <w:r>
        <w:rPr>
          <w:rFonts w:hint="eastAsia" w:ascii="宋体" w:hAnsi="宋体" w:eastAsia="宋体" w:cs="宋体"/>
          <w:color w:val="FF0000"/>
          <w:sz w:val="20"/>
          <w:szCs w:val="20"/>
        </w:rPr>
        <w:t>构成犯罪的，依法追究刑事责任</w:t>
      </w:r>
      <w:r>
        <w:rPr>
          <w:rFonts w:hint="eastAsia" w:ascii="宋体" w:hAnsi="宋体" w:eastAsia="宋体" w:cs="宋体"/>
          <w:b w:val="0"/>
          <w:bCs/>
          <w:color w:val="FF0000"/>
          <w:sz w:val="20"/>
          <w:szCs w:val="20"/>
          <w:lang w:val="en-US" w:eastAsia="zh-CN"/>
        </w:rPr>
        <w:t>，请各供应商独立编制、上传投标文件，妥善保管和使用电子秘钥。</w:t>
      </w:r>
    </w:p>
    <w:p w14:paraId="7D999510">
      <w:pPr>
        <w:pStyle w:val="4"/>
      </w:pPr>
      <w:r>
        <w:rPr>
          <w:rFonts w:hint="eastAsia"/>
        </w:rPr>
        <w:t>目   录</w:t>
      </w:r>
    </w:p>
    <w:p w14:paraId="587FC547">
      <w:pPr>
        <w:widowControl/>
        <w:wordWrap w:val="0"/>
        <w:jc w:val="left"/>
        <w:textAlignment w:val="top"/>
        <w:rPr>
          <w:szCs w:val="21"/>
        </w:rPr>
      </w:pPr>
      <w:r>
        <w:rPr>
          <w:rFonts w:hint="eastAsia"/>
          <w:sz w:val="24"/>
        </w:rPr>
        <w:t xml:space="preserve">        </w:t>
      </w:r>
      <w:r>
        <w:rPr>
          <w:rFonts w:hint="eastAsia"/>
          <w:szCs w:val="21"/>
        </w:rPr>
        <w:t xml:space="preserve">  </w:t>
      </w:r>
      <w:r>
        <w:rPr>
          <w:szCs w:val="21"/>
        </w:rPr>
        <w:t xml:space="preserve">           </w:t>
      </w:r>
      <w:r>
        <w:rPr>
          <w:rFonts w:hint="eastAsia"/>
          <w:szCs w:val="21"/>
        </w:rPr>
        <w:t>关键信息</w:t>
      </w:r>
    </w:p>
    <w:p w14:paraId="3A036CF7">
      <w:pPr>
        <w:widowControl/>
        <w:wordWrap w:val="0"/>
        <w:ind w:firstLine="1260" w:firstLineChars="600"/>
        <w:jc w:val="left"/>
        <w:textAlignment w:val="top"/>
        <w:rPr>
          <w:szCs w:val="21"/>
        </w:rPr>
      </w:pPr>
      <w:r>
        <w:rPr>
          <w:rFonts w:hint="eastAsia"/>
          <w:szCs w:val="21"/>
        </w:rPr>
        <w:t>第一章  谈判公告</w:t>
      </w:r>
    </w:p>
    <w:p w14:paraId="07D639E3">
      <w:pPr>
        <w:widowControl/>
        <w:wordWrap w:val="0"/>
        <w:ind w:firstLine="1260" w:firstLineChars="600"/>
        <w:jc w:val="left"/>
        <w:textAlignment w:val="top"/>
        <w:rPr>
          <w:szCs w:val="21"/>
        </w:rPr>
      </w:pPr>
      <w:r>
        <w:rPr>
          <w:rFonts w:hint="eastAsia"/>
          <w:szCs w:val="21"/>
        </w:rPr>
        <w:t xml:space="preserve">第二章  </w:t>
      </w:r>
      <w:bookmarkStart w:id="4" w:name="_Hlk71994379"/>
      <w:r>
        <w:rPr>
          <w:rFonts w:hint="eastAsia"/>
          <w:szCs w:val="21"/>
        </w:rPr>
        <w:t>对谈判须知条款的补充内容及其他关键信息</w:t>
      </w:r>
      <w:bookmarkEnd w:id="4"/>
    </w:p>
    <w:p w14:paraId="53335D10">
      <w:pPr>
        <w:widowControl/>
        <w:wordWrap w:val="0"/>
        <w:ind w:firstLine="1260" w:firstLineChars="600"/>
        <w:jc w:val="left"/>
        <w:textAlignment w:val="top"/>
        <w:rPr>
          <w:szCs w:val="21"/>
        </w:rPr>
      </w:pPr>
      <w:r>
        <w:rPr>
          <w:rFonts w:hint="eastAsia"/>
          <w:szCs w:val="21"/>
        </w:rPr>
        <w:t xml:space="preserve">第三章 </w:t>
      </w:r>
      <w:r>
        <w:rPr>
          <w:szCs w:val="21"/>
        </w:rPr>
        <w:t xml:space="preserve"> </w:t>
      </w:r>
      <w:r>
        <w:rPr>
          <w:rFonts w:hint="eastAsia"/>
          <w:szCs w:val="21"/>
        </w:rPr>
        <w:t>用户需求书</w:t>
      </w:r>
    </w:p>
    <w:p w14:paraId="17CEB5AE">
      <w:pPr>
        <w:widowControl/>
        <w:wordWrap w:val="0"/>
        <w:ind w:firstLine="1260" w:firstLineChars="600"/>
        <w:jc w:val="left"/>
        <w:textAlignment w:val="top"/>
        <w:rPr>
          <w:szCs w:val="21"/>
        </w:rPr>
      </w:pPr>
      <w:r>
        <w:rPr>
          <w:rFonts w:hint="eastAsia"/>
          <w:szCs w:val="21"/>
        </w:rPr>
        <w:t xml:space="preserve">第四章 </w:t>
      </w:r>
      <w:r>
        <w:rPr>
          <w:szCs w:val="21"/>
        </w:rPr>
        <w:t xml:space="preserve"> </w:t>
      </w:r>
      <w:r>
        <w:rPr>
          <w:rFonts w:hint="eastAsia"/>
          <w:szCs w:val="21"/>
        </w:rPr>
        <w:t>谈判应答文件组成要求及格式</w:t>
      </w:r>
    </w:p>
    <w:p w14:paraId="588980FD">
      <w:pPr>
        <w:widowControl/>
        <w:wordWrap w:val="0"/>
        <w:ind w:firstLine="1260" w:firstLineChars="600"/>
        <w:jc w:val="left"/>
        <w:textAlignment w:val="top"/>
        <w:rPr>
          <w:szCs w:val="21"/>
        </w:rPr>
      </w:pPr>
      <w:r>
        <w:rPr>
          <w:rFonts w:hint="eastAsia"/>
          <w:szCs w:val="21"/>
        </w:rPr>
        <w:t>第五章  合同条款及格式</w:t>
      </w:r>
    </w:p>
    <w:p w14:paraId="1A33BA53">
      <w:pPr>
        <w:widowControl/>
        <w:wordWrap w:val="0"/>
        <w:ind w:firstLine="1260" w:firstLineChars="600"/>
        <w:jc w:val="left"/>
        <w:textAlignment w:val="top"/>
        <w:rPr>
          <w:szCs w:val="21"/>
        </w:rPr>
      </w:pPr>
      <w:r>
        <w:rPr>
          <w:rFonts w:hint="eastAsia"/>
          <w:szCs w:val="21"/>
        </w:rPr>
        <w:t xml:space="preserve">第六章 </w:t>
      </w:r>
      <w:r>
        <w:rPr>
          <w:szCs w:val="21"/>
        </w:rPr>
        <w:t xml:space="preserve"> </w:t>
      </w:r>
      <w:r>
        <w:rPr>
          <w:rFonts w:hint="eastAsia"/>
          <w:szCs w:val="21"/>
        </w:rPr>
        <w:t>谈判须知</w:t>
      </w:r>
    </w:p>
    <w:p w14:paraId="173C14A5">
      <w:pPr>
        <w:rPr>
          <w:b/>
          <w:sz w:val="24"/>
        </w:rPr>
      </w:pPr>
    </w:p>
    <w:bookmarkEnd w:id="3"/>
    <w:p w14:paraId="0BA93BC8">
      <w:pPr>
        <w:spacing w:line="360" w:lineRule="auto"/>
        <w:rPr>
          <w:rFonts w:ascii="宋体" w:hAnsi="宋体" w:cs="宋体"/>
          <w:b/>
          <w:bCs/>
          <w:kern w:val="0"/>
          <w:szCs w:val="21"/>
        </w:rPr>
        <w:sectPr>
          <w:pgSz w:w="11907" w:h="16840"/>
          <w:pgMar w:top="1440" w:right="1797" w:bottom="1440" w:left="1797" w:header="851" w:footer="992" w:gutter="0"/>
          <w:cols w:space="425" w:num="1"/>
          <w:titlePg/>
          <w:docGrid w:linePitch="462" w:charSpace="0"/>
        </w:sectPr>
      </w:pPr>
      <w:bookmarkStart w:id="5" w:name="bt其他资料由投标人自定"/>
      <w:bookmarkEnd w:id="5"/>
      <w:bookmarkStart w:id="6" w:name="bt项目管理班子配备情况"/>
      <w:bookmarkEnd w:id="6"/>
      <w:bookmarkStart w:id="7" w:name="bt合同条款"/>
      <w:bookmarkEnd w:id="7"/>
      <w:bookmarkStart w:id="8" w:name="bt投标人须知"/>
      <w:bookmarkEnd w:id="8"/>
      <w:bookmarkStart w:id="9" w:name="bt其他资料2"/>
      <w:bookmarkEnd w:id="9"/>
      <w:bookmarkStart w:id="10" w:name="bt开标一览表"/>
      <w:bookmarkEnd w:id="10"/>
      <w:bookmarkStart w:id="11" w:name="bt合同条款及格式"/>
      <w:bookmarkEnd w:id="11"/>
      <w:bookmarkStart w:id="12" w:name="bt技术标投标文件格式"/>
      <w:bookmarkEnd w:id="12"/>
      <w:bookmarkStart w:id="13" w:name="bt投标函"/>
      <w:bookmarkEnd w:id="13"/>
      <w:bookmarkStart w:id="14" w:name="bt投标文件签署授权委托书"/>
      <w:bookmarkEnd w:id="14"/>
      <w:bookmarkStart w:id="15" w:name="bt投标报价汇总表"/>
      <w:bookmarkEnd w:id="15"/>
      <w:bookmarkStart w:id="16" w:name="bt商务标投标文件格式"/>
      <w:bookmarkEnd w:id="16"/>
      <w:bookmarkStart w:id="17" w:name="bt投标人情况介绍"/>
      <w:bookmarkEnd w:id="17"/>
      <w:bookmarkStart w:id="18" w:name="bt说明"/>
      <w:bookmarkEnd w:id="18"/>
      <w:bookmarkStart w:id="19" w:name="bt本工程承诺书"/>
      <w:bookmarkEnd w:id="19"/>
      <w:bookmarkStart w:id="20" w:name="bt合同格式"/>
      <w:bookmarkEnd w:id="20"/>
      <w:bookmarkStart w:id="21" w:name="合同格式"/>
      <w:bookmarkEnd w:id="21"/>
    </w:p>
    <w:p w14:paraId="6BE1B777">
      <w:pPr>
        <w:pStyle w:val="7"/>
        <w:spacing w:line="360" w:lineRule="auto"/>
        <w:rPr>
          <w:rFonts w:ascii="宋体" w:hAnsi="宋体" w:cs="宋体"/>
          <w:b w:val="0"/>
          <w:bCs w:val="0"/>
          <w:kern w:val="0"/>
          <w:sz w:val="28"/>
          <w:szCs w:val="21"/>
        </w:rPr>
      </w:pPr>
      <w:r>
        <w:rPr>
          <w:rFonts w:hint="eastAsia"/>
          <w:sz w:val="28"/>
        </w:rPr>
        <w:t>第一章 谈判公告</w:t>
      </w:r>
    </w:p>
    <w:p w14:paraId="15D2D490">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4FC25B9F">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22" w:name="_Hlk72162904"/>
      <w:bookmarkStart w:id="23" w:name="_Hlk72576406"/>
      <w:r>
        <w:rPr>
          <w:rFonts w:hint="eastAsia" w:ascii="宋体" w:hAnsi="宋体" w:cs="宋体"/>
          <w:kern w:val="0"/>
          <w:szCs w:val="21"/>
        </w:rPr>
        <w:t>具有独立承担民事责任的能力（提供营业执照或事业单位法人证书等证明资料扫描件，原件备查；</w:t>
      </w:r>
      <w:bookmarkEnd w:id="22"/>
    </w:p>
    <w:p w14:paraId="4C506426">
      <w:pPr>
        <w:ind w:firstLine="630" w:firstLineChars="300"/>
        <w:rPr>
          <w:rFonts w:ascii="宋体" w:hAnsi="宋体" w:cs="宋体"/>
          <w:kern w:val="0"/>
          <w:szCs w:val="21"/>
        </w:rPr>
      </w:pPr>
      <w:r>
        <w:rPr>
          <w:rFonts w:hint="eastAsia" w:ascii="宋体" w:hAnsi="宋体" w:cs="宋体"/>
          <w:kern w:val="0"/>
          <w:szCs w:val="21"/>
        </w:rPr>
        <w:t>2.必须是采购人推荐的供应商</w:t>
      </w:r>
      <w:bookmarkEnd w:id="23"/>
      <w:r>
        <w:rPr>
          <w:rFonts w:hint="eastAsia" w:ascii="宋体" w:hAnsi="宋体" w:cs="宋体"/>
          <w:kern w:val="0"/>
          <w:szCs w:val="21"/>
        </w:rPr>
        <w:t>；</w:t>
      </w:r>
    </w:p>
    <w:p w14:paraId="15DF816A">
      <w:pPr>
        <w:ind w:firstLine="630" w:firstLineChars="300"/>
        <w:rPr>
          <w:rFonts w:hint="eastAsia" w:ascii="宋体" w:hAnsi="宋体" w:eastAsia="宋体" w:cs="宋体"/>
          <w:color w:val="FF0000"/>
          <w:kern w:val="0"/>
          <w:sz w:val="21"/>
          <w:szCs w:val="21"/>
        </w:rPr>
      </w:pPr>
      <w:r>
        <w:rPr>
          <w:rFonts w:hint="eastAsia" w:ascii="宋体" w:hAnsi="宋体" w:cs="宋体"/>
          <w:kern w:val="0"/>
          <w:szCs w:val="21"/>
        </w:rPr>
        <w:t>3</w:t>
      </w:r>
      <w:r>
        <w:rPr>
          <w:rFonts w:ascii="宋体" w:hAnsi="宋体" w:cs="宋体"/>
          <w:kern w:val="0"/>
          <w:szCs w:val="21"/>
        </w:rPr>
        <w:t>.</w:t>
      </w:r>
      <w:r>
        <w:rPr>
          <w:rFonts w:hint="eastAsia" w:ascii="宋体" w:hAnsi="宋体" w:eastAsia="宋体" w:cs="宋体"/>
          <w:color w:val="FF0000"/>
          <w:kern w:val="0"/>
          <w:sz w:val="21"/>
          <w:szCs w:val="21"/>
        </w:rPr>
        <w:t>本项目不接受联合体参与谈判，不接受供应商选用进口产品参与谈判；</w:t>
      </w:r>
    </w:p>
    <w:p w14:paraId="088864EC">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参与本项目政府采购活动时不存在被有关部门禁止参与政府采购活动且在有效期内的情况（由供应商在《政府采购应答及履约承诺函》中作出声明）；</w:t>
      </w:r>
    </w:p>
    <w:p w14:paraId="3AAD955E">
      <w:pPr>
        <w:ind w:firstLine="630" w:firstLineChars="300"/>
        <w:rPr>
          <w:rFonts w:ascii="宋体" w:hAnsi="宋体" w:cs="宋体"/>
          <w:kern w:val="0"/>
          <w:szCs w:val="21"/>
        </w:rPr>
      </w:pP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具备《中华人民共和国政府采购法》第二十二条第一款的条件（由供应商在《政府采购应答及履约承诺函》中作出声明）；</w:t>
      </w:r>
    </w:p>
    <w:p w14:paraId="49F73AEF">
      <w:pPr>
        <w:ind w:firstLine="630" w:firstLineChars="300"/>
        <w:rPr>
          <w:rFonts w:hint="eastAsia" w:ascii="宋体" w:hAnsi="宋体" w:cs="宋体"/>
          <w:kern w:val="0"/>
          <w:szCs w:val="21"/>
          <w:lang w:eastAsia="zh-CN"/>
        </w:rPr>
      </w:pPr>
      <w:r>
        <w:rPr>
          <w:rFonts w:hint="eastAsia" w:ascii="宋体" w:hAnsi="宋体" w:cs="宋体"/>
          <w:kern w:val="0"/>
          <w:szCs w:val="21"/>
          <w:lang w:val="en-US" w:eastAsia="zh-CN"/>
        </w:rPr>
        <w:t>6</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未被列入失信被执行人、重大税收违法案件当事人名单、政府采购严重违法失信行为记录名单（由供应商在《政府采购应答及履约承诺函》中作出声明）</w:t>
      </w:r>
      <w:r>
        <w:rPr>
          <w:rFonts w:hint="eastAsia" w:ascii="宋体" w:hAnsi="宋体" w:cs="宋体"/>
          <w:kern w:val="0"/>
          <w:szCs w:val="21"/>
          <w:lang w:eastAsia="zh-CN"/>
        </w:rPr>
        <w:t>；</w:t>
      </w:r>
    </w:p>
    <w:p w14:paraId="18B863B4">
      <w:pPr>
        <w:ind w:firstLine="630" w:firstLineChars="300"/>
        <w:rPr>
          <w:rFonts w:hint="eastAsia" w:ascii="宋体" w:hAnsi="宋体" w:eastAsia="宋体" w:cs="宋体"/>
          <w:kern w:val="0"/>
          <w:szCs w:val="21"/>
          <w:lang w:eastAsia="zh-CN"/>
        </w:rPr>
      </w:pPr>
      <w:r>
        <w:rPr>
          <w:rFonts w:hint="eastAsia" w:ascii="宋体" w:hAnsi="宋体" w:cs="宋体"/>
          <w:color w:val="FF0000"/>
          <w:kern w:val="0"/>
          <w:szCs w:val="21"/>
          <w:lang w:val="en-US" w:eastAsia="zh-CN"/>
        </w:rPr>
        <w:t>7.不存在《深圳市财政局政府采购供应商信用信息管理办法》（深财规〔2023〕3号）列明的严重违法失信行为</w:t>
      </w:r>
      <w:r>
        <w:rPr>
          <w:rFonts w:hint="eastAsia" w:ascii="宋体" w:hAnsi="宋体" w:cs="宋体"/>
          <w:color w:val="FF0000"/>
          <w:kern w:val="0"/>
          <w:szCs w:val="21"/>
        </w:rPr>
        <w:t>（由供应商在《政府采购应答及履约承诺函》中作出声明）</w:t>
      </w:r>
      <w:r>
        <w:rPr>
          <w:rFonts w:hint="eastAsia" w:ascii="宋体" w:hAnsi="宋体" w:cs="宋体"/>
          <w:color w:val="FF0000"/>
          <w:kern w:val="0"/>
          <w:szCs w:val="21"/>
          <w:lang w:eastAsia="zh-CN"/>
        </w:rPr>
        <w:t>；</w:t>
      </w:r>
    </w:p>
    <w:p w14:paraId="1E1F1987">
      <w:pPr>
        <w:ind w:firstLine="630" w:firstLineChars="300"/>
        <w:rPr>
          <w:rFonts w:hint="eastAsia" w:ascii="宋体" w:hAnsi="宋体" w:eastAsia="宋体" w:cs="宋体"/>
          <w:kern w:val="0"/>
          <w:szCs w:val="21"/>
          <w:lang w:eastAsia="zh-CN"/>
        </w:rPr>
      </w:pPr>
      <w:r>
        <w:rPr>
          <w:rFonts w:hint="eastAsia"/>
          <w:lang w:val="en-US" w:eastAsia="zh-CN"/>
        </w:rPr>
        <w:t>8</w:t>
      </w:r>
      <w:r>
        <w:rPr>
          <w:rFonts w:hint="eastAsia"/>
        </w:rPr>
        <w:t>.</w:t>
      </w:r>
      <w:r>
        <w:rPr>
          <w:rFonts w:hint="eastAsia" w:ascii="宋体" w:hAnsi="宋体" w:cs="宋体"/>
          <w:kern w:val="0"/>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应答及履约承诺函》中作出声明）</w:t>
      </w:r>
      <w:r>
        <w:rPr>
          <w:rFonts w:hint="eastAsia" w:ascii="宋体" w:hAnsi="宋体" w:cs="宋体"/>
          <w:kern w:val="0"/>
          <w:szCs w:val="21"/>
          <w:lang w:eastAsia="zh-CN"/>
        </w:rPr>
        <w:t>；</w:t>
      </w:r>
    </w:p>
    <w:p w14:paraId="3A5F3ACE">
      <w:pPr>
        <w:ind w:firstLine="630" w:firstLineChars="300"/>
        <w:rPr>
          <w:rFonts w:ascii="宋体" w:hAnsi="宋体" w:cs="宋体"/>
          <w:color w:val="FF0000"/>
          <w:kern w:val="0"/>
          <w:szCs w:val="21"/>
        </w:rPr>
      </w:pPr>
      <w:r>
        <w:rPr>
          <w:rFonts w:hint="eastAsia"/>
          <w:lang w:val="en-US" w:eastAsia="zh-CN"/>
        </w:rPr>
        <w:t>9</w:t>
      </w:r>
      <w:r>
        <w:rPr>
          <w:rFonts w:hint="eastAsia"/>
        </w:rPr>
        <w:t>.</w:t>
      </w:r>
      <w:r>
        <w:rPr>
          <w:rFonts w:hint="eastAsia" w:ascii="宋体" w:hAnsi="宋体" w:cs="宋体"/>
          <w:kern w:val="0"/>
          <w:szCs w:val="21"/>
        </w:rPr>
        <w:t>本项目是（否）专门面向中小企业采购：</w:t>
      </w:r>
      <w:r>
        <w:rPr>
          <w:rFonts w:hint="eastAsia" w:ascii="宋体" w:hAnsi="宋体" w:cs="宋体"/>
          <w:color w:val="FF0000"/>
          <w:kern w:val="0"/>
          <w:szCs w:val="21"/>
        </w:rPr>
        <w:t>是，</w:t>
      </w:r>
      <w:r>
        <w:rPr>
          <w:rFonts w:hint="eastAsia" w:ascii="宋体" w:hAnsi="宋体" w:cs="宋体"/>
          <w:color w:val="FF0000"/>
          <w:kern w:val="0"/>
          <w:szCs w:val="21"/>
          <w:lang w:val="en-US" w:eastAsia="zh-CN"/>
        </w:rPr>
        <w:t>本项目的承接单位</w:t>
      </w:r>
      <w:r>
        <w:rPr>
          <w:rFonts w:hint="eastAsia" w:ascii="宋体" w:hAnsi="宋体" w:cs="宋体"/>
          <w:color w:val="FF0000"/>
          <w:kern w:val="0"/>
          <w:szCs w:val="21"/>
        </w:rPr>
        <w:t>为</w:t>
      </w:r>
      <w:r>
        <w:rPr>
          <w:rFonts w:hint="eastAsia" w:ascii="宋体" w:hAnsi="宋体" w:cs="宋体"/>
          <w:color w:val="FF0000"/>
          <w:kern w:val="0"/>
          <w:szCs w:val="21"/>
          <w:lang w:val="en-US" w:eastAsia="zh-CN"/>
        </w:rPr>
        <w:t>符合政策要求的</w:t>
      </w:r>
      <w:r>
        <w:rPr>
          <w:rFonts w:hint="eastAsia" w:ascii="宋体" w:hAnsi="宋体" w:cs="宋体"/>
          <w:color w:val="FF0000"/>
          <w:kern w:val="0"/>
          <w:szCs w:val="21"/>
        </w:rPr>
        <w:t>中小微企业、残疾人福利性单位</w:t>
      </w:r>
      <w:r>
        <w:rPr>
          <w:rFonts w:hint="eastAsia" w:ascii="宋体" w:hAnsi="宋体" w:cs="宋体"/>
          <w:color w:val="FF0000"/>
          <w:kern w:val="0"/>
          <w:szCs w:val="21"/>
          <w:lang w:val="en-US" w:eastAsia="zh-CN"/>
        </w:rPr>
        <w:t>或</w:t>
      </w:r>
      <w:r>
        <w:rPr>
          <w:rFonts w:hint="eastAsia" w:ascii="宋体" w:hAnsi="宋体" w:cs="宋体"/>
          <w:color w:val="FF0000"/>
          <w:kern w:val="0"/>
          <w:szCs w:val="21"/>
        </w:rPr>
        <w:t>监狱企业（由供应商在《中小企业声明函、残疾人福利性单位声明函及监狱企业声明函》中作出声明）</w:t>
      </w:r>
      <w:r>
        <w:rPr>
          <w:rFonts w:hint="eastAsia" w:ascii="宋体" w:hAnsi="宋体" w:cs="宋体"/>
          <w:color w:val="FF0000"/>
          <w:kern w:val="0"/>
          <w:szCs w:val="21"/>
          <w:lang w:eastAsia="zh-CN"/>
        </w:rPr>
        <w:t>。</w:t>
      </w:r>
    </w:p>
    <w:p w14:paraId="19E3222F">
      <w:pPr>
        <w:ind w:firstLine="420" w:firstLineChars="200"/>
        <w:rPr>
          <w:rFonts w:ascii="宋体" w:hAnsi="宋体" w:cs="宋体"/>
          <w:kern w:val="0"/>
          <w:szCs w:val="21"/>
        </w:rPr>
      </w:pPr>
      <w:r>
        <w:rPr>
          <w:rFonts w:hint="eastAsia" w:ascii="宋体" w:hAnsi="宋体" w:cs="宋体"/>
          <w:kern w:val="0"/>
          <w:szCs w:val="21"/>
        </w:rPr>
        <w:t>注：（1）“信用中国”（www.creditchina.gov.cn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lang w:eastAsia="zh-CN"/>
        </w:rPr>
        <w:t>，</w:t>
      </w:r>
      <w:r>
        <w:rPr>
          <w:rFonts w:hint="eastAsia" w:ascii="宋体" w:hAnsi="宋体" w:cs="宋体"/>
          <w:kern w:val="0"/>
          <w:szCs w:val="21"/>
          <w:lang w:val="en-US" w:eastAsia="zh-CN"/>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w:t>
      </w:r>
      <w:r>
        <w:rPr>
          <w:rFonts w:hint="eastAsia" w:ascii="宋体" w:hAnsi="宋体" w:cs="宋体"/>
          <w:kern w:val="0"/>
          <w:szCs w:val="21"/>
          <w:lang w:eastAsia="zh-CN"/>
        </w:rPr>
        <w:t>（</w:t>
      </w:r>
      <w:r>
        <w:rPr>
          <w:rFonts w:hint="eastAsia" w:ascii="宋体" w:hAnsi="宋体" w:cs="宋体"/>
          <w:kern w:val="0"/>
          <w:szCs w:val="21"/>
          <w:lang w:val="en-US" w:eastAsia="zh-CN"/>
        </w:rPr>
        <w:t>谈判</w:t>
      </w:r>
      <w:r>
        <w:rPr>
          <w:rFonts w:hint="eastAsia" w:ascii="宋体" w:hAnsi="宋体" w:cs="宋体"/>
          <w:kern w:val="0"/>
          <w:szCs w:val="21"/>
          <w:lang w:eastAsia="zh-CN"/>
        </w:rPr>
        <w:t>）</w:t>
      </w:r>
      <w:r>
        <w:rPr>
          <w:rFonts w:hint="eastAsia" w:ascii="宋体" w:hAnsi="宋体" w:cs="宋体"/>
          <w:kern w:val="0"/>
          <w:szCs w:val="21"/>
        </w:rPr>
        <w:t>当日的查询结果为准；</w:t>
      </w:r>
    </w:p>
    <w:p w14:paraId="65F9C687">
      <w:pPr>
        <w:ind w:firstLine="420" w:firstLineChars="200"/>
        <w:rPr>
          <w:rFonts w:ascii="宋体" w:hAnsi="宋体"/>
        </w:rPr>
      </w:pPr>
      <w:r>
        <w:rPr>
          <w:rFonts w:hint="eastAsia" w:ascii="宋体" w:hAnsi="宋体"/>
        </w:rPr>
        <w:t>（2）供应商应答（上传应答文件）必须先行办理注册手续，具体请按照本公告“六、其他补充事宜</w:t>
      </w:r>
      <w:r>
        <w:rPr>
          <w:rFonts w:ascii="宋体" w:hAnsi="宋体"/>
        </w:rPr>
        <w:t>”</w:t>
      </w:r>
      <w:r>
        <w:rPr>
          <w:rFonts w:hint="eastAsia" w:ascii="宋体" w:hAnsi="宋体"/>
        </w:rPr>
        <w:t>相关内容指引办理。</w:t>
      </w:r>
    </w:p>
    <w:p w14:paraId="3028EE13">
      <w:pPr>
        <w:ind w:firstLine="420" w:firstLineChars="200"/>
        <w:rPr>
          <w:rFonts w:ascii="宋体" w:hAnsi="宋体" w:cs="宋体"/>
          <w:kern w:val="0"/>
          <w:szCs w:val="21"/>
        </w:rPr>
      </w:pPr>
    </w:p>
    <w:p w14:paraId="25B64572">
      <w:pPr>
        <w:ind w:firstLine="420" w:firstLineChars="200"/>
        <w:rPr>
          <w:rFonts w:ascii="宋体" w:hAnsi="宋体" w:cs="宋体"/>
          <w:kern w:val="0"/>
          <w:szCs w:val="21"/>
        </w:rPr>
      </w:pPr>
      <w:r>
        <w:rPr>
          <w:rFonts w:hint="eastAsia" w:ascii="宋体" w:hAnsi="宋体" w:cs="宋体"/>
          <w:kern w:val="0"/>
          <w:szCs w:val="21"/>
        </w:rPr>
        <w:t>完整公告内容详见：深圳公共资源交易网（</w:t>
      </w:r>
      <w:r>
        <w:rPr>
          <w:rFonts w:hint="eastAsia" w:ascii="宋体" w:hAnsi="宋体" w:cs="宋体"/>
          <w:color w:val="auto"/>
          <w:kern w:val="0"/>
          <w:szCs w:val="21"/>
          <w:u w:val="none"/>
        </w:rPr>
        <w:t>https://www.szggzy.com</w:t>
      </w:r>
      <w:r>
        <w:rPr>
          <w:rFonts w:hint="eastAsia" w:ascii="宋体" w:hAnsi="宋体" w:cs="宋体"/>
          <w:kern w:val="0"/>
          <w:szCs w:val="21"/>
        </w:rPr>
        <w:t>）</w:t>
      </w:r>
    </w:p>
    <w:p w14:paraId="5AD5CA21">
      <w:pPr>
        <w:ind w:firstLine="420" w:firstLineChars="200"/>
        <w:rPr>
          <w:rFonts w:ascii="宋体" w:hAnsi="宋体" w:cs="宋体"/>
          <w:kern w:val="0"/>
          <w:szCs w:val="21"/>
        </w:rPr>
      </w:pPr>
    </w:p>
    <w:p w14:paraId="062D6F01">
      <w:pPr>
        <w:ind w:firstLine="420" w:firstLineChars="200"/>
        <w:rPr>
          <w:rStyle w:val="476"/>
          <w:rFonts w:ascii="等线" w:hAnsi="等线" w:eastAsia="等线" w:cs="Arial"/>
          <w:color w:val="FF0000"/>
          <w:szCs w:val="21"/>
        </w:rPr>
      </w:pPr>
    </w:p>
    <w:p w14:paraId="4E72FC0B">
      <w:pPr>
        <w:ind w:firstLine="420" w:firstLineChars="200"/>
        <w:rPr>
          <w:rStyle w:val="476"/>
          <w:rFonts w:ascii="等线" w:hAnsi="等线" w:eastAsia="等线" w:cs="Arial"/>
          <w:color w:val="FF0000"/>
          <w:szCs w:val="21"/>
        </w:rPr>
        <w:sectPr>
          <w:pgSz w:w="11907" w:h="16840"/>
          <w:pgMar w:top="1440" w:right="1797" w:bottom="1440" w:left="1797" w:header="851" w:footer="992" w:gutter="0"/>
          <w:cols w:space="425" w:num="1"/>
          <w:titlePg/>
          <w:docGrid w:linePitch="462" w:charSpace="0"/>
        </w:sectPr>
      </w:pPr>
    </w:p>
    <w:p w14:paraId="1CA5564E">
      <w:pPr>
        <w:pStyle w:val="7"/>
        <w:rPr>
          <w:sz w:val="28"/>
          <w:szCs w:val="28"/>
        </w:rPr>
      </w:pPr>
      <w:r>
        <w:rPr>
          <w:rFonts w:hint="eastAsia"/>
          <w:sz w:val="28"/>
          <w:szCs w:val="28"/>
        </w:rPr>
        <w:t xml:space="preserve">第二章 </w:t>
      </w:r>
      <w:bookmarkStart w:id="24" w:name="_Hlk71926094"/>
      <w:r>
        <w:rPr>
          <w:rFonts w:hint="eastAsia"/>
          <w:sz w:val="28"/>
          <w:szCs w:val="28"/>
        </w:rPr>
        <w:t>对谈判须知条款的补充内容及其他关键信息</w:t>
      </w:r>
      <w:bookmarkEnd w:id="24"/>
    </w:p>
    <w:p w14:paraId="32288A20">
      <w:pPr>
        <w:pStyle w:val="7"/>
        <w:spacing w:before="120" w:beforeLines="50" w:after="120" w:afterLines="50"/>
        <w:rPr>
          <w:szCs w:val="24"/>
        </w:rPr>
      </w:pPr>
      <w:bookmarkStart w:id="25" w:name="_Toc73521635"/>
      <w:bookmarkStart w:id="26" w:name="_Toc73518117"/>
      <w:bookmarkStart w:id="27" w:name="_Toc60631620"/>
      <w:bookmarkStart w:id="28" w:name="_Toc100052364"/>
      <w:bookmarkStart w:id="29" w:name="_Toc60560625"/>
      <w:bookmarkStart w:id="30" w:name="_Toc101074876"/>
      <w:bookmarkStart w:id="31" w:name="_Toc73517639"/>
      <w:bookmarkStart w:id="32" w:name="_Toc73521547"/>
      <w:r>
        <w:rPr>
          <w:rFonts w:hint="eastAsia"/>
          <w:szCs w:val="24"/>
        </w:rPr>
        <w:t>一、对谈判须知条款的补充内容</w:t>
      </w:r>
    </w:p>
    <w:bookmarkEnd w:id="25"/>
    <w:bookmarkEnd w:id="26"/>
    <w:bookmarkEnd w:id="27"/>
    <w:bookmarkEnd w:id="28"/>
    <w:bookmarkEnd w:id="29"/>
    <w:bookmarkEnd w:id="30"/>
    <w:bookmarkEnd w:id="31"/>
    <w:bookmarkEnd w:id="32"/>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747E7B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FFE11C6">
            <w:pPr>
              <w:jc w:val="center"/>
              <w:rPr>
                <w:rFonts w:ascii="宋体" w:hAnsi="宋体"/>
                <w:b/>
                <w:bCs/>
              </w:rPr>
            </w:pPr>
            <w:bookmarkStart w:id="33" w:name="_Hlk72218097"/>
            <w:r>
              <w:rPr>
                <w:rFonts w:hint="eastAsia" w:ascii="宋体" w:hAnsi="宋体"/>
                <w:b/>
                <w:bCs/>
              </w:rPr>
              <w:t>通用条款序号</w:t>
            </w:r>
          </w:p>
        </w:tc>
        <w:tc>
          <w:tcPr>
            <w:tcW w:w="2409" w:type="dxa"/>
            <w:vAlign w:val="center"/>
          </w:tcPr>
          <w:p w14:paraId="6415C8B0">
            <w:pPr>
              <w:jc w:val="center"/>
              <w:rPr>
                <w:rFonts w:ascii="宋体" w:hAnsi="宋体"/>
                <w:b/>
                <w:bCs/>
              </w:rPr>
            </w:pPr>
            <w:r>
              <w:rPr>
                <w:rFonts w:hint="eastAsia" w:ascii="宋体" w:hAnsi="宋体"/>
                <w:b/>
                <w:bCs/>
              </w:rPr>
              <w:t>涉及事项</w:t>
            </w:r>
          </w:p>
        </w:tc>
        <w:tc>
          <w:tcPr>
            <w:tcW w:w="4980" w:type="dxa"/>
            <w:vAlign w:val="center"/>
          </w:tcPr>
          <w:p w14:paraId="703EE1A1">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6C38D7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5180AC1">
            <w:pPr>
              <w:jc w:val="center"/>
              <w:rPr>
                <w:rFonts w:ascii="宋体" w:hAnsi="宋体"/>
              </w:rPr>
            </w:pPr>
            <w:r>
              <w:rPr>
                <w:rFonts w:hint="eastAsia" w:ascii="宋体" w:hAnsi="宋体"/>
              </w:rPr>
              <w:t>3</w:t>
            </w:r>
            <w:r>
              <w:rPr>
                <w:rFonts w:ascii="宋体" w:hAnsi="宋体"/>
              </w:rPr>
              <w:t>.1</w:t>
            </w:r>
          </w:p>
        </w:tc>
        <w:tc>
          <w:tcPr>
            <w:tcW w:w="2409" w:type="dxa"/>
            <w:vAlign w:val="center"/>
          </w:tcPr>
          <w:p w14:paraId="4694FFD3">
            <w:pPr>
              <w:jc w:val="center"/>
            </w:pPr>
            <w:r>
              <w:rPr>
                <w:rFonts w:hint="eastAsia"/>
              </w:rPr>
              <w:t>采购人</w:t>
            </w:r>
          </w:p>
        </w:tc>
        <w:tc>
          <w:tcPr>
            <w:tcW w:w="4980" w:type="dxa"/>
            <w:vAlign w:val="center"/>
          </w:tcPr>
          <w:p w14:paraId="22E314E2">
            <w:pPr>
              <w:jc w:val="center"/>
              <w:rPr>
                <w:rFonts w:hint="eastAsia" w:ascii="Times New Roman" w:hAnsi="Times New Roman" w:eastAsia="宋体" w:cs="Times New Roman"/>
              </w:rPr>
            </w:pPr>
            <w:r>
              <w:rPr>
                <w:rFonts w:hint="eastAsia" w:ascii="Times New Roman" w:hAnsi="Times New Roman" w:eastAsia="宋体" w:cs="Times New Roman"/>
              </w:rPr>
              <w:t>深圳市</w:t>
            </w:r>
            <w:r>
              <w:rPr>
                <w:rFonts w:hint="eastAsia" w:ascii="Times New Roman" w:hAnsi="Times New Roman" w:eastAsia="宋体" w:cs="Times New Roman"/>
                <w:lang w:val="en-US" w:eastAsia="zh-CN"/>
              </w:rPr>
              <w:t>公安局龙岗分局</w:t>
            </w:r>
          </w:p>
        </w:tc>
      </w:tr>
      <w:tr w14:paraId="71A52C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40F3C53">
            <w:pPr>
              <w:jc w:val="center"/>
              <w:rPr>
                <w:rFonts w:ascii="宋体" w:hAnsi="宋体"/>
              </w:rPr>
            </w:pPr>
            <w:r>
              <w:rPr>
                <w:rFonts w:hint="eastAsia" w:ascii="宋体" w:hAnsi="宋体"/>
              </w:rPr>
              <w:t>3</w:t>
            </w:r>
            <w:r>
              <w:rPr>
                <w:rFonts w:ascii="宋体" w:hAnsi="宋体"/>
              </w:rPr>
              <w:t>.2</w:t>
            </w:r>
          </w:p>
        </w:tc>
        <w:tc>
          <w:tcPr>
            <w:tcW w:w="2409" w:type="dxa"/>
            <w:vAlign w:val="center"/>
          </w:tcPr>
          <w:p w14:paraId="5A68DE35">
            <w:pPr>
              <w:jc w:val="center"/>
              <w:rPr>
                <w:rFonts w:ascii="宋体" w:hAnsi="宋体"/>
              </w:rPr>
            </w:pPr>
            <w:r>
              <w:rPr>
                <w:rFonts w:hint="eastAsia" w:ascii="宋体" w:hAnsi="宋体"/>
              </w:rPr>
              <w:t>政府集中采购机构</w:t>
            </w:r>
          </w:p>
        </w:tc>
        <w:tc>
          <w:tcPr>
            <w:tcW w:w="4980" w:type="dxa"/>
            <w:vAlign w:val="center"/>
          </w:tcPr>
          <w:p w14:paraId="132ED244">
            <w:pPr>
              <w:jc w:val="center"/>
              <w:rPr>
                <w:rFonts w:hint="eastAsia" w:ascii="Times New Roman" w:hAnsi="Times New Roman" w:eastAsia="宋体" w:cs="Times New Roman"/>
              </w:rPr>
            </w:pPr>
            <w:r>
              <w:rPr>
                <w:rFonts w:hint="eastAsia" w:ascii="Times New Roman" w:hAnsi="Times New Roman" w:eastAsia="宋体" w:cs="Times New Roman"/>
              </w:rPr>
              <w:t>深圳公共资源交易中心</w:t>
            </w:r>
          </w:p>
          <w:p w14:paraId="5F1B759B">
            <w:pPr>
              <w:jc w:val="center"/>
              <w:rPr>
                <w:rFonts w:hint="eastAsia" w:ascii="Times New Roman" w:hAnsi="Times New Roman" w:eastAsia="宋体" w:cs="Times New Roman"/>
              </w:rPr>
            </w:pPr>
            <w:r>
              <w:rPr>
                <w:rFonts w:hint="eastAsia" w:ascii="Times New Roman" w:hAnsi="Times New Roman" w:eastAsia="宋体" w:cs="Times New Roman"/>
              </w:rPr>
              <w:t>（深圳交易集团有限公司龙岗分公司）</w:t>
            </w:r>
          </w:p>
        </w:tc>
      </w:tr>
      <w:tr w14:paraId="2CE924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6DD1DE0">
            <w:pPr>
              <w:jc w:val="center"/>
              <w:rPr>
                <w:rFonts w:ascii="宋体" w:hAnsi="宋体"/>
              </w:rPr>
            </w:pPr>
            <w:r>
              <w:rPr>
                <w:rFonts w:hint="eastAsia" w:ascii="宋体" w:hAnsi="宋体"/>
              </w:rPr>
              <w:t>1</w:t>
            </w:r>
            <w:r>
              <w:rPr>
                <w:rFonts w:ascii="宋体" w:hAnsi="宋体"/>
              </w:rPr>
              <w:t>0</w:t>
            </w:r>
            <w:r>
              <w:rPr>
                <w:rFonts w:hint="eastAsia" w:ascii="宋体" w:hAnsi="宋体"/>
              </w:rPr>
              <w:t>/1</w:t>
            </w:r>
            <w:r>
              <w:rPr>
                <w:rFonts w:ascii="宋体" w:hAnsi="宋体"/>
              </w:rPr>
              <w:t>1</w:t>
            </w:r>
          </w:p>
        </w:tc>
        <w:tc>
          <w:tcPr>
            <w:tcW w:w="2409" w:type="dxa"/>
            <w:vAlign w:val="center"/>
          </w:tcPr>
          <w:p w14:paraId="3BF87362">
            <w:pPr>
              <w:jc w:val="center"/>
              <w:rPr>
                <w:rFonts w:ascii="宋体" w:hAnsi="宋体"/>
              </w:rPr>
            </w:pPr>
            <w:r>
              <w:rPr>
                <w:rFonts w:hint="eastAsia" w:ascii="宋体" w:hAnsi="宋体"/>
                <w:lang w:val="en-US" w:eastAsia="zh-CN"/>
              </w:rPr>
              <w:t>谈判</w:t>
            </w:r>
            <w:r>
              <w:rPr>
                <w:rFonts w:hint="eastAsia" w:ascii="宋体" w:hAnsi="宋体"/>
              </w:rPr>
              <w:t>文件的澄清和修改</w:t>
            </w:r>
          </w:p>
        </w:tc>
        <w:tc>
          <w:tcPr>
            <w:tcW w:w="4980" w:type="dxa"/>
            <w:vAlign w:val="center"/>
          </w:tcPr>
          <w:p w14:paraId="6F7C1451">
            <w:pPr>
              <w:jc w:val="center"/>
              <w:rPr>
                <w:rFonts w:hint="eastAsia" w:ascii="Times New Roman" w:hAnsi="Times New Roman" w:eastAsia="宋体" w:cs="Times New Roman"/>
              </w:rPr>
            </w:pPr>
            <w:r>
              <w:rPr>
                <w:rFonts w:hint="eastAsia" w:ascii="Times New Roman" w:hAnsi="Times New Roman" w:eastAsia="宋体" w:cs="Times New Roman"/>
              </w:rPr>
              <w:t>不晚于投标截止日三日前，投标人有义务在招标期间在政府集中采购机构网站浏览与本项目有关的澄清和修改信息</w:t>
            </w:r>
          </w:p>
        </w:tc>
      </w:tr>
      <w:tr w14:paraId="3C51E6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1ED756C">
            <w:pPr>
              <w:jc w:val="center"/>
              <w:rPr>
                <w:rFonts w:ascii="宋体" w:hAnsi="宋体"/>
              </w:rPr>
            </w:pPr>
            <w:r>
              <w:rPr>
                <w:rFonts w:hint="eastAsia" w:ascii="宋体" w:hAnsi="宋体"/>
              </w:rPr>
              <w:t>1</w:t>
            </w:r>
            <w:r>
              <w:rPr>
                <w:rFonts w:ascii="宋体" w:hAnsi="宋体"/>
              </w:rPr>
              <w:t>8</w:t>
            </w:r>
          </w:p>
        </w:tc>
        <w:tc>
          <w:tcPr>
            <w:tcW w:w="2409" w:type="dxa"/>
            <w:vAlign w:val="center"/>
          </w:tcPr>
          <w:p w14:paraId="2DE0C394">
            <w:pPr>
              <w:jc w:val="center"/>
              <w:rPr>
                <w:rFonts w:ascii="宋体" w:hAnsi="宋体"/>
              </w:rPr>
            </w:pPr>
            <w:r>
              <w:rPr>
                <w:rFonts w:hint="eastAsia" w:ascii="宋体" w:hAnsi="宋体"/>
              </w:rPr>
              <w:t>谈判应答有效期</w:t>
            </w:r>
          </w:p>
        </w:tc>
        <w:tc>
          <w:tcPr>
            <w:tcW w:w="4980" w:type="dxa"/>
            <w:vAlign w:val="center"/>
          </w:tcPr>
          <w:p w14:paraId="69DBE79C">
            <w:pPr>
              <w:jc w:val="center"/>
              <w:rPr>
                <w:rFonts w:hint="eastAsia" w:ascii="Times New Roman" w:hAnsi="Times New Roman" w:eastAsia="宋体" w:cs="Times New Roman"/>
              </w:rPr>
            </w:pPr>
            <w:r>
              <w:rPr>
                <w:rFonts w:hint="eastAsia" w:ascii="Times New Roman" w:hAnsi="Times New Roman" w:eastAsia="宋体" w:cs="Times New Roman"/>
              </w:rPr>
              <w:t>120个日历日</w:t>
            </w:r>
          </w:p>
        </w:tc>
      </w:tr>
      <w:tr w14:paraId="54CDE7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7357FA8">
            <w:pPr>
              <w:jc w:val="center"/>
              <w:rPr>
                <w:rFonts w:ascii="宋体" w:hAnsi="宋体"/>
              </w:rPr>
            </w:pPr>
            <w:r>
              <w:rPr>
                <w:rFonts w:hint="eastAsia" w:ascii="宋体" w:hAnsi="宋体"/>
              </w:rPr>
              <w:t>2</w:t>
            </w:r>
            <w:r>
              <w:rPr>
                <w:rFonts w:ascii="宋体" w:hAnsi="宋体"/>
              </w:rPr>
              <w:t>0</w:t>
            </w:r>
          </w:p>
        </w:tc>
        <w:tc>
          <w:tcPr>
            <w:tcW w:w="2409" w:type="dxa"/>
            <w:vAlign w:val="center"/>
          </w:tcPr>
          <w:p w14:paraId="139F16E3">
            <w:pPr>
              <w:jc w:val="center"/>
              <w:rPr>
                <w:rFonts w:ascii="宋体" w:hAnsi="宋体"/>
              </w:rPr>
            </w:pPr>
            <w:r>
              <w:rPr>
                <w:rFonts w:hint="eastAsia" w:ascii="宋体" w:hAnsi="宋体"/>
              </w:rPr>
              <w:t>供应商的替代方案</w:t>
            </w:r>
          </w:p>
        </w:tc>
        <w:tc>
          <w:tcPr>
            <w:tcW w:w="4980" w:type="dxa"/>
            <w:vAlign w:val="center"/>
          </w:tcPr>
          <w:p w14:paraId="62A53686">
            <w:pPr>
              <w:jc w:val="center"/>
              <w:rPr>
                <w:rFonts w:hint="eastAsia" w:ascii="Times New Roman" w:hAnsi="Times New Roman" w:eastAsia="宋体" w:cs="Times New Roman"/>
              </w:rPr>
            </w:pPr>
            <w:r>
              <w:rPr>
                <w:rFonts w:hint="eastAsia" w:ascii="Times New Roman" w:hAnsi="Times New Roman" w:eastAsia="宋体" w:cs="Times New Roman"/>
              </w:rPr>
              <w:t>不接受</w:t>
            </w:r>
          </w:p>
        </w:tc>
      </w:tr>
      <w:tr w14:paraId="2B1639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9BDCD08">
            <w:pPr>
              <w:jc w:val="center"/>
              <w:rPr>
                <w:rFonts w:ascii="宋体" w:hAnsi="宋体"/>
              </w:rPr>
            </w:pPr>
            <w:r>
              <w:rPr>
                <w:rFonts w:hint="eastAsia" w:ascii="宋体" w:hAnsi="宋体"/>
              </w:rPr>
              <w:t>2</w:t>
            </w:r>
            <w:r>
              <w:rPr>
                <w:rFonts w:ascii="宋体" w:hAnsi="宋体"/>
              </w:rPr>
              <w:t>5</w:t>
            </w:r>
          </w:p>
        </w:tc>
        <w:tc>
          <w:tcPr>
            <w:tcW w:w="2409" w:type="dxa"/>
            <w:vAlign w:val="center"/>
          </w:tcPr>
          <w:p w14:paraId="31E4E13F">
            <w:pPr>
              <w:jc w:val="center"/>
              <w:rPr>
                <w:rFonts w:ascii="宋体" w:hAnsi="宋体"/>
              </w:rPr>
            </w:pPr>
            <w:r>
              <w:rPr>
                <w:rFonts w:hint="eastAsia" w:ascii="宋体" w:hAnsi="宋体"/>
              </w:rPr>
              <w:t>应答文件的大小</w:t>
            </w:r>
          </w:p>
        </w:tc>
        <w:tc>
          <w:tcPr>
            <w:tcW w:w="4980" w:type="dxa"/>
            <w:vAlign w:val="center"/>
          </w:tcPr>
          <w:p w14:paraId="71C36BF4">
            <w:pPr>
              <w:jc w:val="center"/>
              <w:rPr>
                <w:rFonts w:hint="eastAsia" w:ascii="Times New Roman" w:hAnsi="Times New Roman" w:eastAsia="宋体" w:cs="Times New Roman"/>
              </w:rPr>
            </w:pPr>
            <w:r>
              <w:rPr>
                <w:rFonts w:hint="eastAsia" w:ascii="Times New Roman" w:hAnsi="Times New Roman" w:eastAsia="宋体" w:cs="Times New Roman"/>
              </w:rPr>
              <w:t>投标文件大小不得超过100MB</w:t>
            </w:r>
          </w:p>
        </w:tc>
      </w:tr>
      <w:tr w14:paraId="16B974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085BA86">
            <w:pPr>
              <w:jc w:val="center"/>
              <w:rPr>
                <w:rFonts w:ascii="宋体" w:hAnsi="宋体"/>
              </w:rPr>
            </w:pPr>
            <w:r>
              <w:rPr>
                <w:rFonts w:hint="eastAsia" w:ascii="宋体" w:hAnsi="宋体"/>
              </w:rPr>
              <w:t>3</w:t>
            </w:r>
            <w:r>
              <w:rPr>
                <w:rFonts w:ascii="宋体" w:hAnsi="宋体"/>
              </w:rPr>
              <w:t>2</w:t>
            </w:r>
          </w:p>
        </w:tc>
        <w:tc>
          <w:tcPr>
            <w:tcW w:w="2409" w:type="dxa"/>
            <w:vAlign w:val="center"/>
          </w:tcPr>
          <w:p w14:paraId="214E4438">
            <w:pPr>
              <w:jc w:val="center"/>
              <w:rPr>
                <w:rFonts w:ascii="宋体" w:hAnsi="宋体"/>
              </w:rPr>
            </w:pPr>
            <w:r>
              <w:rPr>
                <w:rFonts w:hint="eastAsia" w:ascii="宋体" w:hAnsi="宋体"/>
              </w:rPr>
              <w:t>评审方法</w:t>
            </w:r>
          </w:p>
        </w:tc>
        <w:tc>
          <w:tcPr>
            <w:tcW w:w="4980" w:type="dxa"/>
            <w:vAlign w:val="center"/>
          </w:tcPr>
          <w:p w14:paraId="3B198513">
            <w:pPr>
              <w:jc w:val="center"/>
              <w:rPr>
                <w:rFonts w:hint="eastAsia" w:ascii="Times New Roman" w:hAnsi="Times New Roman" w:eastAsia="宋体" w:cs="Times New Roman"/>
              </w:rPr>
            </w:pPr>
            <w:r>
              <w:rPr>
                <w:rFonts w:hint="eastAsia" w:ascii="Times New Roman" w:hAnsi="Times New Roman" w:eastAsia="宋体" w:cs="Times New Roman"/>
              </w:rPr>
              <w:t>最低价法</w:t>
            </w:r>
          </w:p>
        </w:tc>
      </w:tr>
      <w:tr w14:paraId="05658F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FEC7D30">
            <w:pPr>
              <w:jc w:val="center"/>
              <w:rPr>
                <w:rFonts w:ascii="宋体" w:hAnsi="宋体"/>
              </w:rPr>
            </w:pPr>
            <w:r>
              <w:rPr>
                <w:rFonts w:hint="eastAsia" w:ascii="宋体" w:hAnsi="宋体"/>
              </w:rPr>
              <w:t>3</w:t>
            </w:r>
            <w:r>
              <w:rPr>
                <w:rFonts w:ascii="宋体" w:hAnsi="宋体"/>
              </w:rPr>
              <w:t>8</w:t>
            </w:r>
          </w:p>
        </w:tc>
        <w:tc>
          <w:tcPr>
            <w:tcW w:w="2409" w:type="dxa"/>
            <w:vAlign w:val="center"/>
          </w:tcPr>
          <w:p w14:paraId="28D5F4DC">
            <w:pPr>
              <w:jc w:val="center"/>
              <w:rPr>
                <w:rFonts w:ascii="宋体" w:hAnsi="宋体"/>
              </w:rPr>
            </w:pPr>
            <w:r>
              <w:rPr>
                <w:rFonts w:hint="eastAsia" w:ascii="宋体" w:hAnsi="宋体"/>
              </w:rPr>
              <w:t>履约担保</w:t>
            </w:r>
          </w:p>
        </w:tc>
        <w:tc>
          <w:tcPr>
            <w:tcW w:w="4980" w:type="dxa"/>
            <w:vAlign w:val="center"/>
          </w:tcPr>
          <w:p w14:paraId="398079D5">
            <w:pPr>
              <w:jc w:val="center"/>
              <w:rPr>
                <w:rFonts w:hint="eastAsia" w:ascii="Times New Roman" w:hAnsi="Times New Roman" w:eastAsia="宋体" w:cs="Times New Roman"/>
              </w:rPr>
            </w:pPr>
            <w:r>
              <w:rPr>
                <w:rFonts w:hint="eastAsia" w:ascii="Times New Roman" w:hAnsi="Times New Roman" w:eastAsia="宋体" w:cs="Times New Roman"/>
              </w:rPr>
              <w:t>不需要</w:t>
            </w:r>
          </w:p>
        </w:tc>
      </w:tr>
    </w:tbl>
    <w:p w14:paraId="5EB49404">
      <w:pPr>
        <w:rPr>
          <w:b/>
        </w:rPr>
      </w:pPr>
      <w:r>
        <w:rPr>
          <w:rFonts w:hint="eastAsia"/>
          <w:szCs w:val="21"/>
        </w:rPr>
        <w:t>备注：本表是谈判须知条款相关条款的补充和明确，如与谈判须知条款内容相冲突的，以本表为准。</w:t>
      </w:r>
    </w:p>
    <w:bookmarkEnd w:id="33"/>
    <w:p w14:paraId="483B04EE">
      <w:pPr>
        <w:pStyle w:val="7"/>
        <w:spacing w:before="120" w:beforeLines="50" w:after="120" w:afterLines="50"/>
        <w:rPr>
          <w:szCs w:val="24"/>
        </w:rPr>
      </w:pPr>
      <w:bookmarkStart w:id="34" w:name="_Hlk72218117"/>
      <w:r>
        <w:rPr>
          <w:rFonts w:hint="eastAsia"/>
          <w:szCs w:val="24"/>
        </w:rPr>
        <w:t>二、其他关键信息</w:t>
      </w:r>
    </w:p>
    <w:p w14:paraId="2E1FD15E">
      <w:pPr>
        <w:ind w:firstLine="422" w:firstLineChars="200"/>
        <w:rPr>
          <w:b/>
          <w:bCs/>
        </w:rPr>
      </w:pPr>
      <w:r>
        <w:rPr>
          <w:rFonts w:hint="eastAsia"/>
          <w:b/>
          <w:bCs/>
        </w:rPr>
        <w:t>（一）与“对谈判须知条款的补充内容”章节相关的事项</w:t>
      </w:r>
    </w:p>
    <w:p w14:paraId="323F95A2">
      <w:pPr>
        <w:ind w:firstLine="422" w:firstLineChars="200"/>
        <w:rPr>
          <w:rFonts w:ascii="宋体" w:hAnsi="宋体"/>
          <w:b/>
        </w:rPr>
      </w:pPr>
      <w:bookmarkStart w:id="35" w:name="_Hlk72579465"/>
      <w:r>
        <w:rPr>
          <w:rFonts w:hint="eastAsia" w:ascii="宋体" w:hAnsi="宋体"/>
          <w:b/>
        </w:rPr>
        <w:t>1、成交供应商数量信息</w:t>
      </w:r>
    </w:p>
    <w:tbl>
      <w:tblPr>
        <w:tblStyle w:val="44"/>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9"/>
        <w:gridCol w:w="4230"/>
      </w:tblGrid>
      <w:tr w14:paraId="3156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229" w:type="dxa"/>
          </w:tcPr>
          <w:p w14:paraId="44D0B7CD">
            <w:pPr>
              <w:ind w:firstLine="420" w:firstLineChars="200"/>
              <w:jc w:val="left"/>
              <w:rPr>
                <w:rFonts w:ascii="宋体" w:hAnsi="宋体"/>
                <w:szCs w:val="21"/>
              </w:rPr>
            </w:pPr>
            <w:r>
              <w:rPr>
                <w:rFonts w:hint="eastAsia" w:ascii="宋体" w:hAnsi="宋体"/>
                <w:szCs w:val="21"/>
              </w:rPr>
              <w:t>成交供应商数量</w:t>
            </w:r>
          </w:p>
        </w:tc>
        <w:tc>
          <w:tcPr>
            <w:tcW w:w="4230" w:type="dxa"/>
          </w:tcPr>
          <w:p w14:paraId="79D5C7BD">
            <w:pPr>
              <w:ind w:firstLine="420" w:firstLineChars="200"/>
              <w:jc w:val="center"/>
              <w:rPr>
                <w:rFonts w:ascii="宋体" w:hAnsi="宋体"/>
                <w:szCs w:val="21"/>
                <w:highlight w:val="none"/>
              </w:rPr>
            </w:pPr>
            <w:r>
              <w:rPr>
                <w:rFonts w:hint="eastAsia" w:ascii="宋体" w:hAnsi="宋体"/>
                <w:szCs w:val="21"/>
                <w:highlight w:val="none"/>
              </w:rPr>
              <w:t>1</w:t>
            </w:r>
          </w:p>
        </w:tc>
      </w:tr>
      <w:tr w14:paraId="292F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229" w:type="dxa"/>
          </w:tcPr>
          <w:p w14:paraId="21406FA3">
            <w:pPr>
              <w:ind w:firstLine="420" w:firstLineChars="200"/>
              <w:jc w:val="left"/>
              <w:rPr>
                <w:rFonts w:ascii="宋体" w:hAnsi="宋体"/>
                <w:szCs w:val="21"/>
              </w:rPr>
            </w:pPr>
            <w:r>
              <w:rPr>
                <w:rFonts w:hint="eastAsia" w:ascii="宋体" w:hAnsi="宋体"/>
                <w:szCs w:val="21"/>
              </w:rPr>
              <w:t>候选成交供应商数量</w:t>
            </w:r>
          </w:p>
        </w:tc>
        <w:tc>
          <w:tcPr>
            <w:tcW w:w="4230" w:type="dxa"/>
          </w:tcPr>
          <w:p w14:paraId="13B2B926">
            <w:pPr>
              <w:ind w:firstLine="420" w:firstLineChars="200"/>
              <w:jc w:val="center"/>
              <w:rPr>
                <w:rFonts w:hint="eastAsia" w:ascii="宋体" w:hAnsi="宋体" w:eastAsia="宋体"/>
                <w:szCs w:val="21"/>
                <w:highlight w:val="none"/>
                <w:lang w:eastAsia="zh-CN"/>
              </w:rPr>
            </w:pPr>
            <w:r>
              <w:rPr>
                <w:rFonts w:hint="eastAsia" w:ascii="宋体" w:hAnsi="宋体"/>
                <w:szCs w:val="21"/>
                <w:highlight w:val="none"/>
                <w:lang w:val="en-US" w:eastAsia="zh-CN"/>
              </w:rPr>
              <w:t>3</w:t>
            </w:r>
          </w:p>
        </w:tc>
      </w:tr>
    </w:tbl>
    <w:p w14:paraId="2340066E">
      <w:pPr>
        <w:rPr>
          <w:b/>
          <w:bCs/>
        </w:rPr>
      </w:pPr>
    </w:p>
    <w:bookmarkEnd w:id="35"/>
    <w:p w14:paraId="001C362E">
      <w:pPr>
        <w:ind w:firstLine="422" w:firstLineChars="200"/>
        <w:rPr>
          <w:b/>
        </w:rPr>
      </w:pPr>
      <w:r>
        <w:rPr>
          <w:rFonts w:hint="eastAsia"/>
          <w:b/>
        </w:rPr>
        <w:t>（二）其他事项</w:t>
      </w:r>
    </w:p>
    <w:p w14:paraId="3C6517CE">
      <w:pPr>
        <w:ind w:firstLine="422" w:firstLineChars="200"/>
        <w:rPr>
          <w:b/>
          <w:bCs/>
        </w:rPr>
      </w:pPr>
      <w:r>
        <w:rPr>
          <w:b/>
          <w:bCs/>
        </w:rPr>
        <w:t>1</w:t>
      </w:r>
      <w:r>
        <w:rPr>
          <w:rFonts w:hint="eastAsia"/>
          <w:b/>
          <w:bCs/>
        </w:rPr>
        <w:t>、关于享受优惠政策的主体及价格扣除比例</w:t>
      </w:r>
    </w:p>
    <w:p w14:paraId="3DE54E3D">
      <w:pPr>
        <w:pageBreakBefore w:val="0"/>
        <w:kinsoku/>
        <w:wordWrap/>
        <w:overflowPunct/>
        <w:topLinePunct w:val="0"/>
        <w:autoSpaceDE/>
        <w:autoSpaceDN/>
        <w:bidi w:val="0"/>
        <w:snapToGrid/>
        <w:spacing w:line="240" w:lineRule="auto"/>
        <w:ind w:firstLine="420" w:firstLineChars="200"/>
        <w:rPr>
          <w:rFonts w:hint="eastAsia" w:ascii="Times New Roman" w:hAnsi="Times New Roman" w:cs="Times New Roman"/>
        </w:rPr>
      </w:pPr>
      <w:r>
        <w:rPr>
          <w:rFonts w:hint="eastAsia"/>
        </w:rPr>
        <w:t>（</w:t>
      </w:r>
      <w:r>
        <w:rPr>
          <w:rFonts w:hint="eastAsia"/>
          <w:lang w:val="en-US" w:eastAsia="zh-CN"/>
        </w:rPr>
        <w:t>1</w:t>
      </w:r>
      <w:r>
        <w:rPr>
          <w:rFonts w:hint="eastAsia"/>
        </w:rPr>
        <w:t>）</w:t>
      </w:r>
      <w:r>
        <w:rPr>
          <w:rFonts w:hint="eastAsia" w:ascii="Times New Roman" w:hAnsi="Times New Roman" w:cs="Times New Roman"/>
        </w:rPr>
        <w:t>本项目为专门面向中小企业采购的项目，不再执行价格评审优惠的扶持政策，小微企业不得将合同分包给大中型企业，中型企业不得将合同分包给大型企业。投标人提供服务全部均应由中小企业承接。</w:t>
      </w:r>
    </w:p>
    <w:p w14:paraId="0F1D4C02">
      <w:pPr>
        <w:ind w:firstLine="420" w:firstLineChars="200"/>
      </w:pPr>
      <w:r>
        <w:rPr>
          <w:rFonts w:hint="eastAsia"/>
        </w:rPr>
        <w:t>备注：（a）</w:t>
      </w:r>
      <w:r>
        <w:rPr>
          <w:rFonts w:hint="eastAsia" w:ascii="Times New Roman" w:eastAsia="宋体"/>
          <w:lang w:val="en-US" w:eastAsia="zh-CN"/>
        </w:rPr>
        <w:t>享受价格扣除</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优惠主体承接是指提供服务的人员为中小企业依照《中华人民共和国民法典》订立劳动合同的从业人员。</w:t>
      </w:r>
    </w:p>
    <w:p w14:paraId="151B18CB">
      <w:pPr>
        <w:ind w:firstLine="420" w:firstLineChars="200"/>
      </w:pPr>
      <w:r>
        <w:rPr>
          <w:rFonts w:hint="eastAsia"/>
        </w:rPr>
        <w:t>（</w:t>
      </w:r>
      <w:r>
        <w:rPr>
          <w:rFonts w:hint="eastAsia"/>
          <w:lang w:val="en-US" w:eastAsia="zh-CN"/>
        </w:rPr>
        <w:t>2</w:t>
      </w:r>
      <w:r>
        <w:rPr>
          <w:rFonts w:hint="eastAsia"/>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 号）的规定，出具《中小企业声明函》，</w:t>
      </w:r>
      <w:r>
        <w:rPr>
          <w:rFonts w:hint="eastAsia"/>
          <w:color w:val="FF0000"/>
        </w:rPr>
        <w:t>《中小企业声明函》中相关企业所属行业应当与采购标的所属行业相一致</w:t>
      </w:r>
      <w:r>
        <w:rPr>
          <w:rFonts w:hint="eastAsia"/>
        </w:rPr>
        <w:t>。本项目采购标的（</w:t>
      </w:r>
      <w:r>
        <w:rPr>
          <w:rFonts w:hint="eastAsia"/>
          <w:color w:val="FF0000"/>
        </w:rPr>
        <w:t>深圳市公安局龙岗分局大数据汇聚平台查询等服务采购项目</w:t>
      </w:r>
      <w:r>
        <w:rPr>
          <w:rFonts w:hint="eastAsia"/>
        </w:rPr>
        <w:t>）对应的中小企业划分标准所属行业为</w:t>
      </w:r>
      <w:r>
        <w:rPr>
          <w:rFonts w:hint="eastAsia"/>
          <w:color w:val="FF0000"/>
          <w:u w:val="single"/>
        </w:rPr>
        <w:t xml:space="preserve"> 软件和信息技术服务  </w:t>
      </w:r>
      <w:r>
        <w:rPr>
          <w:rFonts w:hint="eastAsia"/>
          <w:color w:val="FF0000"/>
          <w:u w:val="single"/>
          <w:lang w:val="en-US" w:eastAsia="zh-CN"/>
        </w:rPr>
        <w:t xml:space="preserve">  </w:t>
      </w:r>
      <w:r>
        <w:rPr>
          <w:rFonts w:hint="eastAsia"/>
          <w:color w:val="FF0000"/>
          <w:u w:val="none"/>
        </w:rPr>
        <w:t>业</w:t>
      </w:r>
      <w:r>
        <w:rPr>
          <w:rFonts w:hint="eastAsia"/>
        </w:rPr>
        <w:t>。</w:t>
      </w:r>
    </w:p>
    <w:p w14:paraId="41247AEC">
      <w:pPr>
        <w:ind w:firstLine="420" w:firstLineChars="200"/>
      </w:pPr>
      <w:r>
        <w:rPr>
          <w:rFonts w:hint="eastAsia"/>
        </w:rPr>
        <w:t>（</w:t>
      </w:r>
      <w:r>
        <w:rPr>
          <w:rFonts w:hint="eastAsia"/>
          <w:lang w:val="en-US" w:eastAsia="zh-CN"/>
        </w:rPr>
        <w:t>3</w:t>
      </w:r>
      <w:r>
        <w:rPr>
          <w:rFonts w:hint="eastAsia"/>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谈判文件</w:t>
      </w:r>
      <w:r>
        <w:rPr>
          <w:rFonts w:hint="eastAsia"/>
          <w:szCs w:val="21"/>
        </w:rPr>
        <w:t>第四章“谈判应答文件组成要求及格式</w:t>
      </w:r>
      <w:r>
        <w:rPr>
          <w:rFonts w:hint="eastAsia"/>
        </w:rPr>
        <w:t>”中“五、供应商情况及资格证明文件”章节提供的格式）。</w:t>
      </w:r>
    </w:p>
    <w:p w14:paraId="4F8466D8">
      <w:pPr>
        <w:ind w:firstLine="420" w:firstLineChars="200"/>
        <w:rPr>
          <w:rFonts w:ascii="仿宋" w:hAnsi="仿宋" w:eastAsia="仿宋"/>
          <w:sz w:val="28"/>
          <w:szCs w:val="28"/>
        </w:rPr>
      </w:pPr>
      <w:r>
        <w:rPr>
          <w:rFonts w:hint="eastAsia"/>
        </w:rPr>
        <w:t>（</w:t>
      </w:r>
      <w:r>
        <w:rPr>
          <w:rFonts w:hint="eastAsia"/>
          <w:lang w:val="en-US" w:eastAsia="zh-CN"/>
        </w:rPr>
        <w:t>4</w:t>
      </w:r>
      <w:r>
        <w:rPr>
          <w:rFonts w:hint="eastAsia"/>
        </w:rPr>
        <w:t>）享受价格扣除获得政府采购合同的，小微企业不得将合同分包给大中型企业。</w:t>
      </w:r>
    </w:p>
    <w:p w14:paraId="0CF74DB2">
      <w:pPr>
        <w:ind w:firstLine="422" w:firstLineChars="200"/>
        <w:rPr>
          <w:b/>
        </w:rPr>
      </w:pPr>
    </w:p>
    <w:p w14:paraId="33F74028">
      <w:pPr>
        <w:keepNext w:val="0"/>
        <w:keepLines w:val="0"/>
        <w:pageBreakBefore w:val="0"/>
        <w:widowControl w:val="0"/>
        <w:kinsoku/>
        <w:wordWrap w:val="0"/>
        <w:overflowPunct/>
        <w:topLinePunct w:val="0"/>
        <w:autoSpaceDE/>
        <w:autoSpaceDN/>
        <w:bidi w:val="0"/>
        <w:adjustRightInd/>
        <w:snapToGrid/>
        <w:textAlignment w:val="auto"/>
        <w:rPr>
          <w:color w:val="0000FF"/>
        </w:rPr>
      </w:pPr>
    </w:p>
    <w:p w14:paraId="6C3BFE13">
      <w:pPr>
        <w:ind w:firstLine="422" w:firstLineChars="200"/>
        <w:rPr>
          <w:rFonts w:hint="eastAsia"/>
          <w:b/>
          <w:bCs/>
          <w:lang w:val="en-US" w:eastAsia="zh-CN"/>
        </w:rPr>
      </w:pPr>
      <w:r>
        <w:rPr>
          <w:rFonts w:hint="eastAsia" w:ascii="Times New Roman" w:eastAsia="宋体"/>
          <w:b/>
          <w:bCs/>
          <w:lang w:val="en-US" w:eastAsia="zh-CN"/>
        </w:rPr>
        <w:t>2、本项目为代理服务项目，将向中标（成交）供应商收取代理服务费。</w:t>
      </w:r>
    </w:p>
    <w:p w14:paraId="568B2FDF">
      <w:pPr>
        <w:ind w:firstLine="420" w:firstLineChars="200"/>
      </w:pP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供应商在领取《中标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通知书》之前须向深圳公共资源交易中心（深圳交易集团有限公司</w:t>
      </w:r>
      <w:r>
        <w:rPr>
          <w:rFonts w:hint="eastAsia"/>
          <w:lang w:val="en-US" w:eastAsia="zh-CN"/>
        </w:rPr>
        <w:t>龙岗</w:t>
      </w:r>
      <w:r>
        <w:rPr>
          <w:rFonts w:hint="eastAsia"/>
        </w:rPr>
        <w:t>分公司）交纳代理服务费。若因中标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供应商交纳代理服务费所产生的时间影响到合同签订的，由中标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供应商自行承担责任。代理服务费标准参照</w:t>
      </w:r>
      <w:r>
        <w:rPr>
          <w:rFonts w:hint="eastAsia" w:ascii="Times New Roman" w:eastAsia="宋体"/>
          <w:lang w:val="en-US" w:eastAsia="zh-CN"/>
        </w:rPr>
        <w:t>下列</w:t>
      </w:r>
      <w:r>
        <w:rPr>
          <w:rFonts w:hint="eastAsia"/>
        </w:rPr>
        <w:t>标准收取。</w:t>
      </w:r>
      <w:r>
        <w:rPr>
          <w:rFonts w:hint="eastAsia"/>
          <w:b/>
          <w:color w:val="FF0000"/>
        </w:rPr>
        <w:t>本项目类型为</w:t>
      </w:r>
      <w:r>
        <w:rPr>
          <w:rFonts w:hint="eastAsia" w:ascii="Times New Roman" w:eastAsia="宋体"/>
          <w:b/>
          <w:color w:val="FF0000"/>
          <w:lang w:val="en-US" w:eastAsia="zh-CN"/>
        </w:rPr>
        <w:t>服务</w:t>
      </w:r>
      <w:r>
        <w:rPr>
          <w:rFonts w:hint="eastAsia"/>
          <w:b/>
          <w:color w:val="FF0000"/>
        </w:rPr>
        <w:t>采购：</w:t>
      </w:r>
    </w:p>
    <w:p w14:paraId="1EF6A58C">
      <w:pPr>
        <w:ind w:firstLine="420" w:firstLineChars="200"/>
      </w:pPr>
      <w:r>
        <w:rPr>
          <w:rFonts w:hint="eastAsia"/>
        </w:rPr>
        <w:t>（</w:t>
      </w:r>
      <w:r>
        <w:rPr>
          <w:rFonts w:hint="eastAsia" w:ascii="Times New Roman" w:eastAsia="宋体"/>
          <w:lang w:val="en-US" w:eastAsia="zh-CN"/>
        </w:rPr>
        <w:t>1</w:t>
      </w:r>
      <w:r>
        <w:rPr>
          <w:rFonts w:hint="eastAsia"/>
        </w:rPr>
        <w:t>）代理服务费以《中标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通知书》确定的</w:t>
      </w:r>
      <w:r>
        <w:rPr>
          <w:rFonts w:hint="eastAsia" w:ascii="Times New Roman" w:eastAsia="宋体"/>
          <w:lang w:val="en-US" w:eastAsia="zh-CN"/>
        </w:rPr>
        <w:t>中标（</w:t>
      </w:r>
      <w:r>
        <w:rPr>
          <w:rFonts w:hint="eastAsia"/>
        </w:rPr>
        <w:t>成交</w:t>
      </w:r>
      <w:r>
        <w:rPr>
          <w:rFonts w:hint="eastAsia" w:eastAsia="宋体"/>
          <w:lang w:eastAsia="zh-CN"/>
        </w:rPr>
        <w:t>）</w:t>
      </w:r>
      <w:r>
        <w:rPr>
          <w:rFonts w:hint="eastAsia"/>
        </w:rPr>
        <w:t>金额作为计算基数，按差额定率累进法计算。</w:t>
      </w:r>
    </w:p>
    <w:p w14:paraId="48D2F07F">
      <w:pPr>
        <w:ind w:firstLine="420" w:firstLineChars="200"/>
      </w:pPr>
      <w:r>
        <w:rPr>
          <w:rFonts w:hint="eastAsia"/>
        </w:rPr>
        <w:t>（</w:t>
      </w:r>
      <w:r>
        <w:rPr>
          <w:rFonts w:hint="eastAsia" w:ascii="Times New Roman" w:eastAsia="宋体"/>
          <w:lang w:val="en-US" w:eastAsia="zh-CN"/>
        </w:rPr>
        <w:t>2</w:t>
      </w: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5C13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0BDEBFD4">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14:paraId="41743DA4">
            <w:pPr>
              <w:widowControl/>
              <w:spacing w:line="360" w:lineRule="auto"/>
              <w:jc w:val="center"/>
            </w:pPr>
            <w:r>
              <w:rPr>
                <w:rFonts w:hint="eastAsia"/>
              </w:rPr>
              <w:t>货物采购</w:t>
            </w:r>
          </w:p>
        </w:tc>
        <w:tc>
          <w:tcPr>
            <w:tcW w:w="1799" w:type="dxa"/>
            <w:vAlign w:val="center"/>
          </w:tcPr>
          <w:p w14:paraId="7B0EE1F7">
            <w:pPr>
              <w:widowControl/>
              <w:spacing w:line="360" w:lineRule="auto"/>
              <w:jc w:val="center"/>
            </w:pPr>
            <w:r>
              <w:rPr>
                <w:rFonts w:hint="eastAsia"/>
              </w:rPr>
              <w:t>服务采购</w:t>
            </w:r>
          </w:p>
        </w:tc>
        <w:tc>
          <w:tcPr>
            <w:tcW w:w="1799" w:type="dxa"/>
            <w:vAlign w:val="center"/>
          </w:tcPr>
          <w:p w14:paraId="5F2816C1">
            <w:pPr>
              <w:widowControl/>
              <w:spacing w:line="360" w:lineRule="auto"/>
              <w:jc w:val="center"/>
            </w:pPr>
            <w:r>
              <w:rPr>
                <w:rFonts w:hint="eastAsia"/>
              </w:rPr>
              <w:t>工程采购</w:t>
            </w:r>
          </w:p>
        </w:tc>
      </w:tr>
      <w:tr w14:paraId="3C99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D704B1E">
            <w:pPr>
              <w:widowControl/>
              <w:spacing w:line="360" w:lineRule="auto"/>
              <w:jc w:val="center"/>
            </w:pPr>
            <w:r>
              <w:rPr>
                <w:rFonts w:hint="eastAsia"/>
              </w:rPr>
              <w:t>100万元以下</w:t>
            </w:r>
          </w:p>
        </w:tc>
        <w:tc>
          <w:tcPr>
            <w:tcW w:w="1799" w:type="dxa"/>
            <w:vAlign w:val="center"/>
          </w:tcPr>
          <w:p w14:paraId="5C46BA1A">
            <w:pPr>
              <w:widowControl/>
              <w:spacing w:line="360" w:lineRule="auto"/>
              <w:jc w:val="center"/>
            </w:pPr>
            <w:r>
              <w:rPr>
                <w:rFonts w:hint="eastAsia"/>
              </w:rPr>
              <w:t>1.5%</w:t>
            </w:r>
          </w:p>
        </w:tc>
        <w:tc>
          <w:tcPr>
            <w:tcW w:w="1799" w:type="dxa"/>
            <w:vAlign w:val="center"/>
          </w:tcPr>
          <w:p w14:paraId="757F26D7">
            <w:pPr>
              <w:widowControl/>
              <w:spacing w:line="360" w:lineRule="auto"/>
              <w:jc w:val="center"/>
            </w:pPr>
            <w:r>
              <w:rPr>
                <w:rFonts w:hint="eastAsia"/>
              </w:rPr>
              <w:t>1.5%</w:t>
            </w:r>
          </w:p>
        </w:tc>
        <w:tc>
          <w:tcPr>
            <w:tcW w:w="1799" w:type="dxa"/>
            <w:vAlign w:val="center"/>
          </w:tcPr>
          <w:p w14:paraId="7E5DE96C">
            <w:pPr>
              <w:widowControl/>
              <w:spacing w:line="360" w:lineRule="auto"/>
              <w:jc w:val="center"/>
            </w:pPr>
            <w:r>
              <w:rPr>
                <w:rFonts w:hint="eastAsia"/>
              </w:rPr>
              <w:t>1.0%</w:t>
            </w:r>
          </w:p>
        </w:tc>
      </w:tr>
      <w:tr w14:paraId="2AE7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848BF19">
            <w:pPr>
              <w:widowControl/>
              <w:spacing w:line="360" w:lineRule="auto"/>
              <w:jc w:val="center"/>
            </w:pPr>
            <w:r>
              <w:rPr>
                <w:rFonts w:hint="eastAsia"/>
              </w:rPr>
              <w:t>100万元（含）-500万元</w:t>
            </w:r>
          </w:p>
        </w:tc>
        <w:tc>
          <w:tcPr>
            <w:tcW w:w="1799" w:type="dxa"/>
            <w:vAlign w:val="center"/>
          </w:tcPr>
          <w:p w14:paraId="3A3264B0">
            <w:pPr>
              <w:widowControl/>
              <w:spacing w:line="360" w:lineRule="auto"/>
              <w:jc w:val="center"/>
            </w:pPr>
            <w:r>
              <w:rPr>
                <w:rFonts w:hint="eastAsia"/>
              </w:rPr>
              <w:t>1.1%</w:t>
            </w:r>
          </w:p>
        </w:tc>
        <w:tc>
          <w:tcPr>
            <w:tcW w:w="1799" w:type="dxa"/>
            <w:vAlign w:val="center"/>
          </w:tcPr>
          <w:p w14:paraId="090F1334">
            <w:pPr>
              <w:widowControl/>
              <w:spacing w:line="360" w:lineRule="auto"/>
              <w:jc w:val="center"/>
            </w:pPr>
            <w:r>
              <w:rPr>
                <w:rFonts w:hint="eastAsia"/>
              </w:rPr>
              <w:t>0.8%</w:t>
            </w:r>
          </w:p>
        </w:tc>
        <w:tc>
          <w:tcPr>
            <w:tcW w:w="1799" w:type="dxa"/>
            <w:vAlign w:val="center"/>
          </w:tcPr>
          <w:p w14:paraId="07CD6FFA">
            <w:pPr>
              <w:widowControl/>
              <w:spacing w:line="360" w:lineRule="auto"/>
              <w:jc w:val="center"/>
            </w:pPr>
            <w:r>
              <w:rPr>
                <w:rFonts w:hint="eastAsia"/>
              </w:rPr>
              <w:t>0.7%</w:t>
            </w:r>
          </w:p>
        </w:tc>
      </w:tr>
      <w:tr w14:paraId="0F7A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92C95ED">
            <w:pPr>
              <w:widowControl/>
              <w:spacing w:line="360" w:lineRule="auto"/>
              <w:jc w:val="center"/>
            </w:pPr>
            <w:r>
              <w:rPr>
                <w:rFonts w:hint="eastAsia"/>
              </w:rPr>
              <w:t>500万元（含）-1000万元</w:t>
            </w:r>
          </w:p>
        </w:tc>
        <w:tc>
          <w:tcPr>
            <w:tcW w:w="1799" w:type="dxa"/>
            <w:vAlign w:val="center"/>
          </w:tcPr>
          <w:p w14:paraId="306AFB1F">
            <w:pPr>
              <w:widowControl/>
              <w:spacing w:line="360" w:lineRule="auto"/>
              <w:jc w:val="center"/>
            </w:pPr>
            <w:r>
              <w:rPr>
                <w:rFonts w:hint="eastAsia"/>
              </w:rPr>
              <w:t>0.8%</w:t>
            </w:r>
          </w:p>
        </w:tc>
        <w:tc>
          <w:tcPr>
            <w:tcW w:w="1799" w:type="dxa"/>
            <w:vAlign w:val="center"/>
          </w:tcPr>
          <w:p w14:paraId="5C058430">
            <w:pPr>
              <w:widowControl/>
              <w:spacing w:line="360" w:lineRule="auto"/>
              <w:jc w:val="center"/>
            </w:pPr>
            <w:r>
              <w:rPr>
                <w:rFonts w:hint="eastAsia"/>
              </w:rPr>
              <w:t>0.45%</w:t>
            </w:r>
          </w:p>
        </w:tc>
        <w:tc>
          <w:tcPr>
            <w:tcW w:w="1799" w:type="dxa"/>
            <w:vAlign w:val="center"/>
          </w:tcPr>
          <w:p w14:paraId="634F9695">
            <w:pPr>
              <w:widowControl/>
              <w:spacing w:line="360" w:lineRule="auto"/>
              <w:jc w:val="center"/>
            </w:pPr>
            <w:r>
              <w:rPr>
                <w:rFonts w:hint="eastAsia"/>
              </w:rPr>
              <w:t>0.55%</w:t>
            </w:r>
          </w:p>
        </w:tc>
      </w:tr>
      <w:tr w14:paraId="52BA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30A585C">
            <w:pPr>
              <w:widowControl/>
              <w:spacing w:line="360" w:lineRule="auto"/>
              <w:jc w:val="center"/>
            </w:pPr>
            <w:r>
              <w:rPr>
                <w:rFonts w:hint="eastAsia"/>
              </w:rPr>
              <w:t>1000万元（含）-5000万元</w:t>
            </w:r>
          </w:p>
        </w:tc>
        <w:tc>
          <w:tcPr>
            <w:tcW w:w="1799" w:type="dxa"/>
            <w:vAlign w:val="center"/>
          </w:tcPr>
          <w:p w14:paraId="26E9449E">
            <w:pPr>
              <w:widowControl/>
              <w:spacing w:line="360" w:lineRule="auto"/>
              <w:jc w:val="center"/>
            </w:pPr>
            <w:r>
              <w:rPr>
                <w:rFonts w:hint="eastAsia"/>
              </w:rPr>
              <w:t>0.5%</w:t>
            </w:r>
          </w:p>
        </w:tc>
        <w:tc>
          <w:tcPr>
            <w:tcW w:w="1799" w:type="dxa"/>
            <w:vAlign w:val="center"/>
          </w:tcPr>
          <w:p w14:paraId="4DD30C93">
            <w:pPr>
              <w:widowControl/>
              <w:spacing w:line="360" w:lineRule="auto"/>
              <w:jc w:val="center"/>
            </w:pPr>
            <w:r>
              <w:rPr>
                <w:rFonts w:hint="eastAsia"/>
              </w:rPr>
              <w:t>0.25%</w:t>
            </w:r>
          </w:p>
        </w:tc>
        <w:tc>
          <w:tcPr>
            <w:tcW w:w="1799" w:type="dxa"/>
            <w:vAlign w:val="center"/>
          </w:tcPr>
          <w:p w14:paraId="6F721C3F">
            <w:pPr>
              <w:widowControl/>
              <w:spacing w:line="360" w:lineRule="auto"/>
              <w:jc w:val="center"/>
            </w:pPr>
            <w:r>
              <w:rPr>
                <w:rFonts w:hint="eastAsia"/>
              </w:rPr>
              <w:t>0.35%</w:t>
            </w:r>
          </w:p>
        </w:tc>
      </w:tr>
      <w:tr w14:paraId="599B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245D7B4">
            <w:pPr>
              <w:widowControl/>
              <w:spacing w:line="360" w:lineRule="auto"/>
              <w:jc w:val="center"/>
            </w:pPr>
            <w:r>
              <w:rPr>
                <w:rFonts w:hint="eastAsia"/>
              </w:rPr>
              <w:t>5000万元（含）-1亿元</w:t>
            </w:r>
          </w:p>
        </w:tc>
        <w:tc>
          <w:tcPr>
            <w:tcW w:w="1799" w:type="dxa"/>
            <w:vAlign w:val="center"/>
          </w:tcPr>
          <w:p w14:paraId="6A859039">
            <w:pPr>
              <w:widowControl/>
              <w:spacing w:line="360" w:lineRule="auto"/>
              <w:jc w:val="center"/>
            </w:pPr>
            <w:r>
              <w:rPr>
                <w:rFonts w:hint="eastAsia"/>
              </w:rPr>
              <w:t>0.25%</w:t>
            </w:r>
          </w:p>
        </w:tc>
        <w:tc>
          <w:tcPr>
            <w:tcW w:w="1799" w:type="dxa"/>
            <w:vAlign w:val="center"/>
          </w:tcPr>
          <w:p w14:paraId="3EDB2235">
            <w:pPr>
              <w:widowControl/>
              <w:spacing w:line="360" w:lineRule="auto"/>
              <w:jc w:val="center"/>
            </w:pPr>
            <w:r>
              <w:rPr>
                <w:rFonts w:hint="eastAsia"/>
              </w:rPr>
              <w:t>0.1%</w:t>
            </w:r>
          </w:p>
        </w:tc>
        <w:tc>
          <w:tcPr>
            <w:tcW w:w="1799" w:type="dxa"/>
            <w:vAlign w:val="center"/>
          </w:tcPr>
          <w:p w14:paraId="4382DF98">
            <w:pPr>
              <w:widowControl/>
              <w:spacing w:line="360" w:lineRule="auto"/>
              <w:jc w:val="center"/>
            </w:pPr>
            <w:r>
              <w:rPr>
                <w:rFonts w:hint="eastAsia"/>
              </w:rPr>
              <w:t>0.2%</w:t>
            </w:r>
          </w:p>
        </w:tc>
      </w:tr>
      <w:tr w14:paraId="6E81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83343A6">
            <w:pPr>
              <w:widowControl/>
              <w:spacing w:line="360" w:lineRule="auto"/>
              <w:jc w:val="center"/>
            </w:pPr>
            <w:r>
              <w:rPr>
                <w:rFonts w:hint="eastAsia"/>
              </w:rPr>
              <w:t>1亿元（含）-5亿元</w:t>
            </w:r>
          </w:p>
        </w:tc>
        <w:tc>
          <w:tcPr>
            <w:tcW w:w="1799" w:type="dxa"/>
            <w:vAlign w:val="center"/>
          </w:tcPr>
          <w:p w14:paraId="419236CC">
            <w:pPr>
              <w:widowControl/>
              <w:spacing w:line="360" w:lineRule="auto"/>
              <w:jc w:val="center"/>
            </w:pPr>
            <w:r>
              <w:rPr>
                <w:rFonts w:hint="eastAsia"/>
              </w:rPr>
              <w:t>0.05%</w:t>
            </w:r>
          </w:p>
        </w:tc>
        <w:tc>
          <w:tcPr>
            <w:tcW w:w="1799" w:type="dxa"/>
            <w:vAlign w:val="center"/>
          </w:tcPr>
          <w:p w14:paraId="6C2E9134">
            <w:pPr>
              <w:widowControl/>
              <w:spacing w:line="360" w:lineRule="auto"/>
              <w:jc w:val="center"/>
            </w:pPr>
            <w:r>
              <w:rPr>
                <w:rFonts w:hint="eastAsia"/>
              </w:rPr>
              <w:t>0.05%</w:t>
            </w:r>
          </w:p>
        </w:tc>
        <w:tc>
          <w:tcPr>
            <w:tcW w:w="1799" w:type="dxa"/>
            <w:vAlign w:val="center"/>
          </w:tcPr>
          <w:p w14:paraId="1299AA50">
            <w:pPr>
              <w:widowControl/>
              <w:spacing w:line="360" w:lineRule="auto"/>
              <w:jc w:val="center"/>
            </w:pPr>
            <w:r>
              <w:rPr>
                <w:rFonts w:hint="eastAsia"/>
              </w:rPr>
              <w:t>0.05%</w:t>
            </w:r>
          </w:p>
        </w:tc>
      </w:tr>
      <w:tr w14:paraId="1FA8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3CE6498">
            <w:pPr>
              <w:widowControl/>
              <w:spacing w:line="360" w:lineRule="auto"/>
              <w:jc w:val="center"/>
            </w:pPr>
            <w:r>
              <w:rPr>
                <w:rFonts w:hint="eastAsia"/>
              </w:rPr>
              <w:t>5亿元（含）-10亿元</w:t>
            </w:r>
          </w:p>
        </w:tc>
        <w:tc>
          <w:tcPr>
            <w:tcW w:w="1799" w:type="dxa"/>
            <w:vAlign w:val="center"/>
          </w:tcPr>
          <w:p w14:paraId="12812577">
            <w:pPr>
              <w:widowControl/>
              <w:spacing w:line="360" w:lineRule="auto"/>
              <w:jc w:val="center"/>
            </w:pPr>
            <w:r>
              <w:rPr>
                <w:rFonts w:hint="eastAsia"/>
              </w:rPr>
              <w:t>0.035%</w:t>
            </w:r>
          </w:p>
        </w:tc>
        <w:tc>
          <w:tcPr>
            <w:tcW w:w="1799" w:type="dxa"/>
            <w:vAlign w:val="center"/>
          </w:tcPr>
          <w:p w14:paraId="6F62D4B5">
            <w:pPr>
              <w:widowControl/>
              <w:spacing w:line="360" w:lineRule="auto"/>
              <w:jc w:val="center"/>
            </w:pPr>
            <w:r>
              <w:rPr>
                <w:rFonts w:hint="eastAsia"/>
              </w:rPr>
              <w:t>0.035%</w:t>
            </w:r>
          </w:p>
        </w:tc>
        <w:tc>
          <w:tcPr>
            <w:tcW w:w="1799" w:type="dxa"/>
            <w:vAlign w:val="center"/>
          </w:tcPr>
          <w:p w14:paraId="3374C6C7">
            <w:pPr>
              <w:widowControl/>
              <w:spacing w:line="360" w:lineRule="auto"/>
              <w:jc w:val="center"/>
            </w:pPr>
            <w:r>
              <w:rPr>
                <w:rFonts w:hint="eastAsia"/>
              </w:rPr>
              <w:t>0.035%</w:t>
            </w:r>
          </w:p>
        </w:tc>
      </w:tr>
      <w:tr w14:paraId="477A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356F89B9">
            <w:pPr>
              <w:widowControl/>
              <w:spacing w:line="360" w:lineRule="auto"/>
              <w:jc w:val="center"/>
            </w:pPr>
            <w:r>
              <w:rPr>
                <w:rFonts w:hint="eastAsia"/>
              </w:rPr>
              <w:t>10亿元（含）-50亿元</w:t>
            </w:r>
          </w:p>
        </w:tc>
        <w:tc>
          <w:tcPr>
            <w:tcW w:w="1799" w:type="dxa"/>
            <w:vAlign w:val="center"/>
          </w:tcPr>
          <w:p w14:paraId="27AD3AEE">
            <w:pPr>
              <w:widowControl/>
              <w:spacing w:line="360" w:lineRule="auto"/>
              <w:jc w:val="center"/>
            </w:pPr>
            <w:r>
              <w:rPr>
                <w:rFonts w:hint="eastAsia"/>
              </w:rPr>
              <w:t>0.008%</w:t>
            </w:r>
          </w:p>
        </w:tc>
        <w:tc>
          <w:tcPr>
            <w:tcW w:w="1799" w:type="dxa"/>
            <w:vAlign w:val="center"/>
          </w:tcPr>
          <w:p w14:paraId="1D5D7468">
            <w:pPr>
              <w:widowControl/>
              <w:spacing w:line="360" w:lineRule="auto"/>
              <w:jc w:val="center"/>
            </w:pPr>
            <w:r>
              <w:rPr>
                <w:rFonts w:hint="eastAsia"/>
              </w:rPr>
              <w:t>0.008%</w:t>
            </w:r>
          </w:p>
        </w:tc>
        <w:tc>
          <w:tcPr>
            <w:tcW w:w="1799" w:type="dxa"/>
            <w:vAlign w:val="center"/>
          </w:tcPr>
          <w:p w14:paraId="06F34E32">
            <w:pPr>
              <w:widowControl/>
              <w:spacing w:line="360" w:lineRule="auto"/>
              <w:jc w:val="center"/>
            </w:pPr>
            <w:r>
              <w:rPr>
                <w:rFonts w:hint="eastAsia"/>
              </w:rPr>
              <w:t>0.008%</w:t>
            </w:r>
          </w:p>
        </w:tc>
      </w:tr>
      <w:tr w14:paraId="5EFA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A1F62C4">
            <w:pPr>
              <w:widowControl/>
              <w:spacing w:line="360" w:lineRule="auto"/>
              <w:jc w:val="center"/>
            </w:pPr>
            <w:r>
              <w:rPr>
                <w:rFonts w:hint="eastAsia"/>
              </w:rPr>
              <w:t>50亿元（含）-100亿元</w:t>
            </w:r>
          </w:p>
        </w:tc>
        <w:tc>
          <w:tcPr>
            <w:tcW w:w="1799" w:type="dxa"/>
            <w:vAlign w:val="center"/>
          </w:tcPr>
          <w:p w14:paraId="1B78C885">
            <w:pPr>
              <w:widowControl/>
              <w:spacing w:line="360" w:lineRule="auto"/>
              <w:jc w:val="center"/>
            </w:pPr>
            <w:r>
              <w:rPr>
                <w:rFonts w:hint="eastAsia"/>
              </w:rPr>
              <w:t>0.006%</w:t>
            </w:r>
          </w:p>
        </w:tc>
        <w:tc>
          <w:tcPr>
            <w:tcW w:w="1799" w:type="dxa"/>
            <w:vAlign w:val="center"/>
          </w:tcPr>
          <w:p w14:paraId="5834F711">
            <w:pPr>
              <w:widowControl/>
              <w:spacing w:line="360" w:lineRule="auto"/>
              <w:jc w:val="center"/>
            </w:pPr>
            <w:r>
              <w:rPr>
                <w:rFonts w:hint="eastAsia"/>
              </w:rPr>
              <w:t>0.006%</w:t>
            </w:r>
          </w:p>
        </w:tc>
        <w:tc>
          <w:tcPr>
            <w:tcW w:w="1799" w:type="dxa"/>
            <w:vAlign w:val="center"/>
          </w:tcPr>
          <w:p w14:paraId="153D62E1">
            <w:pPr>
              <w:widowControl/>
              <w:spacing w:line="360" w:lineRule="auto"/>
              <w:jc w:val="center"/>
            </w:pPr>
            <w:r>
              <w:rPr>
                <w:rFonts w:hint="eastAsia"/>
              </w:rPr>
              <w:t>0.006%</w:t>
            </w:r>
          </w:p>
        </w:tc>
      </w:tr>
      <w:tr w14:paraId="5F85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697023F">
            <w:pPr>
              <w:widowControl/>
              <w:spacing w:line="360" w:lineRule="auto"/>
              <w:jc w:val="center"/>
            </w:pPr>
            <w:r>
              <w:rPr>
                <w:rFonts w:hint="eastAsia"/>
              </w:rPr>
              <w:t>100亿元（含）以上</w:t>
            </w:r>
          </w:p>
        </w:tc>
        <w:tc>
          <w:tcPr>
            <w:tcW w:w="1799" w:type="dxa"/>
            <w:vAlign w:val="center"/>
          </w:tcPr>
          <w:p w14:paraId="0DA4039B">
            <w:pPr>
              <w:widowControl/>
              <w:spacing w:line="360" w:lineRule="auto"/>
              <w:jc w:val="center"/>
            </w:pPr>
            <w:r>
              <w:rPr>
                <w:rFonts w:hint="eastAsia"/>
              </w:rPr>
              <w:t>0.004%</w:t>
            </w:r>
          </w:p>
        </w:tc>
        <w:tc>
          <w:tcPr>
            <w:tcW w:w="1799" w:type="dxa"/>
            <w:vAlign w:val="center"/>
          </w:tcPr>
          <w:p w14:paraId="53C35295">
            <w:pPr>
              <w:widowControl/>
              <w:spacing w:line="360" w:lineRule="auto"/>
              <w:jc w:val="center"/>
            </w:pPr>
            <w:r>
              <w:rPr>
                <w:rFonts w:hint="eastAsia"/>
              </w:rPr>
              <w:t>0.004%</w:t>
            </w:r>
          </w:p>
        </w:tc>
        <w:tc>
          <w:tcPr>
            <w:tcW w:w="1799" w:type="dxa"/>
            <w:vAlign w:val="center"/>
          </w:tcPr>
          <w:p w14:paraId="062CD0ED">
            <w:pPr>
              <w:widowControl/>
              <w:spacing w:line="360" w:lineRule="auto"/>
              <w:jc w:val="center"/>
            </w:pPr>
            <w:r>
              <w:rPr>
                <w:rFonts w:hint="eastAsia"/>
              </w:rPr>
              <w:t>0.004%</w:t>
            </w:r>
          </w:p>
        </w:tc>
      </w:tr>
    </w:tbl>
    <w:p w14:paraId="353CD434">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14:paraId="4B3AE978">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14:paraId="33F2DA9C">
      <w:pPr>
        <w:ind w:firstLine="420" w:firstLineChars="200"/>
      </w:pPr>
    </w:p>
    <w:p w14:paraId="52EA3E9C">
      <w:pPr>
        <w:ind w:firstLine="420" w:firstLineChars="200"/>
      </w:pPr>
      <w:r>
        <w:rPr>
          <w:rFonts w:hint="eastAsia"/>
        </w:rPr>
        <w:t>如某货物采购项目，中标（成交）金额为600万元，总共交纳的代理服务费的具体计算过程如下：</w:t>
      </w:r>
    </w:p>
    <w:p w14:paraId="10FECAEB">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07DD9242">
      <w:pPr>
        <w:numPr>
          <w:ilvl w:val="0"/>
          <w:numId w:val="7"/>
        </w:numPr>
        <w:ind w:firstLine="420" w:firstLineChars="200"/>
        <w:rPr>
          <w:rFonts w:hint="eastAsia"/>
        </w:rPr>
      </w:pPr>
      <w:r>
        <w:rPr>
          <w:rFonts w:hint="eastAsia"/>
        </w:rPr>
        <w:t>中标（成交）供应商中标（成交）后，必须按规定采用银行对公转账方式向深圳交易集团有限公司直接交纳代理服务费，交纳信息及要求按照缴款</w:t>
      </w:r>
      <w:r>
        <w:rPr>
          <w:rFonts w:hint="eastAsia" w:eastAsia="宋体"/>
          <w:lang w:eastAsia="zh-CN"/>
        </w:rPr>
        <w:t>（</w:t>
      </w:r>
      <w:r>
        <w:rPr>
          <w:rFonts w:hint="eastAsia" w:ascii="Times New Roman" w:eastAsia="宋体"/>
          <w:lang w:val="en-US" w:eastAsia="zh-CN"/>
        </w:rPr>
        <w:t>付款</w:t>
      </w:r>
      <w:r>
        <w:rPr>
          <w:rFonts w:hint="eastAsia" w:eastAsia="宋体"/>
          <w:lang w:eastAsia="zh-CN"/>
        </w:rPr>
        <w:t>）</w:t>
      </w:r>
      <w:r>
        <w:rPr>
          <w:rFonts w:hint="eastAsia"/>
        </w:rPr>
        <w:t>通知书执行。</w:t>
      </w:r>
    </w:p>
    <w:p w14:paraId="2407B36F">
      <w:pPr>
        <w:numPr>
          <w:ilvl w:val="0"/>
          <w:numId w:val="0"/>
        </w:numPr>
        <w:rPr>
          <w:rFonts w:hint="eastAsia"/>
        </w:rPr>
      </w:pPr>
    </w:p>
    <w:p w14:paraId="3B69E168">
      <w:pPr>
        <w:ind w:firstLine="420" w:firstLineChars="200"/>
        <w:rPr>
          <w:rFonts w:hint="default" w:eastAsia="宋体"/>
          <w:lang w:val="en-US" w:eastAsia="zh-CN"/>
        </w:rPr>
      </w:pPr>
    </w:p>
    <w:p w14:paraId="3810BA2A">
      <w:pPr>
        <w:ind w:firstLine="422" w:firstLineChars="200"/>
        <w:rPr>
          <w:b/>
        </w:rPr>
        <w:sectPr>
          <w:pgSz w:w="11907" w:h="16840"/>
          <w:pgMar w:top="1440" w:right="1797" w:bottom="1440" w:left="1797" w:header="851" w:footer="992" w:gutter="0"/>
          <w:cols w:space="425" w:num="1"/>
          <w:titlePg/>
          <w:docGrid w:linePitch="462" w:charSpace="0"/>
        </w:sectPr>
      </w:pPr>
    </w:p>
    <w:bookmarkEnd w:id="34"/>
    <w:p w14:paraId="2B43423B">
      <w:pPr>
        <w:pStyle w:val="7"/>
        <w:rPr>
          <w:sz w:val="28"/>
          <w:szCs w:val="28"/>
        </w:rPr>
      </w:pPr>
      <w:r>
        <w:rPr>
          <w:rFonts w:hint="eastAsia"/>
          <w:sz w:val="28"/>
          <w:szCs w:val="28"/>
        </w:rPr>
        <w:t>第三章 用户需求书</w:t>
      </w:r>
    </w:p>
    <w:p w14:paraId="2421DDA9">
      <w:pPr>
        <w:pStyle w:val="7"/>
        <w:spacing w:before="120" w:beforeLines="50" w:after="120" w:afterLines="50"/>
        <w:rPr>
          <w:szCs w:val="24"/>
        </w:rPr>
      </w:pPr>
      <w:r>
        <w:rPr>
          <w:rFonts w:hint="eastAsia"/>
          <w:szCs w:val="24"/>
        </w:rPr>
        <w:t xml:space="preserve"> 一、项目基本信息</w:t>
      </w:r>
    </w:p>
    <w:p w14:paraId="00E2ABEA">
      <w:pPr>
        <w:rPr>
          <w:rFonts w:ascii="宋体" w:hAnsi="宋体"/>
          <w:b/>
          <w:color w:val="FF0000"/>
          <w:szCs w:val="21"/>
        </w:rPr>
      </w:pPr>
    </w:p>
    <w:tbl>
      <w:tblPr>
        <w:tblStyle w:val="43"/>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603"/>
        <w:gridCol w:w="3158"/>
        <w:gridCol w:w="2355"/>
      </w:tblGrid>
      <w:tr w14:paraId="2418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13" w:type="dxa"/>
            <w:vAlign w:val="center"/>
          </w:tcPr>
          <w:p w14:paraId="06F92404">
            <w:pPr>
              <w:jc w:val="center"/>
              <w:rPr>
                <w:bCs/>
                <w:szCs w:val="21"/>
              </w:rPr>
            </w:pPr>
            <w:r>
              <w:rPr>
                <w:rFonts w:hint="eastAsia"/>
                <w:bCs/>
                <w:szCs w:val="21"/>
              </w:rPr>
              <w:t>序号</w:t>
            </w:r>
          </w:p>
        </w:tc>
        <w:tc>
          <w:tcPr>
            <w:tcW w:w="2603" w:type="dxa"/>
            <w:vAlign w:val="center"/>
          </w:tcPr>
          <w:p w14:paraId="19DCBEB9">
            <w:pPr>
              <w:jc w:val="center"/>
              <w:rPr>
                <w:bCs/>
                <w:szCs w:val="21"/>
              </w:rPr>
            </w:pPr>
            <w:r>
              <w:rPr>
                <w:rFonts w:hint="eastAsia"/>
                <w:szCs w:val="21"/>
              </w:rPr>
              <w:t>采购计划编号</w:t>
            </w:r>
          </w:p>
        </w:tc>
        <w:tc>
          <w:tcPr>
            <w:tcW w:w="3158" w:type="dxa"/>
            <w:vAlign w:val="center"/>
          </w:tcPr>
          <w:p w14:paraId="2A18A8A3">
            <w:pPr>
              <w:jc w:val="center"/>
              <w:rPr>
                <w:bCs/>
                <w:szCs w:val="21"/>
              </w:rPr>
            </w:pPr>
            <w:r>
              <w:rPr>
                <w:rFonts w:hint="eastAsia"/>
                <w:bCs/>
                <w:szCs w:val="21"/>
              </w:rPr>
              <w:t>采购项目名称</w:t>
            </w:r>
          </w:p>
        </w:tc>
        <w:tc>
          <w:tcPr>
            <w:tcW w:w="2355" w:type="dxa"/>
            <w:vAlign w:val="center"/>
          </w:tcPr>
          <w:p w14:paraId="1814C73F">
            <w:pPr>
              <w:jc w:val="center"/>
              <w:rPr>
                <w:b/>
                <w:bCs/>
                <w:color w:val="FF0000"/>
                <w:szCs w:val="21"/>
              </w:rPr>
            </w:pPr>
            <w:r>
              <w:rPr>
                <w:rFonts w:hint="eastAsia"/>
                <w:b/>
                <w:bCs/>
                <w:color w:val="FF0000"/>
                <w:szCs w:val="21"/>
              </w:rPr>
              <w:t>财政预算限额（元）</w:t>
            </w:r>
          </w:p>
        </w:tc>
      </w:tr>
      <w:tr w14:paraId="6966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dxa"/>
            <w:vAlign w:val="center"/>
          </w:tcPr>
          <w:p w14:paraId="487FE83C">
            <w:pPr>
              <w:jc w:val="center"/>
              <w:rPr>
                <w:bCs/>
                <w:color w:val="FF0000"/>
                <w:szCs w:val="21"/>
              </w:rPr>
            </w:pPr>
            <w:r>
              <w:rPr>
                <w:rFonts w:hint="eastAsia"/>
                <w:bCs/>
                <w:color w:val="FF0000"/>
                <w:szCs w:val="21"/>
              </w:rPr>
              <w:t>1</w:t>
            </w:r>
          </w:p>
        </w:tc>
        <w:tc>
          <w:tcPr>
            <w:tcW w:w="2603" w:type="dxa"/>
            <w:vMerge w:val="restart"/>
            <w:vAlign w:val="center"/>
          </w:tcPr>
          <w:p w14:paraId="098AFA62">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JYCG-DECL-2025-0048</w:t>
            </w:r>
          </w:p>
        </w:tc>
        <w:tc>
          <w:tcPr>
            <w:tcW w:w="3158" w:type="dxa"/>
            <w:vMerge w:val="restart"/>
            <w:vAlign w:val="center"/>
          </w:tcPr>
          <w:p w14:paraId="374B5810">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深圳市公安局龙岗分局大数据汇聚平台查询等服务采购项目</w:t>
            </w:r>
          </w:p>
        </w:tc>
        <w:tc>
          <w:tcPr>
            <w:tcW w:w="2355" w:type="dxa"/>
            <w:vMerge w:val="restart"/>
            <w:vAlign w:val="center"/>
          </w:tcPr>
          <w:p w14:paraId="3B5678CA">
            <w:pPr>
              <w:jc w:val="center"/>
              <w:rPr>
                <w:rFonts w:hint="default" w:eastAsia="宋体"/>
                <w:bCs/>
                <w:color w:val="FF0000"/>
                <w:szCs w:val="21"/>
                <w:lang w:val="en-US" w:eastAsia="zh-CN"/>
              </w:rPr>
            </w:pPr>
            <w:r>
              <w:rPr>
                <w:rFonts w:hint="eastAsia"/>
                <w:bCs/>
                <w:color w:val="FF0000"/>
                <w:szCs w:val="21"/>
                <w:lang w:val="en-US" w:eastAsia="zh-CN"/>
              </w:rPr>
              <w:t>650000.00</w:t>
            </w:r>
          </w:p>
        </w:tc>
      </w:tr>
      <w:tr w14:paraId="30AA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dxa"/>
            <w:vAlign w:val="center"/>
          </w:tcPr>
          <w:p w14:paraId="1852EAE9">
            <w:pPr>
              <w:jc w:val="center"/>
              <w:rPr>
                <w:bCs/>
                <w:color w:val="FF0000"/>
                <w:szCs w:val="21"/>
              </w:rPr>
            </w:pPr>
            <w:r>
              <w:rPr>
                <w:rFonts w:hint="eastAsia"/>
                <w:bCs/>
                <w:color w:val="FF0000"/>
                <w:szCs w:val="21"/>
              </w:rPr>
              <w:t>2</w:t>
            </w:r>
          </w:p>
        </w:tc>
        <w:tc>
          <w:tcPr>
            <w:tcW w:w="2603" w:type="dxa"/>
            <w:vMerge w:val="continue"/>
            <w:vAlign w:val="center"/>
          </w:tcPr>
          <w:p w14:paraId="52F6E8B4">
            <w:pPr>
              <w:jc w:val="center"/>
              <w:rPr>
                <w:bCs/>
                <w:color w:val="FF0000"/>
                <w:szCs w:val="21"/>
              </w:rPr>
            </w:pPr>
          </w:p>
        </w:tc>
        <w:tc>
          <w:tcPr>
            <w:tcW w:w="3158" w:type="dxa"/>
            <w:vMerge w:val="continue"/>
            <w:vAlign w:val="center"/>
          </w:tcPr>
          <w:p w14:paraId="126EB0AE">
            <w:pPr>
              <w:jc w:val="center"/>
              <w:rPr>
                <w:b/>
                <w:bCs/>
                <w:color w:val="FF0000"/>
                <w:szCs w:val="21"/>
              </w:rPr>
            </w:pPr>
          </w:p>
        </w:tc>
        <w:tc>
          <w:tcPr>
            <w:tcW w:w="2355" w:type="dxa"/>
            <w:vMerge w:val="continue"/>
            <w:vAlign w:val="center"/>
          </w:tcPr>
          <w:p w14:paraId="36023E3B">
            <w:pPr>
              <w:jc w:val="center"/>
              <w:rPr>
                <w:bCs/>
                <w:color w:val="FF0000"/>
                <w:szCs w:val="21"/>
              </w:rPr>
            </w:pPr>
          </w:p>
        </w:tc>
      </w:tr>
      <w:tr w14:paraId="0F95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174" w:type="dxa"/>
            <w:gridSpan w:val="3"/>
            <w:vAlign w:val="center"/>
          </w:tcPr>
          <w:p w14:paraId="08578AF3">
            <w:pPr>
              <w:jc w:val="center"/>
              <w:rPr>
                <w:b/>
                <w:bCs/>
                <w:color w:val="FF0000"/>
                <w:szCs w:val="21"/>
              </w:rPr>
            </w:pPr>
            <w:r>
              <w:rPr>
                <w:b/>
                <w:bCs/>
                <w:color w:val="FF0000"/>
                <w:szCs w:val="21"/>
              </w:rPr>
              <w:t>合计</w:t>
            </w:r>
          </w:p>
        </w:tc>
        <w:tc>
          <w:tcPr>
            <w:tcW w:w="2355" w:type="dxa"/>
            <w:vAlign w:val="center"/>
          </w:tcPr>
          <w:p w14:paraId="0C223B55">
            <w:pPr>
              <w:jc w:val="center"/>
              <w:rPr>
                <w:bCs/>
                <w:color w:val="FF0000"/>
                <w:szCs w:val="21"/>
              </w:rPr>
            </w:pPr>
            <w:r>
              <w:rPr>
                <w:rFonts w:hint="eastAsia"/>
                <w:bCs/>
                <w:color w:val="FF0000"/>
                <w:szCs w:val="21"/>
                <w:lang w:val="en-US" w:eastAsia="zh-CN"/>
              </w:rPr>
              <w:t>650000.00</w:t>
            </w:r>
          </w:p>
        </w:tc>
      </w:tr>
    </w:tbl>
    <w:p w14:paraId="348F216A">
      <w:pPr>
        <w:rPr>
          <w:rFonts w:ascii="宋体" w:hAnsi="宋体"/>
          <w:b/>
          <w:color w:val="FF0000"/>
          <w:szCs w:val="21"/>
        </w:rPr>
      </w:pPr>
    </w:p>
    <w:p w14:paraId="6F85A7AD">
      <w:pPr>
        <w:rPr>
          <w:rFonts w:ascii="宋体" w:hAnsi="宋体"/>
          <w:b/>
          <w:color w:val="FF0000"/>
          <w:szCs w:val="21"/>
        </w:rPr>
      </w:pPr>
    </w:p>
    <w:p w14:paraId="461D4997">
      <w:pPr>
        <w:pStyle w:val="7"/>
        <w:spacing w:before="120" w:beforeLines="50" w:after="120" w:afterLines="50"/>
        <w:rPr>
          <w:szCs w:val="24"/>
        </w:rPr>
      </w:pPr>
      <w:r>
        <w:rPr>
          <w:rFonts w:hint="eastAsia"/>
          <w:szCs w:val="24"/>
          <w:lang w:val="en-US" w:eastAsia="zh-CN"/>
        </w:rPr>
        <w:t>二</w:t>
      </w:r>
      <w:r>
        <w:rPr>
          <w:rFonts w:hint="eastAsia"/>
          <w:szCs w:val="24"/>
        </w:rPr>
        <w:t>、</w:t>
      </w:r>
      <w:bookmarkStart w:id="36" w:name="_Hlk72073432"/>
      <w:r>
        <w:rPr>
          <w:rFonts w:hint="eastAsia"/>
          <w:szCs w:val="24"/>
        </w:rPr>
        <w:t>服务需求明细</w:t>
      </w:r>
      <w:bookmarkEnd w:id="36"/>
    </w:p>
    <w:tbl>
      <w:tblPr>
        <w:tblStyle w:val="43"/>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63"/>
        <w:gridCol w:w="3373"/>
        <w:gridCol w:w="816"/>
        <w:gridCol w:w="2038"/>
      </w:tblGrid>
      <w:tr w14:paraId="0F3F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14:paraId="29D03484">
            <w:pPr>
              <w:jc w:val="center"/>
              <w:rPr>
                <w:bCs/>
                <w:szCs w:val="21"/>
              </w:rPr>
            </w:pPr>
            <w:r>
              <w:rPr>
                <w:rFonts w:hint="eastAsia"/>
                <w:bCs/>
                <w:szCs w:val="21"/>
              </w:rPr>
              <w:t>序号</w:t>
            </w:r>
          </w:p>
        </w:tc>
        <w:tc>
          <w:tcPr>
            <w:tcW w:w="1563" w:type="dxa"/>
            <w:vAlign w:val="center"/>
          </w:tcPr>
          <w:p w14:paraId="27992C7A">
            <w:pPr>
              <w:jc w:val="center"/>
              <w:rPr>
                <w:bCs/>
                <w:szCs w:val="21"/>
              </w:rPr>
            </w:pPr>
            <w:r>
              <w:rPr>
                <w:rFonts w:hint="eastAsia"/>
                <w:szCs w:val="21"/>
              </w:rPr>
              <w:t>采购计划编号</w:t>
            </w:r>
          </w:p>
        </w:tc>
        <w:tc>
          <w:tcPr>
            <w:tcW w:w="3373" w:type="dxa"/>
            <w:vAlign w:val="center"/>
          </w:tcPr>
          <w:p w14:paraId="3BD96BB3">
            <w:pPr>
              <w:jc w:val="center"/>
              <w:rPr>
                <w:bCs/>
                <w:szCs w:val="21"/>
              </w:rPr>
            </w:pPr>
            <w:r>
              <w:rPr>
                <w:rFonts w:hint="eastAsia"/>
                <w:bCs/>
                <w:szCs w:val="21"/>
              </w:rPr>
              <w:t>服务需求名称（标的名称）</w:t>
            </w:r>
          </w:p>
        </w:tc>
        <w:tc>
          <w:tcPr>
            <w:tcW w:w="816" w:type="dxa"/>
            <w:vAlign w:val="center"/>
          </w:tcPr>
          <w:p w14:paraId="2990909A">
            <w:pPr>
              <w:jc w:val="center"/>
              <w:rPr>
                <w:bCs/>
                <w:szCs w:val="21"/>
              </w:rPr>
            </w:pPr>
            <w:r>
              <w:rPr>
                <w:rFonts w:hint="eastAsia"/>
                <w:bCs/>
                <w:szCs w:val="21"/>
              </w:rPr>
              <w:t>数量</w:t>
            </w:r>
          </w:p>
        </w:tc>
        <w:tc>
          <w:tcPr>
            <w:tcW w:w="2038" w:type="dxa"/>
            <w:vAlign w:val="center"/>
          </w:tcPr>
          <w:p w14:paraId="0D65BDEA">
            <w:pPr>
              <w:jc w:val="center"/>
              <w:rPr>
                <w:bCs/>
                <w:szCs w:val="21"/>
              </w:rPr>
            </w:pPr>
            <w:r>
              <w:rPr>
                <w:rFonts w:hint="eastAsia"/>
                <w:bCs/>
                <w:szCs w:val="21"/>
              </w:rPr>
              <w:t>单位</w:t>
            </w:r>
          </w:p>
        </w:tc>
      </w:tr>
      <w:tr w14:paraId="3996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39" w:type="dxa"/>
            <w:vAlign w:val="center"/>
          </w:tcPr>
          <w:p w14:paraId="711382DE">
            <w:pPr>
              <w:jc w:val="center"/>
              <w:rPr>
                <w:bCs/>
                <w:szCs w:val="21"/>
              </w:rPr>
            </w:pPr>
            <w:r>
              <w:rPr>
                <w:rFonts w:hint="eastAsia"/>
                <w:bCs/>
                <w:szCs w:val="21"/>
              </w:rPr>
              <w:t>1</w:t>
            </w:r>
          </w:p>
        </w:tc>
        <w:tc>
          <w:tcPr>
            <w:tcW w:w="1563" w:type="dxa"/>
            <w:vMerge w:val="restart"/>
            <w:vAlign w:val="center"/>
          </w:tcPr>
          <w:p w14:paraId="08563628">
            <w:pPr>
              <w:jc w:val="center"/>
              <w:rPr>
                <w:bCs/>
                <w:szCs w:val="21"/>
              </w:rPr>
            </w:pPr>
            <w:r>
              <w:rPr>
                <w:rFonts w:hint="eastAsia" w:ascii="Times New Roman" w:hAnsi="Times New Roman" w:eastAsia="宋体" w:cs="Times New Roman"/>
                <w:bCs/>
                <w:szCs w:val="21"/>
              </w:rPr>
              <w:t>JYCG-DECL-2025-0048</w:t>
            </w:r>
          </w:p>
        </w:tc>
        <w:tc>
          <w:tcPr>
            <w:tcW w:w="3373" w:type="dxa"/>
            <w:vAlign w:val="center"/>
          </w:tcPr>
          <w:p w14:paraId="1A74C6A9">
            <w:pPr>
              <w:spacing w:line="360" w:lineRule="auto"/>
              <w:jc w:val="center"/>
              <w:rPr>
                <w:bCs/>
                <w:szCs w:val="21"/>
              </w:rPr>
            </w:pPr>
            <w:r>
              <w:rPr>
                <w:rFonts w:hint="eastAsia" w:ascii="宋体" w:hAnsi="宋体" w:cs="仿宋"/>
                <w:lang w:eastAsia="zh-CN"/>
              </w:rPr>
              <w:t>大数据情报汇聚平台查询服务</w:t>
            </w:r>
          </w:p>
        </w:tc>
        <w:tc>
          <w:tcPr>
            <w:tcW w:w="816" w:type="dxa"/>
            <w:vAlign w:val="center"/>
          </w:tcPr>
          <w:p w14:paraId="0A2B7C5F">
            <w:pPr>
              <w:jc w:val="center"/>
              <w:rPr>
                <w:rFonts w:hint="eastAsia" w:eastAsia="宋体"/>
                <w:bCs/>
                <w:szCs w:val="21"/>
                <w:lang w:eastAsia="zh-CN"/>
              </w:rPr>
            </w:pPr>
            <w:r>
              <w:rPr>
                <w:rFonts w:hint="eastAsia"/>
                <w:lang w:val="en-US" w:eastAsia="zh-CN"/>
              </w:rPr>
              <w:t>1</w:t>
            </w:r>
          </w:p>
        </w:tc>
        <w:tc>
          <w:tcPr>
            <w:tcW w:w="2038" w:type="dxa"/>
            <w:vAlign w:val="center"/>
          </w:tcPr>
          <w:p w14:paraId="633F2C87">
            <w:pPr>
              <w:jc w:val="center"/>
              <w:rPr>
                <w:rFonts w:hint="eastAsia" w:eastAsia="宋体"/>
                <w:bCs/>
                <w:szCs w:val="21"/>
                <w:lang w:val="en-US" w:eastAsia="zh-CN"/>
              </w:rPr>
            </w:pPr>
            <w:r>
              <w:rPr>
                <w:rFonts w:hint="eastAsia"/>
                <w:bCs/>
                <w:szCs w:val="21"/>
                <w:lang w:val="en-US" w:eastAsia="zh-CN"/>
              </w:rPr>
              <w:t>项</w:t>
            </w:r>
          </w:p>
        </w:tc>
      </w:tr>
      <w:tr w14:paraId="0E06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39" w:type="dxa"/>
            <w:vAlign w:val="center"/>
          </w:tcPr>
          <w:p w14:paraId="69C2629F">
            <w:pPr>
              <w:jc w:val="center"/>
              <w:rPr>
                <w:rFonts w:hint="eastAsia" w:eastAsia="宋体"/>
                <w:bCs/>
                <w:szCs w:val="21"/>
                <w:lang w:val="en-US" w:eastAsia="zh-CN"/>
              </w:rPr>
            </w:pPr>
            <w:r>
              <w:rPr>
                <w:rFonts w:hint="eastAsia"/>
                <w:bCs/>
                <w:szCs w:val="21"/>
                <w:lang w:val="en-US" w:eastAsia="zh-CN"/>
              </w:rPr>
              <w:t>2</w:t>
            </w:r>
          </w:p>
        </w:tc>
        <w:tc>
          <w:tcPr>
            <w:tcW w:w="1563" w:type="dxa"/>
            <w:vMerge w:val="continue"/>
            <w:vAlign w:val="center"/>
          </w:tcPr>
          <w:p w14:paraId="6C3A21A8">
            <w:pPr>
              <w:jc w:val="center"/>
              <w:rPr>
                <w:bCs/>
                <w:szCs w:val="21"/>
              </w:rPr>
            </w:pPr>
          </w:p>
        </w:tc>
        <w:tc>
          <w:tcPr>
            <w:tcW w:w="3373" w:type="dxa"/>
            <w:vAlign w:val="center"/>
          </w:tcPr>
          <w:p w14:paraId="7D9390B4">
            <w:pPr>
              <w:spacing w:line="360" w:lineRule="auto"/>
              <w:jc w:val="center"/>
              <w:rPr>
                <w:rFonts w:hint="eastAsia" w:ascii="Times New Roman" w:hAnsi="Times New Roman" w:eastAsia="宋体" w:cs="Times New Roman"/>
                <w:bCs/>
                <w:szCs w:val="21"/>
              </w:rPr>
            </w:pPr>
            <w:r>
              <w:rPr>
                <w:rFonts w:hint="eastAsia" w:ascii="宋体" w:hAnsi="宋体" w:cs="仿宋"/>
                <w:lang w:eastAsia="zh-CN"/>
              </w:rPr>
              <w:t>大数据辅助分析系统查询服务</w:t>
            </w:r>
          </w:p>
        </w:tc>
        <w:tc>
          <w:tcPr>
            <w:tcW w:w="816" w:type="dxa"/>
            <w:vAlign w:val="center"/>
          </w:tcPr>
          <w:p w14:paraId="4926B184">
            <w:pPr>
              <w:jc w:val="center"/>
              <w:rPr>
                <w:rFonts w:hint="eastAsia"/>
                <w:lang w:val="en-US" w:eastAsia="zh-CN"/>
              </w:rPr>
            </w:pPr>
            <w:r>
              <w:rPr>
                <w:rFonts w:hint="eastAsia"/>
                <w:lang w:val="en-US" w:eastAsia="zh-CN"/>
              </w:rPr>
              <w:t>1</w:t>
            </w:r>
          </w:p>
        </w:tc>
        <w:tc>
          <w:tcPr>
            <w:tcW w:w="2038" w:type="dxa"/>
            <w:vAlign w:val="center"/>
          </w:tcPr>
          <w:p w14:paraId="76B8370E">
            <w:pPr>
              <w:jc w:val="center"/>
              <w:rPr>
                <w:rFonts w:hint="eastAsia"/>
                <w:bCs/>
                <w:szCs w:val="21"/>
                <w:lang w:val="en-US" w:eastAsia="zh-CN"/>
              </w:rPr>
            </w:pPr>
            <w:r>
              <w:rPr>
                <w:rFonts w:hint="eastAsia"/>
                <w:bCs/>
                <w:szCs w:val="21"/>
                <w:lang w:val="en-US" w:eastAsia="zh-CN"/>
              </w:rPr>
              <w:t>项</w:t>
            </w:r>
          </w:p>
        </w:tc>
      </w:tr>
      <w:tr w14:paraId="4B2F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39" w:type="dxa"/>
            <w:vAlign w:val="center"/>
          </w:tcPr>
          <w:p w14:paraId="30C53B60">
            <w:pPr>
              <w:jc w:val="center"/>
              <w:rPr>
                <w:rFonts w:hint="eastAsia" w:eastAsia="宋体"/>
                <w:bCs/>
                <w:szCs w:val="21"/>
                <w:lang w:val="en-US" w:eastAsia="zh-CN"/>
              </w:rPr>
            </w:pPr>
            <w:r>
              <w:rPr>
                <w:rFonts w:hint="eastAsia"/>
                <w:bCs/>
                <w:szCs w:val="21"/>
                <w:lang w:val="en-US" w:eastAsia="zh-CN"/>
              </w:rPr>
              <w:t>3</w:t>
            </w:r>
          </w:p>
        </w:tc>
        <w:tc>
          <w:tcPr>
            <w:tcW w:w="1563" w:type="dxa"/>
            <w:vMerge w:val="continue"/>
            <w:vAlign w:val="center"/>
          </w:tcPr>
          <w:p w14:paraId="1504DE7F">
            <w:pPr>
              <w:jc w:val="center"/>
              <w:rPr>
                <w:bCs/>
                <w:szCs w:val="21"/>
              </w:rPr>
            </w:pPr>
          </w:p>
        </w:tc>
        <w:tc>
          <w:tcPr>
            <w:tcW w:w="3373" w:type="dxa"/>
            <w:vAlign w:val="center"/>
          </w:tcPr>
          <w:p w14:paraId="2213EEF4">
            <w:pPr>
              <w:spacing w:line="360" w:lineRule="auto"/>
              <w:jc w:val="center"/>
              <w:rPr>
                <w:rFonts w:hint="eastAsia" w:ascii="Times New Roman" w:hAnsi="Times New Roman" w:eastAsia="宋体" w:cs="Times New Roman"/>
                <w:bCs/>
                <w:szCs w:val="21"/>
              </w:rPr>
            </w:pPr>
            <w:r>
              <w:rPr>
                <w:rFonts w:hint="eastAsia" w:ascii="宋体" w:hAnsi="宋体" w:cs="仿宋"/>
                <w:lang w:eastAsia="zh-CN"/>
              </w:rPr>
              <w:t>大数据涉网新型行为分析系统数据查询服务</w:t>
            </w:r>
          </w:p>
        </w:tc>
        <w:tc>
          <w:tcPr>
            <w:tcW w:w="816" w:type="dxa"/>
            <w:vAlign w:val="center"/>
          </w:tcPr>
          <w:p w14:paraId="0180B544">
            <w:pPr>
              <w:jc w:val="center"/>
              <w:rPr>
                <w:rFonts w:hint="eastAsia"/>
                <w:lang w:val="en-US" w:eastAsia="zh-CN"/>
              </w:rPr>
            </w:pPr>
            <w:r>
              <w:rPr>
                <w:rFonts w:hint="eastAsia"/>
                <w:lang w:val="en-US" w:eastAsia="zh-CN"/>
              </w:rPr>
              <w:t>1</w:t>
            </w:r>
          </w:p>
        </w:tc>
        <w:tc>
          <w:tcPr>
            <w:tcW w:w="2038" w:type="dxa"/>
            <w:vAlign w:val="center"/>
          </w:tcPr>
          <w:p w14:paraId="4A647F33">
            <w:pPr>
              <w:jc w:val="center"/>
              <w:rPr>
                <w:rFonts w:hint="eastAsia"/>
                <w:bCs/>
                <w:szCs w:val="21"/>
                <w:lang w:val="en-US" w:eastAsia="zh-CN"/>
              </w:rPr>
            </w:pPr>
            <w:r>
              <w:rPr>
                <w:rFonts w:hint="eastAsia"/>
                <w:bCs/>
                <w:szCs w:val="21"/>
                <w:lang w:val="en-US" w:eastAsia="zh-CN"/>
              </w:rPr>
              <w:t>项</w:t>
            </w:r>
          </w:p>
        </w:tc>
      </w:tr>
    </w:tbl>
    <w:p w14:paraId="1044B285">
      <w:pPr>
        <w:rPr>
          <w:rFonts w:ascii="宋体" w:hAnsi="宋体"/>
          <w:b/>
          <w:color w:val="FF0000"/>
          <w:szCs w:val="21"/>
        </w:rPr>
      </w:pPr>
    </w:p>
    <w:p w14:paraId="41F3AD50">
      <w:pPr>
        <w:pStyle w:val="7"/>
        <w:spacing w:before="120" w:beforeLines="50" w:after="120" w:afterLines="50"/>
        <w:rPr>
          <w:szCs w:val="24"/>
        </w:rPr>
      </w:pPr>
      <w:r>
        <w:rPr>
          <w:rFonts w:hint="eastAsia"/>
          <w:szCs w:val="24"/>
          <w:lang w:val="en-US" w:eastAsia="zh-CN"/>
        </w:rPr>
        <w:t>三</w:t>
      </w:r>
      <w:r>
        <w:rPr>
          <w:rFonts w:hint="eastAsia"/>
          <w:szCs w:val="24"/>
        </w:rPr>
        <w:t>、实质性条款</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37F0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643C8E51">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795" w:type="dxa"/>
          </w:tcPr>
          <w:p w14:paraId="70431559">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14:paraId="37C3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7B1B2DC9">
            <w:pPr>
              <w:adjustRightInd w:val="0"/>
              <w:snapToGrid w:val="0"/>
              <w:spacing w:line="360" w:lineRule="auto"/>
              <w:rPr>
                <w:rFonts w:ascii="宋体" w:hAnsi="宋体"/>
                <w:kern w:val="0"/>
                <w:szCs w:val="21"/>
              </w:rPr>
            </w:pPr>
            <w:r>
              <w:rPr>
                <w:rFonts w:hint="eastAsia" w:ascii="宋体" w:hAnsi="宋体"/>
                <w:kern w:val="0"/>
                <w:szCs w:val="21"/>
              </w:rPr>
              <w:t>1</w:t>
            </w:r>
          </w:p>
        </w:tc>
        <w:tc>
          <w:tcPr>
            <w:tcW w:w="7795" w:type="dxa"/>
            <w:vAlign w:val="center"/>
          </w:tcPr>
          <w:p w14:paraId="0726290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Times New Roman" w:hAnsi="Times New Roman" w:eastAsia="宋体" w:cs="Times New Roman"/>
              </w:rPr>
            </w:pPr>
            <w:r>
              <w:rPr>
                <w:rFonts w:hint="eastAsia" w:ascii="宋体" w:hAnsi="宋体" w:cs="仿宋"/>
                <w:b/>
                <w:bCs/>
                <w:sz w:val="24"/>
                <w:szCs w:val="21"/>
                <w:highlight w:val="none"/>
              </w:rPr>
              <w:t>★</w:t>
            </w:r>
            <w:r>
              <w:rPr>
                <w:rFonts w:hint="eastAsia" w:ascii="宋体" w:hAnsi="宋体" w:eastAsia="宋体" w:cs="宋体"/>
                <w:sz w:val="21"/>
                <w:szCs w:val="21"/>
                <w:highlight w:val="none"/>
              </w:rPr>
              <w:t>本项目服务期限为12个月，以合同约定的开始及结束时间为准。本项目为长期服务类项目，第一年为本次招标的中标服务期限，采购单位可根据项目需要、财政预算和中标单位的履约情况确定合同期限是否延长，但最长不超过三十六个月。如履约、服务情况不满意的或者合同履行期间因违法行为被禁止参与政府采购活动或者存在其他重大违法记录的，则不再续约。</w:t>
            </w:r>
          </w:p>
        </w:tc>
      </w:tr>
    </w:tbl>
    <w:p w14:paraId="5FAD7682">
      <w:pPr>
        <w:rPr>
          <w:rFonts w:hint="eastAsia"/>
          <w:highlight w:val="yellow"/>
        </w:rPr>
      </w:pPr>
    </w:p>
    <w:p w14:paraId="2AB07C8F">
      <w:pPr>
        <w:rPr>
          <w:highlight w:val="yellow"/>
        </w:rPr>
      </w:pPr>
      <w:r>
        <w:rPr>
          <w:rFonts w:hint="eastAsia"/>
          <w:highlight w:val="yellow"/>
        </w:rPr>
        <w:t>注：上表所列内容为不可负偏离条款，负偏离将视为未实质性满足谈判文件要求作投标</w:t>
      </w:r>
      <w:r>
        <w:rPr>
          <w:rFonts w:hint="eastAsia"/>
          <w:highlight w:val="yellow"/>
          <w:lang w:eastAsia="zh-CN"/>
        </w:rPr>
        <w:t>（</w:t>
      </w:r>
      <w:r>
        <w:rPr>
          <w:rFonts w:hint="eastAsia"/>
          <w:highlight w:val="yellow"/>
          <w:lang w:val="en-US" w:eastAsia="zh-CN"/>
        </w:rPr>
        <w:t>应答</w:t>
      </w:r>
      <w:r>
        <w:rPr>
          <w:rFonts w:hint="eastAsia"/>
          <w:highlight w:val="yellow"/>
          <w:lang w:eastAsia="zh-CN"/>
        </w:rPr>
        <w:t>）</w:t>
      </w:r>
      <w:r>
        <w:rPr>
          <w:rFonts w:hint="eastAsia"/>
          <w:highlight w:val="yellow"/>
        </w:rPr>
        <w:t>无效处理。</w:t>
      </w:r>
    </w:p>
    <w:p w14:paraId="129CBAC9">
      <w:pPr>
        <w:ind w:firstLine="420" w:firstLineChars="200"/>
      </w:pPr>
    </w:p>
    <w:p w14:paraId="483AC6E3">
      <w:pPr>
        <w:numPr>
          <w:ilvl w:val="0"/>
          <w:numId w:val="8"/>
        </w:numPr>
        <w:ind w:firstLine="482" w:firstLineChars="200"/>
        <w:jc w:val="center"/>
        <w:rPr>
          <w:rFonts w:hint="eastAsia" w:ascii="宋体" w:hAnsi="宋体" w:eastAsia="宋体" w:cs="Times New Roman"/>
          <w:b/>
          <w:bCs/>
          <w:kern w:val="0"/>
          <w:sz w:val="24"/>
          <w:szCs w:val="24"/>
          <w:lang w:val="en-US" w:eastAsia="zh-CN" w:bidi="ar-SA"/>
        </w:rPr>
      </w:pPr>
      <w:r>
        <w:rPr>
          <w:rFonts w:hint="eastAsia" w:ascii="宋体" w:hAnsi="宋体" w:eastAsia="宋体" w:cs="Times New Roman"/>
          <w:b/>
          <w:bCs/>
          <w:kern w:val="0"/>
          <w:sz w:val="24"/>
          <w:szCs w:val="24"/>
          <w:lang w:val="en-US" w:eastAsia="zh-CN" w:bidi="ar-SA"/>
        </w:rPr>
        <w:t>项目概况</w:t>
      </w:r>
    </w:p>
    <w:p w14:paraId="63B8309E">
      <w:pPr>
        <w:numPr>
          <w:ilvl w:val="0"/>
          <w:numId w:val="0"/>
        </w:numPr>
        <w:jc w:val="both"/>
        <w:rPr>
          <w:rFonts w:hint="default" w:ascii="宋体" w:hAnsi="宋体" w:eastAsia="宋体" w:cs="Times New Roman"/>
          <w:b/>
          <w:bCs/>
          <w:kern w:val="0"/>
          <w:sz w:val="24"/>
          <w:szCs w:val="24"/>
          <w:lang w:val="en-US" w:eastAsia="zh-CN" w:bidi="ar-SA"/>
        </w:rPr>
      </w:pPr>
    </w:p>
    <w:tbl>
      <w:tblPr>
        <w:tblStyle w:val="44"/>
        <w:tblW w:w="7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781"/>
        <w:gridCol w:w="1837"/>
      </w:tblGrid>
      <w:tr w14:paraId="2988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48" w:type="dxa"/>
            <w:noWrap/>
          </w:tcPr>
          <w:p w14:paraId="5D820784">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4781" w:type="dxa"/>
            <w:noWrap/>
          </w:tcPr>
          <w:p w14:paraId="3F0FE036">
            <w:pPr>
              <w:spacing w:line="360" w:lineRule="auto"/>
              <w:jc w:val="center"/>
              <w:rPr>
                <w:rFonts w:ascii="宋体" w:hAnsi="宋体" w:cs="宋体"/>
                <w:color w:val="000000" w:themeColor="text1"/>
                <w:szCs w:val="21"/>
                <w14:textFill>
                  <w14:solidFill>
                    <w14:schemeClr w14:val="tx1"/>
                  </w14:solidFill>
                </w14:textFill>
              </w:rPr>
            </w:pPr>
            <w:r>
              <w:rPr>
                <w:rFonts w:hint="eastAsia"/>
              </w:rPr>
              <w:t>服务名称</w:t>
            </w:r>
          </w:p>
        </w:tc>
        <w:tc>
          <w:tcPr>
            <w:tcW w:w="1837" w:type="dxa"/>
            <w:noWrap/>
          </w:tcPr>
          <w:p w14:paraId="4298F86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账户许可数</w:t>
            </w:r>
          </w:p>
        </w:tc>
      </w:tr>
      <w:tr w14:paraId="2109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48" w:type="dxa"/>
            <w:noWrap/>
          </w:tcPr>
          <w:p w14:paraId="0B7A1D5A">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p>
        </w:tc>
        <w:tc>
          <w:tcPr>
            <w:tcW w:w="4781" w:type="dxa"/>
            <w:noWrap/>
          </w:tcPr>
          <w:p w14:paraId="476576ED">
            <w:pPr>
              <w:spacing w:line="360" w:lineRule="auto"/>
              <w:jc w:val="center"/>
              <w:rPr>
                <w:rFonts w:hint="eastAsia" w:ascii="宋体" w:hAnsi="宋体" w:cs="仿宋"/>
                <w:lang w:eastAsia="zh-CN"/>
              </w:rPr>
            </w:pPr>
            <w:r>
              <w:rPr>
                <w:rFonts w:hint="eastAsia" w:ascii="宋体" w:hAnsi="宋体" w:cs="仿宋"/>
                <w:lang w:eastAsia="zh-CN"/>
              </w:rPr>
              <w:t>大数据情报汇聚平台查询服务</w:t>
            </w:r>
          </w:p>
        </w:tc>
        <w:tc>
          <w:tcPr>
            <w:tcW w:w="1837" w:type="dxa"/>
            <w:noWrap/>
          </w:tcPr>
          <w:p w14:paraId="7343F93A">
            <w:pPr>
              <w:spacing w:line="360" w:lineRule="auto"/>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p>
        </w:tc>
      </w:tr>
      <w:tr w14:paraId="4ABE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48" w:type="dxa"/>
            <w:noWrap/>
          </w:tcPr>
          <w:p w14:paraId="0FF98FAE">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p>
        </w:tc>
        <w:tc>
          <w:tcPr>
            <w:tcW w:w="4781" w:type="dxa"/>
            <w:noWrap/>
          </w:tcPr>
          <w:p w14:paraId="40BA9244">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仿宋"/>
                <w:lang w:eastAsia="zh-CN"/>
              </w:rPr>
              <w:t>大数据辅助分析系统查询服务</w:t>
            </w:r>
          </w:p>
        </w:tc>
        <w:tc>
          <w:tcPr>
            <w:tcW w:w="1837" w:type="dxa"/>
            <w:noWrap/>
          </w:tcPr>
          <w:p w14:paraId="0BEA0514">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p>
        </w:tc>
      </w:tr>
      <w:tr w14:paraId="4AC8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48" w:type="dxa"/>
            <w:noWrap/>
          </w:tcPr>
          <w:p w14:paraId="194B6B78">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p>
        </w:tc>
        <w:tc>
          <w:tcPr>
            <w:tcW w:w="4781" w:type="dxa"/>
            <w:noWrap/>
          </w:tcPr>
          <w:p w14:paraId="4FB5242E">
            <w:pPr>
              <w:spacing w:line="360" w:lineRule="auto"/>
              <w:jc w:val="center"/>
              <w:rPr>
                <w:rFonts w:hint="eastAsia" w:ascii="宋体" w:hAnsi="宋体" w:cs="仿宋"/>
                <w:lang w:eastAsia="zh-CN"/>
              </w:rPr>
            </w:pPr>
            <w:r>
              <w:rPr>
                <w:rFonts w:hint="eastAsia" w:ascii="宋体" w:hAnsi="宋体" w:cs="仿宋"/>
                <w:lang w:eastAsia="zh-CN"/>
              </w:rPr>
              <w:t>大数据涉网新型行为分析系统数据查询服务</w:t>
            </w:r>
          </w:p>
        </w:tc>
        <w:tc>
          <w:tcPr>
            <w:tcW w:w="1837" w:type="dxa"/>
            <w:noWrap/>
          </w:tcPr>
          <w:p w14:paraId="26813654">
            <w:pPr>
              <w:spacing w:line="360" w:lineRule="auto"/>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p>
        </w:tc>
      </w:tr>
    </w:tbl>
    <w:p w14:paraId="44AED622">
      <w:pPr>
        <w:ind w:firstLine="420" w:firstLineChars="200"/>
        <w:rPr>
          <w:rFonts w:ascii="宋体" w:hAnsi="宋体"/>
          <w:szCs w:val="21"/>
        </w:rPr>
      </w:pPr>
    </w:p>
    <w:p w14:paraId="07A850D8">
      <w:pPr>
        <w:rPr>
          <w:b/>
          <w:bCs/>
          <w:szCs w:val="21"/>
        </w:rPr>
      </w:pPr>
    </w:p>
    <w:p w14:paraId="78939042">
      <w:pPr>
        <w:rPr>
          <w:b/>
          <w:bCs/>
          <w:szCs w:val="21"/>
        </w:rPr>
      </w:pPr>
    </w:p>
    <w:p w14:paraId="4E169A74">
      <w:pPr>
        <w:pStyle w:val="7"/>
        <w:spacing w:before="120" w:beforeLines="50" w:after="120" w:afterLines="50"/>
        <w:rPr>
          <w:szCs w:val="24"/>
        </w:rPr>
      </w:pPr>
      <w:r>
        <w:rPr>
          <w:rFonts w:hint="eastAsia"/>
          <w:szCs w:val="24"/>
          <w:lang w:val="en-US" w:eastAsia="zh-CN"/>
        </w:rPr>
        <w:t>五</w:t>
      </w:r>
      <w:r>
        <w:rPr>
          <w:rFonts w:hint="eastAsia"/>
          <w:szCs w:val="24"/>
        </w:rPr>
        <w:t>、技术要求</w:t>
      </w:r>
    </w:p>
    <w:p w14:paraId="7060B49D">
      <w:pPr>
        <w:rPr>
          <w:b/>
        </w:rPr>
      </w:pPr>
    </w:p>
    <w:p w14:paraId="773EF04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eastAsia="zh-CN"/>
        </w:rPr>
        <w:t>）</w:t>
      </w:r>
      <w:r>
        <w:rPr>
          <w:rFonts w:hint="eastAsia" w:ascii="宋体" w:hAnsi="宋体" w:eastAsia="宋体" w:cs="宋体"/>
          <w:b/>
          <w:bCs/>
          <w:sz w:val="21"/>
          <w:szCs w:val="21"/>
        </w:rPr>
        <w:t>服务需求</w:t>
      </w:r>
    </w:p>
    <w:p w14:paraId="1244BF0D">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1、提供大数据情报汇聚平台查询服务项目技术要求：</w:t>
      </w:r>
    </w:p>
    <w:p w14:paraId="07365C6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1.1支持根据业务维度提供不同方向的情报或者线索；</w:t>
      </w:r>
    </w:p>
    <w:p w14:paraId="565C8DC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1.2支持情报线索按日更新；</w:t>
      </w:r>
    </w:p>
    <w:p w14:paraId="47565DE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1.3支持基于域名为线索的溯源扩线引导；</w:t>
      </w:r>
    </w:p>
    <w:p w14:paraId="67D43DF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lang w:val="en-US" w:eastAsia="zh-CN"/>
        </w:rPr>
        <w:t>1.4</w:t>
      </w:r>
      <w:r>
        <w:rPr>
          <w:rFonts w:hint="eastAsia" w:ascii="宋体" w:hAnsi="宋体" w:eastAsia="宋体" w:cs="宋体"/>
          <w:sz w:val="21"/>
          <w:szCs w:val="21"/>
        </w:rPr>
        <w:t>支持以IP为线索查询IP属性信息</w:t>
      </w:r>
      <w:r>
        <w:rPr>
          <w:rFonts w:hint="eastAsia" w:ascii="宋体" w:hAnsi="宋体" w:eastAsia="宋体" w:cs="宋体"/>
          <w:b w:val="0"/>
          <w:bCs w:val="0"/>
          <w:sz w:val="21"/>
          <w:szCs w:val="21"/>
          <w:lang w:val="en-US" w:eastAsia="zh-CN"/>
        </w:rPr>
        <w:t>；</w:t>
      </w:r>
    </w:p>
    <w:p w14:paraId="313E6CB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highlight w:val="yellow"/>
          <w:lang w:val="en-US" w:eastAsia="zh-CN"/>
        </w:rPr>
      </w:pPr>
      <w:r>
        <w:rPr>
          <w:rFonts w:hint="eastAsia" w:ascii="宋体" w:hAnsi="宋体" w:eastAsia="宋体" w:cs="宋体"/>
          <w:b w:val="0"/>
          <w:bCs w:val="0"/>
          <w:sz w:val="21"/>
          <w:szCs w:val="21"/>
          <w:highlight w:val="none"/>
          <w:lang w:val="en-US" w:eastAsia="zh-CN"/>
        </w:rPr>
        <w:t>1.5支持对关注线索的标记与取消标记，</w:t>
      </w:r>
      <w:r>
        <w:rPr>
          <w:rFonts w:hint="eastAsia" w:ascii="宋体" w:hAnsi="宋体" w:eastAsia="宋体" w:cs="宋体"/>
          <w:sz w:val="21"/>
          <w:szCs w:val="21"/>
          <w:highlight w:val="none"/>
        </w:rPr>
        <w:t>生成案件汇总报告</w:t>
      </w:r>
      <w:r>
        <w:rPr>
          <w:rFonts w:hint="eastAsia" w:ascii="宋体" w:hAnsi="宋体" w:eastAsia="宋体" w:cs="宋体"/>
          <w:b w:val="0"/>
          <w:bCs w:val="0"/>
          <w:sz w:val="21"/>
          <w:szCs w:val="21"/>
          <w:highlight w:val="none"/>
          <w:lang w:val="en-US" w:eastAsia="zh-CN"/>
        </w:rPr>
        <w:t>；</w:t>
      </w:r>
    </w:p>
    <w:p w14:paraId="15C9B95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1.6支持对虚拟账号匹配检索；</w:t>
      </w:r>
    </w:p>
    <w:p w14:paraId="50E3709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1.7</w:t>
      </w:r>
      <w:r>
        <w:rPr>
          <w:rFonts w:hint="eastAsia" w:ascii="宋体" w:hAnsi="宋体" w:eastAsia="宋体" w:cs="宋体"/>
          <w:sz w:val="21"/>
          <w:szCs w:val="21"/>
        </w:rPr>
        <w:t>支持基于静态</w:t>
      </w:r>
      <w:r>
        <w:rPr>
          <w:rFonts w:hint="eastAsia" w:ascii="宋体" w:hAnsi="宋体" w:eastAsia="宋体" w:cs="宋体"/>
          <w:sz w:val="21"/>
          <w:szCs w:val="21"/>
          <w:lang w:val="en-US" w:eastAsia="zh-CN"/>
        </w:rPr>
        <w:t>APP</w:t>
      </w:r>
      <w:r>
        <w:rPr>
          <w:rFonts w:hint="eastAsia" w:ascii="宋体" w:hAnsi="宋体" w:eastAsia="宋体" w:cs="宋体"/>
          <w:sz w:val="21"/>
          <w:szCs w:val="21"/>
        </w:rPr>
        <w:t>解析特征、提供包名、版本号、证书、图标、APK运行截图等基础信息</w:t>
      </w:r>
      <w:r>
        <w:rPr>
          <w:rFonts w:hint="eastAsia" w:ascii="宋体" w:hAnsi="宋体" w:eastAsia="宋体" w:cs="宋体"/>
          <w:b w:val="0"/>
          <w:bCs w:val="0"/>
          <w:sz w:val="21"/>
          <w:szCs w:val="21"/>
          <w:lang w:val="en-US" w:eastAsia="zh-CN"/>
        </w:rPr>
        <w:t>；</w:t>
      </w:r>
    </w:p>
    <w:p w14:paraId="4F9B2C1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1.8支持安全登录加密，采用Ukey登录认证；</w:t>
      </w:r>
    </w:p>
    <w:p w14:paraId="5C12F72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b w:val="0"/>
          <w:bCs w:val="0"/>
          <w:sz w:val="21"/>
          <w:szCs w:val="21"/>
          <w:lang w:val="en-US" w:eastAsia="zh-CN"/>
        </w:rPr>
        <w:t>1.9</w:t>
      </w:r>
      <w:r>
        <w:rPr>
          <w:rFonts w:hint="eastAsia" w:ascii="宋体" w:hAnsi="宋体" w:eastAsia="宋体" w:cs="宋体"/>
          <w:sz w:val="21"/>
          <w:szCs w:val="21"/>
        </w:rPr>
        <w:t>支持上下游关系关联、多案件处理，支持在线编辑、报告脑图下载</w:t>
      </w:r>
      <w:r>
        <w:rPr>
          <w:rFonts w:hint="eastAsia" w:ascii="宋体" w:hAnsi="宋体" w:eastAsia="宋体" w:cs="宋体"/>
          <w:sz w:val="21"/>
          <w:szCs w:val="21"/>
          <w:lang w:eastAsia="zh-CN"/>
        </w:rPr>
        <w:t>；</w:t>
      </w:r>
    </w:p>
    <w:p w14:paraId="6AF0018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1.10</w:t>
      </w:r>
      <w:r>
        <w:rPr>
          <w:rFonts w:hint="eastAsia" w:ascii="宋体" w:hAnsi="宋体" w:eastAsia="宋体" w:cs="宋体"/>
          <w:sz w:val="21"/>
          <w:szCs w:val="21"/>
        </w:rPr>
        <w:t>支持历史查看、受理状态查看、案件报告查看下载</w:t>
      </w:r>
      <w:r>
        <w:rPr>
          <w:rFonts w:hint="eastAsia" w:ascii="宋体" w:hAnsi="宋体" w:eastAsia="宋体" w:cs="宋体"/>
          <w:b w:val="0"/>
          <w:bCs w:val="0"/>
          <w:sz w:val="21"/>
          <w:szCs w:val="21"/>
          <w:lang w:val="en-US" w:eastAsia="zh-CN"/>
        </w:rPr>
        <w:t>；</w:t>
      </w:r>
    </w:p>
    <w:p w14:paraId="5B1B10B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1.11支持查看账号之前检索过的历史记录日志；</w:t>
      </w:r>
    </w:p>
    <w:p w14:paraId="3838D9D7">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2.提供大数据辅助分析系统查询服务项目技术要求：</w:t>
      </w:r>
    </w:p>
    <w:p w14:paraId="5BB0390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2.1特征码检索：通过对方提供的人群数据，查询该人员其他相关数据分析结果</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p>
    <w:p w14:paraId="7BAFE22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2.2用户画像：大数据人员画像，对人群打标签</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p>
    <w:p w14:paraId="15A7CCE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2.3常连WIFI：分析近段时间目标人群的常连WIFI</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p>
    <w:p w14:paraId="494C6F9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2.4点位管理：分析点位回溯功能</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p>
    <w:p w14:paraId="237DFAF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2.5关系图谱：分析目标人群的关系图谱，寻找目标人群之间的相互关系</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p>
    <w:p w14:paraId="0BFB847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2.6WIFI检索：对指定WiFi设备进行查询筛选</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p>
    <w:p w14:paraId="324CF60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2.7基站检索：对指定基站设备进行查询筛选</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p>
    <w:p w14:paraId="67BE139C">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3.提供大数据涉网新型行为分析系统数据查询服务项目技术要求：</w:t>
      </w:r>
    </w:p>
    <w:p w14:paraId="41246F6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3.1案件信息：查看检索辖区内上传案件信息和应用报告；</w:t>
      </w:r>
    </w:p>
    <w:p w14:paraId="4F49F41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3.2案件态势:查看辖区整体案件态势，统计潜在受害者情况和风险应用情况；</w:t>
      </w:r>
    </w:p>
    <w:p w14:paraId="36623AB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3.3案件统计大屏:查看辖区内上传案件整体统计情况；</w:t>
      </w:r>
    </w:p>
    <w:p w14:paraId="57D7D55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3.4应用管理:管理风险应用，分析应用趋势和同源应用情况；</w:t>
      </w:r>
    </w:p>
    <w:p w14:paraId="1326078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3.5模型智库:通过大数据建模分析发现风险网络环境及设备；</w:t>
      </w:r>
    </w:p>
    <w:p w14:paraId="4BF2ABD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3.6APP分析:对安装指定APP的设备进行查询筛选并分析画像；</w:t>
      </w:r>
    </w:p>
    <w:p w14:paraId="543718A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3.7IP分析:对指定IP下的设备进行查询筛选并分析其关联网络环境；</w:t>
      </w:r>
    </w:p>
    <w:p w14:paraId="10D6907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3.8WiFi分析:对指定WiFi下的设备及周边网络环境进行查询筛选及画像分析；</w:t>
      </w:r>
    </w:p>
    <w:p w14:paraId="257CA95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3.9群体分析:对指定若干设备进行设备信息分析、群体画像分析及点位分析；</w:t>
      </w:r>
    </w:p>
    <w:p w14:paraId="631225E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3.10标签分析:对指定标签下的设备进行查询筛选和画像分析；</w:t>
      </w:r>
    </w:p>
    <w:p w14:paraId="5B48E28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3.11APK解析:对指定APK进行解析得出解析报告；</w:t>
      </w:r>
    </w:p>
    <w:p w14:paraId="15118BC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3.12人群点位:基于设备特征码进行群体设备点位分析；</w:t>
      </w:r>
    </w:p>
    <w:p w14:paraId="279289F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1.13预警统计中心:展现与本地相关的预警数据统计及分析情况；</w:t>
      </w:r>
    </w:p>
    <w:p w14:paraId="4C86223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3.14预警来源管理:对多方面来源的预警应用信息进行管理，并可以导入其他平台的预警数据；</w:t>
      </w:r>
    </w:p>
    <w:p w14:paraId="4C7275A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3.15运行环境:在公安网内登录使用。</w:t>
      </w:r>
    </w:p>
    <w:p w14:paraId="0742B3E6">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3.服务质量</w:t>
      </w:r>
    </w:p>
    <w:p w14:paraId="25A1D0F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3.1在服务期内，对于采购人的技术服务请求，要求接报后投标供应商30分钟内到达故障现场，2小时内修复完毕；</w:t>
      </w:r>
    </w:p>
    <w:p w14:paraId="73481F4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3.2中标人需要提供项目所有管理、实施人员的身份证复印件、社保证明给采购人审核后方可进场；</w:t>
      </w:r>
    </w:p>
    <w:p w14:paraId="5E9599B6">
      <w:pPr>
        <w:pStyle w:val="7"/>
        <w:pageBreakBefore w:val="0"/>
        <w:kinsoku/>
        <w:wordWrap/>
        <w:overflowPunct/>
        <w:topLinePunct w:val="0"/>
        <w:autoSpaceDE/>
        <w:autoSpaceDN/>
        <w:bidi w:val="0"/>
        <w:snapToGrid/>
        <w:spacing w:before="0" w:after="0" w:line="240" w:lineRule="auto"/>
        <w:ind w:firstLine="420" w:firstLineChars="200"/>
        <w:jc w:val="left"/>
        <w:rPr>
          <w:rFonts w:hint="eastAsia" w:ascii="宋体" w:hAnsi="宋体" w:eastAsia="宋体" w:cs="宋体"/>
          <w:sz w:val="24"/>
          <w:szCs w:val="24"/>
        </w:rPr>
      </w:pPr>
      <w:r>
        <w:rPr>
          <w:rFonts w:hint="eastAsia" w:ascii="宋体" w:hAnsi="宋体" w:eastAsia="宋体" w:cs="宋体"/>
          <w:b w:val="0"/>
          <w:bCs w:val="0"/>
          <w:sz w:val="21"/>
          <w:szCs w:val="21"/>
          <w:lang w:val="en-US" w:eastAsia="zh-CN"/>
        </w:rPr>
        <w:t>3.3投标供应商对其提供的系统软件提供1年7×24小时的免费升级维护和软件缺陷的免费修复，质保期在项目完成验收之日起计；</w:t>
      </w:r>
    </w:p>
    <w:p w14:paraId="2E9D6BD6">
      <w:pPr>
        <w:pStyle w:val="7"/>
        <w:spacing w:before="120" w:beforeLines="50" w:after="120" w:afterLines="50"/>
        <w:rPr>
          <w:rFonts w:hint="eastAsia"/>
          <w:szCs w:val="24"/>
          <w:lang w:val="en-US" w:eastAsia="zh-CN"/>
        </w:rPr>
      </w:pPr>
    </w:p>
    <w:p w14:paraId="502C0514">
      <w:pPr>
        <w:pStyle w:val="7"/>
        <w:spacing w:before="120" w:beforeLines="50" w:after="120" w:afterLines="50"/>
        <w:rPr>
          <w:szCs w:val="24"/>
        </w:rPr>
      </w:pPr>
      <w:r>
        <w:rPr>
          <w:rFonts w:hint="eastAsia"/>
          <w:szCs w:val="24"/>
          <w:lang w:val="en-US" w:eastAsia="zh-CN"/>
        </w:rPr>
        <w:t>六</w:t>
      </w:r>
      <w:r>
        <w:rPr>
          <w:rFonts w:hint="eastAsia"/>
          <w:szCs w:val="24"/>
        </w:rPr>
        <w:t>、商务要求</w:t>
      </w:r>
    </w:p>
    <w:p w14:paraId="73278A6F">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sz w:val="21"/>
          <w:szCs w:val="21"/>
        </w:rPr>
        <w:t>（一）服务期限：</w:t>
      </w:r>
    </w:p>
    <w:p w14:paraId="7CE5562B">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sz w:val="21"/>
          <w:szCs w:val="21"/>
          <w:highlight w:val="yellow"/>
        </w:rPr>
      </w:pPr>
      <w:r>
        <w:rPr>
          <w:rFonts w:hint="eastAsia" w:ascii="宋体" w:hAnsi="宋体" w:cs="仿宋"/>
          <w:b/>
          <w:bCs/>
          <w:sz w:val="24"/>
          <w:szCs w:val="21"/>
          <w:highlight w:val="yellow"/>
        </w:rPr>
        <w:t>★</w:t>
      </w:r>
      <w:r>
        <w:rPr>
          <w:rFonts w:hint="eastAsia" w:ascii="宋体" w:hAnsi="宋体" w:eastAsia="宋体" w:cs="宋体"/>
          <w:sz w:val="21"/>
          <w:szCs w:val="21"/>
          <w:highlight w:val="yellow"/>
        </w:rPr>
        <w:t>本项目服务期限为12个月，以合同约定的开始及结束时间为准。本项目为长期服务类项目，第一年为本次招标的中标服务期限，采购单位可根据项目需要、财政预算和中标单位的履约情况确定合同期限是否延长，但最长不超过三十六个月。如履约、服务情况不满意的或者合同履行期间因违法行为被禁止参与政府采购活动或者存在其他重大违法记录的，则不再续约。</w:t>
      </w:r>
    </w:p>
    <w:p w14:paraId="39B6212B">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）付款方式：</w:t>
      </w:r>
    </w:p>
    <w:p w14:paraId="4959979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签订合同后，采购单位按中标价的</w:t>
      </w:r>
      <w:r>
        <w:rPr>
          <w:rFonts w:hint="eastAsia" w:ascii="宋体" w:hAnsi="宋体" w:eastAsia="宋体" w:cs="宋体"/>
          <w:sz w:val="21"/>
          <w:szCs w:val="21"/>
          <w:lang w:val="en-US" w:eastAsia="zh-CN"/>
        </w:rPr>
        <w:t>70</w:t>
      </w:r>
      <w:r>
        <w:rPr>
          <w:rFonts w:hint="eastAsia" w:ascii="宋体" w:hAnsi="宋体" w:eastAsia="宋体" w:cs="宋体"/>
          <w:sz w:val="21"/>
          <w:szCs w:val="21"/>
        </w:rPr>
        <w:t>%</w:t>
      </w:r>
      <w:r>
        <w:rPr>
          <w:rFonts w:hint="eastAsia" w:ascii="宋体" w:hAnsi="宋体" w:eastAsia="宋体" w:cs="宋体"/>
          <w:sz w:val="21"/>
          <w:szCs w:val="21"/>
          <w:lang w:eastAsia="zh-CN"/>
        </w:rPr>
        <w:t>首期款</w:t>
      </w:r>
      <w:r>
        <w:rPr>
          <w:rFonts w:hint="eastAsia" w:ascii="宋体" w:hAnsi="宋体" w:eastAsia="宋体" w:cs="宋体"/>
          <w:sz w:val="21"/>
          <w:szCs w:val="21"/>
        </w:rPr>
        <w:t>支付中标价款项，剩余中标价的</w:t>
      </w:r>
      <w:r>
        <w:rPr>
          <w:rFonts w:hint="eastAsia" w:ascii="宋体" w:hAnsi="宋体" w:eastAsia="宋体" w:cs="宋体"/>
          <w:sz w:val="21"/>
          <w:szCs w:val="21"/>
          <w:lang w:val="en-US" w:eastAsia="zh-CN"/>
        </w:rPr>
        <w:t>30</w:t>
      </w:r>
      <w:r>
        <w:rPr>
          <w:rFonts w:hint="eastAsia" w:ascii="宋体" w:hAnsi="宋体" w:eastAsia="宋体" w:cs="宋体"/>
          <w:sz w:val="21"/>
          <w:szCs w:val="21"/>
        </w:rPr>
        <w:t>%款项待合同期满经履约验收合格后支付。</w:t>
      </w:r>
    </w:p>
    <w:p w14:paraId="7109E001">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）投标报价</w:t>
      </w:r>
      <w:r>
        <w:rPr>
          <w:rFonts w:hint="eastAsia" w:ascii="宋体" w:hAnsi="宋体" w:eastAsia="宋体" w:cs="宋体"/>
          <w:sz w:val="21"/>
          <w:szCs w:val="21"/>
        </w:rPr>
        <w:t>：</w:t>
      </w:r>
    </w:p>
    <w:p w14:paraId="4E4780D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本项目投标报价采用包干制，应包括成本、法定税费和相应的利润，应涵盖本项目采购范围和征集文件所列的各项内容中所述的全部。由</w:t>
      </w:r>
      <w:r>
        <w:rPr>
          <w:rFonts w:hint="eastAsia" w:ascii="宋体" w:hAnsi="宋体" w:cs="宋体"/>
          <w:sz w:val="21"/>
          <w:szCs w:val="21"/>
          <w:lang w:eastAsia="zh-CN"/>
        </w:rPr>
        <w:t>投标供应商</w:t>
      </w:r>
      <w:r>
        <w:rPr>
          <w:rFonts w:hint="eastAsia" w:ascii="宋体" w:hAnsi="宋体" w:eastAsia="宋体" w:cs="宋体"/>
          <w:sz w:val="21"/>
          <w:szCs w:val="21"/>
        </w:rPr>
        <w:t>根据采购需求自行测算投标报价；一经中标，投标报价即作为中标单位与采购人签订的合同金额。</w:t>
      </w:r>
    </w:p>
    <w:p w14:paraId="3258D8F6">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）验收标准：</w:t>
      </w:r>
      <w:r>
        <w:rPr>
          <w:rFonts w:hint="eastAsia" w:ascii="宋体" w:hAnsi="宋体" w:eastAsia="宋体" w:cs="宋体"/>
          <w:sz w:val="21"/>
          <w:szCs w:val="21"/>
        </w:rPr>
        <w:t>采购单位根据征集文件要求进行考核验收。</w:t>
      </w:r>
    </w:p>
    <w:p w14:paraId="2F65D956">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）质量考核验收标准及违约金</w:t>
      </w:r>
      <w:r>
        <w:rPr>
          <w:rFonts w:hint="eastAsia" w:ascii="宋体" w:hAnsi="宋体" w:eastAsia="宋体" w:cs="宋体"/>
          <w:b/>
          <w:bCs/>
          <w:sz w:val="21"/>
          <w:szCs w:val="21"/>
          <w:lang w:eastAsia="zh-CN"/>
        </w:rPr>
        <w:t>：</w:t>
      </w:r>
    </w:p>
    <w:p w14:paraId="7755F84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eastAsia" w:ascii="宋体" w:hAnsi="宋体" w:eastAsia="宋体" w:cs="宋体"/>
          <w:sz w:val="21"/>
          <w:szCs w:val="21"/>
        </w:rPr>
        <w:t>中标</w:t>
      </w:r>
      <w:r>
        <w:rPr>
          <w:rFonts w:hint="eastAsia" w:ascii="宋体" w:hAnsi="宋体" w:eastAsia="宋体" w:cs="宋体"/>
          <w:sz w:val="21"/>
          <w:szCs w:val="21"/>
          <w:lang w:val="en-US" w:eastAsia="zh-CN"/>
        </w:rPr>
        <w:t>人</w:t>
      </w:r>
      <w:r>
        <w:rPr>
          <w:rFonts w:hint="eastAsia" w:ascii="宋体" w:hAnsi="宋体" w:eastAsia="宋体" w:cs="宋体"/>
          <w:sz w:val="21"/>
          <w:szCs w:val="21"/>
        </w:rPr>
        <w:t>须按照采购单位要求做好该项目等各项工作</w:t>
      </w:r>
      <w:r>
        <w:rPr>
          <w:rFonts w:hint="eastAsia" w:ascii="宋体" w:hAnsi="宋体" w:eastAsia="宋体" w:cs="宋体"/>
          <w:sz w:val="21"/>
          <w:szCs w:val="21"/>
          <w:lang w:eastAsia="zh-CN"/>
        </w:rPr>
        <w:t>，</w:t>
      </w:r>
      <w:r>
        <w:rPr>
          <w:rFonts w:hint="eastAsia" w:ascii="宋体" w:hAnsi="宋体" w:eastAsia="宋体" w:cs="宋体"/>
          <w:sz w:val="21"/>
          <w:szCs w:val="21"/>
        </w:rPr>
        <w:t>如未能按</w:t>
      </w:r>
      <w:r>
        <w:rPr>
          <w:rFonts w:hint="eastAsia" w:ascii="宋体" w:hAnsi="宋体" w:eastAsia="宋体" w:cs="宋体"/>
          <w:sz w:val="21"/>
          <w:szCs w:val="21"/>
          <w:lang w:val="en-US" w:eastAsia="zh-CN"/>
        </w:rPr>
        <w:t>征集</w:t>
      </w:r>
      <w:r>
        <w:rPr>
          <w:rFonts w:hint="eastAsia" w:ascii="宋体" w:hAnsi="宋体" w:eastAsia="宋体" w:cs="宋体"/>
          <w:sz w:val="21"/>
          <w:szCs w:val="21"/>
        </w:rPr>
        <w:t>文件要求完成本项目的相关工作的视为违约，</w:t>
      </w:r>
      <w:r>
        <w:rPr>
          <w:rFonts w:hint="eastAsia" w:ascii="宋体" w:hAnsi="宋体" w:eastAsia="宋体" w:cs="宋体"/>
          <w:sz w:val="21"/>
          <w:szCs w:val="21"/>
          <w:lang w:val="en-US" w:eastAsia="zh-CN"/>
        </w:rPr>
        <w:t>中标人需支付</w:t>
      </w:r>
      <w:r>
        <w:rPr>
          <w:rFonts w:hint="eastAsia" w:ascii="宋体" w:hAnsi="宋体" w:eastAsia="宋体" w:cs="宋体"/>
          <w:sz w:val="21"/>
          <w:szCs w:val="21"/>
        </w:rPr>
        <w:t>不得低于合同总金额的5%</w:t>
      </w:r>
      <w:r>
        <w:rPr>
          <w:rFonts w:hint="eastAsia" w:ascii="宋体" w:hAnsi="宋体" w:eastAsia="宋体" w:cs="宋体"/>
          <w:sz w:val="21"/>
          <w:szCs w:val="21"/>
          <w:lang w:val="en-US" w:eastAsia="zh-CN"/>
        </w:rPr>
        <w:t>的</w:t>
      </w:r>
      <w:r>
        <w:rPr>
          <w:rFonts w:hint="eastAsia" w:ascii="宋体" w:hAnsi="宋体" w:eastAsia="宋体" w:cs="宋体"/>
          <w:sz w:val="21"/>
          <w:szCs w:val="21"/>
        </w:rPr>
        <w:t>违约金。</w:t>
      </w:r>
    </w:p>
    <w:p w14:paraId="1AD03C6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p>
    <w:p w14:paraId="6EE56857">
      <w:pPr>
        <w:spacing w:before="120" w:beforeLines="50" w:after="120" w:afterLines="50"/>
      </w:pPr>
    </w:p>
    <w:p w14:paraId="77963078">
      <w:pPr>
        <w:pStyle w:val="2"/>
        <w:spacing w:before="60" w:beforeLines="25" w:after="60" w:afterLines="25"/>
        <w:ind w:firstLine="392" w:firstLineChars="187"/>
        <w:rPr>
          <w:rFonts w:ascii="宋体" w:hAnsi="宋体"/>
          <w:szCs w:val="21"/>
        </w:rPr>
      </w:pPr>
    </w:p>
    <w:p w14:paraId="180CBA0F">
      <w:pPr>
        <w:pStyle w:val="7"/>
        <w:spacing w:before="120" w:beforeLines="50" w:after="120" w:afterLines="50"/>
        <w:rPr>
          <w:szCs w:val="24"/>
        </w:rPr>
      </w:pPr>
      <w:r>
        <w:rPr>
          <w:rFonts w:hint="eastAsia"/>
          <w:szCs w:val="24"/>
          <w:lang w:val="en-US" w:eastAsia="zh-CN"/>
        </w:rPr>
        <w:t>七</w:t>
      </w:r>
      <w:r>
        <w:rPr>
          <w:rFonts w:hint="eastAsia"/>
          <w:szCs w:val="24"/>
        </w:rPr>
        <w:t>、其他重要条款</w:t>
      </w:r>
    </w:p>
    <w:p w14:paraId="07C54544">
      <w:pPr>
        <w:ind w:firstLine="420" w:firstLineChars="200"/>
        <w:rPr>
          <w:bCs/>
          <w:szCs w:val="21"/>
        </w:rPr>
      </w:pPr>
      <w:r>
        <w:rPr>
          <w:rFonts w:hint="eastAsia"/>
          <w:bCs/>
          <w:szCs w:val="21"/>
        </w:rPr>
        <w:t>1、本项目应答报价采用包干制，应包括成本、法定税费和相应的利润，应涵盖本项目采购范围和谈判文件所列的各项内容中所述的全部。由供应商根据采购需求自行测算应答报价；一经成交，应答报价即作为成交单位与采购人签定的合同金额。</w:t>
      </w:r>
    </w:p>
    <w:p w14:paraId="2DAAFE29">
      <w:pPr>
        <w:pStyle w:val="2"/>
        <w:spacing w:before="60" w:beforeLines="25" w:after="60" w:afterLines="25"/>
        <w:ind w:firstLine="392" w:firstLineChars="187"/>
        <w:rPr>
          <w:rFonts w:ascii="宋体" w:hAnsi="宋体"/>
          <w:szCs w:val="21"/>
        </w:rPr>
      </w:pPr>
      <w:r>
        <w:rPr>
          <w:bCs/>
          <w:szCs w:val="21"/>
        </w:rPr>
        <w:t>2</w:t>
      </w:r>
      <w:r>
        <w:rPr>
          <w:rFonts w:hint="eastAsia"/>
          <w:bCs/>
          <w:szCs w:val="21"/>
        </w:rPr>
        <w:t>、供应商应充分了解项目的位置、情况、道路及任何其它足以影响应答报价的情况，任何因忽视或误解项目情况而导致的索赔或服务期限延长申请将不获批准。</w:t>
      </w:r>
    </w:p>
    <w:p w14:paraId="5FBD0BEA">
      <w:pPr>
        <w:ind w:firstLine="420" w:firstLineChars="200"/>
        <w:rPr>
          <w:bCs/>
          <w:szCs w:val="21"/>
        </w:rPr>
      </w:pPr>
      <w:r>
        <w:rPr>
          <w:bCs/>
          <w:szCs w:val="21"/>
        </w:rPr>
        <w:t>3</w:t>
      </w:r>
      <w:r>
        <w:rPr>
          <w:rFonts w:hint="eastAsia"/>
          <w:bCs/>
          <w:szCs w:val="21"/>
        </w:rPr>
        <w:t>、供应商不得期望通过索赔等方式获取补偿，否则，除可能遭到拒绝外，还可能将被作为不良行为记录在案，并可能影响其以后正常参与政府采购项目。各供应商在应答报价时，应充分考虑风险。</w:t>
      </w:r>
    </w:p>
    <w:p w14:paraId="798D96AE">
      <w:pPr>
        <w:ind w:firstLine="420" w:firstLineChars="200"/>
        <w:rPr>
          <w:bCs/>
          <w:szCs w:val="21"/>
        </w:rPr>
      </w:pPr>
      <w:r>
        <w:rPr>
          <w:rFonts w:hint="eastAsia"/>
          <w:bCs/>
          <w:szCs w:val="21"/>
          <w:lang w:val="en-US" w:eastAsia="zh-CN"/>
        </w:rPr>
        <w:t>4</w:t>
      </w:r>
      <w:r>
        <w:rPr>
          <w:rFonts w:hint="eastAsia"/>
          <w:bCs/>
          <w:szCs w:val="21"/>
        </w:rPr>
        <w:t>、除政府采购合同继续履行将损害国家利益和社会公共利益外，双方当事人不得擅自变更、中止或者终止合同。</w:t>
      </w:r>
    </w:p>
    <w:p w14:paraId="6C329A02">
      <w:pPr>
        <w:ind w:firstLine="420" w:firstLineChars="200"/>
        <w:rPr>
          <w:rFonts w:ascii="宋体" w:hAnsi="宋体"/>
        </w:rPr>
      </w:pPr>
      <w:r>
        <w:rPr>
          <w:rFonts w:hint="eastAsia"/>
          <w:bCs/>
          <w:szCs w:val="21"/>
          <w:lang w:val="en-US" w:eastAsia="zh-CN"/>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w:t>
      </w:r>
      <w:r>
        <w:rPr>
          <w:rFonts w:hint="eastAsia"/>
          <w:bCs/>
          <w:szCs w:val="21"/>
          <w:lang w:eastAsia="zh-CN"/>
        </w:rPr>
        <w:t>（</w:t>
      </w:r>
      <w:r>
        <w:rPr>
          <w:rFonts w:hint="eastAsia"/>
          <w:bCs/>
          <w:szCs w:val="21"/>
          <w:lang w:val="en-US" w:eastAsia="zh-CN"/>
        </w:rPr>
        <w:t>谈判</w:t>
      </w:r>
      <w:r>
        <w:rPr>
          <w:rFonts w:hint="eastAsia"/>
          <w:bCs/>
          <w:szCs w:val="21"/>
          <w:lang w:eastAsia="zh-CN"/>
        </w:rPr>
        <w:t>）</w:t>
      </w:r>
      <w:r>
        <w:rPr>
          <w:rFonts w:hint="eastAsia"/>
          <w:bCs/>
          <w:szCs w:val="21"/>
        </w:rPr>
        <w:t>当日的查询结果为准</w:t>
      </w:r>
      <w:r>
        <w:rPr>
          <w:rFonts w:hint="eastAsia"/>
          <w:bCs/>
          <w:szCs w:val="21"/>
          <w:lang w:eastAsia="zh-CN"/>
        </w:rPr>
        <w:t>。</w:t>
      </w:r>
      <w:r>
        <w:rPr>
          <w:rFonts w:hint="eastAsia"/>
          <w:bCs/>
          <w:szCs w:val="21"/>
          <w:lang w:val="en-US" w:eastAsia="zh-CN"/>
        </w:rPr>
        <w:t>.</w:t>
      </w:r>
    </w:p>
    <w:p w14:paraId="0C80C8C5">
      <w:pPr>
        <w:ind w:firstLine="420" w:firstLineChars="200"/>
        <w:rPr>
          <w:rFonts w:ascii="宋体" w:hAnsi="宋体"/>
        </w:rPr>
      </w:pPr>
    </w:p>
    <w:p w14:paraId="5620FBEC">
      <w:pPr>
        <w:ind w:firstLine="420" w:firstLineChars="200"/>
        <w:rPr>
          <w:rFonts w:ascii="宋体" w:hAnsi="宋体"/>
        </w:rPr>
      </w:pPr>
    </w:p>
    <w:p w14:paraId="7899440B">
      <w:pPr>
        <w:ind w:firstLine="420" w:firstLineChars="200"/>
        <w:rPr>
          <w:rFonts w:ascii="宋体" w:hAnsi="宋体"/>
        </w:rPr>
      </w:pPr>
    </w:p>
    <w:p w14:paraId="3B347F53">
      <w:pPr>
        <w:ind w:firstLine="420" w:firstLineChars="200"/>
        <w:rPr>
          <w:rFonts w:ascii="宋体" w:hAnsi="宋体"/>
        </w:rPr>
      </w:pPr>
    </w:p>
    <w:p w14:paraId="3EED9F4A">
      <w:pPr>
        <w:ind w:firstLine="420" w:firstLineChars="200"/>
        <w:rPr>
          <w:rFonts w:ascii="宋体" w:hAnsi="宋体"/>
        </w:rPr>
        <w:sectPr>
          <w:pgSz w:w="11907" w:h="16840"/>
          <w:pgMar w:top="1440" w:right="1797" w:bottom="1440" w:left="1797" w:header="851" w:footer="992" w:gutter="0"/>
          <w:cols w:space="425" w:num="1"/>
          <w:titlePg/>
          <w:docGrid w:linePitch="462" w:charSpace="0"/>
        </w:sectPr>
      </w:pPr>
    </w:p>
    <w:p w14:paraId="5D924D3A">
      <w:pPr>
        <w:pStyle w:val="7"/>
        <w:rPr>
          <w:kern w:val="2"/>
        </w:rPr>
      </w:pPr>
      <w:r>
        <w:rPr>
          <w:rFonts w:hint="eastAsia"/>
          <w:kern w:val="2"/>
        </w:rPr>
        <w:t>第四章</w:t>
      </w:r>
      <w:r>
        <w:rPr>
          <w:kern w:val="2"/>
        </w:rPr>
        <w:t xml:space="preserve"> </w:t>
      </w:r>
      <w:r>
        <w:rPr>
          <w:rFonts w:hint="eastAsia"/>
          <w:kern w:val="2"/>
        </w:rPr>
        <w:t xml:space="preserve"> 应答文件组成要求及格式</w:t>
      </w:r>
    </w:p>
    <w:p w14:paraId="47A51912">
      <w:pPr>
        <w:rPr>
          <w:rFonts w:ascii="仿宋_GB2312" w:eastAsia="仿宋_GB2312"/>
          <w:sz w:val="24"/>
        </w:rPr>
      </w:pPr>
    </w:p>
    <w:p w14:paraId="7D366C46">
      <w:pPr>
        <w:rPr>
          <w:rStyle w:val="59"/>
          <w:sz w:val="24"/>
        </w:rPr>
      </w:pPr>
      <w:bookmarkStart w:id="37" w:name="OLE_LINK159"/>
      <w:bookmarkStart w:id="38" w:name="OLE_LINK158"/>
      <w:r>
        <w:rPr>
          <w:rStyle w:val="59"/>
          <w:rFonts w:hint="eastAsia"/>
          <w:sz w:val="24"/>
        </w:rPr>
        <w:t>特别提醒：</w:t>
      </w:r>
    </w:p>
    <w:p w14:paraId="50FE045D">
      <w:pPr>
        <w:ind w:firstLine="480" w:firstLineChars="200"/>
        <w:rPr>
          <w:rFonts w:ascii="仿宋_GB2312" w:eastAsia="仿宋_GB2312"/>
          <w:sz w:val="24"/>
        </w:rPr>
      </w:pPr>
      <w:r>
        <w:rPr>
          <w:rFonts w:hint="eastAsia" w:ascii="仿宋_GB2312" w:eastAsia="仿宋_GB2312"/>
          <w:sz w:val="24"/>
        </w:rPr>
        <w:t>应答文件正文将对外公开，应答文件附件不公开。供应商在编辑应答文件时，在应答文件目录中属于本节点内容的必须在本节点中填写，填写到其他节点或附件的将可能导致投标</w:t>
      </w:r>
      <w:r>
        <w:rPr>
          <w:rFonts w:hint="eastAsia" w:ascii="仿宋_GB2312" w:eastAsia="仿宋_GB2312"/>
          <w:sz w:val="24"/>
          <w:lang w:eastAsia="zh-CN"/>
        </w:rPr>
        <w:t>（</w:t>
      </w:r>
      <w:r>
        <w:rPr>
          <w:rFonts w:hint="eastAsia" w:ascii="仿宋_GB2312" w:eastAsia="仿宋_GB2312"/>
          <w:sz w:val="24"/>
          <w:lang w:val="en-US" w:eastAsia="zh-CN"/>
        </w:rPr>
        <w:t>应答</w:t>
      </w:r>
      <w:r>
        <w:rPr>
          <w:rFonts w:hint="eastAsia" w:ascii="仿宋_GB2312" w:eastAsia="仿宋_GB2312"/>
          <w:sz w:val="24"/>
          <w:lang w:eastAsia="zh-CN"/>
        </w:rPr>
        <w:t>）</w:t>
      </w:r>
      <w:r>
        <w:rPr>
          <w:rFonts w:hint="eastAsia" w:ascii="仿宋_GB2312" w:eastAsia="仿宋_GB2312"/>
          <w:sz w:val="24"/>
        </w:rPr>
        <w:t>无效，一切后果由供应商自行承担。</w:t>
      </w:r>
    </w:p>
    <w:p w14:paraId="6CC11BF0">
      <w:pPr>
        <w:rPr>
          <w:rFonts w:ascii="仿宋_GB2312" w:eastAsia="仿宋_GB2312"/>
          <w:sz w:val="24"/>
        </w:rPr>
      </w:pPr>
      <w:r>
        <w:rPr>
          <w:rFonts w:hint="eastAsia" w:ascii="仿宋_GB2312" w:eastAsia="仿宋_GB2312"/>
          <w:sz w:val="24"/>
        </w:rPr>
        <w:t xml:space="preserve">   应答文件正文（信息公开部分）必须编制于“正文（公开部分）”，应答文件附件（非信息公开部分）必须编制于“附件（不公开部分）”，如下图所示。</w:t>
      </w:r>
    </w:p>
    <w:p w14:paraId="2521CCA0">
      <w:pPr>
        <w:rPr>
          <w:rFonts w:ascii="仿宋_GB2312" w:eastAsia="仿宋_GB2312"/>
          <w:sz w:val="24"/>
        </w:rPr>
      </w:pPr>
      <w:r>
        <w:drawing>
          <wp:inline distT="0" distB="0" distL="114300" distR="114300">
            <wp:extent cx="5174615" cy="4020820"/>
            <wp:effectExtent l="0" t="0" r="6985" b="2540"/>
            <wp:docPr id="1"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66f322b8feee32c1a3f0d48f365c82"/>
                    <pic:cNvPicPr>
                      <a:picLocks noChangeAspect="1"/>
                    </pic:cNvPicPr>
                  </pic:nvPicPr>
                  <pic:blipFill>
                    <a:blip r:embed="rId7"/>
                    <a:stretch>
                      <a:fillRect/>
                    </a:stretch>
                  </pic:blipFill>
                  <pic:spPr>
                    <a:xfrm>
                      <a:off x="0" y="0"/>
                      <a:ext cx="5174615" cy="4020820"/>
                    </a:xfrm>
                    <a:prstGeom prst="rect">
                      <a:avLst/>
                    </a:prstGeom>
                  </pic:spPr>
                </pic:pic>
              </a:graphicData>
            </a:graphic>
          </wp:inline>
        </w:drawing>
      </w:r>
    </w:p>
    <w:p w14:paraId="49FD86EC">
      <w:pPr>
        <w:ind w:firstLine="480" w:firstLineChars="200"/>
        <w:rPr>
          <w:rFonts w:ascii="仿宋_GB2312" w:eastAsia="仿宋_GB2312"/>
          <w:sz w:val="24"/>
        </w:rPr>
      </w:pPr>
      <w:r>
        <w:rPr>
          <w:rFonts w:hint="eastAsia" w:ascii="仿宋_GB2312" w:eastAsia="仿宋_GB2312"/>
          <w:sz w:val="24"/>
        </w:rPr>
        <w:t>政府集中采购机构公布应答文件正文（信息公开部分）时为计算机截取信息自动公布，</w:t>
      </w:r>
      <w:r>
        <w:rPr>
          <w:rFonts w:hint="eastAsia" w:ascii="仿宋_GB2312" w:eastAsia="仿宋_GB2312"/>
          <w:b/>
          <w:bCs/>
          <w:sz w:val="24"/>
        </w:rPr>
        <w:t>如供应商误将涉及个人隐私的信息放入应答文件正文，相关后果由供应商自负；</w:t>
      </w:r>
      <w:r>
        <w:rPr>
          <w:rFonts w:hint="eastAsia" w:ascii="仿宋_GB2312" w:eastAsia="仿宋_GB2312"/>
          <w:sz w:val="24"/>
          <w:highlight w:val="yellow"/>
        </w:rPr>
        <w:t>如供应商将必须放于应答文件正文（信息公开部分）的内容放入应答文件附件（非信息公开部分），将作响应无效处理。</w:t>
      </w:r>
    </w:p>
    <w:p w14:paraId="286520BF">
      <w:pPr>
        <w:rPr>
          <w:rFonts w:ascii="宋体" w:hAnsi="宋体"/>
          <w:b/>
          <w:sz w:val="24"/>
        </w:rPr>
      </w:pPr>
    </w:p>
    <w:p w14:paraId="14E7A97E">
      <w:pPr>
        <w:rPr>
          <w:rFonts w:ascii="仿宋_GB2312" w:eastAsia="仿宋_GB2312"/>
          <w:sz w:val="24"/>
        </w:rPr>
      </w:pPr>
    </w:p>
    <w:bookmarkEnd w:id="37"/>
    <w:bookmarkEnd w:id="38"/>
    <w:p w14:paraId="0A23FFD1">
      <w:pPr>
        <w:outlineLvl w:val="0"/>
        <w:rPr>
          <w:rStyle w:val="59"/>
          <w:sz w:val="28"/>
          <w:szCs w:val="28"/>
        </w:rPr>
      </w:pPr>
      <w:r>
        <w:rPr>
          <w:rStyle w:val="59"/>
          <w:rFonts w:hint="eastAsia"/>
          <w:sz w:val="28"/>
          <w:szCs w:val="28"/>
        </w:rPr>
        <w:t>应答文件组成：</w:t>
      </w:r>
    </w:p>
    <w:p w14:paraId="767C1BB5">
      <w:pPr>
        <w:jc w:val="center"/>
      </w:pPr>
      <w:r>
        <w:rPr>
          <w:rFonts w:hint="eastAsia"/>
        </w:rPr>
        <w:t>1.应答文件正文</w:t>
      </w:r>
      <w:r>
        <w:rPr>
          <w:rFonts w:hint="eastAsia"/>
          <w:b/>
          <w:color w:val="FF0000"/>
        </w:rPr>
        <w:t>（信息</w:t>
      </w:r>
      <w:r>
        <w:rPr>
          <w:rFonts w:hint="eastAsia"/>
          <w:b/>
          <w:color w:val="FF0000"/>
          <w:lang w:val="en-US" w:eastAsia="zh-CN"/>
        </w:rPr>
        <w:t>不</w:t>
      </w:r>
      <w:r>
        <w:rPr>
          <w:rFonts w:hint="eastAsia"/>
          <w:b/>
          <w:color w:val="FF0000"/>
        </w:rPr>
        <w:t>公开部分）</w:t>
      </w:r>
      <w:r>
        <w:rPr>
          <w:rFonts w:hint="eastAsia"/>
        </w:rPr>
        <w:t>，主要包括以下内容：</w:t>
      </w:r>
    </w:p>
    <w:p w14:paraId="0BFC7C38">
      <w:pPr>
        <w:ind w:left="718" w:leftChars="342" w:firstLine="1417" w:firstLineChars="675"/>
        <w:rPr>
          <w:rFonts w:hint="eastAsia" w:ascii="宋体" w:hAnsi="宋体" w:eastAsia="宋体" w:cs="宋体"/>
          <w:sz w:val="21"/>
          <w:szCs w:val="21"/>
        </w:rPr>
      </w:pPr>
      <w:r>
        <w:rPr>
          <w:rFonts w:hint="eastAsia" w:ascii="宋体" w:hAnsi="宋体" w:eastAsia="宋体" w:cs="宋体"/>
          <w:sz w:val="21"/>
          <w:szCs w:val="21"/>
        </w:rPr>
        <w:t>1、法定代表人（负责人）证明书</w:t>
      </w:r>
    </w:p>
    <w:p w14:paraId="5AB181F2">
      <w:pPr>
        <w:ind w:left="718" w:leftChars="342" w:firstLine="1417" w:firstLineChars="675"/>
        <w:rPr>
          <w:rFonts w:hint="eastAsia" w:ascii="宋体" w:hAnsi="宋体" w:eastAsia="宋体" w:cs="宋体"/>
          <w:sz w:val="21"/>
          <w:szCs w:val="21"/>
        </w:rPr>
      </w:pPr>
      <w:r>
        <w:rPr>
          <w:rFonts w:hint="eastAsia" w:ascii="宋体" w:hAnsi="宋体" w:eastAsia="宋体" w:cs="宋体"/>
          <w:sz w:val="21"/>
          <w:szCs w:val="21"/>
        </w:rPr>
        <w:t>2、谈判应答文件签署授权委托书</w:t>
      </w:r>
    </w:p>
    <w:p w14:paraId="386A7530">
      <w:pPr>
        <w:ind w:left="718" w:leftChars="342" w:firstLine="1417" w:firstLineChars="675"/>
        <w:rPr>
          <w:rFonts w:hint="eastAsia" w:ascii="宋体" w:hAnsi="宋体" w:eastAsia="宋体" w:cs="宋体"/>
          <w:sz w:val="21"/>
          <w:szCs w:val="21"/>
        </w:rPr>
      </w:pPr>
      <w:r>
        <w:rPr>
          <w:rFonts w:hint="eastAsia" w:ascii="宋体" w:hAnsi="宋体" w:eastAsia="宋体" w:cs="宋体"/>
          <w:sz w:val="21"/>
          <w:szCs w:val="21"/>
        </w:rPr>
        <w:t>3、应答书</w:t>
      </w:r>
    </w:p>
    <w:p w14:paraId="5DC1786F">
      <w:pPr>
        <w:ind w:left="718" w:leftChars="342" w:firstLine="1417" w:firstLineChars="675"/>
        <w:rPr>
          <w:rFonts w:hint="eastAsia" w:ascii="宋体" w:hAnsi="宋体" w:eastAsia="宋体" w:cs="宋体"/>
          <w:sz w:val="21"/>
          <w:szCs w:val="21"/>
        </w:rPr>
      </w:pPr>
      <w:r>
        <w:rPr>
          <w:rFonts w:hint="eastAsia" w:ascii="宋体" w:hAnsi="宋体" w:eastAsia="宋体" w:cs="宋体"/>
          <w:sz w:val="21"/>
          <w:szCs w:val="21"/>
        </w:rPr>
        <w:t>4、政府采购应答及履约承诺函</w:t>
      </w:r>
    </w:p>
    <w:p w14:paraId="1CE6483A">
      <w:pPr>
        <w:ind w:left="718" w:leftChars="342" w:firstLine="1417" w:firstLineChars="675"/>
        <w:rPr>
          <w:rFonts w:hint="eastAsia" w:ascii="宋体" w:hAnsi="宋体" w:eastAsia="宋体" w:cs="宋体"/>
          <w:sz w:val="21"/>
          <w:szCs w:val="21"/>
        </w:rPr>
      </w:pPr>
      <w:r>
        <w:rPr>
          <w:rFonts w:hint="eastAsia" w:ascii="宋体" w:hAnsi="宋体" w:eastAsia="宋体" w:cs="宋体"/>
          <w:sz w:val="21"/>
          <w:szCs w:val="21"/>
        </w:rPr>
        <w:t>5、供应商情况及资格证明文件</w:t>
      </w:r>
    </w:p>
    <w:p w14:paraId="67F8DB63">
      <w:pPr>
        <w:ind w:left="718" w:leftChars="342" w:firstLine="1417" w:firstLineChars="675"/>
        <w:rPr>
          <w:rFonts w:hint="eastAsia" w:ascii="宋体" w:hAnsi="宋体" w:eastAsia="宋体" w:cs="宋体"/>
          <w:sz w:val="21"/>
          <w:szCs w:val="21"/>
        </w:rPr>
      </w:pPr>
      <w:r>
        <w:rPr>
          <w:rFonts w:hint="eastAsia" w:ascii="宋体" w:hAnsi="宋体" w:eastAsia="宋体" w:cs="宋体"/>
          <w:sz w:val="21"/>
          <w:szCs w:val="21"/>
        </w:rPr>
        <w:t>6、项目详细报价</w:t>
      </w:r>
    </w:p>
    <w:p w14:paraId="642DF1E3">
      <w:pPr>
        <w:ind w:left="718" w:leftChars="342" w:firstLine="1417" w:firstLineChars="675"/>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eastAsia="宋体" w:cs="宋体"/>
          <w:sz w:val="21"/>
          <w:szCs w:val="21"/>
        </w:rPr>
        <w:t>实质性条款响应情况表</w:t>
      </w:r>
    </w:p>
    <w:p w14:paraId="364314E3">
      <w:pPr>
        <w:ind w:left="718" w:leftChars="342" w:firstLine="1417" w:firstLineChars="675"/>
        <w:rPr>
          <w:rFonts w:hint="default" w:ascii="宋体" w:hAnsi="宋体" w:eastAsia="宋体" w:cs="宋体"/>
          <w:sz w:val="21"/>
          <w:szCs w:val="21"/>
          <w:lang w:val="en-US" w:eastAsia="zh-CN"/>
        </w:rPr>
      </w:pPr>
      <w:r>
        <w:rPr>
          <w:rFonts w:hint="eastAsia" w:ascii="宋体" w:hAnsi="宋体" w:cs="宋体"/>
          <w:sz w:val="21"/>
          <w:szCs w:val="21"/>
          <w:lang w:val="en-US" w:eastAsia="zh-CN"/>
        </w:rPr>
        <w:t>8、技术要求响应情况</w:t>
      </w:r>
    </w:p>
    <w:p w14:paraId="02E33BE7">
      <w:pPr>
        <w:ind w:left="718" w:leftChars="342" w:firstLine="1417" w:firstLineChars="675"/>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、政府采购违法行为风险知悉确认书</w:t>
      </w:r>
    </w:p>
    <w:p w14:paraId="5F456995">
      <w:pPr>
        <w:ind w:left="718" w:leftChars="342" w:firstLine="1417" w:firstLineChars="675"/>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、供应商认为需要加以说明的其他内容</w:t>
      </w:r>
    </w:p>
    <w:p w14:paraId="0B3365A6">
      <w:pPr>
        <w:ind w:left="718" w:leftChars="342" w:firstLine="1417" w:firstLineChars="675"/>
        <w:rPr>
          <w:sz w:val="21"/>
          <w:szCs w:val="21"/>
        </w:rPr>
      </w:pPr>
    </w:p>
    <w:p w14:paraId="544B0BBF">
      <w:pPr>
        <w:ind w:left="718" w:leftChars="342" w:firstLine="1417" w:firstLineChars="675"/>
        <w:rPr>
          <w:szCs w:val="21"/>
        </w:rPr>
      </w:pPr>
    </w:p>
    <w:p w14:paraId="1B0AE10B">
      <w:pPr>
        <w:tabs>
          <w:tab w:val="left" w:pos="4069"/>
        </w:tabs>
        <w:ind w:left="718" w:leftChars="342" w:firstLine="1417" w:firstLineChars="675"/>
        <w:rPr>
          <w:szCs w:val="21"/>
        </w:rPr>
      </w:pPr>
    </w:p>
    <w:p w14:paraId="42EE5003">
      <w:pPr>
        <w:tabs>
          <w:tab w:val="left" w:pos="4069"/>
        </w:tabs>
        <w:ind w:left="718" w:leftChars="342" w:firstLine="1417" w:firstLineChars="675"/>
        <w:rPr>
          <w:szCs w:val="21"/>
        </w:rPr>
      </w:pPr>
    </w:p>
    <w:p w14:paraId="14D8078A">
      <w:pPr>
        <w:tabs>
          <w:tab w:val="left" w:pos="4069"/>
        </w:tabs>
        <w:ind w:left="718" w:leftChars="342" w:firstLine="1417" w:firstLineChars="675"/>
        <w:rPr>
          <w:szCs w:val="21"/>
        </w:rPr>
        <w:sectPr>
          <w:pgSz w:w="11907" w:h="16840"/>
          <w:pgMar w:top="1440" w:right="1797" w:bottom="1440" w:left="1797" w:header="851" w:footer="992" w:gutter="0"/>
          <w:cols w:space="425" w:num="1"/>
          <w:titlePg/>
          <w:docGrid w:linePitch="462" w:charSpace="0"/>
        </w:sectPr>
      </w:pPr>
    </w:p>
    <w:p w14:paraId="3F3D2179">
      <w:pPr>
        <w:outlineLvl w:val="1"/>
        <w:rPr>
          <w:rFonts w:ascii="宋体" w:hAnsi="宋体"/>
          <w:b/>
          <w:color w:val="FF0000"/>
          <w:sz w:val="28"/>
          <w:szCs w:val="28"/>
        </w:rPr>
      </w:pPr>
      <w:r>
        <w:rPr>
          <w:rFonts w:hint="eastAsia" w:ascii="宋体" w:hAnsi="宋体"/>
          <w:b/>
          <w:color w:val="FF0000"/>
          <w:sz w:val="28"/>
          <w:szCs w:val="28"/>
        </w:rPr>
        <w:t>应答文件正文（信息</w:t>
      </w:r>
      <w:r>
        <w:rPr>
          <w:rFonts w:hint="eastAsia" w:ascii="宋体" w:hAnsi="宋体"/>
          <w:b/>
          <w:color w:val="FF0000"/>
          <w:sz w:val="28"/>
          <w:szCs w:val="28"/>
          <w:lang w:val="en-US" w:eastAsia="zh-CN"/>
        </w:rPr>
        <w:t>不</w:t>
      </w:r>
      <w:r>
        <w:rPr>
          <w:rFonts w:hint="eastAsia" w:ascii="宋体" w:hAnsi="宋体"/>
          <w:b/>
          <w:color w:val="FF0000"/>
          <w:sz w:val="28"/>
          <w:szCs w:val="28"/>
        </w:rPr>
        <w:t>公开部分）</w:t>
      </w:r>
    </w:p>
    <w:p w14:paraId="09B67BFD">
      <w:pPr>
        <w:tabs>
          <w:tab w:val="left" w:pos="4069"/>
        </w:tabs>
        <w:ind w:left="718" w:leftChars="342" w:firstLine="1417" w:firstLineChars="675"/>
        <w:rPr>
          <w:szCs w:val="21"/>
        </w:rPr>
      </w:pPr>
    </w:p>
    <w:p w14:paraId="3F6A956B">
      <w:pPr>
        <w:pStyle w:val="5"/>
        <w:spacing w:before="120" w:after="120"/>
        <w:jc w:val="center"/>
        <w:rPr>
          <w:rFonts w:ascii="黑体" w:eastAsia="黑体"/>
          <w:b w:val="0"/>
          <w:sz w:val="24"/>
        </w:rPr>
      </w:pPr>
      <w:r>
        <w:rPr>
          <w:rFonts w:hint="eastAsia" w:ascii="黑体" w:eastAsia="黑体"/>
          <w:b w:val="0"/>
          <w:sz w:val="24"/>
        </w:rPr>
        <w:t>一、应答书</w:t>
      </w:r>
    </w:p>
    <w:p w14:paraId="611AC253">
      <w:pPr>
        <w:rPr>
          <w:rFonts w:ascii="宋体" w:hAnsi="宋体"/>
          <w:color w:val="FF0000"/>
          <w:sz w:val="24"/>
        </w:rPr>
      </w:pPr>
    </w:p>
    <w:p w14:paraId="0D5104DF">
      <w:pPr>
        <w:spacing w:line="360" w:lineRule="auto"/>
        <w:rPr>
          <w:rFonts w:ascii="宋体" w:hAnsi="宋体"/>
          <w:szCs w:val="21"/>
        </w:rPr>
      </w:pPr>
      <w:r>
        <w:rPr>
          <w:rFonts w:hint="eastAsia" w:ascii="宋体" w:hAnsi="宋体"/>
          <w:szCs w:val="21"/>
        </w:rPr>
        <w:t>致：深圳公共资源交易中心</w:t>
      </w:r>
    </w:p>
    <w:p w14:paraId="2DDE2088">
      <w:pPr>
        <w:ind w:firstLine="420" w:firstLineChars="200"/>
        <w:rPr>
          <w:rFonts w:ascii="宋体" w:hAnsi="宋体"/>
          <w:szCs w:val="21"/>
        </w:rPr>
      </w:pPr>
      <w:r>
        <w:rPr>
          <w:rFonts w:hint="eastAsia"/>
          <w:szCs w:val="21"/>
        </w:rPr>
        <w:t>1、根据已收到贵单位的项目编号为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项目的谈判公告，遵照《深圳经济特区政府采购条例》和《深圳网上政府采购管理暂行办法》等有关规定，我单位经研究谈判文件后，</w:t>
      </w:r>
      <w:r>
        <w:rPr>
          <w:rFonts w:hint="eastAsia" w:ascii="宋体" w:hAnsi="宋体"/>
          <w:szCs w:val="21"/>
        </w:rPr>
        <w:t>代表</w:t>
      </w:r>
      <w:r>
        <w:rPr>
          <w:rFonts w:hint="eastAsia" w:ascii="宋体" w:hAnsi="宋体"/>
          <w:szCs w:val="21"/>
          <w:u w:val="single"/>
        </w:rPr>
        <w:t xml:space="preserve">    </w:t>
      </w:r>
      <w:r>
        <w:rPr>
          <w:rFonts w:hint="eastAsia" w:ascii="宋体" w:hAnsi="宋体"/>
          <w:szCs w:val="21"/>
        </w:rPr>
        <w:t>（姓名、职务）经正式授权并代表</w:t>
      </w:r>
      <w:r>
        <w:rPr>
          <w:rFonts w:hint="eastAsia" w:ascii="宋体" w:hAnsi="宋体"/>
          <w:szCs w:val="21"/>
          <w:u w:val="single"/>
        </w:rPr>
        <w:t xml:space="preserve">    </w:t>
      </w:r>
      <w:r>
        <w:rPr>
          <w:rFonts w:hint="eastAsia" w:ascii="宋体" w:hAnsi="宋体"/>
          <w:szCs w:val="21"/>
        </w:rPr>
        <w:t>（供应商名称、地址）提交电子谈判应答文件一份。</w:t>
      </w:r>
    </w:p>
    <w:p w14:paraId="15EDC2FE">
      <w:pPr>
        <w:ind w:firstLine="420" w:firstLineChars="200"/>
        <w:rPr>
          <w:rFonts w:ascii="宋体" w:hAnsi="宋体"/>
          <w:szCs w:val="21"/>
        </w:rPr>
      </w:pPr>
      <w:r>
        <w:rPr>
          <w:rFonts w:ascii="宋体" w:hAnsi="宋体"/>
          <w:szCs w:val="21"/>
        </w:rPr>
        <w:t>2</w:t>
      </w:r>
      <w:r>
        <w:rPr>
          <w:rFonts w:hint="eastAsia" w:ascii="宋体" w:hAnsi="宋体"/>
          <w:szCs w:val="21"/>
        </w:rPr>
        <w:t>、谈判价格具体见“项目详细报价”，具体以谈判最终报价为准。</w:t>
      </w:r>
    </w:p>
    <w:p w14:paraId="0A448791">
      <w:pPr>
        <w:ind w:firstLine="420" w:firstLineChars="200"/>
        <w:rPr>
          <w:rFonts w:ascii="宋体" w:hAnsi="宋体"/>
          <w:szCs w:val="21"/>
        </w:rPr>
      </w:pPr>
      <w:r>
        <w:rPr>
          <w:rFonts w:ascii="宋体" w:hAnsi="宋体"/>
          <w:szCs w:val="21"/>
        </w:rPr>
        <w:t>3</w:t>
      </w:r>
      <w:r>
        <w:rPr>
          <w:rFonts w:hint="eastAsia" w:ascii="宋体" w:hAnsi="宋体"/>
          <w:szCs w:val="21"/>
        </w:rPr>
        <w:t>、如果我单位获得成交资格，我单位将按照谈判文件的要求足额提交履约担保。</w:t>
      </w:r>
    </w:p>
    <w:p w14:paraId="7FA2B335">
      <w:pPr>
        <w:ind w:firstLine="420" w:firstLineChars="200"/>
        <w:rPr>
          <w:rFonts w:ascii="宋体" w:hAnsi="宋体"/>
          <w:szCs w:val="21"/>
        </w:rPr>
      </w:pPr>
      <w:r>
        <w:rPr>
          <w:rFonts w:ascii="宋体" w:hAnsi="宋体"/>
          <w:szCs w:val="21"/>
        </w:rPr>
        <w:t>4</w:t>
      </w:r>
      <w:r>
        <w:rPr>
          <w:rFonts w:hint="eastAsia" w:ascii="宋体" w:hAnsi="宋体"/>
          <w:szCs w:val="21"/>
        </w:rPr>
        <w:t>、我单位同意所递交的应答文件在“对谈判须知条款的补充内容”中明确的谈判应答有效期内有效，在此期间内我单位有可能获得成交资格，我单位将受此约束，履行合同责任和义务。</w:t>
      </w:r>
    </w:p>
    <w:p w14:paraId="3CE686D6">
      <w:pPr>
        <w:ind w:firstLine="420" w:firstLineChars="200"/>
        <w:rPr>
          <w:rFonts w:ascii="宋体" w:hAnsi="宋体"/>
          <w:szCs w:val="21"/>
        </w:rPr>
      </w:pPr>
      <w:r>
        <w:rPr>
          <w:rFonts w:ascii="宋体" w:hAnsi="宋体"/>
          <w:szCs w:val="21"/>
        </w:rPr>
        <w:t>5</w:t>
      </w:r>
      <w:r>
        <w:rPr>
          <w:rFonts w:hint="eastAsia" w:ascii="宋体" w:hAnsi="宋体"/>
          <w:szCs w:val="21"/>
        </w:rPr>
        <w:t>、除非另外达成协议并生效，贵单位的成交通知书和本应答文件（含谈判过程中的其他承诺）将构成合同的重要内容。</w:t>
      </w:r>
    </w:p>
    <w:p w14:paraId="1E40A976">
      <w:pPr>
        <w:ind w:firstLine="420" w:firstLineChars="200"/>
        <w:rPr>
          <w:rFonts w:ascii="宋体" w:hAnsi="宋体"/>
          <w:szCs w:val="21"/>
        </w:rPr>
      </w:pPr>
      <w:r>
        <w:rPr>
          <w:rFonts w:ascii="宋体" w:hAnsi="宋体"/>
          <w:szCs w:val="21"/>
        </w:rPr>
        <w:t>6</w:t>
      </w:r>
      <w:r>
        <w:rPr>
          <w:rFonts w:hint="eastAsia" w:ascii="宋体" w:hAnsi="宋体"/>
          <w:szCs w:val="21"/>
        </w:rPr>
        <w:t>、我单位理解贵单位将不受必须接受所收到的最低报价或其它任何应答文件的约束。</w:t>
      </w:r>
    </w:p>
    <w:p w14:paraId="1F8F2E35">
      <w:pPr>
        <w:ind w:firstLine="420" w:firstLineChars="200"/>
        <w:rPr>
          <w:rFonts w:ascii="宋体" w:hAnsi="宋体"/>
          <w:szCs w:val="21"/>
        </w:rPr>
      </w:pPr>
      <w:r>
        <w:rPr>
          <w:rFonts w:hint="eastAsia" w:ascii="宋体" w:hAnsi="宋体"/>
          <w:szCs w:val="21"/>
        </w:rPr>
        <w:t>7、如我单位提交样品，且未在规定时间内取回样品的，视同放弃取回，同意深圳公共资源交易中心对我单位提交的样品进行清理。</w:t>
      </w:r>
    </w:p>
    <w:p w14:paraId="4D853C3A">
      <w:pPr>
        <w:spacing w:line="360" w:lineRule="auto"/>
        <w:rPr>
          <w:rFonts w:ascii="宋体" w:hAnsi="宋体"/>
          <w:szCs w:val="21"/>
        </w:rPr>
      </w:pPr>
    </w:p>
    <w:p w14:paraId="57BE3524">
      <w:pPr>
        <w:ind w:left="540" w:leftChars="257"/>
        <w:rPr>
          <w:rFonts w:hint="eastAsia" w:eastAsia="宋体"/>
          <w:szCs w:val="21"/>
          <w:u w:val="none"/>
          <w:lang w:eastAsia="zh-CN"/>
        </w:rPr>
      </w:pPr>
      <w:r>
        <w:rPr>
          <w:rFonts w:hint="eastAsia"/>
          <w:szCs w:val="21"/>
        </w:rPr>
        <w:t>供应商：</w:t>
      </w:r>
      <w:r>
        <w:rPr>
          <w:rFonts w:hint="eastAsia"/>
          <w:szCs w:val="21"/>
          <w:u w:val="single"/>
        </w:rPr>
        <w:t xml:space="preserve">                   </w:t>
      </w:r>
      <w:r>
        <w:rPr>
          <w:rFonts w:hint="eastAsia"/>
          <w:szCs w:val="21"/>
        </w:rPr>
        <w:t xml:space="preserve">    单位地址：</w:t>
      </w:r>
      <w:r>
        <w:rPr>
          <w:rFonts w:hint="eastAsia"/>
          <w:szCs w:val="21"/>
          <w:u w:val="single"/>
        </w:rPr>
        <w:t xml:space="preserve">               </w:t>
      </w:r>
      <w:r>
        <w:rPr>
          <w:rFonts w:hint="eastAsia"/>
          <w:szCs w:val="21"/>
          <w:u w:val="none"/>
          <w:lang w:eastAsia="zh-CN"/>
        </w:rPr>
        <w:t>；</w:t>
      </w:r>
    </w:p>
    <w:p w14:paraId="2E46A015">
      <w:pPr>
        <w:ind w:left="540" w:leftChars="257"/>
        <w:rPr>
          <w:rFonts w:hint="eastAsia" w:eastAsia="宋体"/>
          <w:szCs w:val="21"/>
          <w:u w:val="single"/>
          <w:lang w:eastAsia="zh-CN"/>
        </w:rPr>
      </w:pPr>
      <w:r>
        <w:rPr>
          <w:rFonts w:hint="eastAsia"/>
          <w:szCs w:val="21"/>
        </w:rPr>
        <w:t>法定代表人（负责人）或其代理人：</w:t>
      </w:r>
      <w:r>
        <w:rPr>
          <w:rFonts w:hint="eastAsia"/>
          <w:szCs w:val="21"/>
          <w:u w:val="single"/>
        </w:rPr>
        <w:t xml:space="preserve">                   </w:t>
      </w:r>
      <w:r>
        <w:rPr>
          <w:rFonts w:hint="eastAsia"/>
          <w:szCs w:val="21"/>
          <w:u w:val="none"/>
          <w:lang w:eastAsia="zh-CN"/>
        </w:rPr>
        <w:t>；</w:t>
      </w:r>
    </w:p>
    <w:p w14:paraId="2515CEF6">
      <w:pPr>
        <w:ind w:left="540" w:leftChars="257"/>
        <w:rPr>
          <w:szCs w:val="21"/>
        </w:rPr>
      </w:pPr>
      <w:r>
        <w:rPr>
          <w:rFonts w:hint="eastAsia"/>
          <w:szCs w:val="21"/>
        </w:rPr>
        <w:t>电话：</w:t>
      </w:r>
      <w:r>
        <w:rPr>
          <w:rFonts w:hint="eastAsia"/>
          <w:szCs w:val="21"/>
          <w:u w:val="single"/>
        </w:rPr>
        <w:t xml:space="preserve">         </w:t>
      </w:r>
      <w:r>
        <w:rPr>
          <w:rFonts w:hint="eastAsia"/>
          <w:szCs w:val="21"/>
          <w:u w:val="single"/>
          <w:lang w:val="en-US" w:eastAsia="zh-CN"/>
        </w:rPr>
        <w:t xml:space="preserve">                 </w:t>
      </w:r>
      <w:r>
        <w:rPr>
          <w:rFonts w:hint="eastAsia"/>
          <w:szCs w:val="21"/>
          <w:u w:val="none"/>
          <w:lang w:eastAsia="zh-CN"/>
        </w:rPr>
        <w:t>；</w:t>
      </w:r>
    </w:p>
    <w:p w14:paraId="084F9277">
      <w:pPr>
        <w:spacing w:line="360" w:lineRule="auto"/>
        <w:ind w:firstLine="560"/>
        <w:rPr>
          <w:rFonts w:hint="eastAsia" w:eastAsia="宋体"/>
          <w:sz w:val="24"/>
          <w:lang w:eastAsia="zh-CN"/>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24A8F4C">
      <w:pPr>
        <w:tabs>
          <w:tab w:val="left" w:pos="4069"/>
        </w:tabs>
        <w:ind w:left="718" w:leftChars="342" w:firstLine="1417" w:firstLineChars="675"/>
        <w:rPr>
          <w:szCs w:val="21"/>
        </w:rPr>
      </w:pPr>
    </w:p>
    <w:p w14:paraId="5CEA93B8">
      <w:pPr>
        <w:pStyle w:val="5"/>
        <w:jc w:val="center"/>
        <w:rPr>
          <w:rFonts w:ascii="黑体" w:eastAsia="黑体"/>
          <w:b w:val="0"/>
          <w:sz w:val="24"/>
        </w:rPr>
      </w:pPr>
      <w:r>
        <w:rPr>
          <w:rFonts w:hint="eastAsia" w:ascii="黑体" w:eastAsia="黑体"/>
          <w:b w:val="0"/>
          <w:sz w:val="24"/>
        </w:rPr>
        <w:t>二、政府采购应答及履约承诺函</w:t>
      </w:r>
    </w:p>
    <w:p w14:paraId="07EDCF42">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5DD4CB69">
      <w:pPr>
        <w:ind w:right="-815" w:firstLine="420" w:firstLineChars="200"/>
        <w:rPr>
          <w:rFonts w:ascii="宋体" w:hAnsi="宋体"/>
          <w:szCs w:val="21"/>
        </w:rPr>
      </w:pPr>
      <w:r>
        <w:rPr>
          <w:rFonts w:hint="eastAsia" w:ascii="宋体" w:hAnsi="宋体"/>
          <w:szCs w:val="21"/>
        </w:rPr>
        <w:t>我单位承诺：</w:t>
      </w:r>
    </w:p>
    <w:p w14:paraId="727569F5">
      <w:pPr>
        <w:ind w:firstLine="420" w:firstLineChars="200"/>
        <w:rPr>
          <w:rFonts w:ascii="宋体" w:hAnsi="宋体"/>
          <w:szCs w:val="21"/>
        </w:rPr>
      </w:pPr>
      <w:r>
        <w:rPr>
          <w:rFonts w:hint="eastAsia" w:ascii="宋体" w:hAnsi="宋体"/>
          <w:b w:val="0"/>
          <w:bCs w:val="0"/>
          <w:szCs w:val="21"/>
        </w:rPr>
        <w:t>1.我单位参与本项目所投标（响应）的货物、工程或服务，不存在侵犯知识产权的情况。</w:t>
      </w:r>
    </w:p>
    <w:p w14:paraId="2D25F61A">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4DE89A1E">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1D5D196C">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14:paraId="534DC6C6">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14:paraId="4CAF6328">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谈判，严格遵守政府采购相关法律，不造假，不围标、串标、陪标。我单位已清楚，如违反上述要求，应答将作无效处理，被列入不良记录名单并在网上曝光，同时将被提请政府采购主管部门给予一定年限内禁止参与政府采购活动或其他处罚。</w:t>
      </w:r>
    </w:p>
    <w:p w14:paraId="06E7F80B">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获得成交资格，将做到守信，不偷工减料，依照本项目谈判文件需求内容、签署的采购合同及本单位在谈判中所作的一切承诺履约。我单位对本项目的报价负责，成交后将严格按照本项目谈判文件需求、签署的采购合同及我单位在谈判中所作的全部承诺履行。</w:t>
      </w:r>
    </w:p>
    <w:p w14:paraId="6813921B">
      <w:pPr>
        <w:ind w:firstLine="420" w:firstLineChars="200"/>
        <w:rPr>
          <w:rFonts w:ascii="宋体" w:hAnsi="宋体"/>
          <w:szCs w:val="21"/>
        </w:rPr>
      </w:pPr>
      <w:r>
        <w:rPr>
          <w:rFonts w:hint="eastAsia" w:ascii="宋体" w:hAnsi="宋体"/>
          <w:szCs w:val="21"/>
        </w:rPr>
        <w:t>我单位清楚，若以“报价太低而无法履约”为理由放弃本项目成交资格时，愿意接受主管部门的处理处罚。若我单位成交本项目，我单位的报价明显低于其他供应商的报价时，我单位清楚，本项目将成为重点监管、重点验收项目，我单位将按时保质保量完成，并全力配合有关监管、验收工作；若我单位未按上述要求履约，我单位愿意接受主管部门的处理处罚。</w:t>
      </w:r>
    </w:p>
    <w:p w14:paraId="060289D4">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应答文件的全部内容，所有资料均为真实资料。我单位对应答文件中全部应答资料的真实性负责，如被证实我单位的应答文件中存在虚假资料的，则视为我单位隐瞒真实情况、提供虚假资料，我单位愿意接受主管部门作出的行政处罚。</w:t>
      </w:r>
    </w:p>
    <w:p w14:paraId="2311049B">
      <w:pPr>
        <w:ind w:firstLine="420" w:firstLineChars="200"/>
        <w:rPr>
          <w:rFonts w:ascii="宋体" w:hAnsi="宋体"/>
          <w:szCs w:val="21"/>
        </w:rPr>
      </w:pPr>
      <w:r>
        <w:rPr>
          <w:rFonts w:ascii="宋体" w:hAnsi="宋体"/>
          <w:szCs w:val="21"/>
        </w:rPr>
        <w:t>9</w:t>
      </w:r>
      <w:r>
        <w:rPr>
          <w:rFonts w:hint="eastAsia" w:ascii="宋体" w:hAnsi="宋体"/>
          <w:szCs w:val="21"/>
        </w:rPr>
        <w:t>.我单位承诺成交后项目不转包，未经采购人同意不进行分包。</w:t>
      </w:r>
    </w:p>
    <w:p w14:paraId="3913D8FD">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C96399C">
      <w:pPr>
        <w:ind w:firstLine="420" w:firstLineChars="200"/>
        <w:rPr>
          <w:rFonts w:ascii="宋体" w:hAnsi="宋体"/>
        </w:rPr>
      </w:pPr>
      <w:r>
        <w:rPr>
          <w:rFonts w:hint="eastAsia" w:ascii="宋体" w:hAnsi="宋体"/>
          <w:lang w:val="en-US" w:eastAsia="zh-CN"/>
        </w:rPr>
        <w:t>11</w:t>
      </w:r>
      <w:r>
        <w:rPr>
          <w:rFonts w:ascii="宋体" w:hAnsi="宋体"/>
        </w:rPr>
        <w:t>.</w:t>
      </w:r>
      <w:r>
        <w:rPr>
          <w:rFonts w:hint="eastAsia" w:ascii="宋体" w:hAnsi="宋体"/>
        </w:rPr>
        <w:t>我单位保证，若所</w:t>
      </w:r>
      <w:r>
        <w:rPr>
          <w:rFonts w:hint="eastAsia" w:ascii="宋体" w:hAnsi="宋体"/>
          <w:lang w:val="en-US" w:eastAsia="zh-CN"/>
        </w:rPr>
        <w:t>响应</w:t>
      </w:r>
      <w:r>
        <w:rPr>
          <w:rFonts w:hint="eastAsia" w:ascii="宋体" w:hAnsi="宋体"/>
        </w:rPr>
        <w:t>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Times New Roman" w:eastAsia="宋体"/>
          <w:lang w:val="en-US" w:eastAsia="zh-CN"/>
        </w:rPr>
        <w:t>若所投产品涉及国家强制性标准的，所投产品应符合国家强制性标准相关要求。</w:t>
      </w:r>
    </w:p>
    <w:p w14:paraId="6D09D9C0">
      <w:pPr>
        <w:ind w:firstLine="420" w:firstLineChars="200"/>
        <w:rPr>
          <w:rFonts w:ascii="宋体" w:hAnsi="宋体"/>
          <w:b w:val="0"/>
          <w:bCs/>
        </w:rPr>
      </w:pPr>
      <w:r>
        <w:rPr>
          <w:rFonts w:hint="eastAsia" w:ascii="宋体" w:hAnsi="宋体"/>
          <w:b w:val="0"/>
          <w:bCs/>
        </w:rPr>
        <w:t>1</w:t>
      </w:r>
      <w:r>
        <w:rPr>
          <w:rFonts w:hint="eastAsia" w:ascii="宋体" w:hAnsi="宋体"/>
          <w:b w:val="0"/>
          <w:bCs/>
          <w:lang w:val="en-US" w:eastAsia="zh-CN"/>
        </w:rPr>
        <w:t>2</w:t>
      </w:r>
      <w:r>
        <w:rPr>
          <w:rFonts w:hint="eastAsia" w:ascii="宋体" w:hAnsi="宋体"/>
          <w:b w:val="0"/>
          <w:bCs/>
        </w:rPr>
        <w:t>.我单位已知悉并同意中标（成交）结果信息公示（公开）的内容。</w:t>
      </w:r>
    </w:p>
    <w:p w14:paraId="4349E090">
      <w:pPr>
        <w:ind w:firstLine="420" w:firstLineChars="200"/>
        <w:rPr>
          <w:rFonts w:ascii="宋体" w:hAnsi="宋体"/>
          <w:b/>
          <w:szCs w:val="21"/>
        </w:rPr>
      </w:pPr>
      <w:r>
        <w:rPr>
          <w:rFonts w:hint="eastAsia" w:ascii="宋体" w:hAnsi="宋体" w:cs="宋体"/>
          <w:b w:val="0"/>
          <w:bCs/>
          <w:kern w:val="0"/>
          <w:szCs w:val="21"/>
          <w:lang w:val="en-US" w:eastAsia="zh-CN"/>
        </w:rPr>
        <w:t>13</w:t>
      </w:r>
      <w:r>
        <w:rPr>
          <w:rFonts w:hint="eastAsia" w:ascii="宋体" w:hAnsi="宋体" w:cs="宋体"/>
          <w:b w:val="0"/>
          <w:bCs/>
          <w:kern w:val="0"/>
          <w:szCs w:val="21"/>
        </w:rPr>
        <w:t>.</w:t>
      </w:r>
      <w:r>
        <w:rPr>
          <w:rFonts w:ascii="宋体" w:hAnsi="宋体"/>
          <w:b w:val="0"/>
          <w:bCs/>
        </w:rPr>
        <w:t>我单位保证，符合《中华人民共和国政府采购法实施条例》第十八条规定，与其他</w:t>
      </w:r>
      <w:r>
        <w:rPr>
          <w:rFonts w:hint="eastAsia" w:ascii="宋体" w:hAnsi="宋体"/>
          <w:b w:val="0"/>
          <w:bCs/>
        </w:rPr>
        <w:t>应答</w:t>
      </w:r>
      <w:r>
        <w:rPr>
          <w:rFonts w:ascii="宋体" w:hAnsi="宋体"/>
          <w:b w:val="0"/>
          <w:bCs/>
        </w:rPr>
        <w:t>供应商不存在单位负责人为同一人或者存在直接控股、管理关系；</w:t>
      </w:r>
      <w:r>
        <w:rPr>
          <w:rFonts w:hint="eastAsia" w:ascii="宋体" w:hAnsi="宋体"/>
          <w:b w:val="0"/>
          <w:bCs/>
          <w:color w:val="auto"/>
          <w:lang w:val="en-US" w:eastAsia="zh-CN"/>
        </w:rPr>
        <w:t>不存在为</w:t>
      </w:r>
      <w:r>
        <w:rPr>
          <w:rFonts w:ascii="宋体" w:hAnsi="宋体"/>
          <w:b w:val="0"/>
          <w:bCs/>
        </w:rPr>
        <w:t>本次采购项目提供整体设计、规范编制或者项目管理、监理、检测等服务的情形。</w:t>
      </w:r>
      <w:r>
        <w:rPr>
          <w:rFonts w:hint="eastAsia" w:ascii="宋体" w:hAnsi="宋体" w:cs="宋体"/>
          <w:b w:val="0"/>
          <w:bCs/>
          <w:kern w:val="0"/>
          <w:szCs w:val="21"/>
        </w:rPr>
        <w:t>我单位与其他谈判供应商不存在单位负责人为同一人或者存在直接控股、管理关系；未对本次采购项目提供整体设计、规范编制或者项目管理、监理、检测等服务。</w:t>
      </w:r>
      <w:r>
        <w:rPr>
          <w:rFonts w:hint="eastAsia" w:ascii="宋体" w:hAnsi="宋体"/>
          <w:b w:val="0"/>
          <w:bCs/>
          <w:color w:val="FF0000"/>
          <w:lang w:val="en-US" w:eastAsia="zh-CN"/>
        </w:rPr>
        <w:t>若</w:t>
      </w:r>
      <w:r>
        <w:rPr>
          <w:rFonts w:hint="eastAsia" w:ascii="宋体" w:hAnsi="宋体"/>
          <w:b w:val="0"/>
          <w:bCs/>
          <w:color w:val="FF0000"/>
        </w:rPr>
        <w:t>存在“不同供应商的董事、股东或其他高级管理人员为同一人的”情形的，</w:t>
      </w:r>
      <w:r>
        <w:rPr>
          <w:rFonts w:hint="eastAsia" w:ascii="宋体" w:hAnsi="宋体"/>
          <w:b w:val="0"/>
          <w:bCs/>
          <w:color w:val="FF0000"/>
          <w:lang w:val="en-US" w:eastAsia="zh-CN"/>
        </w:rPr>
        <w:t>我单位保证</w:t>
      </w:r>
      <w:r>
        <w:rPr>
          <w:rFonts w:hint="eastAsia" w:ascii="宋体" w:hAnsi="宋体"/>
          <w:b w:val="0"/>
          <w:bCs/>
          <w:color w:val="FF0000"/>
        </w:rPr>
        <w:t>不存在串通投标、恶意串通或者视为串通投标的情形</w:t>
      </w:r>
      <w:r>
        <w:rPr>
          <w:rFonts w:hint="eastAsia" w:ascii="宋体" w:hAnsi="宋体"/>
          <w:b w:val="0"/>
          <w:bCs/>
          <w:color w:val="FF0000"/>
          <w:lang w:eastAsia="zh-CN"/>
        </w:rPr>
        <w:t>。</w:t>
      </w:r>
    </w:p>
    <w:p w14:paraId="7D2334B4">
      <w:pPr>
        <w:ind w:firstLine="422" w:firstLineChars="200"/>
        <w:rPr>
          <w:rFonts w:hint="default" w:ascii="宋体" w:hAnsi="宋体"/>
          <w:b/>
          <w:szCs w:val="21"/>
          <w:lang w:val="en-US"/>
        </w:rPr>
      </w:pPr>
      <w:r>
        <w:rPr>
          <w:rFonts w:hint="eastAsia" w:ascii="宋体" w:hAnsi="宋体"/>
          <w:b/>
          <w:lang w:val="en-US" w:eastAsia="zh-CN"/>
        </w:rPr>
        <w:t>14.我单位清楚，如存在违反应答承诺行为情节严重的，将根据《深圳市财政局关于印发&lt;深圳市财政局政府采购供应商信用信息管理办法&gt;的通知》，依法被列入失信信息。</w:t>
      </w:r>
    </w:p>
    <w:p w14:paraId="206F6240">
      <w:pPr>
        <w:ind w:firstLine="420" w:firstLineChars="200"/>
        <w:rPr>
          <w:rFonts w:ascii="宋体" w:hAnsi="宋体"/>
        </w:rPr>
      </w:pPr>
    </w:p>
    <w:p w14:paraId="3DFDF93F">
      <w:pPr>
        <w:ind w:firstLine="420" w:firstLineChars="200"/>
        <w:rPr>
          <w:rFonts w:ascii="宋体" w:hAnsi="宋体"/>
        </w:rPr>
      </w:pPr>
    </w:p>
    <w:p w14:paraId="06DCF1C3">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3656F55F">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4C540BA3">
      <w:pPr>
        <w:spacing w:line="360" w:lineRule="auto"/>
        <w:ind w:firstLine="5460" w:firstLineChars="2600"/>
        <w:rPr>
          <w:color w:val="FF0000"/>
          <w:szCs w:val="21"/>
        </w:rPr>
      </w:pPr>
    </w:p>
    <w:p w14:paraId="50CF25B1">
      <w:pPr>
        <w:spacing w:line="360" w:lineRule="auto"/>
        <w:ind w:firstLine="5460" w:firstLineChars="2600"/>
        <w:rPr>
          <w:rFonts w:ascii="宋体" w:hAnsi="宋体"/>
          <w:szCs w:val="21"/>
        </w:rPr>
      </w:pPr>
      <w:r>
        <w:rPr>
          <w:rFonts w:hint="eastAsia"/>
          <w:szCs w:val="21"/>
        </w:rPr>
        <w:t>供应商：</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0B496D65">
      <w:pPr>
        <w:ind w:firstLine="645"/>
        <w:rPr>
          <w:rFonts w:ascii="宋体" w:hAnsi="宋体"/>
          <w:szCs w:val="21"/>
        </w:rPr>
      </w:pPr>
      <w:r>
        <w:rPr>
          <w:rFonts w:hint="eastAsia" w:ascii="宋体" w:hAnsi="宋体"/>
          <w:szCs w:val="21"/>
        </w:rPr>
        <w:t xml:space="preserve">                                              日</w:t>
      </w:r>
      <w:r>
        <w:rPr>
          <w:rFonts w:hint="eastAsia" w:ascii="宋体" w:hAnsi="宋体"/>
          <w:szCs w:val="21"/>
          <w:lang w:val="en-US" w:eastAsia="zh-CN"/>
        </w:rPr>
        <w:t xml:space="preserve">   </w:t>
      </w:r>
      <w:r>
        <w:rPr>
          <w:rFonts w:hint="eastAsia" w:ascii="宋体" w:hAnsi="宋体"/>
          <w:szCs w:val="21"/>
        </w:rPr>
        <w:t>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4D8FB2D">
      <w:pPr>
        <w:tabs>
          <w:tab w:val="left" w:pos="4069"/>
        </w:tabs>
        <w:ind w:left="718" w:leftChars="342" w:firstLine="1417" w:firstLineChars="675"/>
        <w:rPr>
          <w:szCs w:val="21"/>
        </w:rPr>
      </w:pPr>
    </w:p>
    <w:p w14:paraId="4C19DB7D">
      <w:pPr>
        <w:tabs>
          <w:tab w:val="left" w:pos="4069"/>
        </w:tabs>
        <w:ind w:left="718" w:leftChars="342" w:firstLine="1417" w:firstLineChars="675"/>
        <w:rPr>
          <w:szCs w:val="21"/>
        </w:rPr>
      </w:pPr>
    </w:p>
    <w:p w14:paraId="3F39DC93">
      <w:pPr>
        <w:pStyle w:val="5"/>
        <w:jc w:val="center"/>
        <w:rPr>
          <w:rFonts w:ascii="黑体" w:eastAsia="黑体"/>
          <w:b w:val="0"/>
          <w:sz w:val="24"/>
          <w:szCs w:val="24"/>
        </w:rPr>
      </w:pPr>
      <w:r>
        <w:rPr>
          <w:rFonts w:hint="eastAsia" w:ascii="黑体" w:eastAsia="黑体"/>
          <w:b w:val="0"/>
          <w:sz w:val="24"/>
          <w:szCs w:val="24"/>
        </w:rPr>
        <w:t>三、供应商情况及资格证明文件</w:t>
      </w:r>
    </w:p>
    <w:p w14:paraId="63E998DA">
      <w:pPr>
        <w:rPr>
          <w:b/>
          <w:bCs/>
          <w:sz w:val="24"/>
        </w:rPr>
      </w:pPr>
    </w:p>
    <w:p w14:paraId="36C113E0">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（一）供应商资格证明文件</w:t>
      </w:r>
    </w:p>
    <w:p w14:paraId="06334FCE">
      <w:pPr>
        <w:ind w:firstLine="422" w:firstLineChars="200"/>
        <w:rPr>
          <w:rFonts w:hint="eastAsia" w:ascii="宋体" w:hAnsi="宋体" w:eastAsia="宋体" w:cs="宋体"/>
          <w:b/>
          <w:bCs/>
          <w:color w:val="FF0000"/>
          <w:sz w:val="21"/>
          <w:szCs w:val="21"/>
        </w:rPr>
      </w:pPr>
      <w:r>
        <w:rPr>
          <w:rFonts w:hint="eastAsia" w:ascii="宋体" w:hAnsi="宋体" w:eastAsia="宋体" w:cs="宋体"/>
          <w:b/>
          <w:bCs/>
          <w:color w:val="FF0000"/>
          <w:sz w:val="21"/>
          <w:szCs w:val="21"/>
        </w:rPr>
        <w:t>（特别提示：投标人须按本招标文件第一册第一章招标公告 “申请人的资格要求”（即投标人资格要求）提供相关的资格证明资料，未提供或提供不完整、不符合要求的，将作投标无效处理。）</w:t>
      </w:r>
    </w:p>
    <w:p w14:paraId="06EA3688">
      <w:pPr>
        <w:ind w:firstLine="422" w:firstLineChars="200"/>
        <w:rPr>
          <w:rFonts w:hint="eastAsia" w:ascii="宋体" w:hAnsi="宋体" w:eastAsia="宋体" w:cs="宋体"/>
          <w:b/>
          <w:bCs/>
          <w:color w:val="FF0000"/>
          <w:sz w:val="21"/>
          <w:szCs w:val="21"/>
        </w:rPr>
      </w:pPr>
    </w:p>
    <w:p w14:paraId="6F961FE0">
      <w:pPr>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（二）中小企业声明函、残疾人福利性单位声明函及监狱企业声明函</w:t>
      </w:r>
    </w:p>
    <w:p w14:paraId="3CEA55C6">
      <w:pPr>
        <w:ind w:firstLine="422" w:firstLineChars="200"/>
        <w:rPr>
          <w:rFonts w:hint="eastAsia" w:ascii="宋体" w:hAnsi="宋体" w:eastAsia="宋体" w:cs="宋体"/>
          <w:b/>
          <w:bCs/>
          <w:color w:val="FF0000"/>
          <w:sz w:val="21"/>
          <w:szCs w:val="21"/>
        </w:rPr>
      </w:pPr>
    </w:p>
    <w:p w14:paraId="73ADA828">
      <w:pPr>
        <w:ind w:firstLine="422" w:firstLineChars="200"/>
        <w:rPr>
          <w:rFonts w:hint="eastAsia" w:ascii="宋体" w:hAnsi="宋体" w:eastAsia="宋体" w:cs="宋体"/>
          <w:b/>
          <w:bCs/>
          <w:color w:val="FF0000"/>
          <w:sz w:val="21"/>
          <w:szCs w:val="21"/>
        </w:rPr>
      </w:pPr>
      <w:r>
        <w:rPr>
          <w:rFonts w:hint="eastAsia" w:ascii="宋体" w:hAnsi="宋体" w:eastAsia="宋体" w:cs="宋体"/>
          <w:b/>
          <w:bCs/>
          <w:color w:val="FF0000"/>
          <w:sz w:val="21"/>
          <w:szCs w:val="21"/>
        </w:rPr>
        <w:t>1、该部分内容由供应商根据自身实际情况填写，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72FC670">
      <w:pPr>
        <w:ind w:firstLine="422" w:firstLineChars="200"/>
        <w:rPr>
          <w:rFonts w:hint="eastAsia" w:ascii="宋体" w:hAnsi="宋体" w:eastAsia="宋体" w:cs="宋体"/>
          <w:b/>
          <w:bCs/>
          <w:color w:val="FF0000"/>
          <w:sz w:val="21"/>
          <w:szCs w:val="21"/>
        </w:rPr>
      </w:pPr>
      <w:r>
        <w:rPr>
          <w:rFonts w:hint="eastAsia" w:ascii="宋体" w:hAnsi="宋体" w:eastAsia="宋体" w:cs="宋体"/>
          <w:b/>
          <w:bCs/>
          <w:color w:val="FF0000"/>
          <w:sz w:val="21"/>
          <w:szCs w:val="21"/>
        </w:rPr>
        <w:t>2、该部分内容填写需要参考的相关文件：</w:t>
      </w:r>
    </w:p>
    <w:p w14:paraId="2B649E8D">
      <w:pPr>
        <w:ind w:firstLine="422" w:firstLineChars="200"/>
        <w:rPr>
          <w:rFonts w:hint="eastAsia" w:ascii="宋体" w:hAnsi="宋体" w:eastAsia="宋体" w:cs="宋体"/>
          <w:b/>
          <w:bCs/>
          <w:color w:val="FF0000"/>
          <w:sz w:val="21"/>
          <w:szCs w:val="21"/>
        </w:rPr>
      </w:pPr>
      <w:r>
        <w:rPr>
          <w:rFonts w:hint="eastAsia" w:ascii="宋体" w:hAnsi="宋体" w:eastAsia="宋体" w:cs="宋体"/>
          <w:b/>
          <w:bCs/>
          <w:color w:val="FF0000"/>
          <w:sz w:val="21"/>
          <w:szCs w:val="21"/>
        </w:rPr>
        <w:t>(1)财政部《政府采购促进中小企业发展管理办法》（财库〔2020〕46号）</w:t>
      </w:r>
    </w:p>
    <w:p w14:paraId="63842AEB">
      <w:pPr>
        <w:ind w:firstLine="422" w:firstLineChars="200"/>
        <w:rPr>
          <w:rFonts w:hint="eastAsia" w:ascii="宋体" w:hAnsi="宋体" w:eastAsia="宋体" w:cs="宋体"/>
          <w:b/>
          <w:bCs/>
          <w:color w:val="FF0000"/>
          <w:sz w:val="21"/>
          <w:szCs w:val="21"/>
        </w:rPr>
      </w:pPr>
      <w:r>
        <w:rPr>
          <w:rFonts w:hint="eastAsia" w:ascii="宋体" w:hAnsi="宋体" w:eastAsia="宋体" w:cs="宋体"/>
          <w:b/>
          <w:bCs/>
          <w:color w:val="FF0000"/>
          <w:sz w:val="21"/>
          <w:szCs w:val="21"/>
        </w:rPr>
        <w:t>(2)《工业和信息化部、国家统计局、国家发展和改革委员会、财政部关于印发中小企业划型标准规定的通知》（工信部联企业〔2011〕300 号，以下简称300号文）</w:t>
      </w:r>
    </w:p>
    <w:p w14:paraId="0946B974">
      <w:pPr>
        <w:ind w:firstLine="422" w:firstLineChars="200"/>
        <w:rPr>
          <w:rFonts w:hint="eastAsia" w:ascii="宋体" w:hAnsi="宋体" w:eastAsia="宋体" w:cs="宋体"/>
          <w:b/>
          <w:bCs/>
          <w:color w:val="FF0000"/>
          <w:sz w:val="21"/>
          <w:szCs w:val="21"/>
        </w:rPr>
      </w:pPr>
      <w:r>
        <w:rPr>
          <w:rFonts w:hint="eastAsia" w:ascii="宋体" w:hAnsi="宋体" w:eastAsia="宋体" w:cs="宋体"/>
          <w:b/>
          <w:bCs/>
          <w:color w:val="FF0000"/>
          <w:sz w:val="21"/>
          <w:szCs w:val="21"/>
        </w:rPr>
        <w:t>(3)《统计上大中小微型企业划分办法(2017)》（国统字〔2017〕213 号）</w:t>
      </w:r>
    </w:p>
    <w:p w14:paraId="16667201">
      <w:pPr>
        <w:ind w:firstLine="422" w:firstLineChars="200"/>
        <w:rPr>
          <w:rFonts w:hint="eastAsia" w:ascii="宋体" w:hAnsi="宋体" w:eastAsia="宋体" w:cs="宋体"/>
          <w:b/>
          <w:bCs/>
          <w:color w:val="FF0000"/>
          <w:sz w:val="21"/>
          <w:szCs w:val="21"/>
        </w:rPr>
      </w:pPr>
      <w:r>
        <w:rPr>
          <w:rFonts w:hint="eastAsia" w:ascii="宋体" w:hAnsi="宋体" w:eastAsia="宋体" w:cs="宋体"/>
          <w:b/>
          <w:bCs/>
          <w:color w:val="FF0000"/>
          <w:sz w:val="21"/>
          <w:szCs w:val="21"/>
        </w:rPr>
        <w:t>(4)《关于促进残疾人就业政府采购政策的通知》（财库〔2017〕141号）</w:t>
      </w:r>
    </w:p>
    <w:p w14:paraId="2F67FD7B">
      <w:pPr>
        <w:ind w:firstLine="422" w:firstLineChars="200"/>
        <w:rPr>
          <w:rFonts w:hint="eastAsia" w:ascii="宋体" w:hAnsi="宋体" w:eastAsia="宋体" w:cs="宋体"/>
          <w:b/>
          <w:bCs/>
          <w:color w:val="FF0000"/>
          <w:sz w:val="21"/>
          <w:szCs w:val="21"/>
        </w:rPr>
      </w:pPr>
      <w:r>
        <w:rPr>
          <w:rFonts w:hint="eastAsia" w:ascii="宋体" w:hAnsi="宋体" w:eastAsia="宋体" w:cs="宋体"/>
          <w:b/>
          <w:bCs/>
          <w:color w:val="FF0000"/>
          <w:sz w:val="21"/>
          <w:szCs w:val="21"/>
        </w:rPr>
        <w:t>(5)《关于政府采购支持监狱企业发展有关问题的通知》（财库〔2014〕68号）</w:t>
      </w:r>
    </w:p>
    <w:p w14:paraId="10488608">
      <w:pPr>
        <w:ind w:firstLine="422" w:firstLineChars="200"/>
        <w:rPr>
          <w:rFonts w:hint="eastAsia" w:ascii="宋体" w:hAnsi="宋体" w:eastAsia="宋体" w:cs="宋体"/>
          <w:b/>
          <w:bCs/>
          <w:color w:val="FF0000"/>
          <w:sz w:val="21"/>
          <w:szCs w:val="21"/>
        </w:rPr>
      </w:pPr>
      <w:r>
        <w:rPr>
          <w:rFonts w:hint="eastAsia" w:ascii="宋体" w:hAnsi="宋体" w:eastAsia="宋体" w:cs="宋体"/>
          <w:b/>
          <w:bCs/>
          <w:color w:val="FF0000"/>
          <w:sz w:val="21"/>
          <w:szCs w:val="21"/>
        </w:rPr>
        <w:t>3、请依照提供的格式和内容填写声明函，不要随意变更格式；声明函不需要盖章或签字；满足多项优惠政策的投标人，不重复享受多项价格扣除政策。</w:t>
      </w:r>
    </w:p>
    <w:p w14:paraId="6A1C2E8F">
      <w:pPr>
        <w:ind w:firstLine="422" w:firstLineChars="200"/>
        <w:rPr>
          <w:rFonts w:hint="eastAsia" w:ascii="宋体" w:hAnsi="宋体" w:eastAsia="宋体" w:cs="宋体"/>
          <w:b/>
          <w:bCs/>
          <w:color w:val="FF0000"/>
          <w:sz w:val="21"/>
          <w:szCs w:val="21"/>
        </w:rPr>
      </w:pPr>
      <w:r>
        <w:rPr>
          <w:rFonts w:hint="eastAsia" w:ascii="宋体" w:hAnsi="宋体" w:eastAsia="宋体" w:cs="宋体"/>
          <w:b/>
          <w:bCs/>
          <w:color w:val="FF0000"/>
          <w:sz w:val="21"/>
          <w:szCs w:val="21"/>
        </w:rPr>
        <w:t>4、声明函具体填写要求：</w:t>
      </w:r>
    </w:p>
    <w:p w14:paraId="45792446">
      <w:pPr>
        <w:ind w:firstLine="422" w:firstLineChars="200"/>
        <w:rPr>
          <w:rFonts w:hint="eastAsia" w:ascii="宋体" w:hAnsi="宋体" w:eastAsia="宋体" w:cs="宋体"/>
          <w:b/>
          <w:bCs/>
          <w:color w:val="FF0000"/>
          <w:sz w:val="21"/>
          <w:szCs w:val="21"/>
        </w:rPr>
      </w:pPr>
      <w:r>
        <w:rPr>
          <w:rFonts w:hint="eastAsia" w:ascii="宋体" w:hAnsi="宋体" w:eastAsia="宋体" w:cs="宋体"/>
          <w:b/>
          <w:bCs/>
          <w:color w:val="FF0000"/>
          <w:sz w:val="21"/>
          <w:szCs w:val="21"/>
        </w:rPr>
        <w:t>（1）声明是中小企业须填写《中小企业声明函》的以下内容：</w:t>
      </w:r>
    </w:p>
    <w:p w14:paraId="1C14C2B1">
      <w:pPr>
        <w:ind w:firstLine="422" w:firstLineChars="200"/>
        <w:rPr>
          <w:rFonts w:hint="eastAsia" w:ascii="宋体" w:hAnsi="宋体" w:eastAsia="宋体" w:cs="宋体"/>
          <w:b/>
          <w:bCs/>
          <w:color w:val="FF0000"/>
          <w:sz w:val="21"/>
          <w:szCs w:val="21"/>
        </w:rPr>
      </w:pPr>
      <w:r>
        <w:rPr>
          <w:rFonts w:hint="eastAsia" w:ascii="宋体" w:hAnsi="宋体" w:eastAsia="宋体" w:cs="宋体"/>
          <w:b/>
          <w:bCs/>
          <w:color w:val="FF0000"/>
          <w:sz w:val="21"/>
          <w:szCs w:val="21"/>
        </w:rPr>
        <w:t>第一处，在“单位名称”下划线处应填写采购人名称（深圳公共资源交易中心不是本项目的采购人，而是组织实施机构）；</w:t>
      </w:r>
    </w:p>
    <w:p w14:paraId="6B5B8362">
      <w:pPr>
        <w:ind w:firstLine="422" w:firstLineChars="200"/>
        <w:rPr>
          <w:rFonts w:hint="eastAsia" w:ascii="宋体" w:hAnsi="宋体" w:eastAsia="宋体" w:cs="宋体"/>
          <w:b/>
          <w:bCs/>
          <w:color w:val="FF0000"/>
          <w:sz w:val="21"/>
          <w:szCs w:val="21"/>
        </w:rPr>
      </w:pPr>
      <w:r>
        <w:rPr>
          <w:rFonts w:hint="eastAsia" w:ascii="宋体" w:hAnsi="宋体" w:eastAsia="宋体" w:cs="宋体"/>
          <w:b/>
          <w:bCs/>
          <w:color w:val="FF0000"/>
          <w:sz w:val="21"/>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14:paraId="0F8E4FC2">
      <w:pPr>
        <w:ind w:firstLine="422" w:firstLineChars="200"/>
        <w:rPr>
          <w:rFonts w:hint="eastAsia" w:ascii="宋体" w:hAnsi="宋体" w:eastAsia="宋体" w:cs="宋体"/>
          <w:b/>
          <w:bCs/>
          <w:color w:val="FF0000"/>
          <w:sz w:val="21"/>
          <w:szCs w:val="21"/>
        </w:rPr>
      </w:pPr>
      <w:r>
        <w:rPr>
          <w:rFonts w:hint="eastAsia" w:ascii="宋体" w:hAnsi="宋体" w:eastAsia="宋体" w:cs="宋体"/>
          <w:b/>
          <w:bCs/>
          <w:color w:val="FF0000"/>
          <w:sz w:val="21"/>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09D8003F">
      <w:pPr>
        <w:ind w:firstLine="422" w:firstLineChars="200"/>
        <w:rPr>
          <w:rFonts w:hint="eastAsia" w:ascii="宋体" w:hAnsi="宋体" w:eastAsia="宋体" w:cs="宋体"/>
          <w:b/>
          <w:bCs/>
          <w:color w:val="FF0000"/>
          <w:sz w:val="21"/>
          <w:szCs w:val="21"/>
        </w:rPr>
      </w:pPr>
      <w:r>
        <w:rPr>
          <w:rFonts w:hint="eastAsia" w:ascii="宋体" w:hAnsi="宋体" w:eastAsia="宋体" w:cs="宋体"/>
          <w:b/>
          <w:bCs/>
          <w:color w:val="FF0000"/>
          <w:sz w:val="21"/>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14:paraId="0F918A2F">
      <w:pPr>
        <w:ind w:firstLine="422" w:firstLineChars="200"/>
        <w:rPr>
          <w:rFonts w:hint="eastAsia" w:ascii="宋体" w:hAnsi="宋体" w:eastAsia="宋体" w:cs="宋体"/>
          <w:b/>
          <w:bCs/>
          <w:color w:val="FF0000"/>
          <w:sz w:val="21"/>
          <w:szCs w:val="21"/>
        </w:rPr>
      </w:pPr>
      <w:r>
        <w:rPr>
          <w:rFonts w:hint="eastAsia" w:ascii="宋体" w:hAnsi="宋体" w:eastAsia="宋体" w:cs="宋体"/>
          <w:b/>
          <w:bCs/>
          <w:color w:val="FF0000"/>
          <w:sz w:val="21"/>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65966193">
      <w:pPr>
        <w:ind w:firstLine="422" w:firstLineChars="200"/>
        <w:rPr>
          <w:rFonts w:hint="eastAsia" w:ascii="宋体" w:hAnsi="宋体" w:eastAsia="宋体" w:cs="宋体"/>
          <w:b/>
          <w:bCs/>
          <w:color w:val="FF0000"/>
          <w:sz w:val="21"/>
          <w:szCs w:val="21"/>
        </w:rPr>
      </w:pPr>
      <w:r>
        <w:rPr>
          <w:rFonts w:hint="eastAsia" w:ascii="宋体" w:hAnsi="宋体" w:eastAsia="宋体" w:cs="宋体"/>
          <w:b/>
          <w:bCs/>
          <w:color w:val="FF0000"/>
          <w:sz w:val="21"/>
          <w:szCs w:val="21"/>
        </w:rPr>
        <w:t xml:space="preserve">（2）从业人员、资产总额指标以上年度末数据为依据，营业收入指标以上年度累计数据为依据。无上年度数据的新成立企业可不填报。 </w:t>
      </w:r>
    </w:p>
    <w:p w14:paraId="5EF94D4C">
      <w:pPr>
        <w:ind w:firstLine="422" w:firstLineChars="200"/>
        <w:rPr>
          <w:rFonts w:hint="eastAsia" w:ascii="宋体" w:hAnsi="宋体" w:eastAsia="宋体" w:cs="宋体"/>
          <w:b/>
          <w:bCs/>
          <w:color w:val="FF0000"/>
          <w:sz w:val="21"/>
          <w:szCs w:val="21"/>
        </w:rPr>
      </w:pPr>
      <w:r>
        <w:rPr>
          <w:rFonts w:hint="eastAsia" w:ascii="宋体" w:hAnsi="宋体" w:eastAsia="宋体" w:cs="宋体"/>
          <w:b/>
          <w:bCs/>
          <w:color w:val="FF0000"/>
          <w:sz w:val="21"/>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14:paraId="2D0837C4">
      <w:pPr>
        <w:ind w:firstLine="422" w:firstLineChars="200"/>
        <w:rPr>
          <w:rFonts w:hint="eastAsia" w:ascii="宋体" w:hAnsi="宋体" w:eastAsia="宋体" w:cs="宋体"/>
          <w:b/>
          <w:bCs/>
          <w:color w:val="FF0000"/>
          <w:sz w:val="21"/>
          <w:szCs w:val="21"/>
        </w:rPr>
      </w:pPr>
      <w:r>
        <w:rPr>
          <w:rFonts w:hint="eastAsia" w:ascii="宋体" w:hAnsi="宋体" w:eastAsia="宋体" w:cs="宋体"/>
          <w:b/>
          <w:bCs/>
          <w:color w:val="FF0000"/>
          <w:sz w:val="21"/>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4C76CDE8">
      <w:pPr>
        <w:ind w:firstLine="422" w:firstLineChars="200"/>
        <w:rPr>
          <w:rFonts w:hint="eastAsia" w:ascii="宋体" w:hAnsi="宋体" w:eastAsia="宋体" w:cs="宋体"/>
          <w:b/>
          <w:bCs/>
          <w:color w:val="FF0000"/>
          <w:sz w:val="21"/>
          <w:szCs w:val="21"/>
        </w:rPr>
      </w:pPr>
      <w:r>
        <w:rPr>
          <w:rFonts w:hint="eastAsia" w:ascii="宋体" w:hAnsi="宋体" w:eastAsia="宋体" w:cs="宋体"/>
          <w:b/>
          <w:bCs/>
          <w:color w:val="FF0000"/>
          <w:sz w:val="21"/>
          <w:szCs w:val="21"/>
        </w:rPr>
        <w:t>（5）声明是残疾人福利性单位须填写《残疾人福利性单位声明函》的相关内容，具体参照以上《中小企业声明函》填写要求执行。</w:t>
      </w:r>
    </w:p>
    <w:p w14:paraId="232F5209">
      <w:pPr>
        <w:ind w:firstLine="422" w:firstLineChars="200"/>
        <w:rPr>
          <w:rFonts w:hint="eastAsia" w:ascii="宋体" w:hAnsi="宋体" w:eastAsia="宋体" w:cs="宋体"/>
          <w:b/>
          <w:bCs/>
          <w:color w:val="FF0000"/>
          <w:sz w:val="21"/>
          <w:szCs w:val="21"/>
        </w:rPr>
      </w:pPr>
      <w:r>
        <w:rPr>
          <w:rFonts w:hint="eastAsia" w:ascii="宋体" w:hAnsi="宋体" w:eastAsia="宋体" w:cs="宋体"/>
          <w:b/>
          <w:bCs/>
          <w:color w:val="FF0000"/>
          <w:sz w:val="21"/>
          <w:szCs w:val="21"/>
        </w:rPr>
        <w:t>（6）声明是监狱企业须填写《监狱企业声明函》的三项内容（填写位置的字体已加粗），具体参照以上《中小企业声明函》填写要求执行。</w:t>
      </w:r>
    </w:p>
    <w:p w14:paraId="590151EA">
      <w:pPr>
        <w:ind w:firstLine="422" w:firstLineChars="200"/>
        <w:rPr>
          <w:rFonts w:hint="eastAsia" w:ascii="宋体" w:hAnsi="宋体" w:eastAsia="宋体" w:cs="宋体"/>
          <w:b/>
          <w:bCs/>
          <w:color w:val="FF0000"/>
          <w:sz w:val="21"/>
          <w:szCs w:val="21"/>
        </w:rPr>
      </w:pPr>
      <w:r>
        <w:rPr>
          <w:rFonts w:hint="eastAsia" w:ascii="宋体" w:hAnsi="宋体" w:eastAsia="宋体" w:cs="宋体"/>
          <w:b/>
          <w:bCs/>
          <w:color w:val="FF0000"/>
          <w:sz w:val="21"/>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54C224F2">
      <w:pPr>
        <w:ind w:firstLine="422" w:firstLineChars="200"/>
        <w:rPr>
          <w:rFonts w:hint="eastAsia" w:ascii="宋体" w:hAnsi="宋体" w:eastAsia="宋体" w:cs="宋体"/>
          <w:sz w:val="21"/>
          <w:szCs w:val="21"/>
        </w:rPr>
      </w:pPr>
      <w:r>
        <w:rPr>
          <w:rFonts w:hint="eastAsia" w:ascii="宋体" w:hAnsi="宋体" w:eastAsia="宋体" w:cs="宋体"/>
          <w:b/>
          <w:bCs/>
          <w:color w:val="FF0000"/>
          <w:sz w:val="21"/>
          <w:szCs w:val="21"/>
        </w:rPr>
        <w:t>6、本项目属于服务类项目，相关服务的承接商应当为中小企业或残疾人福利性单位或监狱企业，如包含硬件设备、产品等货物采购的，不再对其中涉及的货物的制造商作出要求。</w:t>
      </w:r>
    </w:p>
    <w:p w14:paraId="3673F594">
      <w:pPr>
        <w:jc w:val="center"/>
        <w:outlineLvl w:val="3"/>
        <w:rPr>
          <w:rFonts w:hint="eastAsia"/>
          <w:b/>
          <w:sz w:val="24"/>
        </w:rPr>
      </w:pPr>
    </w:p>
    <w:p w14:paraId="493B1A17">
      <w:pPr>
        <w:pStyle w:val="3"/>
        <w:rPr>
          <w:rFonts w:hint="eastAsia"/>
        </w:rPr>
      </w:pPr>
    </w:p>
    <w:p w14:paraId="5F305A63">
      <w:pPr>
        <w:jc w:val="center"/>
        <w:outlineLvl w:val="3"/>
        <w:rPr>
          <w:b/>
          <w:sz w:val="24"/>
        </w:rPr>
      </w:pPr>
      <w:r>
        <w:rPr>
          <w:rFonts w:hint="eastAsia"/>
          <w:b/>
          <w:sz w:val="24"/>
        </w:rPr>
        <w:t>1、</w:t>
      </w:r>
      <w:r>
        <w:rPr>
          <w:b/>
          <w:sz w:val="24"/>
        </w:rPr>
        <w:t>中小企业声明函（</w:t>
      </w:r>
      <w:r>
        <w:rPr>
          <w:rFonts w:hint="eastAsia"/>
          <w:b/>
          <w:sz w:val="24"/>
        </w:rPr>
        <w:t>服务</w:t>
      </w:r>
      <w:r>
        <w:rPr>
          <w:b/>
          <w:sz w:val="24"/>
        </w:rPr>
        <w:t xml:space="preserve">） </w:t>
      </w:r>
    </w:p>
    <w:p w14:paraId="220FE1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i w:val="0"/>
          <w:iCs w:val="0"/>
          <w:kern w:val="2"/>
          <w:sz w:val="21"/>
          <w:szCs w:val="21"/>
          <w:lang w:val="en-US" w:eastAsia="zh-CN" w:bidi="ar-SA"/>
        </w:rPr>
      </w:pPr>
      <w:r>
        <w:rPr>
          <w:rFonts w:hint="eastAsia" w:asciiTheme="minorEastAsia" w:hAnsiTheme="minorEastAsia" w:eastAsiaTheme="minorEastAsia" w:cstheme="minorEastAsia"/>
          <w:i w:val="0"/>
          <w:iCs w:val="0"/>
          <w:kern w:val="2"/>
          <w:sz w:val="21"/>
          <w:szCs w:val="21"/>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（单位名称）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sz w:val="21"/>
          <w:szCs w:val="21"/>
        </w:rPr>
        <w:t>的</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（项目名称）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采购活动，服务全部由符合政策要求的中小企业承接。相关企业（含联合体中的中小企业、签订分包意向协议的中小企业）的具体情况如下：</w:t>
      </w:r>
    </w:p>
    <w:p w14:paraId="31B4FD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i w:val="0"/>
          <w:iCs w:val="0"/>
          <w:kern w:val="2"/>
          <w:sz w:val="21"/>
          <w:szCs w:val="21"/>
          <w:lang w:val="en-US" w:eastAsia="zh-CN" w:bidi="ar-SA"/>
        </w:rPr>
      </w:pPr>
      <w:r>
        <w:rPr>
          <w:rFonts w:hint="eastAsia" w:asciiTheme="minorEastAsia" w:hAnsiTheme="minorEastAsia" w:eastAsiaTheme="minorEastAsia" w:cstheme="minorEastAsia"/>
          <w:i w:val="0"/>
          <w:iCs w:val="0"/>
          <w:kern w:val="2"/>
          <w:sz w:val="21"/>
          <w:szCs w:val="21"/>
          <w:lang w:val="en-US" w:eastAsia="zh-CN" w:bidi="ar-SA"/>
        </w:rPr>
        <w:t>1.</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（标的名称）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 xml:space="preserve"> </w:t>
      </w:r>
      <w:r>
        <w:rPr>
          <w:rFonts w:hint="eastAsia" w:asciiTheme="minorEastAsia" w:hAnsiTheme="minorEastAsia" w:eastAsiaTheme="minorEastAsia" w:cstheme="minorEastAsia"/>
          <w:i w:val="0"/>
          <w:iCs w:val="0"/>
          <w:sz w:val="21"/>
          <w:szCs w:val="21"/>
        </w:rPr>
        <w:t>，属于</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（采购文件中明确的所属行业）</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sz w:val="21"/>
          <w:szCs w:val="21"/>
        </w:rPr>
        <w:t>行业</w:t>
      </w:r>
      <w:r>
        <w:rPr>
          <w:rFonts w:hint="eastAsia" w:asciiTheme="minorEastAsia" w:hAnsiTheme="minorEastAsia" w:eastAsiaTheme="minorEastAsia" w:cstheme="minorEastAsia"/>
          <w:i w:val="0"/>
          <w:iCs w:val="0"/>
          <w:kern w:val="2"/>
          <w:sz w:val="21"/>
          <w:szCs w:val="21"/>
          <w:lang w:val="en-US" w:eastAsia="zh-CN" w:bidi="ar-SA"/>
        </w:rPr>
        <w:t>；承接企业为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（企业名称</w:t>
      </w:r>
      <w:r>
        <w:rPr>
          <w:rFonts w:hint="eastAsia" w:asciiTheme="minorEastAsia" w:hAnsiTheme="minorEastAsia" w:eastAsiaTheme="minorEastAsia" w:cstheme="minorEastAsia"/>
          <w:b/>
          <w:bCs/>
          <w:i w:val="0"/>
          <w:iCs w:val="0"/>
          <w:sz w:val="21"/>
          <w:szCs w:val="21"/>
          <w:u w:val="single"/>
          <w:lang w:eastAsia="zh-CN"/>
        </w:rPr>
        <w:t>，要求</w:t>
      </w:r>
      <w:r>
        <w:rPr>
          <w:rFonts w:hint="eastAsia" w:asciiTheme="minorEastAsia" w:hAnsiTheme="minorEastAsia" w:eastAsiaTheme="minorEastAsia" w:cstheme="minorEastAsia"/>
          <w:b/>
          <w:bCs/>
          <w:i w:val="0"/>
          <w:iCs w:val="0"/>
          <w:sz w:val="21"/>
          <w:szCs w:val="21"/>
          <w:u w:val="single"/>
          <w:lang w:val="en-US" w:eastAsia="zh-CN"/>
        </w:rPr>
        <w:t>承接企业本身</w:t>
      </w:r>
      <w:r>
        <w:rPr>
          <w:rFonts w:hint="eastAsia" w:asciiTheme="minorEastAsia" w:hAnsiTheme="minorEastAsia" w:eastAsiaTheme="minorEastAsia" w:cstheme="minorEastAsia"/>
          <w:b/>
          <w:bCs/>
          <w:i w:val="0"/>
          <w:iCs w:val="0"/>
          <w:sz w:val="21"/>
          <w:szCs w:val="21"/>
          <w:u w:val="single"/>
          <w:lang w:eastAsia="zh-CN"/>
        </w:rPr>
        <w:t>所属行业应当与招标文件要求的行业相一致</w:t>
      </w:r>
      <w:r>
        <w:rPr>
          <w:rFonts w:hint="eastAsia" w:asciiTheme="minorEastAsia" w:hAnsiTheme="minorEastAsia" w:eastAsiaTheme="minorEastAsia" w:cstheme="minorEastAsia"/>
          <w:b/>
          <w:bCs/>
          <w:i w:val="0"/>
          <w:iCs w:val="0"/>
          <w:sz w:val="21"/>
          <w:szCs w:val="21"/>
          <w:u w:val="single"/>
        </w:rPr>
        <w:t>）</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，从业人员</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人，营业收入为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万元，资产总额为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万元，属于</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（中型企业、小型企业、微型企业）</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w:t>
      </w:r>
    </w:p>
    <w:p w14:paraId="6F71CD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i w:val="0"/>
          <w:iCs w:val="0"/>
          <w:kern w:val="2"/>
          <w:sz w:val="21"/>
          <w:szCs w:val="21"/>
          <w:lang w:val="en-US" w:eastAsia="zh-CN" w:bidi="ar-SA"/>
        </w:rPr>
      </w:pPr>
      <w:r>
        <w:rPr>
          <w:rFonts w:hint="eastAsia" w:asciiTheme="minorEastAsia" w:hAnsiTheme="minorEastAsia" w:eastAsiaTheme="minorEastAsia" w:cstheme="minorEastAsia"/>
          <w:i w:val="0"/>
          <w:iCs w:val="0"/>
          <w:kern w:val="2"/>
          <w:sz w:val="21"/>
          <w:szCs w:val="21"/>
          <w:lang w:val="en-US" w:eastAsia="zh-CN" w:bidi="ar-SA"/>
        </w:rPr>
        <w:t>2.</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（标的名称）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 xml:space="preserve"> </w:t>
      </w:r>
      <w:r>
        <w:rPr>
          <w:rFonts w:hint="eastAsia" w:asciiTheme="minorEastAsia" w:hAnsiTheme="minorEastAsia" w:eastAsiaTheme="minorEastAsia" w:cstheme="minorEastAsia"/>
          <w:i w:val="0"/>
          <w:iCs w:val="0"/>
          <w:sz w:val="21"/>
          <w:szCs w:val="21"/>
        </w:rPr>
        <w:t>，属于</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（采购文件中明确的所属行业）</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sz w:val="21"/>
          <w:szCs w:val="21"/>
        </w:rPr>
        <w:t>行业</w:t>
      </w:r>
      <w:r>
        <w:rPr>
          <w:rFonts w:hint="eastAsia" w:asciiTheme="minorEastAsia" w:hAnsiTheme="minorEastAsia" w:eastAsiaTheme="minorEastAsia" w:cstheme="minorEastAsia"/>
          <w:i w:val="0"/>
          <w:iCs w:val="0"/>
          <w:kern w:val="2"/>
          <w:sz w:val="21"/>
          <w:szCs w:val="21"/>
          <w:lang w:val="en-US" w:eastAsia="zh-CN" w:bidi="ar-SA"/>
        </w:rPr>
        <w:t>；承接企业为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（企业名称</w:t>
      </w:r>
      <w:r>
        <w:rPr>
          <w:rFonts w:hint="eastAsia" w:asciiTheme="minorEastAsia" w:hAnsiTheme="minorEastAsia" w:eastAsiaTheme="minorEastAsia" w:cstheme="minorEastAsia"/>
          <w:b/>
          <w:bCs/>
          <w:i w:val="0"/>
          <w:iCs w:val="0"/>
          <w:sz w:val="21"/>
          <w:szCs w:val="21"/>
          <w:u w:val="single"/>
          <w:lang w:eastAsia="zh-CN"/>
        </w:rPr>
        <w:t>，要求</w:t>
      </w:r>
      <w:r>
        <w:rPr>
          <w:rFonts w:hint="eastAsia" w:asciiTheme="minorEastAsia" w:hAnsiTheme="minorEastAsia" w:eastAsiaTheme="minorEastAsia" w:cstheme="minorEastAsia"/>
          <w:b/>
          <w:bCs/>
          <w:i w:val="0"/>
          <w:iCs w:val="0"/>
          <w:sz w:val="21"/>
          <w:szCs w:val="21"/>
          <w:u w:val="single"/>
          <w:lang w:val="en-US" w:eastAsia="zh-CN"/>
        </w:rPr>
        <w:t>承接企业本身</w:t>
      </w:r>
      <w:r>
        <w:rPr>
          <w:rFonts w:hint="eastAsia" w:asciiTheme="minorEastAsia" w:hAnsiTheme="minorEastAsia" w:eastAsiaTheme="minorEastAsia" w:cstheme="minorEastAsia"/>
          <w:b/>
          <w:bCs/>
          <w:i w:val="0"/>
          <w:iCs w:val="0"/>
          <w:sz w:val="21"/>
          <w:szCs w:val="21"/>
          <w:u w:val="single"/>
          <w:lang w:eastAsia="zh-CN"/>
        </w:rPr>
        <w:t>所属行业应当与招标文件要求的行业相一致</w:t>
      </w:r>
      <w:r>
        <w:rPr>
          <w:rFonts w:hint="eastAsia" w:asciiTheme="minorEastAsia" w:hAnsiTheme="minorEastAsia" w:eastAsiaTheme="minorEastAsia" w:cstheme="minorEastAsia"/>
          <w:b/>
          <w:bCs/>
          <w:i w:val="0"/>
          <w:iCs w:val="0"/>
          <w:sz w:val="21"/>
          <w:szCs w:val="21"/>
          <w:u w:val="single"/>
        </w:rPr>
        <w:t>）</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，从业人员</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人，营业收入为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万元，资产总额为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万元，属于</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（中型企业、小型企业、微型企业）</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w:t>
      </w:r>
    </w:p>
    <w:p w14:paraId="09E4B0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i w:val="0"/>
          <w:iCs w:val="0"/>
          <w:kern w:val="2"/>
          <w:sz w:val="21"/>
          <w:szCs w:val="21"/>
          <w:lang w:val="en-US" w:eastAsia="zh-CN" w:bidi="ar-SA"/>
        </w:rPr>
      </w:pPr>
      <w:r>
        <w:rPr>
          <w:rFonts w:hint="eastAsia" w:asciiTheme="minorEastAsia" w:hAnsiTheme="minorEastAsia" w:eastAsiaTheme="minorEastAsia" w:cstheme="minorEastAsia"/>
          <w:i w:val="0"/>
          <w:iCs w:val="0"/>
          <w:kern w:val="2"/>
          <w:sz w:val="21"/>
          <w:szCs w:val="21"/>
          <w:lang w:val="en-US" w:eastAsia="zh-CN" w:bidi="ar-SA"/>
        </w:rPr>
        <w:t>……</w:t>
      </w:r>
    </w:p>
    <w:p w14:paraId="5EBE3F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14:paraId="09D8A8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本企业对上述声明内容的真实性负责。如有虚假，将依法承担相应责任。</w:t>
      </w:r>
    </w:p>
    <w:p w14:paraId="77C14C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bookmarkStart w:id="39" w:name="_Hlk73562275"/>
      <w:r>
        <w:rPr>
          <w:rFonts w:hint="eastAsia" w:asciiTheme="minorEastAsia" w:hAnsiTheme="minorEastAsia" w:eastAsiaTheme="minorEastAsia" w:cstheme="minorEastAsia"/>
          <w:kern w:val="2"/>
          <w:sz w:val="21"/>
          <w:szCs w:val="21"/>
          <w:lang w:val="en-US" w:eastAsia="zh-CN" w:bidi="ar-SA"/>
        </w:rPr>
        <w:t>本供应商已知悉《政府采购促进中小企业发展管理办法》（财库〔2020〕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9"/>
    </w:p>
    <w:p w14:paraId="52DD6D7A">
      <w:pPr>
        <w:ind w:firstLine="420" w:firstLineChars="200"/>
        <w:outlineLvl w:val="3"/>
        <w:rPr>
          <w:rFonts w:ascii="宋体" w:hAnsi="宋体"/>
          <w:bCs/>
          <w:color w:val="FF0000"/>
          <w:kern w:val="0"/>
          <w:szCs w:val="21"/>
        </w:rPr>
      </w:pPr>
    </w:p>
    <w:p w14:paraId="644BBADC">
      <w:pPr>
        <w:jc w:val="center"/>
        <w:outlineLvl w:val="3"/>
        <w:rPr>
          <w:b/>
          <w:sz w:val="24"/>
        </w:rPr>
      </w:pPr>
      <w:r>
        <w:rPr>
          <w:rFonts w:hint="eastAsia"/>
          <w:b/>
          <w:sz w:val="24"/>
        </w:rPr>
        <w:t>2、残疾人福利性单位声明函（服务类）</w:t>
      </w:r>
    </w:p>
    <w:p w14:paraId="0820F3E4">
      <w:pPr>
        <w:rPr>
          <w:b/>
          <w:bCs/>
        </w:rPr>
      </w:pPr>
    </w:p>
    <w:p w14:paraId="2A08D6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（单位名称）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单位的</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（项目名称）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14:paraId="3390D5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14:paraId="68A7C9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本供应商已知悉《财政部民政部中国残疾人联合会关于促进残疾人就业政府采购政策的通知》（财库〔2017〕141号）的规定，承诺提供的声明函内容是真实的，如提供声明函内容不实，则依法追究相关法律责任。</w:t>
      </w:r>
    </w:p>
    <w:p w14:paraId="6EE68B70">
      <w:pPr>
        <w:ind w:firstLine="420" w:firstLineChars="200"/>
        <w:rPr>
          <w:rFonts w:ascii="宋体" w:hAnsi="宋体"/>
          <w:szCs w:val="21"/>
        </w:rPr>
      </w:pPr>
    </w:p>
    <w:p w14:paraId="36B3921B">
      <w:pPr>
        <w:ind w:firstLine="420" w:firstLineChars="200"/>
        <w:rPr>
          <w:rFonts w:ascii="宋体" w:hAnsi="宋体"/>
          <w:szCs w:val="21"/>
        </w:rPr>
      </w:pPr>
    </w:p>
    <w:p w14:paraId="51A5B4EC">
      <w:pPr>
        <w:ind w:firstLine="420" w:firstLineChars="200"/>
        <w:rPr>
          <w:rFonts w:ascii="宋体" w:hAnsi="宋体"/>
          <w:szCs w:val="21"/>
        </w:rPr>
      </w:pPr>
    </w:p>
    <w:p w14:paraId="0E1CB55D">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01D872CD">
      <w:pPr>
        <w:ind w:firstLine="420" w:firstLineChars="200"/>
        <w:rPr>
          <w:rFonts w:ascii="宋体" w:hAnsi="宋体"/>
          <w:szCs w:val="21"/>
        </w:rPr>
      </w:pPr>
      <w:r>
        <w:rPr>
          <w:rFonts w:hint="eastAsia" w:ascii="宋体" w:hAnsi="宋体"/>
          <w:szCs w:val="21"/>
        </w:rPr>
        <w:t>本供应商郑重声明，根据《财政部司法部关于政府采购支持监狱企业发展有关问题的通知》（财库〔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号）的规定，本供应商</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1E24FA22">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14:paraId="14D22F28">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14:paraId="5A0CE628">
      <w:pPr>
        <w:ind w:firstLine="420" w:firstLineChars="200"/>
        <w:outlineLvl w:val="3"/>
        <w:rPr>
          <w:rFonts w:ascii="宋体" w:hAnsi="宋体"/>
          <w:szCs w:val="21"/>
        </w:rPr>
      </w:pPr>
      <w:r>
        <w:rPr>
          <w:rFonts w:ascii="宋体" w:hAnsi="宋体"/>
          <w:szCs w:val="21"/>
        </w:rPr>
        <w:t xml:space="preserve">…… </w:t>
      </w:r>
    </w:p>
    <w:p w14:paraId="4738C8D5">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供应商</w:t>
      </w:r>
      <w:r>
        <w:rPr>
          <w:rFonts w:ascii="宋体" w:hAnsi="宋体"/>
          <w:szCs w:val="21"/>
        </w:rPr>
        <w:t>对上述声明内容的真实性负责。如有虚假，将依法承担相应责任。</w:t>
      </w:r>
    </w:p>
    <w:p w14:paraId="773B55A7">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14:paraId="0EC8B126">
      <w:pPr>
        <w:rPr>
          <w:b/>
          <w:bCs/>
          <w:sz w:val="24"/>
        </w:rPr>
      </w:pPr>
    </w:p>
    <w:p w14:paraId="4755C90A">
      <w:pPr>
        <w:rPr>
          <w:b/>
          <w:bCs/>
          <w:color w:val="FF0000"/>
          <w:sz w:val="24"/>
        </w:rPr>
      </w:pPr>
    </w:p>
    <w:p w14:paraId="32A1A44D">
      <w:pPr>
        <w:pStyle w:val="5"/>
        <w:jc w:val="center"/>
        <w:rPr>
          <w:rFonts w:ascii="黑体" w:eastAsia="黑体"/>
          <w:b w:val="0"/>
          <w:sz w:val="24"/>
          <w:szCs w:val="24"/>
        </w:rPr>
      </w:pPr>
      <w:r>
        <w:rPr>
          <w:rFonts w:hint="eastAsia" w:ascii="黑体" w:eastAsia="黑体"/>
          <w:b w:val="0"/>
          <w:sz w:val="24"/>
          <w:szCs w:val="24"/>
        </w:rPr>
        <w:t>四、项目详细报价</w:t>
      </w:r>
    </w:p>
    <w:p w14:paraId="7BEC3603">
      <w:pPr>
        <w:tabs>
          <w:tab w:val="left" w:pos="720"/>
        </w:tabs>
        <w:ind w:firstLine="3132" w:firstLineChars="1300"/>
        <w:rPr>
          <w:b/>
          <w:sz w:val="24"/>
        </w:rPr>
      </w:pPr>
      <w:r>
        <w:rPr>
          <w:rFonts w:hint="eastAsia"/>
          <w:b/>
          <w:sz w:val="24"/>
        </w:rPr>
        <w:t>（一）分项报价表</w:t>
      </w:r>
    </w:p>
    <w:tbl>
      <w:tblPr>
        <w:tblStyle w:val="43"/>
        <w:tblW w:w="884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386"/>
        <w:gridCol w:w="1328"/>
        <w:gridCol w:w="2007"/>
        <w:gridCol w:w="1245"/>
        <w:gridCol w:w="666"/>
      </w:tblGrid>
      <w:tr w14:paraId="0B309C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209" w:type="dxa"/>
            <w:tcBorders>
              <w:top w:val="double" w:color="auto" w:sz="4" w:space="0"/>
              <w:bottom w:val="single" w:color="auto" w:sz="4" w:space="0"/>
            </w:tcBorders>
            <w:vAlign w:val="center"/>
          </w:tcPr>
          <w:p w14:paraId="6E92E583">
            <w:pPr>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项目编号</w:t>
            </w:r>
          </w:p>
          <w:p w14:paraId="6119043A">
            <w:pPr>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（包号）</w:t>
            </w:r>
          </w:p>
        </w:tc>
        <w:tc>
          <w:tcPr>
            <w:tcW w:w="2386" w:type="dxa"/>
            <w:tcBorders>
              <w:top w:val="double" w:color="auto" w:sz="4" w:space="0"/>
              <w:bottom w:val="single" w:color="auto" w:sz="4" w:space="0"/>
            </w:tcBorders>
            <w:vAlign w:val="center"/>
          </w:tcPr>
          <w:p w14:paraId="44F88C8A">
            <w:pPr>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项目名称</w:t>
            </w:r>
          </w:p>
        </w:tc>
        <w:tc>
          <w:tcPr>
            <w:tcW w:w="1328" w:type="dxa"/>
            <w:tcBorders>
              <w:top w:val="double" w:color="auto" w:sz="4" w:space="0"/>
              <w:bottom w:val="single" w:color="auto" w:sz="4" w:space="0"/>
            </w:tcBorders>
            <w:vAlign w:val="center"/>
          </w:tcPr>
          <w:p w14:paraId="2B7410A5">
            <w:pPr>
              <w:tabs>
                <w:tab w:val="left" w:pos="458"/>
              </w:tabs>
              <w:jc w:val="center"/>
              <w:rPr>
                <w:rFonts w:hint="default" w:ascii="宋体" w:hAnsi="宋体" w:eastAsia="宋体" w:cs="宋体"/>
                <w:snapToGrid w:val="0"/>
                <w:kern w:val="0"/>
                <w:sz w:val="21"/>
                <w:szCs w:val="21"/>
                <w:lang w:val="en-US" w:eastAsia="zh-CN"/>
              </w:rPr>
            </w:pPr>
            <w:r>
              <w:rPr>
                <w:rFonts w:hint="eastAsia" w:ascii="宋体" w:hAnsi="宋体" w:cs="宋体"/>
                <w:snapToGrid w:val="0"/>
                <w:kern w:val="0"/>
                <w:sz w:val="21"/>
                <w:szCs w:val="21"/>
                <w:lang w:val="en-US" w:eastAsia="zh-CN"/>
              </w:rPr>
              <w:t>预算金额（元）</w:t>
            </w:r>
          </w:p>
        </w:tc>
        <w:tc>
          <w:tcPr>
            <w:tcW w:w="2007" w:type="dxa"/>
            <w:tcBorders>
              <w:top w:val="double" w:color="auto" w:sz="4" w:space="0"/>
              <w:bottom w:val="single" w:color="auto" w:sz="4" w:space="0"/>
            </w:tcBorders>
            <w:vAlign w:val="center"/>
          </w:tcPr>
          <w:p w14:paraId="6D0C1D7C">
            <w:pPr>
              <w:jc w:val="center"/>
              <w:rPr>
                <w:rFonts w:hint="eastAsia"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val="en-US" w:eastAsia="zh-CN"/>
              </w:rPr>
              <w:t>应答</w:t>
            </w:r>
            <w:r>
              <w:rPr>
                <w:rFonts w:hint="eastAsia" w:ascii="宋体" w:hAnsi="宋体" w:eastAsia="宋体" w:cs="宋体"/>
                <w:snapToGrid w:val="0"/>
                <w:kern w:val="0"/>
                <w:sz w:val="21"/>
                <w:szCs w:val="21"/>
              </w:rPr>
              <w:t>总价</w:t>
            </w:r>
            <w:r>
              <w:rPr>
                <w:rFonts w:hint="eastAsia" w:ascii="宋体" w:hAnsi="宋体" w:cs="宋体"/>
                <w:snapToGrid w:val="0"/>
                <w:kern w:val="0"/>
                <w:sz w:val="21"/>
                <w:szCs w:val="21"/>
                <w:lang w:eastAsia="zh-CN"/>
              </w:rPr>
              <w:t>（</w:t>
            </w:r>
            <w:r>
              <w:rPr>
                <w:rFonts w:hint="eastAsia" w:ascii="宋体" w:hAnsi="宋体" w:cs="宋体"/>
                <w:snapToGrid w:val="0"/>
                <w:kern w:val="0"/>
                <w:sz w:val="21"/>
                <w:szCs w:val="21"/>
                <w:lang w:val="en-US" w:eastAsia="zh-CN"/>
              </w:rPr>
              <w:t>元</w:t>
            </w:r>
            <w:r>
              <w:rPr>
                <w:rFonts w:hint="eastAsia" w:ascii="宋体" w:hAnsi="宋体" w:cs="宋体"/>
                <w:snapToGrid w:val="0"/>
                <w:kern w:val="0"/>
                <w:sz w:val="21"/>
                <w:szCs w:val="21"/>
                <w:lang w:eastAsia="zh-CN"/>
              </w:rPr>
              <w:t>）</w:t>
            </w:r>
          </w:p>
        </w:tc>
        <w:tc>
          <w:tcPr>
            <w:tcW w:w="1245" w:type="dxa"/>
            <w:tcBorders>
              <w:top w:val="double" w:color="auto" w:sz="4" w:space="0"/>
              <w:bottom w:val="single" w:color="auto" w:sz="4" w:space="0"/>
            </w:tcBorders>
            <w:vAlign w:val="center"/>
          </w:tcPr>
          <w:p w14:paraId="10846106">
            <w:pPr>
              <w:jc w:val="center"/>
              <w:rPr>
                <w:rFonts w:hint="default" w:ascii="宋体" w:hAnsi="宋体" w:eastAsia="宋体" w:cs="宋体"/>
                <w:snapToGrid w:val="0"/>
                <w:kern w:val="0"/>
                <w:sz w:val="21"/>
                <w:szCs w:val="21"/>
                <w:lang w:val="en-US" w:eastAsia="zh-CN"/>
              </w:rPr>
            </w:pPr>
            <w:r>
              <w:rPr>
                <w:rFonts w:hint="eastAsia" w:ascii="宋体" w:hAnsi="宋体" w:eastAsia="宋体" w:cs="宋体"/>
                <w:snapToGrid w:val="0"/>
                <w:kern w:val="0"/>
                <w:sz w:val="21"/>
                <w:szCs w:val="21"/>
                <w:lang w:val="en-US" w:eastAsia="zh-CN"/>
              </w:rPr>
              <w:t>服务期限</w:t>
            </w:r>
          </w:p>
        </w:tc>
        <w:tc>
          <w:tcPr>
            <w:tcW w:w="666" w:type="dxa"/>
            <w:tcBorders>
              <w:top w:val="double" w:color="auto" w:sz="4" w:space="0"/>
              <w:bottom w:val="single" w:color="auto" w:sz="4" w:space="0"/>
            </w:tcBorders>
            <w:vAlign w:val="center"/>
          </w:tcPr>
          <w:p w14:paraId="265E9237">
            <w:pPr>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备注</w:t>
            </w:r>
          </w:p>
        </w:tc>
      </w:tr>
      <w:tr w14:paraId="39C48B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1209" w:type="dxa"/>
            <w:vMerge w:val="restart"/>
            <w:tcBorders>
              <w:top w:val="single" w:color="auto" w:sz="4" w:space="0"/>
            </w:tcBorders>
            <w:vAlign w:val="center"/>
          </w:tcPr>
          <w:p w14:paraId="56FCDD53">
            <w:pPr>
              <w:jc w:val="center"/>
              <w:rPr>
                <w:rFonts w:hint="eastAsia" w:ascii="宋体" w:hAnsi="宋体" w:eastAsia="宋体" w:cs="宋体"/>
                <w:snapToGrid w:val="0"/>
                <w:kern w:val="0"/>
                <w:sz w:val="21"/>
                <w:szCs w:val="21"/>
                <w:u w:val="single"/>
              </w:rPr>
            </w:pPr>
          </w:p>
        </w:tc>
        <w:tc>
          <w:tcPr>
            <w:tcW w:w="2386" w:type="dxa"/>
            <w:tcBorders>
              <w:top w:val="single" w:color="auto" w:sz="4" w:space="0"/>
              <w:bottom w:val="single" w:color="auto" w:sz="4" w:space="0"/>
            </w:tcBorders>
            <w:vAlign w:val="center"/>
          </w:tcPr>
          <w:p w14:paraId="699A2B11">
            <w:pPr>
              <w:spacing w:line="360" w:lineRule="auto"/>
              <w:jc w:val="center"/>
              <w:rPr>
                <w:rFonts w:hint="eastAsia" w:ascii="宋体" w:hAnsi="宋体" w:eastAsia="宋体" w:cs="宋体"/>
                <w:snapToGrid w:val="0"/>
                <w:kern w:val="0"/>
                <w:sz w:val="21"/>
                <w:szCs w:val="21"/>
                <w:u w:val="single"/>
              </w:rPr>
            </w:pPr>
            <w:r>
              <w:rPr>
                <w:rFonts w:hint="eastAsia" w:ascii="宋体" w:hAnsi="宋体" w:cs="仿宋"/>
                <w:lang w:eastAsia="zh-CN"/>
              </w:rPr>
              <w:t>大数据情报汇聚平台查询服务</w:t>
            </w:r>
          </w:p>
        </w:tc>
        <w:tc>
          <w:tcPr>
            <w:tcW w:w="1328" w:type="dxa"/>
            <w:tcBorders>
              <w:top w:val="single" w:color="auto" w:sz="4" w:space="0"/>
              <w:bottom w:val="single" w:color="auto" w:sz="4" w:space="0"/>
            </w:tcBorders>
            <w:vAlign w:val="center"/>
          </w:tcPr>
          <w:p w14:paraId="1C216615">
            <w:pPr>
              <w:spacing w:line="360" w:lineRule="auto"/>
              <w:jc w:val="center"/>
              <w:rPr>
                <w:rFonts w:hint="default" w:ascii="宋体" w:hAnsi="宋体" w:cs="仿宋"/>
                <w:lang w:val="en-US" w:eastAsia="zh-CN"/>
              </w:rPr>
            </w:pPr>
            <w:r>
              <w:rPr>
                <w:rFonts w:hint="eastAsia" w:ascii="宋体" w:hAnsi="宋体" w:cs="仿宋"/>
                <w:lang w:val="en-US" w:eastAsia="zh-CN"/>
              </w:rPr>
              <w:t>320000.00</w:t>
            </w:r>
          </w:p>
        </w:tc>
        <w:tc>
          <w:tcPr>
            <w:tcW w:w="2007" w:type="dxa"/>
            <w:tcBorders>
              <w:top w:val="single" w:color="auto" w:sz="4" w:space="0"/>
              <w:bottom w:val="single" w:color="auto" w:sz="4" w:space="0"/>
            </w:tcBorders>
            <w:vAlign w:val="center"/>
          </w:tcPr>
          <w:p w14:paraId="5FF714C8">
            <w:pP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大写：</w:t>
            </w:r>
          </w:p>
          <w:p w14:paraId="27BB5068">
            <w:pP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小写：</w:t>
            </w:r>
          </w:p>
        </w:tc>
        <w:tc>
          <w:tcPr>
            <w:tcW w:w="1245" w:type="dxa"/>
            <w:vMerge w:val="restart"/>
            <w:tcBorders>
              <w:top w:val="single" w:color="auto" w:sz="4" w:space="0"/>
            </w:tcBorders>
            <w:vAlign w:val="center"/>
          </w:tcPr>
          <w:p w14:paraId="5D0F08C1">
            <w:pPr>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本项目服务期限为12个月，以合同约定的开始及结束时间为准。</w:t>
            </w:r>
          </w:p>
        </w:tc>
        <w:tc>
          <w:tcPr>
            <w:tcW w:w="666" w:type="dxa"/>
            <w:tcBorders>
              <w:top w:val="single" w:color="auto" w:sz="4" w:space="0"/>
              <w:bottom w:val="single" w:color="auto" w:sz="4" w:space="0"/>
            </w:tcBorders>
            <w:vAlign w:val="center"/>
          </w:tcPr>
          <w:p w14:paraId="1767DD85">
            <w:pPr>
              <w:jc w:val="center"/>
              <w:rPr>
                <w:rFonts w:hint="eastAsia" w:ascii="宋体" w:hAnsi="宋体" w:eastAsia="宋体" w:cs="宋体"/>
                <w:snapToGrid w:val="0"/>
                <w:kern w:val="0"/>
                <w:sz w:val="21"/>
                <w:szCs w:val="21"/>
              </w:rPr>
            </w:pPr>
          </w:p>
        </w:tc>
      </w:tr>
      <w:tr w14:paraId="3E9420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209" w:type="dxa"/>
            <w:vMerge w:val="continue"/>
            <w:vAlign w:val="center"/>
          </w:tcPr>
          <w:p w14:paraId="4BFC6567">
            <w:pPr>
              <w:jc w:val="center"/>
              <w:rPr>
                <w:rFonts w:hint="eastAsia" w:ascii="宋体" w:hAnsi="宋体" w:eastAsia="宋体" w:cs="宋体"/>
                <w:snapToGrid w:val="0"/>
                <w:kern w:val="0"/>
                <w:sz w:val="21"/>
                <w:szCs w:val="21"/>
                <w:u w:val="single"/>
              </w:rPr>
            </w:pPr>
          </w:p>
        </w:tc>
        <w:tc>
          <w:tcPr>
            <w:tcW w:w="2386" w:type="dxa"/>
            <w:tcBorders>
              <w:top w:val="single" w:color="auto" w:sz="4" w:space="0"/>
              <w:bottom w:val="single" w:color="auto" w:sz="4" w:space="0"/>
            </w:tcBorders>
            <w:vAlign w:val="center"/>
          </w:tcPr>
          <w:p w14:paraId="2F9A1FCB">
            <w:pPr>
              <w:spacing w:line="360" w:lineRule="auto"/>
              <w:jc w:val="center"/>
              <w:rPr>
                <w:rFonts w:hint="eastAsia" w:ascii="宋体" w:hAnsi="宋体" w:eastAsia="宋体" w:cs="宋体"/>
                <w:snapToGrid w:val="0"/>
                <w:kern w:val="0"/>
                <w:sz w:val="21"/>
                <w:szCs w:val="21"/>
                <w:u w:val="single"/>
              </w:rPr>
            </w:pPr>
            <w:r>
              <w:rPr>
                <w:rFonts w:hint="eastAsia" w:ascii="宋体" w:hAnsi="宋体" w:cs="仿宋"/>
                <w:lang w:eastAsia="zh-CN"/>
              </w:rPr>
              <w:t>大数据辅助分析系统查询服务</w:t>
            </w:r>
          </w:p>
        </w:tc>
        <w:tc>
          <w:tcPr>
            <w:tcW w:w="1328" w:type="dxa"/>
            <w:tcBorders>
              <w:top w:val="single" w:color="auto" w:sz="4" w:space="0"/>
              <w:bottom w:val="single" w:color="auto" w:sz="4" w:space="0"/>
            </w:tcBorders>
            <w:vAlign w:val="center"/>
          </w:tcPr>
          <w:p w14:paraId="3701581E">
            <w:pPr>
              <w:spacing w:line="360" w:lineRule="auto"/>
              <w:jc w:val="center"/>
              <w:rPr>
                <w:rFonts w:hint="default" w:ascii="宋体" w:hAnsi="宋体" w:cs="仿宋"/>
                <w:lang w:val="en-US" w:eastAsia="zh-CN"/>
              </w:rPr>
            </w:pPr>
            <w:r>
              <w:rPr>
                <w:rFonts w:hint="eastAsia" w:ascii="宋体" w:hAnsi="宋体" w:cs="仿宋"/>
                <w:lang w:val="en-US" w:eastAsia="zh-CN"/>
              </w:rPr>
              <w:t>100000.00</w:t>
            </w:r>
          </w:p>
        </w:tc>
        <w:tc>
          <w:tcPr>
            <w:tcW w:w="2007" w:type="dxa"/>
            <w:tcBorders>
              <w:top w:val="single" w:color="auto" w:sz="4" w:space="0"/>
              <w:bottom w:val="single" w:color="auto" w:sz="4" w:space="0"/>
            </w:tcBorders>
            <w:vAlign w:val="center"/>
          </w:tcPr>
          <w:p w14:paraId="2DCB6157">
            <w:pP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大写：</w:t>
            </w:r>
          </w:p>
          <w:p w14:paraId="572577D6">
            <w:pP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小写：</w:t>
            </w:r>
          </w:p>
        </w:tc>
        <w:tc>
          <w:tcPr>
            <w:tcW w:w="1245" w:type="dxa"/>
            <w:vMerge w:val="continue"/>
            <w:vAlign w:val="center"/>
          </w:tcPr>
          <w:p w14:paraId="7A35B86F">
            <w:pPr>
              <w:jc w:val="center"/>
              <w:rPr>
                <w:rFonts w:hint="eastAsia" w:ascii="宋体" w:hAnsi="宋体" w:eastAsia="宋体" w:cs="宋体"/>
                <w:snapToGrid w:val="0"/>
                <w:kern w:val="0"/>
                <w:sz w:val="21"/>
                <w:szCs w:val="21"/>
              </w:rPr>
            </w:pPr>
          </w:p>
        </w:tc>
        <w:tc>
          <w:tcPr>
            <w:tcW w:w="666" w:type="dxa"/>
            <w:tcBorders>
              <w:top w:val="single" w:color="auto" w:sz="4" w:space="0"/>
              <w:bottom w:val="single" w:color="auto" w:sz="4" w:space="0"/>
            </w:tcBorders>
            <w:vAlign w:val="center"/>
          </w:tcPr>
          <w:p w14:paraId="0017EB86">
            <w:pPr>
              <w:jc w:val="center"/>
              <w:rPr>
                <w:rFonts w:hint="eastAsia" w:ascii="宋体" w:hAnsi="宋体" w:eastAsia="宋体" w:cs="宋体"/>
                <w:snapToGrid w:val="0"/>
                <w:kern w:val="0"/>
                <w:sz w:val="21"/>
                <w:szCs w:val="21"/>
              </w:rPr>
            </w:pPr>
          </w:p>
        </w:tc>
      </w:tr>
      <w:tr w14:paraId="2C16B2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209" w:type="dxa"/>
            <w:vMerge w:val="continue"/>
            <w:tcBorders>
              <w:bottom w:val="single" w:color="auto" w:sz="4" w:space="0"/>
            </w:tcBorders>
            <w:vAlign w:val="center"/>
          </w:tcPr>
          <w:p w14:paraId="7F7FFAB4">
            <w:pPr>
              <w:jc w:val="center"/>
              <w:rPr>
                <w:rFonts w:hint="eastAsia" w:ascii="宋体" w:hAnsi="宋体" w:eastAsia="宋体" w:cs="宋体"/>
                <w:snapToGrid w:val="0"/>
                <w:kern w:val="0"/>
                <w:sz w:val="21"/>
                <w:szCs w:val="21"/>
                <w:u w:val="single"/>
              </w:rPr>
            </w:pPr>
          </w:p>
        </w:tc>
        <w:tc>
          <w:tcPr>
            <w:tcW w:w="2386" w:type="dxa"/>
            <w:tcBorders>
              <w:top w:val="single" w:color="auto" w:sz="4" w:space="0"/>
              <w:bottom w:val="single" w:color="auto" w:sz="4" w:space="0"/>
            </w:tcBorders>
            <w:vAlign w:val="center"/>
          </w:tcPr>
          <w:p w14:paraId="10E08AA9">
            <w:pPr>
              <w:spacing w:line="360" w:lineRule="auto"/>
              <w:jc w:val="center"/>
              <w:rPr>
                <w:rFonts w:hint="eastAsia" w:ascii="宋体" w:hAnsi="宋体" w:eastAsia="宋体" w:cs="宋体"/>
                <w:snapToGrid w:val="0"/>
                <w:kern w:val="0"/>
                <w:sz w:val="21"/>
                <w:szCs w:val="21"/>
                <w:u w:val="single"/>
              </w:rPr>
            </w:pPr>
            <w:r>
              <w:rPr>
                <w:rFonts w:hint="eastAsia" w:ascii="宋体" w:hAnsi="宋体" w:cs="仿宋"/>
                <w:lang w:eastAsia="zh-CN"/>
              </w:rPr>
              <w:t>大数据涉网新型行为分析系统数据查询服务</w:t>
            </w:r>
          </w:p>
        </w:tc>
        <w:tc>
          <w:tcPr>
            <w:tcW w:w="1328" w:type="dxa"/>
            <w:tcBorders>
              <w:top w:val="single" w:color="auto" w:sz="4" w:space="0"/>
              <w:bottom w:val="single" w:color="auto" w:sz="4" w:space="0"/>
            </w:tcBorders>
            <w:vAlign w:val="center"/>
          </w:tcPr>
          <w:p w14:paraId="7EED5108">
            <w:pPr>
              <w:spacing w:line="360" w:lineRule="auto"/>
              <w:jc w:val="center"/>
              <w:rPr>
                <w:rFonts w:hint="default" w:ascii="宋体" w:hAnsi="宋体" w:cs="仿宋"/>
                <w:lang w:val="en-US" w:eastAsia="zh-CN"/>
              </w:rPr>
            </w:pPr>
            <w:r>
              <w:rPr>
                <w:rFonts w:hint="eastAsia" w:ascii="宋体" w:hAnsi="宋体" w:cs="仿宋"/>
                <w:lang w:val="en-US" w:eastAsia="zh-CN"/>
              </w:rPr>
              <w:t>230000.00</w:t>
            </w:r>
          </w:p>
        </w:tc>
        <w:tc>
          <w:tcPr>
            <w:tcW w:w="2007" w:type="dxa"/>
            <w:tcBorders>
              <w:top w:val="single" w:color="auto" w:sz="4" w:space="0"/>
              <w:bottom w:val="single" w:color="auto" w:sz="4" w:space="0"/>
            </w:tcBorders>
            <w:vAlign w:val="center"/>
          </w:tcPr>
          <w:p w14:paraId="5B1A6012">
            <w:pP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大写：</w:t>
            </w:r>
          </w:p>
          <w:p w14:paraId="28C3903A">
            <w:pP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小写：</w:t>
            </w:r>
          </w:p>
        </w:tc>
        <w:tc>
          <w:tcPr>
            <w:tcW w:w="1245" w:type="dxa"/>
            <w:vMerge w:val="continue"/>
            <w:vAlign w:val="center"/>
          </w:tcPr>
          <w:p w14:paraId="10C9896E">
            <w:pPr>
              <w:jc w:val="center"/>
              <w:rPr>
                <w:rFonts w:hint="eastAsia" w:ascii="宋体" w:hAnsi="宋体" w:eastAsia="宋体" w:cs="宋体"/>
                <w:snapToGrid w:val="0"/>
                <w:kern w:val="0"/>
                <w:sz w:val="21"/>
                <w:szCs w:val="21"/>
              </w:rPr>
            </w:pPr>
          </w:p>
        </w:tc>
        <w:tc>
          <w:tcPr>
            <w:tcW w:w="666" w:type="dxa"/>
            <w:tcBorders>
              <w:top w:val="single" w:color="auto" w:sz="4" w:space="0"/>
              <w:bottom w:val="single" w:color="auto" w:sz="4" w:space="0"/>
            </w:tcBorders>
            <w:vAlign w:val="center"/>
          </w:tcPr>
          <w:p w14:paraId="3DCD381E">
            <w:pPr>
              <w:jc w:val="center"/>
              <w:rPr>
                <w:rFonts w:hint="eastAsia" w:ascii="宋体" w:hAnsi="宋体" w:eastAsia="宋体" w:cs="宋体"/>
                <w:snapToGrid w:val="0"/>
                <w:kern w:val="0"/>
                <w:sz w:val="21"/>
                <w:szCs w:val="21"/>
              </w:rPr>
            </w:pPr>
          </w:p>
        </w:tc>
      </w:tr>
      <w:tr w14:paraId="4C45B9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209" w:type="dxa"/>
            <w:tcBorders>
              <w:top w:val="single" w:color="auto" w:sz="4" w:space="0"/>
            </w:tcBorders>
            <w:vAlign w:val="center"/>
          </w:tcPr>
          <w:p w14:paraId="436E8349">
            <w:pPr>
              <w:jc w:val="center"/>
              <w:rPr>
                <w:rFonts w:hint="eastAsia" w:ascii="宋体" w:hAnsi="宋体" w:eastAsia="宋体" w:cs="宋体"/>
                <w:snapToGrid w:val="0"/>
                <w:kern w:val="0"/>
                <w:sz w:val="21"/>
                <w:szCs w:val="21"/>
                <w:u w:val="none"/>
                <w:lang w:val="en-US" w:eastAsia="zh-CN"/>
              </w:rPr>
            </w:pPr>
            <w:r>
              <w:rPr>
                <w:rFonts w:hint="eastAsia" w:ascii="宋体" w:hAnsi="宋体" w:cs="宋体"/>
                <w:snapToGrid w:val="0"/>
                <w:kern w:val="0"/>
                <w:sz w:val="21"/>
                <w:szCs w:val="21"/>
                <w:u w:val="none"/>
                <w:lang w:val="en-US" w:eastAsia="zh-CN"/>
              </w:rPr>
              <w:t>合计</w:t>
            </w:r>
          </w:p>
        </w:tc>
        <w:tc>
          <w:tcPr>
            <w:tcW w:w="2386" w:type="dxa"/>
            <w:tcBorders>
              <w:top w:val="single" w:color="auto" w:sz="4" w:space="0"/>
            </w:tcBorders>
            <w:vAlign w:val="center"/>
          </w:tcPr>
          <w:p w14:paraId="4AFBA113">
            <w:pPr>
              <w:spacing w:line="360" w:lineRule="auto"/>
              <w:jc w:val="center"/>
              <w:rPr>
                <w:rFonts w:hint="default" w:ascii="宋体" w:hAnsi="宋体" w:cs="仿宋"/>
                <w:lang w:val="en-US" w:eastAsia="zh-CN"/>
              </w:rPr>
            </w:pPr>
            <w:r>
              <w:rPr>
                <w:rFonts w:hint="eastAsia" w:ascii="宋体" w:hAnsi="宋体" w:cs="仿宋"/>
                <w:lang w:val="en-US" w:eastAsia="zh-CN"/>
              </w:rPr>
              <w:t>/</w:t>
            </w:r>
          </w:p>
        </w:tc>
        <w:tc>
          <w:tcPr>
            <w:tcW w:w="1328" w:type="dxa"/>
            <w:tcBorders>
              <w:top w:val="single" w:color="auto" w:sz="4" w:space="0"/>
            </w:tcBorders>
            <w:vAlign w:val="center"/>
          </w:tcPr>
          <w:p w14:paraId="55BEDCEB">
            <w:pPr>
              <w:spacing w:line="360" w:lineRule="auto"/>
              <w:jc w:val="center"/>
              <w:rPr>
                <w:rFonts w:hint="default" w:ascii="宋体" w:hAnsi="宋体" w:cs="仿宋"/>
                <w:lang w:val="en-US" w:eastAsia="zh-CN"/>
              </w:rPr>
            </w:pPr>
            <w:r>
              <w:rPr>
                <w:rFonts w:hint="eastAsia" w:ascii="宋体" w:hAnsi="宋体" w:cs="仿宋"/>
                <w:lang w:val="en-US" w:eastAsia="zh-CN"/>
              </w:rPr>
              <w:t>650000.00</w:t>
            </w:r>
          </w:p>
        </w:tc>
        <w:tc>
          <w:tcPr>
            <w:tcW w:w="2007" w:type="dxa"/>
            <w:tcBorders>
              <w:top w:val="single" w:color="auto" w:sz="4" w:space="0"/>
            </w:tcBorders>
            <w:vAlign w:val="center"/>
          </w:tcPr>
          <w:p w14:paraId="31CCEEC2">
            <w:pP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大写：</w:t>
            </w:r>
          </w:p>
          <w:p w14:paraId="433D004A">
            <w:pP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小写：</w:t>
            </w:r>
          </w:p>
        </w:tc>
        <w:tc>
          <w:tcPr>
            <w:tcW w:w="1245" w:type="dxa"/>
            <w:vMerge w:val="continue"/>
            <w:vAlign w:val="center"/>
          </w:tcPr>
          <w:p w14:paraId="65E70B79">
            <w:pPr>
              <w:jc w:val="center"/>
              <w:rPr>
                <w:rFonts w:hint="eastAsia" w:ascii="宋体" w:hAnsi="宋体" w:eastAsia="宋体" w:cs="宋体"/>
                <w:snapToGrid w:val="0"/>
                <w:kern w:val="0"/>
                <w:sz w:val="21"/>
                <w:szCs w:val="21"/>
              </w:rPr>
            </w:pPr>
          </w:p>
        </w:tc>
        <w:tc>
          <w:tcPr>
            <w:tcW w:w="666" w:type="dxa"/>
            <w:tcBorders>
              <w:top w:val="single" w:color="auto" w:sz="4" w:space="0"/>
            </w:tcBorders>
            <w:vAlign w:val="center"/>
          </w:tcPr>
          <w:p w14:paraId="258F60A9">
            <w:pPr>
              <w:jc w:val="center"/>
              <w:rPr>
                <w:rFonts w:hint="eastAsia" w:ascii="宋体" w:hAnsi="宋体" w:eastAsia="宋体" w:cs="宋体"/>
                <w:snapToGrid w:val="0"/>
                <w:kern w:val="0"/>
                <w:sz w:val="21"/>
                <w:szCs w:val="21"/>
              </w:rPr>
            </w:pPr>
          </w:p>
        </w:tc>
      </w:tr>
    </w:tbl>
    <w:p w14:paraId="21C41D30">
      <w:pPr>
        <w:ind w:firstLine="482" w:firstLineChars="200"/>
        <w:rPr>
          <w:rFonts w:hAnsi="宋体"/>
          <w:b/>
          <w:bCs/>
          <w:sz w:val="24"/>
        </w:rPr>
      </w:pPr>
    </w:p>
    <w:p w14:paraId="128518C4">
      <w:pPr>
        <w:ind w:firstLine="482" w:firstLineChars="200"/>
        <w:rPr>
          <w:rFonts w:hint="default" w:hAnsi="宋体"/>
          <w:b/>
          <w:bCs/>
          <w:sz w:val="24"/>
          <w:highlight w:val="yellow"/>
          <w:lang w:val="en-US" w:eastAsia="zh-CN"/>
        </w:rPr>
      </w:pPr>
      <w:r>
        <w:rPr>
          <w:rFonts w:hint="eastAsia" w:hAnsi="宋体"/>
          <w:b/>
          <w:bCs/>
          <w:sz w:val="24"/>
          <w:highlight w:val="yellow"/>
          <w:lang w:val="en-US" w:eastAsia="zh-CN"/>
        </w:rPr>
        <w:t>备注：按照以上格式进行报价，各单项服务均不能超过相应的预算金额</w:t>
      </w:r>
    </w:p>
    <w:p w14:paraId="1BC4D5CA">
      <w:pPr>
        <w:ind w:firstLine="482" w:firstLineChars="200"/>
        <w:rPr>
          <w:rFonts w:hint="default" w:hAnsi="宋体"/>
          <w:b/>
          <w:bCs/>
          <w:sz w:val="24"/>
          <w:lang w:val="en-US" w:eastAsia="zh-CN"/>
        </w:rPr>
      </w:pPr>
    </w:p>
    <w:p w14:paraId="18D652D3">
      <w:pPr>
        <w:tabs>
          <w:tab w:val="left" w:pos="720"/>
        </w:tabs>
        <w:jc w:val="center"/>
        <w:rPr>
          <w:b/>
          <w:sz w:val="24"/>
        </w:rPr>
      </w:pPr>
      <w:r>
        <w:rPr>
          <w:rFonts w:hint="eastAsia"/>
          <w:b/>
          <w:sz w:val="24"/>
        </w:rPr>
        <w:t>（二）供应商认为需要涉及的其他内容报价清单</w:t>
      </w:r>
    </w:p>
    <w:p w14:paraId="7EF981BD">
      <w:pPr>
        <w:tabs>
          <w:tab w:val="left" w:pos="720"/>
        </w:tabs>
        <w:jc w:val="center"/>
        <w:rPr>
          <w:b/>
          <w:sz w:val="24"/>
        </w:rPr>
      </w:pPr>
    </w:p>
    <w:p w14:paraId="0216A3BF">
      <w:pPr>
        <w:outlineLvl w:val="1"/>
        <w:rPr>
          <w:rFonts w:hint="eastAsia" w:ascii="宋体" w:hAnsi="宋体"/>
          <w:b/>
          <w:color w:val="FF0000"/>
          <w:sz w:val="28"/>
          <w:szCs w:val="28"/>
        </w:rPr>
      </w:pPr>
    </w:p>
    <w:p w14:paraId="2F34963C">
      <w:pPr>
        <w:outlineLvl w:val="1"/>
        <w:rPr>
          <w:rFonts w:hint="eastAsia" w:ascii="宋体" w:hAnsi="宋体"/>
          <w:b/>
          <w:color w:val="FF0000"/>
          <w:sz w:val="28"/>
          <w:szCs w:val="28"/>
        </w:rPr>
        <w:sectPr>
          <w:pgSz w:w="11907" w:h="16840"/>
          <w:pgMar w:top="1440" w:right="1797" w:bottom="1440" w:left="1797" w:header="851" w:footer="992" w:gutter="0"/>
          <w:cols w:space="425" w:num="1"/>
          <w:titlePg/>
          <w:docGrid w:linePitch="462" w:charSpace="0"/>
        </w:sectPr>
      </w:pPr>
    </w:p>
    <w:p w14:paraId="082311AF">
      <w:pPr>
        <w:outlineLvl w:val="1"/>
        <w:rPr>
          <w:rFonts w:ascii="宋体" w:hAnsi="宋体"/>
          <w:b/>
          <w:color w:val="FF0000"/>
          <w:sz w:val="28"/>
          <w:szCs w:val="28"/>
        </w:rPr>
      </w:pPr>
      <w:r>
        <w:rPr>
          <w:rFonts w:hint="eastAsia" w:ascii="宋体" w:hAnsi="宋体"/>
          <w:b/>
          <w:color w:val="FF0000"/>
          <w:sz w:val="28"/>
          <w:szCs w:val="28"/>
        </w:rPr>
        <w:t>应答文件附件（信息不公开部分）</w:t>
      </w:r>
    </w:p>
    <w:p w14:paraId="664FD929">
      <w:pPr>
        <w:tabs>
          <w:tab w:val="left" w:pos="4069"/>
        </w:tabs>
        <w:ind w:left="718" w:leftChars="342" w:firstLine="1417" w:firstLineChars="675"/>
        <w:rPr>
          <w:szCs w:val="21"/>
        </w:rPr>
      </w:pPr>
    </w:p>
    <w:p w14:paraId="454DB7A5">
      <w:pPr>
        <w:pStyle w:val="5"/>
        <w:jc w:val="center"/>
        <w:rPr>
          <w:rFonts w:ascii="黑体" w:eastAsia="黑体"/>
          <w:b w:val="0"/>
          <w:sz w:val="24"/>
        </w:rPr>
      </w:pPr>
      <w:r>
        <w:rPr>
          <w:rFonts w:hint="eastAsia" w:ascii="黑体" w:eastAsia="黑体"/>
          <w:b w:val="0"/>
          <w:sz w:val="24"/>
        </w:rPr>
        <w:t>一、</w:t>
      </w:r>
      <w:bookmarkStart w:id="40" w:name="_Hlk72092499"/>
      <w:r>
        <w:rPr>
          <w:rFonts w:hint="eastAsia" w:ascii="黑体" w:eastAsia="黑体"/>
          <w:b w:val="0"/>
          <w:sz w:val="24"/>
        </w:rPr>
        <w:t>法定代表人（负责人）证明书</w:t>
      </w:r>
      <w:bookmarkEnd w:id="40"/>
    </w:p>
    <w:p w14:paraId="6F481D71">
      <w:pPr>
        <w:rPr>
          <w:sz w:val="24"/>
        </w:rPr>
      </w:pPr>
    </w:p>
    <w:p w14:paraId="325C75B3">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14:paraId="3F5299BD">
      <w:pPr>
        <w:spacing w:line="360" w:lineRule="auto"/>
        <w:ind w:firstLine="420" w:firstLineChars="200"/>
        <w:rPr>
          <w:szCs w:val="21"/>
        </w:rPr>
      </w:pPr>
      <w:r>
        <w:rPr>
          <w:rFonts w:hint="eastAsia"/>
          <w:szCs w:val="21"/>
        </w:rPr>
        <w:t>特此证明。</w:t>
      </w:r>
    </w:p>
    <w:p w14:paraId="680F6C2C">
      <w:pPr>
        <w:spacing w:line="360" w:lineRule="auto"/>
        <w:ind w:firstLine="420" w:firstLineChars="200"/>
        <w:rPr>
          <w:rFonts w:hint="eastAsia"/>
          <w:szCs w:val="21"/>
        </w:rPr>
      </w:pPr>
      <w:r>
        <w:rPr>
          <w:rFonts w:hint="eastAsia"/>
          <w:szCs w:val="21"/>
        </w:rPr>
        <w:t>说明：1、法定代表人为</w:t>
      </w:r>
      <w:r>
        <w:rPr>
          <w:rFonts w:hint="eastAsia"/>
          <w:szCs w:val="21"/>
          <w:lang w:val="en-US" w:eastAsia="zh-CN"/>
        </w:rPr>
        <w:t>供应商</w:t>
      </w:r>
      <w:r>
        <w:rPr>
          <w:rFonts w:hint="eastAsia"/>
          <w:szCs w:val="21"/>
        </w:rPr>
        <w:t>（企业事业单位、国家机关、社会团体）的主要行政负责人。</w:t>
      </w:r>
    </w:p>
    <w:p w14:paraId="357240E0">
      <w:pPr>
        <w:numPr>
          <w:ilvl w:val="0"/>
          <w:numId w:val="9"/>
        </w:numPr>
        <w:spacing w:line="360" w:lineRule="auto"/>
        <w:ind w:firstLine="420" w:firstLineChars="200"/>
        <w:rPr>
          <w:rFonts w:hint="eastAsia"/>
          <w:color w:val="auto"/>
          <w:szCs w:val="21"/>
          <w:lang w:val="en-US" w:eastAsia="zh-CN"/>
        </w:rPr>
      </w:pP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相关身份证明文件：身份证扫描件（正反两面）；港澳台居民可提供来往通行证扫描件；非中国国籍管辖范围人员，可提供公安部门认可的身份证明材料扫描件。</w:t>
      </w:r>
    </w:p>
    <w:p w14:paraId="6CB5289A">
      <w:pPr>
        <w:numPr>
          <w:ilvl w:val="0"/>
          <w:numId w:val="9"/>
        </w:numPr>
        <w:spacing w:line="360" w:lineRule="auto"/>
        <w:ind w:firstLine="420" w:firstLineChars="200"/>
        <w:rPr>
          <w:szCs w:val="21"/>
        </w:rPr>
      </w:pPr>
      <w:r>
        <w:rPr>
          <w:rFonts w:hint="eastAsia" w:eastAsia="宋体"/>
          <w:color w:val="auto"/>
          <w:szCs w:val="21"/>
          <w:lang w:eastAsia="zh-Hans"/>
        </w:rPr>
        <w:t>本项目</w:t>
      </w:r>
      <w:r>
        <w:rPr>
          <w:rFonts w:hint="eastAsia"/>
          <w:color w:val="auto"/>
          <w:szCs w:val="21"/>
          <w:lang w:val="en-US" w:eastAsia="zh-CN"/>
        </w:rPr>
        <w:t>谈判应答</w:t>
      </w:r>
      <w:r>
        <w:rPr>
          <w:rFonts w:hint="eastAsia" w:eastAsia="宋体"/>
          <w:color w:val="auto"/>
          <w:szCs w:val="21"/>
          <w:lang w:eastAsia="zh-Hans"/>
        </w:rPr>
        <w:t>授权代表为法定代表人（负责人）的，无需提供</w:t>
      </w:r>
      <w:r>
        <w:rPr>
          <w:rFonts w:hint="eastAsia"/>
          <w:color w:val="auto"/>
          <w:szCs w:val="21"/>
        </w:rPr>
        <w:t>《</w:t>
      </w:r>
      <w:r>
        <w:rPr>
          <w:rFonts w:hint="eastAsia"/>
          <w:color w:val="auto"/>
          <w:szCs w:val="21"/>
          <w:lang w:val="en-US" w:eastAsia="zh-CN"/>
        </w:rPr>
        <w:t>谈判应答</w:t>
      </w:r>
      <w:r>
        <w:rPr>
          <w:rFonts w:hint="eastAsia"/>
          <w:color w:val="auto"/>
          <w:szCs w:val="21"/>
        </w:rPr>
        <w:t>文件签署授权委托书》</w:t>
      </w:r>
      <w:r>
        <w:rPr>
          <w:rFonts w:hint="eastAsia" w:eastAsia="宋体"/>
          <w:color w:val="auto"/>
          <w:szCs w:val="21"/>
          <w:lang w:eastAsia="zh-Hans"/>
        </w:rPr>
        <w:t>。</w:t>
      </w:r>
    </w:p>
    <w:p w14:paraId="5502D81A">
      <w:pPr>
        <w:numPr>
          <w:ilvl w:val="0"/>
          <w:numId w:val="9"/>
        </w:numPr>
        <w:spacing w:line="360" w:lineRule="auto"/>
        <w:ind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DC1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5BE135B9">
            <w:pPr>
              <w:jc w:val="center"/>
              <w:rPr>
                <w:rFonts w:hint="eastAsia"/>
                <w:lang w:val="en-US" w:eastAsia="zh-CN"/>
              </w:rPr>
            </w:pPr>
            <w:r>
              <w:rPr>
                <w:rFonts w:hint="eastAsia" w:ascii="Times New Roman" w:eastAsia="宋体"/>
                <w:lang w:val="en-US" w:eastAsia="zh-CN"/>
              </w:rPr>
              <w:t>证件扫描件正面</w:t>
            </w:r>
          </w:p>
          <w:p w14:paraId="53EAC8AF">
            <w:pPr>
              <w:pStyle w:val="3"/>
              <w:jc w:val="center"/>
              <w:rPr>
                <w:rFonts w:hint="eastAsia"/>
                <w:lang w:val="en-US" w:eastAsia="zh-CN"/>
              </w:rPr>
            </w:pPr>
          </w:p>
          <w:p w14:paraId="0A65AB2C">
            <w:pPr>
              <w:pStyle w:val="3"/>
              <w:jc w:val="center"/>
              <w:rPr>
                <w:rFonts w:hint="eastAsia"/>
                <w:lang w:val="en-US" w:eastAsia="zh-CN"/>
              </w:rPr>
            </w:pPr>
          </w:p>
          <w:p w14:paraId="4E311886">
            <w:pPr>
              <w:pStyle w:val="3"/>
              <w:jc w:val="center"/>
              <w:rPr>
                <w:rFonts w:hint="eastAsia"/>
                <w:lang w:val="en-US" w:eastAsia="zh-CN"/>
              </w:rPr>
            </w:pPr>
          </w:p>
          <w:p w14:paraId="6A943761">
            <w:pPr>
              <w:pStyle w:val="3"/>
              <w:jc w:val="center"/>
              <w:rPr>
                <w:rFonts w:hint="eastAsia"/>
                <w:lang w:val="en-US" w:eastAsia="zh-CN"/>
              </w:rPr>
            </w:pPr>
          </w:p>
          <w:p w14:paraId="41DB2B5C">
            <w:pPr>
              <w:pStyle w:val="3"/>
              <w:jc w:val="center"/>
              <w:rPr>
                <w:rFonts w:hint="eastAsia"/>
                <w:lang w:val="en-US" w:eastAsia="zh-CN"/>
              </w:rPr>
            </w:pPr>
          </w:p>
          <w:p w14:paraId="4B3DAAF2">
            <w:pPr>
              <w:pStyle w:val="36"/>
              <w:jc w:val="center"/>
              <w:rPr>
                <w:rFonts w:hint="default"/>
                <w:lang w:val="en-US" w:eastAsia="zh-CN"/>
              </w:rPr>
            </w:pPr>
          </w:p>
        </w:tc>
        <w:tc>
          <w:tcPr>
            <w:tcW w:w="4265" w:type="dxa"/>
            <w:vAlign w:val="top"/>
          </w:tcPr>
          <w:p w14:paraId="521DD955">
            <w:pPr>
              <w:jc w:val="center"/>
              <w:rPr>
                <w:rFonts w:hint="eastAsia"/>
                <w:lang w:val="en-US" w:eastAsia="zh-CN"/>
              </w:rPr>
            </w:pPr>
            <w:r>
              <w:rPr>
                <w:rFonts w:hint="eastAsia" w:ascii="Times New Roman" w:eastAsia="宋体"/>
                <w:lang w:val="en-US" w:eastAsia="zh-CN"/>
              </w:rPr>
              <w:t>证件扫描件反面</w:t>
            </w:r>
          </w:p>
          <w:p w14:paraId="315FE733">
            <w:pPr>
              <w:pStyle w:val="3"/>
              <w:jc w:val="center"/>
              <w:rPr>
                <w:rFonts w:hint="eastAsia"/>
                <w:lang w:val="en-US" w:eastAsia="zh-CN"/>
              </w:rPr>
            </w:pPr>
          </w:p>
          <w:p w14:paraId="0393C217">
            <w:pPr>
              <w:pStyle w:val="36"/>
              <w:jc w:val="center"/>
              <w:rPr>
                <w:rFonts w:hint="eastAsia"/>
                <w:sz w:val="24"/>
                <w:vertAlign w:val="baseline"/>
                <w:lang w:val="en-US" w:eastAsia="zh-CN"/>
              </w:rPr>
            </w:pPr>
          </w:p>
          <w:p w14:paraId="31296978">
            <w:pPr>
              <w:pStyle w:val="36"/>
              <w:jc w:val="center"/>
              <w:rPr>
                <w:rFonts w:hint="eastAsia"/>
                <w:sz w:val="24"/>
                <w:vertAlign w:val="baseline"/>
                <w:lang w:val="en-US" w:eastAsia="zh-CN"/>
              </w:rPr>
            </w:pPr>
          </w:p>
        </w:tc>
      </w:tr>
    </w:tbl>
    <w:p w14:paraId="4F3DC8E8">
      <w:pPr>
        <w:rPr>
          <w:sz w:val="24"/>
        </w:rPr>
      </w:pPr>
    </w:p>
    <w:p w14:paraId="0883BA3F">
      <w:pPr>
        <w:pStyle w:val="5"/>
        <w:spacing w:before="120" w:after="120"/>
        <w:jc w:val="center"/>
        <w:rPr>
          <w:rFonts w:ascii="黑体" w:eastAsia="黑体"/>
          <w:b w:val="0"/>
          <w:sz w:val="24"/>
        </w:rPr>
      </w:pPr>
      <w:r>
        <w:rPr>
          <w:rFonts w:hint="eastAsia" w:ascii="黑体" w:eastAsia="黑体"/>
          <w:b w:val="0"/>
          <w:sz w:val="24"/>
        </w:rPr>
        <w:t>二、</w:t>
      </w:r>
      <w:r>
        <w:rPr>
          <w:rFonts w:hint="eastAsia" w:ascii="黑体" w:eastAsia="黑体"/>
          <w:b w:val="0"/>
          <w:sz w:val="24"/>
          <w:lang w:val="en-US" w:eastAsia="zh-CN"/>
        </w:rPr>
        <w:t>谈判应答</w:t>
      </w:r>
      <w:r>
        <w:rPr>
          <w:rFonts w:hint="eastAsia" w:ascii="黑体" w:eastAsia="黑体"/>
          <w:b w:val="0"/>
          <w:sz w:val="24"/>
        </w:rPr>
        <w:t>文件签署授权委托书</w:t>
      </w:r>
    </w:p>
    <w:p w14:paraId="08083E82">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w:t>
      </w:r>
      <w:r>
        <w:rPr>
          <w:rFonts w:hint="eastAsia"/>
          <w:szCs w:val="21"/>
          <w:lang w:val="en-US" w:eastAsia="zh-CN"/>
        </w:rPr>
        <w:t>供应商</w:t>
      </w:r>
      <w:r>
        <w:rPr>
          <w:rFonts w:hint="eastAsia"/>
          <w:szCs w:val="21"/>
        </w:rPr>
        <w:t>名称）的法定代表人（负责人），现授权委托</w:t>
      </w:r>
      <w:r>
        <w:rPr>
          <w:rFonts w:hint="eastAsia"/>
          <w:szCs w:val="21"/>
          <w:u w:val="single"/>
        </w:rPr>
        <w:t xml:space="preserve">            </w:t>
      </w:r>
      <w:r>
        <w:rPr>
          <w:rFonts w:hint="eastAsia"/>
          <w:szCs w:val="21"/>
        </w:rPr>
        <w:t>（姓名）为我单位签署本项目已递交的</w:t>
      </w:r>
      <w:r>
        <w:rPr>
          <w:rFonts w:hint="eastAsia"/>
          <w:szCs w:val="21"/>
          <w:lang w:val="en-US" w:eastAsia="zh-CN"/>
        </w:rPr>
        <w:t>谈判应答</w:t>
      </w:r>
      <w:r>
        <w:rPr>
          <w:rFonts w:hint="eastAsia"/>
          <w:szCs w:val="21"/>
        </w:rPr>
        <w:t>文件的法定代表人（负责人）的授权委托代理人，代理人全权代表我所签署的本项目已递交的</w:t>
      </w:r>
      <w:r>
        <w:rPr>
          <w:rFonts w:hint="eastAsia"/>
          <w:szCs w:val="21"/>
          <w:lang w:val="en-US" w:eastAsia="zh-CN"/>
        </w:rPr>
        <w:t>谈判应答</w:t>
      </w:r>
      <w:r>
        <w:rPr>
          <w:rFonts w:hint="eastAsia"/>
          <w:szCs w:val="21"/>
        </w:rPr>
        <w:t>文件内容我均承认。</w:t>
      </w:r>
    </w:p>
    <w:p w14:paraId="30FD25A3">
      <w:pPr>
        <w:spacing w:line="360" w:lineRule="auto"/>
        <w:ind w:firstLine="420" w:firstLineChars="200"/>
        <w:rPr>
          <w:rFonts w:hint="eastAsia"/>
          <w:szCs w:val="21"/>
        </w:rPr>
      </w:pPr>
      <w:r>
        <w:rPr>
          <w:rFonts w:hint="eastAsia"/>
          <w:szCs w:val="21"/>
        </w:rPr>
        <w:t>代理人无转委托权，特此委托。</w:t>
      </w:r>
    </w:p>
    <w:p w14:paraId="72828840">
      <w:pPr>
        <w:spacing w:line="360" w:lineRule="auto"/>
        <w:ind w:firstLine="420" w:firstLineChars="200"/>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0B9DE9C7">
      <w:pPr>
        <w:spacing w:line="360" w:lineRule="auto"/>
        <w:ind w:firstLine="420" w:firstLineChars="200"/>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643B1C2A">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328E2757">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14:paraId="6FCFF668">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0DD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7E4BD564">
            <w:pPr>
              <w:jc w:val="center"/>
              <w:rPr>
                <w:rFonts w:hint="eastAsia"/>
                <w:lang w:val="en-US" w:eastAsia="zh-CN"/>
              </w:rPr>
            </w:pPr>
            <w:r>
              <w:rPr>
                <w:rFonts w:hint="eastAsia" w:ascii="Times New Roman" w:eastAsia="宋体"/>
                <w:lang w:val="en-US" w:eastAsia="zh-CN"/>
              </w:rPr>
              <w:t>证件扫描件正面</w:t>
            </w:r>
          </w:p>
          <w:p w14:paraId="01395876">
            <w:pPr>
              <w:pStyle w:val="3"/>
              <w:jc w:val="center"/>
              <w:rPr>
                <w:rFonts w:hint="eastAsia"/>
                <w:lang w:val="en-US" w:eastAsia="zh-CN"/>
              </w:rPr>
            </w:pPr>
          </w:p>
          <w:p w14:paraId="56F5E5A9">
            <w:pPr>
              <w:pStyle w:val="36"/>
              <w:jc w:val="center"/>
              <w:rPr>
                <w:rFonts w:hint="default"/>
                <w:lang w:val="en-US" w:eastAsia="zh-CN"/>
              </w:rPr>
            </w:pPr>
          </w:p>
        </w:tc>
        <w:tc>
          <w:tcPr>
            <w:tcW w:w="4265" w:type="dxa"/>
            <w:vAlign w:val="top"/>
          </w:tcPr>
          <w:p w14:paraId="0D5F775F">
            <w:pPr>
              <w:jc w:val="center"/>
              <w:rPr>
                <w:rFonts w:hint="eastAsia"/>
                <w:lang w:val="en-US" w:eastAsia="zh-CN"/>
              </w:rPr>
            </w:pPr>
            <w:r>
              <w:rPr>
                <w:rFonts w:hint="eastAsia" w:ascii="Times New Roman" w:eastAsia="宋体"/>
                <w:lang w:val="en-US" w:eastAsia="zh-CN"/>
              </w:rPr>
              <w:t>证件扫描件反面</w:t>
            </w:r>
          </w:p>
          <w:p w14:paraId="7AA6955E">
            <w:pPr>
              <w:pStyle w:val="3"/>
              <w:jc w:val="center"/>
              <w:rPr>
                <w:rFonts w:hint="eastAsia"/>
                <w:lang w:val="en-US" w:eastAsia="zh-CN"/>
              </w:rPr>
            </w:pPr>
          </w:p>
          <w:p w14:paraId="5B7B282E">
            <w:pPr>
              <w:pStyle w:val="36"/>
              <w:jc w:val="center"/>
              <w:rPr>
                <w:rFonts w:hint="eastAsia"/>
                <w:sz w:val="24"/>
                <w:vertAlign w:val="baseline"/>
                <w:lang w:val="en-US" w:eastAsia="zh-CN"/>
              </w:rPr>
            </w:pPr>
          </w:p>
        </w:tc>
      </w:tr>
    </w:tbl>
    <w:p w14:paraId="0C46423D">
      <w:pPr>
        <w:pStyle w:val="5"/>
        <w:jc w:val="center"/>
        <w:rPr>
          <w:rFonts w:ascii="黑体" w:eastAsia="黑体"/>
          <w:b w:val="0"/>
          <w:kern w:val="0"/>
          <w:sz w:val="24"/>
          <w:szCs w:val="24"/>
        </w:rPr>
      </w:pPr>
      <w:r>
        <w:rPr>
          <w:rFonts w:hint="eastAsia" w:ascii="黑体" w:eastAsia="黑体"/>
          <w:b w:val="0"/>
          <w:kern w:val="0"/>
          <w:sz w:val="24"/>
          <w:szCs w:val="24"/>
        </w:rPr>
        <w:t>三、实质性条款响应情况表</w:t>
      </w:r>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063"/>
        <w:gridCol w:w="1537"/>
        <w:gridCol w:w="1510"/>
        <w:gridCol w:w="1418"/>
      </w:tblGrid>
      <w:tr w14:paraId="2342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89" w:type="dxa"/>
            <w:vAlign w:val="center"/>
          </w:tcPr>
          <w:p w14:paraId="2682581E">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3063" w:type="dxa"/>
            <w:vAlign w:val="center"/>
          </w:tcPr>
          <w:p w14:paraId="1B7C02BE">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37" w:type="dxa"/>
            <w:vAlign w:val="center"/>
          </w:tcPr>
          <w:p w14:paraId="57580E79">
            <w:pPr>
              <w:adjustRightInd w:val="0"/>
              <w:snapToGrid w:val="0"/>
              <w:spacing w:line="360" w:lineRule="auto"/>
              <w:jc w:val="center"/>
              <w:rPr>
                <w:rFonts w:ascii="宋体" w:hAnsi="宋体"/>
                <w:kern w:val="0"/>
                <w:szCs w:val="21"/>
              </w:rPr>
            </w:pPr>
            <w:r>
              <w:rPr>
                <w:rFonts w:hint="eastAsia"/>
              </w:rPr>
              <w:t>谈判响应</w:t>
            </w:r>
          </w:p>
        </w:tc>
        <w:tc>
          <w:tcPr>
            <w:tcW w:w="1510" w:type="dxa"/>
            <w:vAlign w:val="center"/>
          </w:tcPr>
          <w:p w14:paraId="4883ABD9">
            <w:pPr>
              <w:adjustRightInd w:val="0"/>
              <w:snapToGrid w:val="0"/>
              <w:spacing w:line="360" w:lineRule="auto"/>
              <w:jc w:val="center"/>
              <w:rPr>
                <w:rFonts w:ascii="宋体" w:hAnsi="宋体"/>
                <w:kern w:val="0"/>
                <w:szCs w:val="21"/>
              </w:rPr>
            </w:pPr>
            <w:r>
              <w:rPr>
                <w:rFonts w:hint="eastAsia"/>
              </w:rPr>
              <w:t>偏离情况</w:t>
            </w:r>
          </w:p>
        </w:tc>
        <w:tc>
          <w:tcPr>
            <w:tcW w:w="1418" w:type="dxa"/>
            <w:vAlign w:val="center"/>
          </w:tcPr>
          <w:p w14:paraId="79FB9AD8">
            <w:pPr>
              <w:adjustRightInd w:val="0"/>
              <w:snapToGrid w:val="0"/>
              <w:spacing w:line="360" w:lineRule="auto"/>
              <w:jc w:val="center"/>
              <w:rPr>
                <w:rFonts w:ascii="宋体" w:hAnsi="宋体"/>
                <w:kern w:val="0"/>
                <w:szCs w:val="21"/>
              </w:rPr>
            </w:pPr>
            <w:r>
              <w:rPr>
                <w:rFonts w:hint="eastAsia"/>
              </w:rPr>
              <w:t>说明</w:t>
            </w:r>
          </w:p>
        </w:tc>
      </w:tr>
      <w:tr w14:paraId="3FCC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0516AFC8">
            <w:pPr>
              <w:adjustRightInd w:val="0"/>
              <w:snapToGrid w:val="0"/>
              <w:spacing w:line="360" w:lineRule="auto"/>
              <w:rPr>
                <w:rFonts w:ascii="宋体" w:hAnsi="宋体"/>
                <w:kern w:val="0"/>
                <w:szCs w:val="21"/>
              </w:rPr>
            </w:pPr>
            <w:r>
              <w:rPr>
                <w:rFonts w:hint="eastAsia" w:ascii="宋体" w:hAnsi="宋体"/>
                <w:kern w:val="0"/>
                <w:szCs w:val="21"/>
              </w:rPr>
              <w:t>1</w:t>
            </w:r>
          </w:p>
        </w:tc>
        <w:tc>
          <w:tcPr>
            <w:tcW w:w="3063" w:type="dxa"/>
            <w:vAlign w:val="center"/>
          </w:tcPr>
          <w:p w14:paraId="639433BD">
            <w:pPr>
              <w:adjustRightInd w:val="0"/>
              <w:snapToGrid w:val="0"/>
              <w:spacing w:line="360" w:lineRule="auto"/>
              <w:jc w:val="left"/>
              <w:rPr>
                <w:rFonts w:hAnsi="宋体"/>
                <w:kern w:val="0"/>
                <w:szCs w:val="21"/>
              </w:rPr>
            </w:pPr>
            <w:r>
              <w:rPr>
                <w:rFonts w:hint="eastAsia" w:ascii="宋体" w:hAnsi="宋体" w:cs="仿宋"/>
                <w:b/>
                <w:bCs/>
                <w:sz w:val="24"/>
                <w:szCs w:val="21"/>
                <w:highlight w:val="none"/>
              </w:rPr>
              <w:t>★</w:t>
            </w:r>
            <w:r>
              <w:rPr>
                <w:rFonts w:hint="eastAsia" w:ascii="宋体" w:hAnsi="宋体" w:eastAsia="宋体" w:cs="宋体"/>
                <w:sz w:val="21"/>
                <w:szCs w:val="21"/>
                <w:highlight w:val="none"/>
              </w:rPr>
              <w:t>本项目服务期限为12个月，以合同约定的开始及结束时间为准。本项目为长期服务类项目，第一年为本次招标的中标服务期限，采购单位可根据项目需要、财政预算和中标单位的履约情况确定合同期限是否延长，但最长不超过三十六个月。如履约、服务情况不满意的或者合同履行期间因违法行为被禁止参与政府采购活动或者存在其他重大违法记录的，则不再续约。</w:t>
            </w:r>
          </w:p>
        </w:tc>
        <w:tc>
          <w:tcPr>
            <w:tcW w:w="1537" w:type="dxa"/>
          </w:tcPr>
          <w:p w14:paraId="07A5777B">
            <w:pPr>
              <w:adjustRightInd w:val="0"/>
              <w:snapToGrid w:val="0"/>
              <w:spacing w:line="360" w:lineRule="auto"/>
              <w:rPr>
                <w:rFonts w:ascii="宋体" w:hAnsi="宋体"/>
                <w:kern w:val="0"/>
                <w:szCs w:val="21"/>
              </w:rPr>
            </w:pPr>
          </w:p>
        </w:tc>
        <w:tc>
          <w:tcPr>
            <w:tcW w:w="1510" w:type="dxa"/>
          </w:tcPr>
          <w:p w14:paraId="596DFFFD">
            <w:pPr>
              <w:adjustRightInd w:val="0"/>
              <w:snapToGrid w:val="0"/>
              <w:spacing w:line="360" w:lineRule="auto"/>
              <w:rPr>
                <w:rFonts w:ascii="宋体" w:hAnsi="宋体"/>
                <w:kern w:val="0"/>
                <w:szCs w:val="21"/>
              </w:rPr>
            </w:pPr>
          </w:p>
        </w:tc>
        <w:tc>
          <w:tcPr>
            <w:tcW w:w="1418" w:type="dxa"/>
          </w:tcPr>
          <w:p w14:paraId="29938079">
            <w:pPr>
              <w:adjustRightInd w:val="0"/>
              <w:snapToGrid w:val="0"/>
              <w:spacing w:line="360" w:lineRule="auto"/>
              <w:rPr>
                <w:rFonts w:ascii="宋体" w:hAnsi="宋体"/>
                <w:kern w:val="0"/>
                <w:szCs w:val="21"/>
              </w:rPr>
            </w:pPr>
          </w:p>
        </w:tc>
      </w:tr>
    </w:tbl>
    <w:p w14:paraId="11685746">
      <w:pPr>
        <w:ind w:firstLine="482" w:firstLineChars="200"/>
        <w:rPr>
          <w:b/>
          <w:sz w:val="24"/>
          <w:szCs w:val="22"/>
        </w:rPr>
      </w:pPr>
    </w:p>
    <w:p w14:paraId="3C3D834B">
      <w:pPr>
        <w:ind w:firstLine="482" w:firstLineChars="200"/>
        <w:rPr>
          <w:b/>
          <w:sz w:val="24"/>
          <w:szCs w:val="22"/>
        </w:rPr>
      </w:pPr>
      <w:r>
        <w:rPr>
          <w:rFonts w:hint="eastAsia"/>
          <w:b/>
          <w:sz w:val="24"/>
          <w:szCs w:val="22"/>
        </w:rPr>
        <w:t>注：1.上表所列各项均为不可负偏离条款。</w:t>
      </w:r>
    </w:p>
    <w:p w14:paraId="6B84033A">
      <w:pPr>
        <w:ind w:firstLine="482" w:firstLineChars="200"/>
        <w:rPr>
          <w:b/>
          <w:sz w:val="24"/>
          <w:szCs w:val="22"/>
        </w:rPr>
      </w:pPr>
      <w:r>
        <w:rPr>
          <w:rFonts w:hint="eastAsia"/>
          <w:b/>
          <w:sz w:val="24"/>
          <w:szCs w:val="22"/>
        </w:rPr>
        <w:t>2.“谈判响应”一栏应当详细填写供应商自身响应情况，而不能不合理照搬照抄谈判文件实质性条款具体内容。</w:t>
      </w:r>
    </w:p>
    <w:p w14:paraId="1FE56057">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应答）响应优于实质性条款具体内容要求”，“负偏离”表示“投标（应答）响应不满足实质性条款具体内容要求”，“无偏离”表示“投标（应答）响应与实质性条款具体内容要求一致”。</w:t>
      </w:r>
    </w:p>
    <w:p w14:paraId="302BA652">
      <w:pPr>
        <w:ind w:firstLine="482" w:firstLineChars="200"/>
        <w:rPr>
          <w:b/>
          <w:sz w:val="24"/>
        </w:rPr>
      </w:pPr>
      <w:r>
        <w:rPr>
          <w:b/>
          <w:sz w:val="24"/>
        </w:rPr>
        <w:t>4.</w:t>
      </w:r>
      <w:r>
        <w:rPr>
          <w:rFonts w:hint="eastAsia"/>
          <w:b/>
          <w:sz w:val="24"/>
        </w:rPr>
        <w:t>谈判小组有权对谈判响应情况作出判断（作出评审结论）。</w:t>
      </w:r>
    </w:p>
    <w:p w14:paraId="6285DBC4">
      <w:pPr>
        <w:ind w:firstLine="482" w:firstLineChars="200"/>
        <w:rPr>
          <w:b/>
          <w:sz w:val="24"/>
          <w:szCs w:val="22"/>
        </w:rPr>
      </w:pPr>
      <w:r>
        <w:rPr>
          <w:b/>
          <w:sz w:val="24"/>
          <w:szCs w:val="22"/>
        </w:rPr>
        <w:t>5</w:t>
      </w:r>
      <w:r>
        <w:rPr>
          <w:rFonts w:hint="eastAsia"/>
          <w:b/>
          <w:sz w:val="24"/>
          <w:szCs w:val="22"/>
        </w:rPr>
        <w:t>.实质性响应条款“谈判响应”情况与应答文件其它内容冲突的，以实质性响应条款“谈判响应”内容为准。</w:t>
      </w:r>
    </w:p>
    <w:p w14:paraId="54C27260">
      <w:pPr>
        <w:ind w:firstLine="482" w:firstLineChars="200"/>
        <w:rPr>
          <w:b/>
          <w:sz w:val="24"/>
          <w:szCs w:val="22"/>
        </w:rPr>
      </w:pPr>
      <w:r>
        <w:rPr>
          <w:rFonts w:hint="eastAsia"/>
          <w:b/>
          <w:sz w:val="24"/>
          <w:szCs w:val="22"/>
        </w:rPr>
        <w:t>6.</w:t>
      </w:r>
      <w:r>
        <w:rPr>
          <w:rFonts w:hint="eastAsia"/>
        </w:rPr>
        <w:t xml:space="preserve"> </w:t>
      </w:r>
      <w:r>
        <w:rPr>
          <w:rFonts w:hint="eastAsia"/>
          <w:b/>
          <w:sz w:val="24"/>
          <w:szCs w:val="22"/>
        </w:rPr>
        <w:t>要求提供证明资料，在“说明”一栏中列明证明资料的位置,</w:t>
      </w:r>
      <w:r>
        <w:rPr>
          <w:rFonts w:hint="eastAsia"/>
          <w:b/>
          <w:sz w:val="24"/>
          <w:szCs w:val="22"/>
          <w:lang w:eastAsia="zh-CN"/>
        </w:rPr>
        <w:t>，</w:t>
      </w:r>
      <w:r>
        <w:rPr>
          <w:rFonts w:hint="eastAsia"/>
          <w:b/>
          <w:sz w:val="24"/>
          <w:szCs w:val="22"/>
        </w:rPr>
        <w:t>以便谈判；未要求提供证明材料的，供应商可以不提供。</w:t>
      </w:r>
    </w:p>
    <w:p w14:paraId="5779528A">
      <w:pPr>
        <w:ind w:firstLine="482" w:firstLineChars="200"/>
        <w:rPr>
          <w:b/>
          <w:sz w:val="24"/>
          <w:szCs w:val="22"/>
        </w:rPr>
      </w:pPr>
    </w:p>
    <w:p w14:paraId="4837E9A9">
      <w:pPr>
        <w:rPr>
          <w:sz w:val="24"/>
        </w:rPr>
      </w:pPr>
    </w:p>
    <w:p w14:paraId="26202EA5">
      <w:pPr>
        <w:rPr>
          <w:sz w:val="24"/>
        </w:rPr>
      </w:pPr>
    </w:p>
    <w:p w14:paraId="0D86E639">
      <w:pPr>
        <w:rPr>
          <w:sz w:val="24"/>
        </w:rPr>
      </w:pPr>
      <w:bookmarkStart w:id="41" w:name="_Hlk72260576"/>
      <w:r>
        <w:t xml:space="preserve"> </w:t>
      </w:r>
    </w:p>
    <w:p w14:paraId="33E97052">
      <w:pPr>
        <w:pStyle w:val="5"/>
        <w:jc w:val="center"/>
        <w:rPr>
          <w:rFonts w:hint="default" w:ascii="黑体" w:eastAsia="黑体"/>
          <w:b w:val="0"/>
          <w:bCs w:val="0"/>
          <w:kern w:val="0"/>
          <w:sz w:val="24"/>
          <w:szCs w:val="24"/>
          <w:lang w:val="en-US" w:eastAsia="zh-CN"/>
        </w:rPr>
      </w:pPr>
      <w:r>
        <w:rPr>
          <w:rFonts w:hint="eastAsia" w:ascii="黑体" w:eastAsia="黑体"/>
          <w:b w:val="0"/>
          <w:bCs w:val="0"/>
          <w:kern w:val="0"/>
          <w:sz w:val="24"/>
          <w:szCs w:val="24"/>
          <w:lang w:val="en-US" w:eastAsia="zh-CN"/>
        </w:rPr>
        <w:t>四、技术要求响应情况</w:t>
      </w:r>
    </w:p>
    <w:p w14:paraId="77B6079A">
      <w:pPr>
        <w:pStyle w:val="5"/>
        <w:jc w:val="center"/>
        <w:rPr>
          <w:rFonts w:ascii="黑体" w:eastAsia="黑体"/>
          <w:b w:val="0"/>
          <w:bCs w:val="0"/>
          <w:kern w:val="0"/>
          <w:sz w:val="24"/>
          <w:szCs w:val="24"/>
        </w:rPr>
      </w:pPr>
      <w:r>
        <w:rPr>
          <w:rFonts w:hint="eastAsia" w:ascii="黑体" w:eastAsia="黑体"/>
          <w:b w:val="0"/>
          <w:bCs w:val="0"/>
          <w:kern w:val="0"/>
          <w:sz w:val="24"/>
          <w:szCs w:val="24"/>
          <w:lang w:val="en-US" w:eastAsia="zh-CN"/>
        </w:rPr>
        <w:t>五</w:t>
      </w:r>
      <w:r>
        <w:rPr>
          <w:rFonts w:hint="eastAsia" w:ascii="黑体" w:eastAsia="黑体"/>
          <w:b w:val="0"/>
          <w:bCs w:val="0"/>
          <w:kern w:val="0"/>
          <w:sz w:val="24"/>
          <w:szCs w:val="24"/>
        </w:rPr>
        <w:t>、供应商认为需要加以说明的其他内容</w:t>
      </w:r>
    </w:p>
    <w:p w14:paraId="7D0CEDA5">
      <w:pPr>
        <w:rPr>
          <w:sz w:val="24"/>
        </w:rPr>
      </w:pPr>
      <w:r>
        <w:rPr>
          <w:sz w:val="24"/>
        </w:rPr>
        <w:t xml:space="preserve"> </w:t>
      </w:r>
    </w:p>
    <w:p w14:paraId="5A2EB39D">
      <w:pPr>
        <w:widowControl/>
        <w:jc w:val="center"/>
        <w:rPr>
          <w:rFonts w:ascii="黑体" w:hAnsi="宋体" w:eastAsia="黑体"/>
          <w:kern w:val="0"/>
          <w:sz w:val="24"/>
        </w:rPr>
      </w:pPr>
      <w:r>
        <w:rPr>
          <w:rFonts w:hint="eastAsia" w:ascii="黑体" w:hAnsi="黑体" w:eastAsia="黑体"/>
          <w:kern w:val="0"/>
          <w:sz w:val="24"/>
        </w:rPr>
        <w:t>（一）</w:t>
      </w:r>
      <w:r>
        <w:rPr>
          <w:rFonts w:hint="eastAsia" w:ascii="黑体" w:hAnsi="黑体" w:eastAsia="黑体"/>
          <w:kern w:val="0"/>
          <w:sz w:val="24"/>
          <w:highlight w:val="yellow"/>
        </w:rPr>
        <w:t>政府采购违法行为风险知悉确认书</w:t>
      </w:r>
    </w:p>
    <w:p w14:paraId="17C019DF">
      <w:pPr>
        <w:widowControl/>
        <w:jc w:val="center"/>
        <w:rPr>
          <w:rFonts w:ascii="黑体" w:hAnsi="宋体" w:eastAsia="黑体"/>
          <w:kern w:val="0"/>
          <w:sz w:val="24"/>
        </w:rPr>
      </w:pPr>
      <w:r>
        <w:rPr>
          <w:rFonts w:hint="eastAsia" w:ascii="黑体" w:hAnsi="宋体" w:eastAsia="黑体"/>
          <w:kern w:val="0"/>
          <w:sz w:val="24"/>
        </w:rPr>
        <w:t xml:space="preserve"> </w:t>
      </w:r>
    </w:p>
    <w:p w14:paraId="3A9E4BDB">
      <w:pPr>
        <w:ind w:firstLine="420" w:firstLineChars="200"/>
        <w:rPr>
          <w:szCs w:val="21"/>
        </w:rPr>
      </w:pPr>
      <w:r>
        <w:rPr>
          <w:rFonts w:hint="eastAsia" w:ascii="宋体" w:hAnsi="宋体"/>
        </w:rPr>
        <w:t>本公司在应答前已充分知悉以下情形为参与政府采购活动时的重大风险事项，并承诺已对下述风险提示事项重点排查，做到严谨、诚信、依法依规参与政府采购活动。</w:t>
      </w:r>
    </w:p>
    <w:p w14:paraId="4982E124">
      <w:pPr>
        <w:ind w:firstLine="422" w:firstLineChars="200"/>
        <w:rPr>
          <w:b/>
          <w:bCs/>
        </w:rPr>
      </w:pPr>
      <w:r>
        <w:rPr>
          <w:rFonts w:hint="eastAsia" w:ascii="宋体" w:hAnsi="宋体"/>
          <w:b/>
          <w:bCs/>
        </w:rPr>
        <w:t>一、本公司已充分知悉</w:t>
      </w:r>
      <w:r>
        <w:rPr>
          <w:rFonts w:hint="eastAsia"/>
          <w:b/>
          <w:bCs/>
        </w:rPr>
        <w:t>“隐瞒真实情况，提供虚假资料”的法定情形，相关情形包括但不限于：</w:t>
      </w:r>
    </w:p>
    <w:p w14:paraId="07E86C0F">
      <w:pPr>
        <w:ind w:firstLine="420" w:firstLineChars="200"/>
      </w:pPr>
      <w:r>
        <w:rPr>
          <w:rFonts w:hint="eastAsia" w:ascii="宋体" w:hAnsi="宋体"/>
        </w:rPr>
        <w:t>（一）通过转让或者租借等方式从其他单位获取资格或者资质证书投标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的。</w:t>
      </w:r>
    </w:p>
    <w:p w14:paraId="6FE7182B">
      <w:pPr>
        <w:ind w:firstLine="420" w:firstLineChars="200"/>
      </w:pPr>
      <w:r>
        <w:rPr>
          <w:rFonts w:hint="eastAsia" w:ascii="宋体" w:hAnsi="宋体"/>
        </w:rPr>
        <w:t>（二）由其他单位或者其他单位负责人在投标</w:t>
      </w:r>
      <w:r>
        <w:rPr>
          <w:rFonts w:hint="eastAsia" w:ascii="宋体" w:hAnsi="宋体"/>
          <w:lang w:eastAsia="zh-CN"/>
        </w:rPr>
        <w:t>（</w:t>
      </w:r>
      <w:r>
        <w:rPr>
          <w:rFonts w:hint="eastAsia" w:ascii="宋体" w:hAnsi="宋体"/>
          <w:lang w:val="en-US" w:eastAsia="zh-CN"/>
        </w:rPr>
        <w:t>响应</w:t>
      </w:r>
      <w:r>
        <w:rPr>
          <w:rFonts w:hint="eastAsia" w:ascii="宋体" w:hAnsi="宋体"/>
          <w:lang w:eastAsia="zh-CN"/>
        </w:rPr>
        <w:t>）</w:t>
      </w:r>
      <w:r>
        <w:rPr>
          <w:rFonts w:hint="eastAsia" w:ascii="宋体" w:hAnsi="宋体"/>
        </w:rPr>
        <w:t>供应商编制的投标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文件上加盖印章或者签字的。</w:t>
      </w:r>
    </w:p>
    <w:p w14:paraId="448311BA">
      <w:pPr>
        <w:ind w:firstLine="420" w:firstLineChars="200"/>
      </w:pPr>
      <w:r>
        <w:rPr>
          <w:rFonts w:hint="eastAsia" w:ascii="宋体" w:hAnsi="宋体"/>
        </w:rPr>
        <w:t>（三）项目负责人或者主要技术人员不是本单位人员的。</w:t>
      </w:r>
    </w:p>
    <w:p w14:paraId="71B2BD70">
      <w:pPr>
        <w:ind w:firstLine="420" w:firstLineChars="200"/>
      </w:pPr>
      <w:r>
        <w:rPr>
          <w:rFonts w:hint="eastAsia" w:ascii="宋体" w:hAnsi="宋体"/>
        </w:rPr>
        <w:t>（四）投标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保证金不是从投标供应商基本账户转出的。</w:t>
      </w:r>
    </w:p>
    <w:p w14:paraId="1A665B3D">
      <w:pPr>
        <w:ind w:firstLine="420" w:firstLineChars="200"/>
      </w:pPr>
      <w:r>
        <w:rPr>
          <w:rFonts w:hint="eastAsia" w:ascii="宋体" w:hAnsi="宋体"/>
        </w:rPr>
        <w:t>（五）其他隐瞒真实情况、提供虚假资料的行为。</w:t>
      </w:r>
    </w:p>
    <w:p w14:paraId="2907942E">
      <w:pPr>
        <w:ind w:firstLine="422" w:firstLineChars="200"/>
        <w:rPr>
          <w:b/>
          <w:bCs/>
        </w:rPr>
      </w:pPr>
      <w:r>
        <w:rPr>
          <w:rFonts w:hint="eastAsia" w:ascii="宋体" w:hAnsi="宋体"/>
          <w:b/>
          <w:bCs/>
        </w:rPr>
        <w:t>二、本公司已充分知悉</w:t>
      </w:r>
      <w:r>
        <w:rPr>
          <w:rFonts w:hint="eastAsia"/>
          <w:b/>
          <w:bCs/>
        </w:rPr>
        <w:t>“与其他采购参加人串通投标”的法定情形，相关情形包括但不限于：</w:t>
      </w:r>
    </w:p>
    <w:p w14:paraId="2DAD03AE">
      <w:pPr>
        <w:ind w:firstLine="420" w:firstLineChars="200"/>
      </w:pPr>
      <w:r>
        <w:rPr>
          <w:rFonts w:hint="eastAsia" w:ascii="宋体" w:hAnsi="宋体"/>
        </w:rPr>
        <w:t>（一）投标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供应商之间相互约定给予未中标的供应商利益补偿。</w:t>
      </w:r>
    </w:p>
    <w:p w14:paraId="6C4D58B5">
      <w:pPr>
        <w:ind w:firstLine="420" w:firstLineChars="200"/>
      </w:pPr>
      <w:r>
        <w:rPr>
          <w:rFonts w:hint="eastAsia" w:ascii="宋体" w:hAnsi="宋体"/>
        </w:rPr>
        <w:t>（二）不同投标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供应商的法定代表人、主要经营负责人、项目投标授权代表人、项目负责人、主要技术人员为同一人、属同一单位或者在同一单位缴纳社会保险。</w:t>
      </w:r>
    </w:p>
    <w:p w14:paraId="3D524F9C">
      <w:pPr>
        <w:ind w:firstLine="420" w:firstLineChars="200"/>
      </w:pPr>
      <w:r>
        <w:rPr>
          <w:rFonts w:hint="eastAsia" w:ascii="宋体" w:hAnsi="宋体"/>
        </w:rPr>
        <w:t>（三）不同投标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供应商的投标文件由同一单位或者同一人编制，或者由同一人分阶段参与编制的。</w:t>
      </w:r>
    </w:p>
    <w:p w14:paraId="1E8E05B2">
      <w:pPr>
        <w:ind w:firstLine="420" w:firstLineChars="200"/>
      </w:pPr>
      <w:r>
        <w:rPr>
          <w:rFonts w:hint="eastAsia" w:ascii="宋体" w:hAnsi="宋体"/>
        </w:rPr>
        <w:t>（四）不同投标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供应商的投标文件或部分投标文件相互混装。</w:t>
      </w:r>
    </w:p>
    <w:p w14:paraId="4F988E02">
      <w:pPr>
        <w:ind w:firstLine="420" w:firstLineChars="200"/>
      </w:pPr>
      <w:r>
        <w:rPr>
          <w:rFonts w:hint="eastAsia" w:ascii="宋体" w:hAnsi="宋体"/>
        </w:rPr>
        <w:t>（五）不同投标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供应商的投标文件内容存在非正常一致。</w:t>
      </w:r>
    </w:p>
    <w:p w14:paraId="62737607">
      <w:pPr>
        <w:ind w:firstLine="420" w:firstLineChars="200"/>
      </w:pPr>
      <w:r>
        <w:rPr>
          <w:rFonts w:hint="eastAsia" w:ascii="宋体" w:hAnsi="宋体"/>
        </w:rPr>
        <w:t>（六）由同一单位工作人员为两家以上（含两家）供应商进行同一项投标活动的。</w:t>
      </w:r>
    </w:p>
    <w:p w14:paraId="056D3D60">
      <w:pPr>
        <w:ind w:firstLine="420" w:firstLineChars="200"/>
      </w:pPr>
      <w:r>
        <w:rPr>
          <w:rFonts w:hint="eastAsia" w:ascii="宋体" w:hAnsi="宋体"/>
        </w:rPr>
        <w:t>（七）不同供应商的投标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报价呈规律性差异。</w:t>
      </w:r>
    </w:p>
    <w:p w14:paraId="0421AB60">
      <w:pPr>
        <w:ind w:firstLine="420" w:firstLineChars="200"/>
      </w:pPr>
      <w:r>
        <w:rPr>
          <w:rFonts w:hint="eastAsia" w:ascii="宋体" w:hAnsi="宋体"/>
        </w:rPr>
        <w:t>（八）不同供应商的投标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保证金从同一单位或者个人的账户转出。</w:t>
      </w:r>
    </w:p>
    <w:p w14:paraId="6A4A9B7D">
      <w:pPr>
        <w:ind w:firstLine="420" w:firstLineChars="200"/>
      </w:pPr>
      <w:r>
        <w:rPr>
          <w:rFonts w:hint="eastAsia" w:ascii="宋体" w:hAnsi="宋体"/>
        </w:rPr>
        <w:t>（九）主管部门依照法律、法规认定的其他情形。</w:t>
      </w:r>
    </w:p>
    <w:p w14:paraId="20AA322B">
      <w:pPr>
        <w:ind w:firstLine="422" w:firstLineChars="200"/>
        <w:rPr>
          <w:b/>
          <w:bCs/>
        </w:rPr>
      </w:pPr>
      <w:r>
        <w:rPr>
          <w:rFonts w:hint="eastAsia" w:ascii="宋体" w:hAnsi="宋体"/>
          <w:b/>
          <w:bCs/>
        </w:rPr>
        <w:t>三、本公司已充分知悉下列情形所对应的法律风险，并在应答前已对相关风险事项进行排查。</w:t>
      </w:r>
    </w:p>
    <w:p w14:paraId="1382B774">
      <w:pPr>
        <w:ind w:firstLine="420" w:firstLineChars="200"/>
        <w:rPr>
          <w:b/>
          <w:bCs/>
        </w:rPr>
      </w:pPr>
      <w:r>
        <w:rPr>
          <w:rFonts w:hint="eastAsia" w:ascii="宋体" w:hAnsi="宋体"/>
        </w:rPr>
        <w:t>（一）对于从其他主体获取的投标（应答）资料，供应商应审慎核查，确保投标（应答）资料的真实性。</w:t>
      </w:r>
      <w:r>
        <w:rPr>
          <w:rFonts w:hint="eastAsia" w:ascii="宋体" w:hAnsi="宋体"/>
          <w:b/>
          <w:bCs/>
        </w:rPr>
        <w:t>如主管部门查实投标（应答）文件中存在虚假资料的，无论相关资料是否由第三方或本公司员工提供，均不影响主管部门对供应商存在</w:t>
      </w:r>
      <w:r>
        <w:rPr>
          <w:rFonts w:hint="eastAsia"/>
          <w:b/>
          <w:bCs/>
        </w:rPr>
        <w:t>“隐瞒真实情况，提供虚假资料”违法行为的认定。</w:t>
      </w:r>
    </w:p>
    <w:p w14:paraId="05748764">
      <w:pPr>
        <w:ind w:firstLine="420" w:firstLineChars="200"/>
      </w:pPr>
      <w:r>
        <w:rPr>
          <w:rFonts w:hint="eastAsia" w:ascii="宋体" w:hAnsi="宋体"/>
        </w:rPr>
        <w:t>（二）对于涉及国家机关出具的公文、证件、证明材料等文件，一旦涉嫌虚假，经查实，主管部门将依法从严处理，并移送有关部门追究法律责任；涉嫌犯罪的，主管部门将一并移送司法机关追究法律责任。</w:t>
      </w:r>
    </w:p>
    <w:p w14:paraId="46C5CEEE">
      <w:pPr>
        <w:ind w:firstLine="420" w:firstLineChars="200"/>
      </w:pPr>
      <w:r>
        <w:rPr>
          <w:rFonts w:hint="eastAsia" w:ascii="宋体" w:hAnsi="宋体"/>
        </w:rPr>
        <w:t>（三）对于涉及安全生产、特种作业、抢险救灾、防疫等政府采购项目，供应商实施提供虚假资料、串通投标等违法行为的，主管部门将依法从严处理。</w:t>
      </w:r>
    </w:p>
    <w:p w14:paraId="2B0FDA24">
      <w:pPr>
        <w:ind w:firstLine="420" w:firstLineChars="200"/>
      </w:pPr>
      <w:r>
        <w:rPr>
          <w:rFonts w:hint="eastAsia" w:ascii="宋体" w:hAnsi="宋体"/>
        </w:rPr>
        <w:t>（四）供应商应严格规范项目授权代表、员工参与招标投标的行为，加强对投标（应答）文件的审核。项目授权代表、员工编制、上传投标（应答）文件等行为违反政府采购法律法规或谈判文件要求的，供应商应当依法承担相应法律责任。</w:t>
      </w:r>
    </w:p>
    <w:p w14:paraId="0D407EEB">
      <w:pPr>
        <w:ind w:firstLine="420" w:firstLineChars="200"/>
      </w:pPr>
      <w:r>
        <w:rPr>
          <w:rFonts w:hint="eastAsia" w:ascii="宋体" w:hAnsi="宋体"/>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EFA544D">
      <w:pPr>
        <w:ind w:firstLine="420" w:firstLineChars="200"/>
      </w:pPr>
      <w:r>
        <w:rPr>
          <w:rFonts w:hint="eastAsia" w:ascii="宋体" w:hAnsi="宋体"/>
        </w:rPr>
        <w:t>（六）单位负责人为同一人或者存在直接控股、管理关系的不同供应商，不得参加同一合同项下的政府采购活动。相关情形如查实，依法作投标（应答）无效处理；涉嫌串通投标等违法行为的，主管部门将依法调查处理。</w:t>
      </w:r>
    </w:p>
    <w:p w14:paraId="1D90A6CC">
      <w:pPr>
        <w:ind w:firstLine="422" w:firstLineChars="200"/>
        <w:rPr>
          <w:b/>
          <w:bCs/>
        </w:rPr>
      </w:pPr>
      <w:r>
        <w:rPr>
          <w:rFonts w:hint="eastAsia" w:ascii="宋体" w:hAnsi="宋体"/>
          <w:b/>
          <w:bCs/>
        </w:rPr>
        <w:t>四、本公司已充分知悉政府采购违法、违规行为的法律后果。</w:t>
      </w:r>
    </w:p>
    <w:p w14:paraId="1865C5C1">
      <w:pPr>
        <w:ind w:firstLine="420" w:firstLineChars="200"/>
      </w:pPr>
      <w:r>
        <w:rPr>
          <w:rFonts w:hint="eastAsia" w:ascii="宋体" w:hAnsi="宋体"/>
        </w:rPr>
        <w:t>经查实，若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宋体" w:hAnsi="宋体"/>
          <w:highlight w:val="yellow"/>
        </w:rPr>
        <w:t>以下文字请供应商抄写并确认：</w:t>
      </w:r>
      <w:r>
        <w:rPr>
          <w:rFonts w:hint="eastAsia"/>
          <w:highlight w:val="yellow"/>
        </w:rPr>
        <w:t>“本公司已仔细阅读《政府采购违法行为风险知悉确认书》，充分知悉违法行为的法律后果，并承诺将严谨、诚信、依法依规参与政府采购活动”。</w:t>
      </w:r>
    </w:p>
    <w:tbl>
      <w:tblPr>
        <w:tblStyle w:val="475"/>
        <w:tblW w:w="8529"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1C6B2F82">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1F780FA7">
            <w:pPr>
              <w:autoSpaceDE w:val="0"/>
              <w:autoSpaceDN w:val="0"/>
              <w:spacing w:line="400" w:lineRule="exact"/>
              <w:ind w:firstLine="1866"/>
              <w:rPr>
                <w:rFonts w:ascii="宋体" w:hAnsi="宋体"/>
                <w:spacing w:val="-4"/>
                <w:kern w:val="0"/>
                <w:szCs w:val="21"/>
              </w:rPr>
            </w:pPr>
          </w:p>
        </w:tc>
      </w:tr>
      <w:tr w14:paraId="1FA62848">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9FA4D42">
            <w:pPr>
              <w:autoSpaceDE w:val="0"/>
              <w:autoSpaceDN w:val="0"/>
              <w:spacing w:line="400" w:lineRule="exact"/>
              <w:ind w:firstLine="1866"/>
              <w:rPr>
                <w:rFonts w:ascii="宋体" w:hAnsi="宋体"/>
                <w:spacing w:val="-4"/>
                <w:kern w:val="0"/>
                <w:szCs w:val="21"/>
              </w:rPr>
            </w:pPr>
          </w:p>
        </w:tc>
      </w:tr>
      <w:tr w14:paraId="7D18C0E0">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45963A5D">
            <w:pPr>
              <w:autoSpaceDE w:val="0"/>
              <w:autoSpaceDN w:val="0"/>
              <w:spacing w:line="400" w:lineRule="exact"/>
              <w:ind w:firstLine="1866"/>
              <w:rPr>
                <w:rFonts w:ascii="宋体" w:hAnsi="宋体"/>
                <w:spacing w:val="-4"/>
                <w:kern w:val="0"/>
                <w:szCs w:val="21"/>
              </w:rPr>
            </w:pPr>
          </w:p>
        </w:tc>
      </w:tr>
      <w:tr w14:paraId="4DD6A080">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61D2DCCB">
            <w:pPr>
              <w:autoSpaceDE w:val="0"/>
              <w:autoSpaceDN w:val="0"/>
              <w:spacing w:line="400" w:lineRule="exact"/>
              <w:ind w:firstLine="1866"/>
              <w:rPr>
                <w:rFonts w:ascii="宋体" w:hAnsi="宋体"/>
                <w:spacing w:val="-4"/>
                <w:kern w:val="0"/>
                <w:szCs w:val="21"/>
              </w:rPr>
            </w:pPr>
          </w:p>
        </w:tc>
      </w:tr>
    </w:tbl>
    <w:p w14:paraId="2417CB49">
      <w:pPr>
        <w:widowControl/>
        <w:wordWrap w:val="0"/>
        <w:autoSpaceDE w:val="0"/>
        <w:autoSpaceDN w:val="0"/>
        <w:spacing w:line="400" w:lineRule="exact"/>
        <w:ind w:right="808" w:firstLine="404" w:firstLineChars="200"/>
        <w:jc w:val="right"/>
        <w:rPr>
          <w:rFonts w:ascii="宋体" w:hAnsi="宋体"/>
          <w:spacing w:val="-4"/>
          <w:kern w:val="0"/>
          <w:u w:val="single"/>
        </w:rPr>
      </w:pPr>
      <w:r>
        <w:rPr>
          <w:rFonts w:hint="eastAsia" w:ascii="宋体" w:hAnsi="宋体"/>
          <w:spacing w:val="-4"/>
          <w:kern w:val="0"/>
        </w:rPr>
        <w:t>负责人/谈判授权代表签名：</w:t>
      </w:r>
      <w:r>
        <w:rPr>
          <w:rFonts w:hint="eastAsia" w:ascii="宋体" w:hAnsi="宋体"/>
          <w:spacing w:val="-4"/>
          <w:kern w:val="0"/>
          <w:u w:val="single"/>
        </w:rPr>
        <w:t xml:space="preserve">              </w:t>
      </w:r>
    </w:p>
    <w:p w14:paraId="0752C49F">
      <w:pPr>
        <w:widowControl/>
        <w:wordWrap w:val="0"/>
        <w:autoSpaceDE w:val="0"/>
        <w:autoSpaceDN w:val="0"/>
        <w:spacing w:line="400" w:lineRule="exact"/>
        <w:ind w:right="808" w:firstLine="404" w:firstLineChars="200"/>
        <w:jc w:val="right"/>
        <w:rPr>
          <w:rFonts w:ascii="宋体" w:hAnsi="宋体"/>
          <w:spacing w:val="-4"/>
          <w:kern w:val="0"/>
          <w:highlight w:val="yellow"/>
          <w:u w:val="single"/>
        </w:rPr>
      </w:pPr>
      <w:r>
        <w:rPr>
          <w:rFonts w:hint="eastAsia" w:ascii="宋体" w:hAnsi="宋体"/>
          <w:spacing w:val="-4"/>
          <w:kern w:val="0"/>
          <w:highlight w:val="yellow"/>
        </w:rPr>
        <w:t>知悉人（公章）：</w:t>
      </w:r>
      <w:r>
        <w:rPr>
          <w:rFonts w:hint="eastAsia" w:ascii="宋体" w:hAnsi="宋体"/>
          <w:spacing w:val="-4"/>
          <w:kern w:val="0"/>
          <w:highlight w:val="yellow"/>
          <w:u w:val="single"/>
        </w:rPr>
        <w:t xml:space="preserve">              </w:t>
      </w:r>
    </w:p>
    <w:p w14:paraId="1BC2A752">
      <w:pPr>
        <w:widowControl/>
        <w:wordWrap w:val="0"/>
        <w:autoSpaceDE w:val="0"/>
        <w:autoSpaceDN w:val="0"/>
        <w:spacing w:line="400" w:lineRule="exact"/>
        <w:ind w:right="808" w:firstLine="404" w:firstLineChars="200"/>
        <w:jc w:val="right"/>
        <w:rPr>
          <w:rFonts w:ascii="宋体" w:hAnsi="宋体"/>
          <w:spacing w:val="-4"/>
          <w:kern w:val="0"/>
          <w:u w:val="single"/>
        </w:rPr>
      </w:pPr>
      <w:r>
        <w:rPr>
          <w:rFonts w:hint="eastAsia" w:ascii="宋体" w:hAnsi="宋体"/>
          <w:spacing w:val="-4"/>
          <w:kern w:val="0"/>
        </w:rPr>
        <w:t xml:space="preserve">     日期：</w:t>
      </w:r>
      <w:r>
        <w:rPr>
          <w:rFonts w:hint="eastAsia" w:ascii="宋体" w:hAnsi="宋体"/>
          <w:spacing w:val="-4"/>
          <w:kern w:val="0"/>
          <w:u w:val="single"/>
        </w:rPr>
        <w:t xml:space="preserve">              </w:t>
      </w:r>
    </w:p>
    <w:p w14:paraId="0768462C">
      <w:pPr>
        <w:widowControl/>
        <w:autoSpaceDE w:val="0"/>
        <w:autoSpaceDN w:val="0"/>
        <w:spacing w:line="400" w:lineRule="exact"/>
        <w:ind w:firstLine="406" w:firstLineChars="200"/>
        <w:jc w:val="left"/>
        <w:rPr>
          <w:rFonts w:ascii="宋体" w:hAnsi="宋体"/>
          <w:b/>
          <w:bCs/>
          <w:color w:val="FF0000"/>
          <w:spacing w:val="-4"/>
          <w:kern w:val="0"/>
        </w:rPr>
      </w:pPr>
    </w:p>
    <w:p w14:paraId="77C47831">
      <w:pPr>
        <w:widowControl/>
        <w:autoSpaceDE w:val="0"/>
        <w:autoSpaceDN w:val="0"/>
        <w:spacing w:line="400" w:lineRule="exact"/>
        <w:ind w:firstLine="406" w:firstLineChars="200"/>
        <w:jc w:val="left"/>
        <w:rPr>
          <w:rFonts w:ascii="宋体" w:hAnsi="宋体"/>
          <w:b/>
          <w:bCs/>
          <w:color w:val="FF0000"/>
          <w:spacing w:val="-4"/>
          <w:kern w:val="0"/>
          <w:szCs w:val="21"/>
        </w:rPr>
      </w:pPr>
      <w:r>
        <w:rPr>
          <w:rFonts w:hint="eastAsia" w:ascii="宋体" w:hAnsi="宋体"/>
          <w:b/>
          <w:bCs/>
          <w:color w:val="FF0000"/>
          <w:spacing w:val="-4"/>
          <w:kern w:val="0"/>
        </w:rPr>
        <w:t>注：1.</w:t>
      </w:r>
      <w:r>
        <w:rPr>
          <w:rFonts w:hint="eastAsia" w:ascii="宋体" w:hAnsi="宋体" w:eastAsiaTheme="minorEastAsia"/>
          <w:b/>
          <w:bCs/>
          <w:color w:val="FF0000"/>
          <w:spacing w:val="-4"/>
          <w:kern w:val="0"/>
          <w:szCs w:val="21"/>
        </w:rPr>
        <w:t>根据《深圳市财政局关于采购文件增加风险告知有关事项的通知》（深财购〔2022〕22号），该风险知悉确认书用于对供应商违法行为的警示，</w:t>
      </w:r>
      <w:r>
        <w:rPr>
          <w:rFonts w:hint="eastAsia" w:ascii="宋体" w:hAnsi="宋体"/>
          <w:b/>
          <w:bCs/>
          <w:color w:val="FF0000"/>
          <w:spacing w:val="-4"/>
          <w:kern w:val="0"/>
        </w:rPr>
        <w:t>不作为供应商资格性审查及符合性审查条件。</w:t>
      </w:r>
    </w:p>
    <w:p w14:paraId="2F5CF044">
      <w:pPr>
        <w:widowControl/>
        <w:autoSpaceDE w:val="0"/>
        <w:autoSpaceDN w:val="0"/>
        <w:spacing w:line="400" w:lineRule="exact"/>
        <w:ind w:firstLine="406" w:firstLineChars="200"/>
        <w:jc w:val="left"/>
        <w:rPr>
          <w:rFonts w:ascii="宋体" w:hAnsi="宋体"/>
          <w:color w:val="FF0000"/>
          <w:spacing w:val="-4"/>
          <w:kern w:val="0"/>
        </w:rPr>
      </w:pPr>
      <w:r>
        <w:rPr>
          <w:rFonts w:hint="eastAsia" w:ascii="宋体" w:hAnsi="宋体"/>
          <w:b/>
          <w:bCs/>
          <w:color w:val="FF0000"/>
          <w:spacing w:val="-4"/>
          <w:kern w:val="0"/>
        </w:rPr>
        <w:t>2.供应商负责人或谈判授权代表签字</w:t>
      </w:r>
      <w:r>
        <w:rPr>
          <w:rFonts w:hint="eastAsia" w:ascii="宋体" w:hAnsi="宋体"/>
          <w:b/>
          <w:bCs/>
          <w:color w:val="FF0000"/>
          <w:spacing w:val="-4"/>
          <w:kern w:val="0"/>
          <w:highlight w:val="yellow"/>
        </w:rPr>
        <w:t>并加盖单位公章</w:t>
      </w:r>
      <w:r>
        <w:rPr>
          <w:rFonts w:hint="eastAsia" w:ascii="宋体" w:hAnsi="宋体"/>
          <w:b/>
          <w:bCs/>
          <w:color w:val="FF0000"/>
          <w:spacing w:val="-4"/>
          <w:kern w:val="0"/>
        </w:rPr>
        <w:t>后，扫描上传至应答文件一并提交。</w:t>
      </w:r>
    </w:p>
    <w:p w14:paraId="43219094">
      <w:pPr>
        <w:widowControl/>
        <w:wordWrap/>
        <w:autoSpaceDE w:val="0"/>
        <w:autoSpaceDN w:val="0"/>
        <w:spacing w:line="400" w:lineRule="exact"/>
        <w:ind w:right="808" w:firstLine="404" w:firstLineChars="200"/>
        <w:jc w:val="right"/>
        <w:rPr>
          <w:rFonts w:ascii="宋体" w:hAnsi="宋体"/>
          <w:spacing w:val="-4"/>
          <w:kern w:val="0"/>
          <w:u w:val="single"/>
        </w:rPr>
      </w:pPr>
    </w:p>
    <w:p w14:paraId="1D8F102B">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14:paraId="06930F7E">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14:paraId="2940D161">
      <w:pPr>
        <w:pStyle w:val="3"/>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29CE1250">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14:paraId="3A900604">
      <w:pPr>
        <w:ind w:left="420" w:leftChars="200" w:firstLine="210" w:firstLineChars="100"/>
        <w:rPr>
          <w:rFonts w:hint="eastAsia"/>
          <w:szCs w:val="21"/>
        </w:rPr>
      </w:pPr>
      <w:r>
        <w:rPr>
          <w:rFonts w:hint="eastAsia"/>
          <w:szCs w:val="21"/>
          <w:lang w:val="en-US" w:eastAsia="zh-CN"/>
        </w:rPr>
        <w:t>供应商</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14:paraId="4BD69C8A">
      <w:pPr>
        <w:ind w:left="420" w:leftChars="200" w:firstLine="210" w:firstLineChars="100"/>
        <w:rPr>
          <w:rFonts w:hint="eastAsia"/>
          <w:szCs w:val="21"/>
          <w:u w:val="none"/>
          <w:lang w:eastAsia="zh-CN"/>
        </w:rPr>
      </w:pPr>
      <w:r>
        <w:rPr>
          <w:rFonts w:hint="eastAsia"/>
          <w:szCs w:val="21"/>
          <w:lang w:val="en-US" w:eastAsia="zh-CN"/>
        </w:rPr>
        <w:t>供应商</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11C01340">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3F27EE75">
      <w:pPr>
        <w:ind w:left="420" w:leftChars="200" w:firstLine="210" w:firstLineChars="100"/>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p>
    <w:p w14:paraId="0527CCFD">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61B4A4D9">
      <w:pPr>
        <w:ind w:left="420" w:leftChars="200" w:firstLine="210" w:firstLineChars="100"/>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14:paraId="1898947D">
      <w:pPr>
        <w:ind w:left="420" w:leftChars="200" w:firstLine="210" w:firstLineChars="100"/>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14:paraId="62C5F693">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14:paraId="1D101E3F">
      <w:pPr>
        <w:widowControl/>
        <w:wordWrap/>
        <w:autoSpaceDE w:val="0"/>
        <w:autoSpaceDN w:val="0"/>
        <w:spacing w:line="400" w:lineRule="exact"/>
        <w:ind w:right="808" w:firstLine="404" w:firstLineChars="200"/>
        <w:jc w:val="right"/>
        <w:rPr>
          <w:rFonts w:ascii="宋体" w:hAnsi="宋体"/>
          <w:spacing w:val="-4"/>
          <w:kern w:val="0"/>
          <w:u w:val="single"/>
        </w:rPr>
      </w:pPr>
    </w:p>
    <w:p w14:paraId="22F31809">
      <w:pPr>
        <w:widowControl/>
        <w:wordWrap/>
        <w:autoSpaceDE w:val="0"/>
        <w:autoSpaceDN w:val="0"/>
        <w:spacing w:line="400" w:lineRule="exact"/>
        <w:ind w:right="808" w:firstLine="404" w:firstLineChars="200"/>
        <w:jc w:val="right"/>
        <w:rPr>
          <w:rFonts w:ascii="宋体" w:hAnsi="宋体"/>
          <w:spacing w:val="-4"/>
          <w:kern w:val="0"/>
          <w:u w:val="single"/>
        </w:rPr>
      </w:pPr>
    </w:p>
    <w:p w14:paraId="5D96E9D3">
      <w:pPr>
        <w:widowControl/>
        <w:jc w:val="center"/>
        <w:rPr>
          <w:rFonts w:ascii="黑体" w:hAnsi="宋体" w:eastAsia="黑体"/>
          <w:kern w:val="0"/>
          <w:sz w:val="24"/>
          <w:szCs w:val="20"/>
        </w:rPr>
      </w:pPr>
      <w:r>
        <w:rPr>
          <w:rFonts w:hint="eastAsia" w:ascii="黑体" w:hAnsi="宋体" w:eastAsia="黑体"/>
          <w:kern w:val="0"/>
          <w:sz w:val="24"/>
          <w:szCs w:val="20"/>
        </w:rPr>
        <w:t>（</w:t>
      </w:r>
      <w:r>
        <w:rPr>
          <w:rFonts w:hint="eastAsia" w:ascii="黑体" w:hAnsi="宋体" w:eastAsia="黑体"/>
          <w:kern w:val="0"/>
          <w:sz w:val="24"/>
          <w:szCs w:val="20"/>
          <w:lang w:val="en-US" w:eastAsia="zh-CN"/>
        </w:rPr>
        <w:t>三</w:t>
      </w:r>
      <w:r>
        <w:rPr>
          <w:rFonts w:hint="eastAsia" w:ascii="黑体" w:hAnsi="宋体" w:eastAsia="黑体"/>
          <w:kern w:val="0"/>
          <w:sz w:val="24"/>
          <w:szCs w:val="20"/>
        </w:rPr>
        <w:t>）供应商认为需要加以说明的其他内容（格式自定）</w:t>
      </w:r>
    </w:p>
    <w:p w14:paraId="6616FB65">
      <w:pPr>
        <w:widowControl/>
        <w:wordWrap/>
        <w:autoSpaceDE w:val="0"/>
        <w:autoSpaceDN w:val="0"/>
        <w:spacing w:line="400" w:lineRule="exact"/>
        <w:ind w:right="808" w:firstLine="404" w:firstLineChars="200"/>
        <w:jc w:val="right"/>
        <w:rPr>
          <w:rFonts w:ascii="宋体" w:hAnsi="宋体"/>
          <w:spacing w:val="-4"/>
          <w:kern w:val="0"/>
          <w:u w:val="single"/>
        </w:rPr>
      </w:pPr>
    </w:p>
    <w:bookmarkEnd w:id="41"/>
    <w:p w14:paraId="2EADCFE1">
      <w:pPr>
        <w:sectPr>
          <w:pgSz w:w="11907" w:h="16840"/>
          <w:pgMar w:top="1440" w:right="1797" w:bottom="1440" w:left="1797" w:header="851" w:footer="992" w:gutter="0"/>
          <w:cols w:space="425" w:num="1"/>
          <w:titlePg/>
          <w:docGrid w:linePitch="462" w:charSpace="0"/>
        </w:sectPr>
      </w:pPr>
    </w:p>
    <w:p w14:paraId="3D2966A2">
      <w:pPr>
        <w:pStyle w:val="7"/>
      </w:pPr>
      <w:r>
        <w:rPr>
          <w:rFonts w:hint="eastAsia"/>
        </w:rPr>
        <w:t>第五章  合同条款及格式</w:t>
      </w:r>
    </w:p>
    <w:p w14:paraId="539E4135">
      <w:pPr>
        <w:ind w:firstLine="411" w:firstLineChars="196"/>
      </w:pPr>
    </w:p>
    <w:p w14:paraId="258D0CD7">
      <w:pPr>
        <w:jc w:val="center"/>
        <w:outlineLvl w:val="0"/>
      </w:pPr>
      <w:r>
        <w:rPr>
          <w:rFonts w:hint="eastAsia"/>
          <w:b/>
          <w:sz w:val="24"/>
        </w:rPr>
        <w:t>（仅供参考，具体以项目需求及采购结果为准）</w:t>
      </w:r>
    </w:p>
    <w:p w14:paraId="3A7A297F">
      <w:pPr>
        <w:rPr>
          <w:rFonts w:ascii="宋体" w:hAnsi="宋体"/>
          <w:b/>
          <w:bCs/>
          <w:szCs w:val="21"/>
        </w:rPr>
      </w:pPr>
      <w:r>
        <w:rPr>
          <w:rFonts w:hint="eastAsia" w:ascii="宋体" w:hAnsi="宋体"/>
          <w:b/>
          <w:bCs/>
          <w:szCs w:val="21"/>
        </w:rPr>
        <w:t>甲方：</w:t>
      </w:r>
      <w:r>
        <w:rPr>
          <w:rFonts w:ascii="宋体" w:hAnsi="宋体"/>
          <w:b/>
          <w:bCs/>
          <w:szCs w:val="21"/>
        </w:rPr>
        <w:t xml:space="preserve"> </w:t>
      </w:r>
    </w:p>
    <w:p w14:paraId="1E42CCD4">
      <w:pPr>
        <w:rPr>
          <w:rFonts w:ascii="宋体" w:hAnsi="宋体"/>
          <w:szCs w:val="21"/>
        </w:rPr>
      </w:pPr>
      <w:r>
        <w:rPr>
          <w:rFonts w:hint="eastAsia" w:ascii="宋体" w:hAnsi="宋体"/>
          <w:szCs w:val="21"/>
        </w:rPr>
        <w:t>地址：</w:t>
      </w:r>
    </w:p>
    <w:p w14:paraId="2247EB30">
      <w:pPr>
        <w:rPr>
          <w:rFonts w:ascii="宋体" w:hAnsi="宋体"/>
          <w:szCs w:val="21"/>
        </w:rPr>
      </w:pPr>
      <w:r>
        <w:rPr>
          <w:rFonts w:hint="eastAsia" w:ascii="宋体" w:hAnsi="宋体"/>
          <w:szCs w:val="21"/>
        </w:rPr>
        <w:t>联系人：</w:t>
      </w:r>
      <w:r>
        <w:rPr>
          <w:rFonts w:ascii="宋体" w:hAnsi="宋体"/>
          <w:szCs w:val="21"/>
        </w:rPr>
        <w:t xml:space="preserve">                          </w:t>
      </w:r>
    </w:p>
    <w:p w14:paraId="28F50B48">
      <w:pPr>
        <w:rPr>
          <w:rFonts w:ascii="宋体" w:hAnsi="宋体"/>
          <w:b/>
          <w:bCs/>
          <w:szCs w:val="21"/>
        </w:rPr>
      </w:pPr>
      <w:r>
        <w:rPr>
          <w:rFonts w:hint="eastAsia" w:ascii="宋体" w:hAnsi="宋体"/>
          <w:szCs w:val="21"/>
        </w:rPr>
        <w:t>联系电话：</w:t>
      </w:r>
    </w:p>
    <w:p w14:paraId="6776F98C">
      <w:pPr>
        <w:rPr>
          <w:rFonts w:ascii="宋体" w:hAnsi="宋体"/>
          <w:b/>
          <w:bCs/>
          <w:szCs w:val="21"/>
        </w:rPr>
      </w:pPr>
      <w:r>
        <w:rPr>
          <w:rFonts w:hint="eastAsia" w:ascii="宋体" w:hAnsi="宋体"/>
          <w:b/>
          <w:bCs/>
          <w:szCs w:val="21"/>
        </w:rPr>
        <w:t xml:space="preserve"> </w:t>
      </w:r>
      <w:r>
        <w:rPr>
          <w:rFonts w:ascii="宋体" w:hAnsi="宋体"/>
          <w:b/>
          <w:bCs/>
          <w:szCs w:val="21"/>
        </w:rPr>
        <w:t xml:space="preserve"> </w:t>
      </w:r>
    </w:p>
    <w:p w14:paraId="67482F46">
      <w:pPr>
        <w:rPr>
          <w:rFonts w:ascii="宋体" w:hAnsi="宋体"/>
          <w:szCs w:val="21"/>
        </w:rPr>
      </w:pPr>
      <w:r>
        <w:rPr>
          <w:rFonts w:hint="eastAsia" w:ascii="宋体" w:hAnsi="宋体"/>
          <w:b/>
          <w:bCs/>
          <w:szCs w:val="21"/>
        </w:rPr>
        <w:t>乙方：</w:t>
      </w:r>
      <w:r>
        <w:rPr>
          <w:rFonts w:ascii="宋体" w:hAnsi="宋体"/>
          <w:b/>
          <w:bCs/>
          <w:szCs w:val="21"/>
        </w:rPr>
        <w:t xml:space="preserve">            </w:t>
      </w:r>
      <w:r>
        <w:rPr>
          <w:rFonts w:hint="eastAsia" w:ascii="宋体" w:hAnsi="宋体"/>
          <w:b/>
          <w:bCs/>
          <w:szCs w:val="21"/>
        </w:rPr>
        <w:t xml:space="preserve">          </w:t>
      </w:r>
    </w:p>
    <w:p w14:paraId="0E8B478E">
      <w:pPr>
        <w:rPr>
          <w:rFonts w:ascii="宋体" w:hAnsi="宋体"/>
          <w:szCs w:val="21"/>
        </w:rPr>
      </w:pPr>
      <w:r>
        <w:rPr>
          <w:rFonts w:hint="eastAsia" w:ascii="宋体" w:hAnsi="宋体"/>
          <w:szCs w:val="21"/>
        </w:rPr>
        <w:t>地址：</w:t>
      </w:r>
    </w:p>
    <w:p w14:paraId="04D710B0">
      <w:pPr>
        <w:rPr>
          <w:rFonts w:ascii="宋体" w:hAnsi="宋体"/>
          <w:szCs w:val="21"/>
        </w:rPr>
      </w:pPr>
      <w:r>
        <w:rPr>
          <w:rFonts w:hint="eastAsia" w:ascii="宋体" w:hAnsi="宋体"/>
          <w:szCs w:val="21"/>
        </w:rPr>
        <w:t>联系人：</w:t>
      </w:r>
      <w:r>
        <w:rPr>
          <w:rFonts w:ascii="宋体" w:hAnsi="宋体"/>
          <w:szCs w:val="21"/>
        </w:rPr>
        <w:t xml:space="preserve">                          </w:t>
      </w:r>
    </w:p>
    <w:p w14:paraId="54C369FA">
      <w:pPr>
        <w:rPr>
          <w:rFonts w:ascii="宋体" w:hAnsi="宋体"/>
          <w:b/>
          <w:bCs/>
          <w:szCs w:val="21"/>
        </w:rPr>
      </w:pPr>
      <w:r>
        <w:rPr>
          <w:rFonts w:hint="eastAsia" w:ascii="宋体" w:hAnsi="宋体"/>
          <w:szCs w:val="21"/>
        </w:rPr>
        <w:t>联系电话：</w:t>
      </w:r>
    </w:p>
    <w:p w14:paraId="2E1EC110">
      <w:pPr>
        <w:rPr>
          <w:rFonts w:ascii="宋体" w:hAnsi="宋体"/>
          <w:szCs w:val="21"/>
        </w:rPr>
      </w:pPr>
    </w:p>
    <w:p w14:paraId="1060E775">
      <w:pPr>
        <w:ind w:firstLine="420" w:firstLineChars="200"/>
        <w:rPr>
          <w:rFonts w:ascii="宋体" w:hAnsi="宋体"/>
          <w:szCs w:val="21"/>
        </w:rPr>
      </w:pPr>
      <w:r>
        <w:rPr>
          <w:rFonts w:hint="eastAsia" w:ascii="宋体" w:hAnsi="宋体"/>
          <w:szCs w:val="21"/>
        </w:rPr>
        <w:t>根据深圳公共资源交易中心（</w:t>
      </w:r>
      <w:r>
        <w:rPr>
          <w:rFonts w:hint="eastAsia" w:ascii="宋体" w:hAnsi="宋体"/>
          <w:szCs w:val="21"/>
          <w:lang w:eastAsia="zh-CN"/>
        </w:rPr>
        <w:t>深圳交易集团有限公司龙岗分公司</w:t>
      </w:r>
      <w:r>
        <w:rPr>
          <w:rFonts w:hint="eastAsia" w:ascii="宋体" w:hAnsi="宋体"/>
          <w:szCs w:val="21"/>
        </w:rPr>
        <w:t>）*</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单位为成交供应商。按照《中华人民共和国民法典》（第三编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57BDBF03">
      <w:pPr>
        <w:ind w:firstLine="422" w:firstLineChars="200"/>
        <w:rPr>
          <w:rFonts w:ascii="宋体" w:hAnsi="宋体"/>
          <w:b/>
          <w:bCs/>
          <w:szCs w:val="21"/>
        </w:rPr>
      </w:pPr>
      <w:r>
        <w:rPr>
          <w:rFonts w:hint="eastAsia" w:ascii="宋体" w:hAnsi="宋体"/>
          <w:b/>
          <w:bCs/>
          <w:szCs w:val="21"/>
        </w:rPr>
        <w:t>第一条　项目概况</w:t>
      </w:r>
    </w:p>
    <w:p w14:paraId="45DEC811">
      <w:pPr>
        <w:ind w:firstLine="420" w:firstLineChars="200"/>
        <w:rPr>
          <w:rFonts w:ascii="宋体" w:hAnsi="宋体"/>
          <w:szCs w:val="21"/>
        </w:rPr>
      </w:pPr>
      <w:r>
        <w:rPr>
          <w:rFonts w:hint="eastAsia" w:ascii="宋体" w:hAnsi="宋体"/>
          <w:szCs w:val="21"/>
        </w:rPr>
        <w:t xml:space="preserve">项目名称： </w:t>
      </w:r>
    </w:p>
    <w:p w14:paraId="525A9C8A">
      <w:pPr>
        <w:ind w:firstLine="420" w:firstLineChars="200"/>
        <w:rPr>
          <w:rFonts w:ascii="宋体" w:hAnsi="宋体"/>
          <w:szCs w:val="21"/>
        </w:rPr>
      </w:pPr>
      <w:r>
        <w:rPr>
          <w:rFonts w:hint="eastAsia" w:ascii="宋体" w:hAnsi="宋体"/>
          <w:szCs w:val="21"/>
        </w:rPr>
        <w:t xml:space="preserve">项目内容： </w:t>
      </w:r>
    </w:p>
    <w:p w14:paraId="6D79E232">
      <w:pPr>
        <w:ind w:firstLine="420" w:firstLineChars="200"/>
        <w:rPr>
          <w:rFonts w:ascii="宋体" w:hAnsi="宋体"/>
          <w:szCs w:val="21"/>
        </w:rPr>
      </w:pPr>
      <w:r>
        <w:rPr>
          <w:rFonts w:hint="eastAsia" w:ascii="宋体" w:hAnsi="宋体"/>
          <w:szCs w:val="21"/>
        </w:rPr>
        <w:t xml:space="preserve">服务时间： </w:t>
      </w:r>
    </w:p>
    <w:p w14:paraId="27A82444">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乙方为实施本项目荷载试验所需的设备仪器费、车辆租赁费、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3520FD0B">
      <w:pPr>
        <w:pStyle w:val="2"/>
        <w:rPr>
          <w:rFonts w:ascii="宋体" w:hAnsi="宋体"/>
          <w:szCs w:val="21"/>
        </w:rPr>
      </w:pPr>
      <w:r>
        <w:rPr>
          <w:rFonts w:hint="eastAsia" w:ascii="宋体" w:hAnsi="宋体"/>
          <w:szCs w:val="21"/>
        </w:rPr>
        <w:t>支付方式：分期支付。</w:t>
      </w:r>
    </w:p>
    <w:p w14:paraId="2540A731">
      <w:pPr>
        <w:ind w:firstLine="422" w:firstLineChars="200"/>
        <w:rPr>
          <w:rFonts w:ascii="宋体" w:hAnsi="宋体"/>
          <w:b/>
          <w:bCs/>
          <w:szCs w:val="21"/>
        </w:rPr>
      </w:pPr>
      <w:r>
        <w:rPr>
          <w:rFonts w:hint="eastAsia" w:ascii="宋体" w:hAnsi="宋体"/>
          <w:b/>
          <w:bCs/>
          <w:szCs w:val="21"/>
        </w:rPr>
        <w:t>第二条  服务范围</w:t>
      </w:r>
    </w:p>
    <w:p w14:paraId="603ADA1D">
      <w:pPr>
        <w:ind w:firstLine="420" w:firstLineChars="200"/>
        <w:rPr>
          <w:rFonts w:ascii="宋体" w:hAnsi="宋体"/>
          <w:szCs w:val="21"/>
        </w:rPr>
      </w:pPr>
      <w:r>
        <w:rPr>
          <w:rFonts w:hint="eastAsia" w:ascii="宋体" w:hAnsi="宋体"/>
          <w:szCs w:val="21"/>
        </w:rPr>
        <w:t xml:space="preserve">1、  </w:t>
      </w:r>
    </w:p>
    <w:p w14:paraId="48F0E9ED">
      <w:pPr>
        <w:ind w:firstLine="420" w:firstLineChars="200"/>
        <w:rPr>
          <w:rFonts w:ascii="宋体" w:hAnsi="宋体"/>
          <w:szCs w:val="21"/>
        </w:rPr>
      </w:pPr>
      <w:r>
        <w:rPr>
          <w:rFonts w:hint="eastAsia" w:ascii="宋体" w:hAnsi="宋体"/>
          <w:szCs w:val="21"/>
        </w:rPr>
        <w:t xml:space="preserve">2、  </w:t>
      </w:r>
    </w:p>
    <w:p w14:paraId="66E0EEDA">
      <w:pPr>
        <w:ind w:firstLine="420" w:firstLineChars="200"/>
        <w:rPr>
          <w:rFonts w:ascii="宋体" w:hAnsi="宋体"/>
          <w:szCs w:val="21"/>
        </w:rPr>
      </w:pPr>
      <w:r>
        <w:rPr>
          <w:rFonts w:hint="eastAsia" w:ascii="宋体" w:hAnsi="宋体"/>
          <w:szCs w:val="21"/>
        </w:rPr>
        <w:t xml:space="preserve">3、  </w:t>
      </w:r>
    </w:p>
    <w:p w14:paraId="426138E2">
      <w:pPr>
        <w:ind w:firstLine="420" w:firstLineChars="200"/>
        <w:rPr>
          <w:rFonts w:ascii="宋体" w:hAnsi="宋体"/>
          <w:szCs w:val="21"/>
        </w:rPr>
      </w:pPr>
      <w:r>
        <w:rPr>
          <w:rFonts w:hint="eastAsia" w:ascii="宋体" w:hAnsi="宋体"/>
          <w:szCs w:val="21"/>
        </w:rPr>
        <w:t>4、 其他合同未明示的相关工作。</w:t>
      </w:r>
    </w:p>
    <w:p w14:paraId="164EB915">
      <w:pPr>
        <w:ind w:firstLine="422" w:firstLineChars="200"/>
        <w:rPr>
          <w:rFonts w:ascii="宋体" w:hAnsi="宋体"/>
          <w:b/>
          <w:bCs/>
          <w:szCs w:val="21"/>
        </w:rPr>
      </w:pPr>
      <w:r>
        <w:rPr>
          <w:rFonts w:hint="eastAsia" w:ascii="宋体" w:hAnsi="宋体"/>
          <w:b/>
          <w:bCs/>
          <w:szCs w:val="21"/>
        </w:rPr>
        <w:t>第三条  时间要求及阶段成果</w:t>
      </w:r>
    </w:p>
    <w:p w14:paraId="1BCD81CB">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425A5311">
      <w:pPr>
        <w:ind w:firstLine="420" w:firstLineChars="200"/>
        <w:rPr>
          <w:rFonts w:ascii="宋体" w:hAnsi="宋体"/>
          <w:szCs w:val="21"/>
        </w:rPr>
      </w:pPr>
      <w:r>
        <w:rPr>
          <w:rFonts w:hint="eastAsia" w:ascii="宋体" w:hAnsi="宋体"/>
          <w:szCs w:val="21"/>
        </w:rPr>
        <w:t xml:space="preserve">2、 </w:t>
      </w:r>
    </w:p>
    <w:p w14:paraId="7E7BA8DE">
      <w:pPr>
        <w:ind w:firstLine="420" w:firstLineChars="200"/>
        <w:rPr>
          <w:rFonts w:ascii="宋体" w:hAnsi="宋体"/>
          <w:szCs w:val="21"/>
        </w:rPr>
      </w:pPr>
      <w:r>
        <w:rPr>
          <w:rFonts w:hint="eastAsia" w:ascii="宋体" w:hAnsi="宋体"/>
          <w:szCs w:val="21"/>
        </w:rPr>
        <w:t>3、</w:t>
      </w:r>
    </w:p>
    <w:p w14:paraId="6103AAFF">
      <w:pPr>
        <w:ind w:firstLine="420" w:firstLineChars="200"/>
        <w:rPr>
          <w:rFonts w:ascii="宋体" w:hAnsi="宋体"/>
          <w:szCs w:val="21"/>
        </w:rPr>
      </w:pPr>
      <w:r>
        <w:rPr>
          <w:rFonts w:hint="eastAsia" w:ascii="宋体" w:hAnsi="宋体"/>
          <w:szCs w:val="21"/>
        </w:rPr>
        <w:t>4、</w:t>
      </w:r>
    </w:p>
    <w:p w14:paraId="20236E5B">
      <w:pPr>
        <w:ind w:firstLine="422" w:firstLineChars="200"/>
        <w:rPr>
          <w:rFonts w:ascii="宋体" w:hAnsi="宋体"/>
          <w:b/>
          <w:bCs/>
          <w:szCs w:val="21"/>
        </w:rPr>
      </w:pPr>
      <w:r>
        <w:rPr>
          <w:rFonts w:hint="eastAsia" w:ascii="宋体" w:hAnsi="宋体"/>
          <w:b/>
          <w:bCs/>
          <w:szCs w:val="21"/>
        </w:rPr>
        <w:t>第四条  咨询服务资料归属</w:t>
      </w:r>
    </w:p>
    <w:p w14:paraId="72343C12">
      <w:pPr>
        <w:ind w:firstLine="420" w:firstLineChars="200"/>
      </w:pPr>
      <w:r>
        <w:t>1</w:t>
      </w:r>
      <w:r>
        <w:rPr>
          <w:rFonts w:hint="eastAsia"/>
        </w:rPr>
        <w:t>、</w:t>
      </w:r>
      <w:r>
        <w:t>所有提交给</w:t>
      </w:r>
      <w:r>
        <w:rPr>
          <w:rFonts w:hint="eastAsia"/>
        </w:rPr>
        <w:t>甲</w:t>
      </w:r>
      <w:r>
        <w:t>方的咨询服务</w:t>
      </w:r>
      <w:r>
        <w:rPr>
          <w:rFonts w:hint="eastAsia"/>
        </w:rPr>
        <w:t>文件</w:t>
      </w:r>
      <w:r>
        <w:t>及相关的资料的最后文本，包括为履行技术咨询服务范围所编制的图纸、计划和证明资料等，都属于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13F7A256">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方的书面同意，不得将上述资料用于与本咨询服务项目之外的任何项目</w:t>
      </w:r>
      <w:r>
        <w:rPr>
          <w:rFonts w:hint="eastAsia"/>
        </w:rPr>
        <w:t>。</w:t>
      </w:r>
    </w:p>
    <w:p w14:paraId="0D3E98B4">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7D1DBDF3">
      <w:pPr>
        <w:ind w:firstLine="422" w:firstLineChars="200"/>
        <w:rPr>
          <w:rFonts w:ascii="宋体" w:hAnsi="宋体"/>
          <w:b/>
          <w:bCs/>
          <w:szCs w:val="21"/>
        </w:rPr>
      </w:pPr>
      <w:r>
        <w:rPr>
          <w:rFonts w:hint="eastAsia" w:ascii="宋体" w:hAnsi="宋体"/>
          <w:b/>
          <w:bCs/>
          <w:szCs w:val="21"/>
        </w:rPr>
        <w:t>第五条  甲方的义务</w:t>
      </w:r>
    </w:p>
    <w:p w14:paraId="63181B5C">
      <w:pPr>
        <w:ind w:firstLine="420" w:firstLineChars="200"/>
        <w:rPr>
          <w:rFonts w:ascii="宋体" w:hAnsi="宋体"/>
          <w:szCs w:val="21"/>
        </w:rPr>
      </w:pPr>
      <w:r>
        <w:rPr>
          <w:rFonts w:hint="eastAsia" w:ascii="宋体" w:hAnsi="宋体"/>
          <w:szCs w:val="21"/>
        </w:rPr>
        <w:t>1、负责与本咨询服务项目有关的第三方的协调，提供开展咨询服务工作的外部条件。</w:t>
      </w:r>
    </w:p>
    <w:p w14:paraId="4EAC1929">
      <w:pPr>
        <w:ind w:firstLine="420" w:firstLineChars="200"/>
        <w:rPr>
          <w:rFonts w:ascii="宋体" w:hAnsi="宋体"/>
          <w:szCs w:val="21"/>
        </w:rPr>
      </w:pPr>
      <w:r>
        <w:rPr>
          <w:rFonts w:hint="eastAsia" w:ascii="宋体" w:hAnsi="宋体"/>
          <w:szCs w:val="21"/>
        </w:rPr>
        <w:t>2、向乙方提供与本项目咨询服务工作有关的资料。</w:t>
      </w:r>
    </w:p>
    <w:p w14:paraId="6012EB4D">
      <w:pPr>
        <w:ind w:firstLine="420" w:firstLineChars="200"/>
        <w:rPr>
          <w:rFonts w:ascii="宋体" w:hAnsi="宋体"/>
          <w:szCs w:val="21"/>
        </w:rPr>
      </w:pPr>
      <w:r>
        <w:rPr>
          <w:rFonts w:hint="eastAsia" w:ascii="宋体" w:hAnsi="宋体"/>
          <w:szCs w:val="21"/>
        </w:rPr>
        <w:t>3、负责组织有关专家对项目试验成果评估报告的评审。</w:t>
      </w:r>
    </w:p>
    <w:p w14:paraId="5D03B72E">
      <w:pPr>
        <w:ind w:firstLine="422" w:firstLineChars="200"/>
        <w:rPr>
          <w:rFonts w:ascii="宋体" w:hAnsi="宋体"/>
          <w:b/>
          <w:bCs/>
          <w:szCs w:val="21"/>
        </w:rPr>
      </w:pPr>
      <w:r>
        <w:rPr>
          <w:rFonts w:hint="eastAsia" w:ascii="宋体" w:hAnsi="宋体"/>
          <w:b/>
          <w:bCs/>
          <w:szCs w:val="21"/>
        </w:rPr>
        <w:t>第</w:t>
      </w:r>
      <w:r>
        <w:rPr>
          <w:rFonts w:hint="eastAsia" w:ascii="宋体" w:hAnsi="宋体"/>
          <w:b/>
          <w:bCs/>
          <w:szCs w:val="21"/>
          <w:lang w:val="en-US" w:eastAsia="zh-CN"/>
        </w:rPr>
        <w:t>六</w:t>
      </w:r>
      <w:r>
        <w:rPr>
          <w:rFonts w:hint="eastAsia" w:ascii="宋体" w:hAnsi="宋体"/>
          <w:b/>
          <w:bCs/>
          <w:szCs w:val="21"/>
        </w:rPr>
        <w:t>条　乙方的义务</w:t>
      </w:r>
    </w:p>
    <w:p w14:paraId="1EA62D6D">
      <w:pPr>
        <w:ind w:firstLine="420" w:firstLineChars="200"/>
        <w:rPr>
          <w:rFonts w:ascii="宋体" w:hAnsi="宋体"/>
          <w:szCs w:val="21"/>
        </w:rPr>
      </w:pPr>
      <w:r>
        <w:rPr>
          <w:rFonts w:hint="eastAsia" w:ascii="宋体" w:hAnsi="宋体"/>
          <w:szCs w:val="21"/>
        </w:rPr>
        <w:t>１、应按照谈判文件及应答文件要求按期完成本项目咨询服务工作。</w:t>
      </w:r>
    </w:p>
    <w:p w14:paraId="08CB9668">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14:paraId="5B49AA45">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14:paraId="5E6EF371">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10BDA1DB">
      <w:pPr>
        <w:ind w:firstLine="422" w:firstLineChars="200"/>
        <w:rPr>
          <w:rFonts w:ascii="宋体" w:hAnsi="宋体"/>
          <w:b/>
          <w:bCs/>
          <w:szCs w:val="21"/>
        </w:rPr>
      </w:pPr>
      <w:r>
        <w:rPr>
          <w:rFonts w:hint="eastAsia" w:ascii="宋体" w:hAnsi="宋体"/>
          <w:b/>
          <w:bCs/>
          <w:szCs w:val="21"/>
        </w:rPr>
        <w:t>第</w:t>
      </w:r>
      <w:r>
        <w:rPr>
          <w:rFonts w:hint="eastAsia" w:ascii="宋体" w:hAnsi="宋体"/>
          <w:b/>
          <w:bCs/>
          <w:szCs w:val="21"/>
          <w:lang w:val="en-US" w:eastAsia="zh-CN"/>
        </w:rPr>
        <w:t>七</w:t>
      </w:r>
      <w:r>
        <w:rPr>
          <w:rFonts w:hint="eastAsia" w:ascii="宋体" w:hAnsi="宋体"/>
          <w:b/>
          <w:bCs/>
          <w:szCs w:val="21"/>
        </w:rPr>
        <w:t>条  甲方的权利</w:t>
      </w:r>
    </w:p>
    <w:p w14:paraId="496CD487">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3080E29C">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06091F3C">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139D72FE">
      <w:pPr>
        <w:ind w:firstLine="422" w:firstLineChars="200"/>
        <w:rPr>
          <w:rFonts w:ascii="宋体" w:hAnsi="宋体"/>
          <w:b/>
          <w:bCs/>
          <w:szCs w:val="21"/>
        </w:rPr>
      </w:pPr>
      <w:r>
        <w:rPr>
          <w:rFonts w:hint="eastAsia" w:ascii="宋体" w:hAnsi="宋体"/>
          <w:b/>
          <w:bCs/>
          <w:szCs w:val="21"/>
        </w:rPr>
        <w:t>第</w:t>
      </w:r>
      <w:r>
        <w:rPr>
          <w:rFonts w:hint="eastAsia" w:ascii="宋体" w:hAnsi="宋体"/>
          <w:b/>
          <w:bCs/>
          <w:szCs w:val="21"/>
          <w:lang w:val="en-US" w:eastAsia="zh-CN"/>
        </w:rPr>
        <w:t>八</w:t>
      </w:r>
      <w:r>
        <w:rPr>
          <w:rFonts w:hint="eastAsia" w:ascii="宋体" w:hAnsi="宋体"/>
          <w:b/>
          <w:bCs/>
          <w:szCs w:val="21"/>
        </w:rPr>
        <w:t>条  乙方的权利</w:t>
      </w:r>
    </w:p>
    <w:p w14:paraId="421AFA16">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0E7025BC">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14:paraId="5FA903C5">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683942CB">
      <w:pPr>
        <w:ind w:firstLine="422" w:firstLineChars="200"/>
        <w:rPr>
          <w:rFonts w:ascii="宋体" w:hAnsi="宋体"/>
          <w:b/>
          <w:bCs/>
          <w:szCs w:val="21"/>
        </w:rPr>
      </w:pPr>
      <w:r>
        <w:rPr>
          <w:rFonts w:hint="eastAsia" w:ascii="宋体" w:hAnsi="宋体"/>
          <w:b/>
          <w:bCs/>
          <w:szCs w:val="21"/>
        </w:rPr>
        <w:t>第</w:t>
      </w:r>
      <w:r>
        <w:rPr>
          <w:rFonts w:hint="eastAsia" w:ascii="宋体" w:hAnsi="宋体"/>
          <w:b/>
          <w:bCs/>
          <w:szCs w:val="21"/>
          <w:lang w:val="en-US" w:eastAsia="zh-CN"/>
        </w:rPr>
        <w:t>九</w:t>
      </w:r>
      <w:r>
        <w:rPr>
          <w:rFonts w:hint="eastAsia" w:ascii="宋体" w:hAnsi="宋体"/>
          <w:b/>
          <w:bCs/>
          <w:szCs w:val="21"/>
        </w:rPr>
        <w:t>条  甲方的责任</w:t>
      </w:r>
    </w:p>
    <w:p w14:paraId="0D5B0F41">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56770E16">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6A1FA98E">
      <w:pPr>
        <w:ind w:firstLine="422" w:firstLineChars="200"/>
        <w:rPr>
          <w:rFonts w:ascii="宋体" w:hAnsi="宋体"/>
          <w:b/>
          <w:bCs/>
          <w:szCs w:val="21"/>
        </w:rPr>
      </w:pPr>
      <w:r>
        <w:rPr>
          <w:rFonts w:hint="eastAsia" w:ascii="宋体" w:hAnsi="宋体"/>
          <w:b/>
          <w:bCs/>
          <w:szCs w:val="21"/>
        </w:rPr>
        <w:t>第十条  乙方的责任</w:t>
      </w:r>
    </w:p>
    <w:p w14:paraId="7F690F50">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52D7E5A1">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3E0F7D2F">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3D057CFE">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6925C8B3">
      <w:pPr>
        <w:ind w:firstLine="422" w:firstLineChars="200"/>
        <w:rPr>
          <w:rFonts w:ascii="宋体" w:hAnsi="宋体"/>
          <w:b/>
          <w:bCs/>
          <w:szCs w:val="21"/>
        </w:rPr>
      </w:pPr>
      <w:r>
        <w:rPr>
          <w:rFonts w:hint="eastAsia" w:ascii="宋体" w:hAnsi="宋体"/>
          <w:b/>
          <w:bCs/>
          <w:szCs w:val="21"/>
        </w:rPr>
        <w:t>第十</w:t>
      </w:r>
      <w:r>
        <w:rPr>
          <w:rFonts w:hint="eastAsia" w:ascii="宋体" w:hAnsi="宋体"/>
          <w:b/>
          <w:bCs/>
          <w:szCs w:val="21"/>
          <w:lang w:val="en-US" w:eastAsia="zh-CN"/>
        </w:rPr>
        <w:t>一</w:t>
      </w:r>
      <w:r>
        <w:rPr>
          <w:rFonts w:hint="eastAsia" w:ascii="宋体" w:hAnsi="宋体"/>
          <w:b/>
          <w:bCs/>
          <w:szCs w:val="21"/>
        </w:rPr>
        <w:t>条  人员要求</w:t>
      </w:r>
    </w:p>
    <w:p w14:paraId="32AA7934">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14:paraId="2B30C133">
      <w:pPr>
        <w:ind w:firstLine="420" w:firstLineChars="200"/>
        <w:rPr>
          <w:rFonts w:ascii="宋体" w:hAnsi="宋体"/>
          <w:szCs w:val="21"/>
        </w:rPr>
      </w:pPr>
      <w:r>
        <w:rPr>
          <w:rFonts w:hint="eastAsia" w:ascii="宋体" w:hAnsi="宋体"/>
          <w:szCs w:val="21"/>
        </w:rPr>
        <w:t>2、 参加本项目的试验人员的配置必须与应答文件中的服务承诺书和试验服务组织实施方案一致。</w:t>
      </w:r>
    </w:p>
    <w:p w14:paraId="6146A918">
      <w:pPr>
        <w:ind w:firstLine="420" w:firstLineChars="200"/>
        <w:rPr>
          <w:rFonts w:ascii="宋体" w:hAnsi="宋体"/>
          <w:szCs w:val="21"/>
        </w:rPr>
      </w:pPr>
      <w:r>
        <w:rPr>
          <w:rFonts w:hint="eastAsia" w:ascii="宋体" w:hAnsi="宋体"/>
          <w:szCs w:val="21"/>
        </w:rPr>
        <w:t>3、必须以直属试验人员参与本项目服务，不得使用挂靠队伍。</w:t>
      </w:r>
    </w:p>
    <w:p w14:paraId="1749D814">
      <w:pPr>
        <w:ind w:firstLine="422" w:firstLineChars="200"/>
        <w:rPr>
          <w:rFonts w:ascii="宋体" w:hAnsi="宋体"/>
          <w:b/>
          <w:bCs/>
          <w:szCs w:val="21"/>
        </w:rPr>
      </w:pPr>
      <w:r>
        <w:rPr>
          <w:rFonts w:hint="eastAsia" w:ascii="宋体" w:hAnsi="宋体"/>
          <w:b/>
          <w:bCs/>
          <w:szCs w:val="21"/>
        </w:rPr>
        <w:t>第十</w:t>
      </w:r>
      <w:r>
        <w:rPr>
          <w:rFonts w:hint="eastAsia" w:ascii="宋体" w:hAnsi="宋体"/>
          <w:b/>
          <w:bCs/>
          <w:szCs w:val="21"/>
          <w:lang w:val="en-US" w:eastAsia="zh-CN"/>
        </w:rPr>
        <w:t>二</w:t>
      </w:r>
      <w:r>
        <w:rPr>
          <w:rFonts w:hint="eastAsia" w:ascii="宋体" w:hAnsi="宋体"/>
          <w:b/>
          <w:bCs/>
          <w:szCs w:val="21"/>
        </w:rPr>
        <w:t>条  乙方咨询服务工具要求</w:t>
      </w:r>
    </w:p>
    <w:p w14:paraId="54AEC437">
      <w:pPr>
        <w:ind w:firstLine="420" w:firstLineChars="200"/>
        <w:rPr>
          <w:rFonts w:ascii="宋体" w:hAnsi="宋体"/>
          <w:szCs w:val="21"/>
        </w:rPr>
      </w:pPr>
      <w:r>
        <w:rPr>
          <w:rFonts w:hint="eastAsia" w:ascii="宋体" w:hAnsi="宋体"/>
          <w:szCs w:val="21"/>
        </w:rPr>
        <w:t>1、乙方应配备成交项目所需的足够数量的仪器、仪表以及工具等设备。用户不需向乙方提供施工工具和仪器、仪表。</w:t>
      </w:r>
    </w:p>
    <w:p w14:paraId="5FDDFE53">
      <w:pPr>
        <w:ind w:firstLine="420" w:firstLineChars="200"/>
        <w:rPr>
          <w:rFonts w:ascii="宋体" w:hAnsi="宋体"/>
          <w:szCs w:val="21"/>
        </w:rPr>
      </w:pPr>
      <w:r>
        <w:rPr>
          <w:rFonts w:hint="eastAsia" w:ascii="宋体" w:hAnsi="宋体"/>
          <w:szCs w:val="21"/>
        </w:rPr>
        <w:t>2、乙方在提供服务过程中应自备车辆。</w:t>
      </w:r>
    </w:p>
    <w:p w14:paraId="4F26D541">
      <w:pPr>
        <w:ind w:firstLine="422" w:firstLineChars="200"/>
        <w:rPr>
          <w:rFonts w:ascii="宋体" w:hAnsi="宋体"/>
          <w:b/>
          <w:bCs/>
          <w:szCs w:val="21"/>
        </w:rPr>
      </w:pPr>
      <w:r>
        <w:rPr>
          <w:rFonts w:hint="eastAsia" w:ascii="宋体" w:hAnsi="宋体"/>
          <w:b/>
          <w:bCs/>
          <w:szCs w:val="21"/>
        </w:rPr>
        <w:t>第十</w:t>
      </w:r>
      <w:r>
        <w:rPr>
          <w:rFonts w:hint="eastAsia" w:ascii="宋体" w:hAnsi="宋体"/>
          <w:b/>
          <w:bCs/>
          <w:szCs w:val="21"/>
          <w:lang w:val="en-US" w:eastAsia="zh-CN"/>
        </w:rPr>
        <w:t>三</w:t>
      </w:r>
      <w:r>
        <w:rPr>
          <w:rFonts w:hint="eastAsia" w:ascii="宋体" w:hAnsi="宋体"/>
          <w:b/>
          <w:bCs/>
          <w:szCs w:val="21"/>
        </w:rPr>
        <w:t>条  保密要求</w:t>
      </w:r>
    </w:p>
    <w:p w14:paraId="14BFAB2D">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422771D">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415FE5CC">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56428220">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2D275AA1">
      <w:pPr>
        <w:ind w:firstLine="422" w:firstLineChars="200"/>
        <w:rPr>
          <w:rFonts w:ascii="宋体" w:hAnsi="宋体"/>
          <w:b/>
          <w:bCs/>
          <w:szCs w:val="21"/>
        </w:rPr>
      </w:pPr>
      <w:r>
        <w:rPr>
          <w:rFonts w:hint="eastAsia" w:ascii="宋体" w:hAnsi="宋体"/>
          <w:b/>
          <w:bCs/>
          <w:szCs w:val="21"/>
        </w:rPr>
        <w:t>第十</w:t>
      </w:r>
      <w:r>
        <w:rPr>
          <w:rFonts w:hint="eastAsia" w:ascii="宋体" w:hAnsi="宋体"/>
          <w:b/>
          <w:bCs/>
          <w:szCs w:val="21"/>
          <w:lang w:val="en-US" w:eastAsia="zh-CN"/>
        </w:rPr>
        <w:t>四</w:t>
      </w:r>
      <w:r>
        <w:rPr>
          <w:rFonts w:hint="eastAsia" w:ascii="宋体" w:hAnsi="宋体"/>
          <w:b/>
          <w:bCs/>
          <w:szCs w:val="21"/>
        </w:rPr>
        <w:t xml:space="preserve">条  验收     </w:t>
      </w:r>
    </w:p>
    <w:p w14:paraId="7EAC41F0">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1024EA3E">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4EF0C93D">
      <w:pPr>
        <w:ind w:firstLine="420" w:firstLineChars="200"/>
        <w:rPr>
          <w:rFonts w:ascii="宋体" w:hAnsi="宋体"/>
          <w:szCs w:val="21"/>
        </w:rPr>
      </w:pPr>
      <w:r>
        <w:rPr>
          <w:rFonts w:hint="eastAsia" w:ascii="宋体" w:hAnsi="宋体"/>
          <w:szCs w:val="21"/>
        </w:rPr>
        <w:t>3、验收依据为谈判文件、应答文件，国家和行业有关规范、规程和标准。</w:t>
      </w:r>
    </w:p>
    <w:p w14:paraId="451B450A">
      <w:pPr>
        <w:ind w:firstLine="422" w:firstLineChars="200"/>
        <w:rPr>
          <w:rFonts w:ascii="宋体" w:hAnsi="宋体"/>
          <w:b/>
          <w:bCs/>
          <w:szCs w:val="21"/>
        </w:rPr>
      </w:pPr>
      <w:r>
        <w:rPr>
          <w:rFonts w:hint="eastAsia" w:ascii="宋体" w:hAnsi="宋体"/>
          <w:b/>
          <w:bCs/>
          <w:szCs w:val="21"/>
        </w:rPr>
        <w:t>第十五条  付款方式</w:t>
      </w:r>
    </w:p>
    <w:p w14:paraId="6A2A5711">
      <w:pPr>
        <w:ind w:firstLine="420" w:firstLineChars="200"/>
        <w:rPr>
          <w:rFonts w:ascii="宋体" w:hAnsi="宋体"/>
          <w:szCs w:val="21"/>
        </w:rPr>
      </w:pPr>
      <w:r>
        <w:rPr>
          <w:rFonts w:hint="eastAsia" w:ascii="宋体" w:hAnsi="宋体"/>
          <w:szCs w:val="21"/>
        </w:rPr>
        <w:t>1、合同签订后天内乙方向甲方开具合法有效的发票后，甲方向乙方支付合同总价%的款项。</w:t>
      </w:r>
    </w:p>
    <w:p w14:paraId="56E8B95F">
      <w:pPr>
        <w:ind w:firstLine="420" w:firstLineChars="200"/>
        <w:rPr>
          <w:rFonts w:ascii="宋体" w:hAnsi="宋体"/>
          <w:szCs w:val="21"/>
        </w:rPr>
      </w:pPr>
      <w:r>
        <w:rPr>
          <w:rFonts w:hint="eastAsia" w:ascii="宋体" w:hAnsi="宋体"/>
          <w:szCs w:val="21"/>
        </w:rPr>
        <w:t>2、检测完成并提交评估报告后   天内，乙方向甲方开具合法有效发票后  天内甲方向乙方支付合同总价%的款项。</w:t>
      </w:r>
    </w:p>
    <w:p w14:paraId="51D2557B">
      <w:pPr>
        <w:ind w:firstLine="420" w:firstLineChars="200"/>
        <w:rPr>
          <w:rFonts w:ascii="宋体" w:hAnsi="宋体"/>
          <w:szCs w:val="21"/>
        </w:rPr>
      </w:pPr>
      <w:r>
        <w:rPr>
          <w:rFonts w:hint="eastAsia" w:ascii="宋体" w:hAnsi="宋体"/>
          <w:szCs w:val="21"/>
        </w:rPr>
        <w:t>3、报告通过专家评审后  天内，乙方向甲方开具合法有效发票后 天内，甲方向乙方支付合同总价%的款项。</w:t>
      </w:r>
    </w:p>
    <w:p w14:paraId="5A592D78">
      <w:pPr>
        <w:ind w:firstLine="422" w:firstLineChars="200"/>
        <w:rPr>
          <w:rFonts w:ascii="宋体" w:hAnsi="宋体"/>
          <w:b/>
          <w:bCs/>
          <w:szCs w:val="21"/>
        </w:rPr>
      </w:pPr>
      <w:r>
        <w:rPr>
          <w:rFonts w:hint="eastAsia" w:ascii="宋体" w:hAnsi="宋体"/>
          <w:b/>
          <w:bCs/>
          <w:szCs w:val="21"/>
        </w:rPr>
        <w:t>第十六条  争议解决办法</w:t>
      </w:r>
    </w:p>
    <w:p w14:paraId="1E786C04">
      <w:r>
        <w:rPr>
          <w:rFonts w:hint="eastAsia" w:ascii="宋体" w:hAnsi="宋体"/>
          <w:szCs w:val="21"/>
        </w:rPr>
        <w:t>执行本合同发生的争议，由甲乙双方协商解决。如协商不成的，应提交甲方所在地人民法院诉讼解决。</w:t>
      </w:r>
    </w:p>
    <w:p w14:paraId="71CAF3F6">
      <w:pPr>
        <w:ind w:firstLine="420" w:firstLineChars="200"/>
        <w:rPr>
          <w:rFonts w:ascii="宋体" w:hAnsi="宋体"/>
          <w:szCs w:val="21"/>
        </w:rPr>
      </w:pPr>
    </w:p>
    <w:p w14:paraId="2DA31C45">
      <w:pPr>
        <w:ind w:firstLine="422" w:firstLineChars="200"/>
        <w:rPr>
          <w:rFonts w:ascii="宋体" w:hAnsi="宋体"/>
          <w:b/>
          <w:bCs/>
          <w:szCs w:val="21"/>
        </w:rPr>
      </w:pPr>
      <w:r>
        <w:rPr>
          <w:rFonts w:hint="eastAsia" w:ascii="宋体" w:hAnsi="宋体"/>
          <w:b/>
          <w:bCs/>
          <w:szCs w:val="21"/>
        </w:rPr>
        <w:t>第十七条  风险责任</w:t>
      </w:r>
    </w:p>
    <w:p w14:paraId="7E628D7C">
      <w:pPr>
        <w:ind w:firstLine="420" w:firstLineChars="200"/>
        <w:rPr>
          <w:rFonts w:ascii="宋体" w:hAnsi="宋体"/>
          <w:szCs w:val="21"/>
        </w:rPr>
      </w:pPr>
      <w:r>
        <w:rPr>
          <w:rFonts w:hint="eastAsia" w:ascii="宋体" w:hAnsi="宋体"/>
          <w:szCs w:val="21"/>
        </w:rPr>
        <w:t>１、乙方应完全地按照号谈判文件的要求和乙方投标（应答）文件的承诺完成本项目，出于自身财务、技术、人力等原因导致项目失败的，应承担全部责任。</w:t>
      </w:r>
    </w:p>
    <w:p w14:paraId="458894BE">
      <w:pPr>
        <w:ind w:firstLine="420" w:firstLineChars="200"/>
        <w:rPr>
          <w:rFonts w:ascii="宋体" w:hAnsi="宋体"/>
          <w:szCs w:val="21"/>
        </w:rPr>
      </w:pPr>
      <w:r>
        <w:rPr>
          <w:rFonts w:hint="eastAsia" w:ascii="宋体" w:hAnsi="宋体"/>
          <w:szCs w:val="21"/>
        </w:rPr>
        <w:t>2、乙方在实施荷载试验过程中应对自身的安全生产负责，若非甲方原因发生的各种事故甲方不承担任何责任。</w:t>
      </w:r>
    </w:p>
    <w:p w14:paraId="7CE20368">
      <w:pPr>
        <w:ind w:firstLine="422" w:firstLineChars="200"/>
        <w:rPr>
          <w:rFonts w:ascii="宋体" w:hAnsi="宋体"/>
          <w:b/>
          <w:bCs/>
          <w:szCs w:val="21"/>
        </w:rPr>
      </w:pPr>
      <w:r>
        <w:rPr>
          <w:rFonts w:hint="eastAsia" w:ascii="宋体" w:hAnsi="宋体"/>
          <w:b/>
          <w:bCs/>
          <w:szCs w:val="21"/>
        </w:rPr>
        <w:t>第十八条  违约责任</w:t>
      </w:r>
    </w:p>
    <w:p w14:paraId="1E670F70">
      <w:pPr>
        <w:pStyle w:val="19"/>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688EEA40">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14:paraId="5814C0F9">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19DBF175">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应答）文件承诺的仪器设备，否则甲方有权终止合同，并保留追究乙方责任及要求赔偿损失的权利。</w:t>
      </w:r>
    </w:p>
    <w:p w14:paraId="762E3326">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13CCD328">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2BDECEC8">
      <w:pPr>
        <w:ind w:firstLine="422" w:firstLineChars="200"/>
        <w:rPr>
          <w:rFonts w:ascii="宋体" w:hAnsi="宋体"/>
          <w:b/>
          <w:bCs/>
          <w:szCs w:val="21"/>
        </w:rPr>
      </w:pPr>
      <w:r>
        <w:rPr>
          <w:rFonts w:hint="eastAsia" w:ascii="宋体" w:hAnsi="宋体"/>
          <w:b/>
          <w:bCs/>
          <w:szCs w:val="21"/>
        </w:rPr>
        <w:t>第十九条  其他</w:t>
      </w:r>
    </w:p>
    <w:p w14:paraId="65245577">
      <w:pPr>
        <w:ind w:firstLine="420" w:firstLineChars="200"/>
        <w:rPr>
          <w:rFonts w:hint="eastAsia" w:ascii="宋体" w:hAnsi="宋体"/>
          <w:szCs w:val="21"/>
        </w:rPr>
      </w:pPr>
      <w:r>
        <w:rPr>
          <w:rFonts w:hint="eastAsia" w:ascii="宋体" w:hAnsi="宋体"/>
          <w:szCs w:val="21"/>
        </w:rPr>
        <w:t>1、本协议书与下列文件一起构成合同文件，如下述文件之间有任何抵触、矛盾或歧义，应按以下顺序解释：</w:t>
      </w:r>
    </w:p>
    <w:p w14:paraId="7B90ABE8">
      <w:pPr>
        <w:ind w:firstLine="420" w:firstLineChars="200"/>
        <w:rPr>
          <w:rFonts w:hint="eastAsia" w:ascii="宋体" w:hAnsi="宋体"/>
          <w:szCs w:val="21"/>
        </w:rPr>
      </w:pPr>
      <w:r>
        <w:rPr>
          <w:rFonts w:hint="eastAsia" w:ascii="宋体" w:hAnsi="宋体"/>
          <w:szCs w:val="21"/>
        </w:rPr>
        <w:t>（1）政府采购合同协议书及其变更、补充协议</w:t>
      </w:r>
    </w:p>
    <w:p w14:paraId="71EA9F45">
      <w:pPr>
        <w:ind w:firstLine="420" w:firstLineChars="200"/>
        <w:rPr>
          <w:rFonts w:hint="eastAsia" w:ascii="宋体" w:hAnsi="宋体"/>
          <w:szCs w:val="21"/>
        </w:rPr>
      </w:pPr>
      <w:r>
        <w:rPr>
          <w:rFonts w:hint="eastAsia" w:ascii="宋体" w:hAnsi="宋体"/>
          <w:szCs w:val="21"/>
        </w:rPr>
        <w:t>（2）政府采购合同专用条款</w:t>
      </w:r>
    </w:p>
    <w:p w14:paraId="1834EBD8">
      <w:pPr>
        <w:ind w:firstLine="420" w:firstLineChars="200"/>
        <w:rPr>
          <w:rFonts w:hint="eastAsia" w:ascii="宋体" w:hAnsi="宋体"/>
          <w:szCs w:val="21"/>
        </w:rPr>
      </w:pPr>
      <w:r>
        <w:rPr>
          <w:rFonts w:hint="eastAsia" w:ascii="宋体" w:hAnsi="宋体"/>
          <w:szCs w:val="21"/>
        </w:rPr>
        <w:t>（3）政府采购合同通用条款</w:t>
      </w:r>
    </w:p>
    <w:p w14:paraId="2D0815E7">
      <w:pPr>
        <w:ind w:firstLine="420" w:firstLineChars="200"/>
        <w:rPr>
          <w:rFonts w:hint="eastAsia" w:ascii="宋体" w:hAnsi="宋体"/>
          <w:szCs w:val="21"/>
        </w:rPr>
      </w:pPr>
      <w:r>
        <w:rPr>
          <w:rFonts w:hint="eastAsia" w:ascii="宋体" w:hAnsi="宋体"/>
          <w:szCs w:val="21"/>
        </w:rPr>
        <w:t>（4）中标（成交）通知书</w:t>
      </w:r>
    </w:p>
    <w:p w14:paraId="27A2D4FA">
      <w:pPr>
        <w:ind w:firstLine="420" w:firstLineChars="200"/>
        <w:rPr>
          <w:rFonts w:hint="eastAsia" w:ascii="宋体" w:hAnsi="宋体"/>
          <w:szCs w:val="21"/>
        </w:rPr>
      </w:pPr>
      <w:r>
        <w:rPr>
          <w:rFonts w:hint="eastAsia" w:ascii="宋体" w:hAnsi="宋体"/>
          <w:szCs w:val="21"/>
        </w:rPr>
        <w:t>（5）投标（响应）文件</w:t>
      </w:r>
    </w:p>
    <w:p w14:paraId="76AE583D">
      <w:pPr>
        <w:ind w:firstLine="420" w:firstLineChars="200"/>
        <w:rPr>
          <w:rFonts w:hint="eastAsia" w:ascii="宋体" w:hAnsi="宋体"/>
          <w:szCs w:val="21"/>
        </w:rPr>
      </w:pPr>
      <w:r>
        <w:rPr>
          <w:rFonts w:hint="eastAsia" w:ascii="宋体" w:hAnsi="宋体"/>
          <w:szCs w:val="21"/>
        </w:rPr>
        <w:t>（6）采购文件</w:t>
      </w:r>
    </w:p>
    <w:p w14:paraId="25A66519">
      <w:pPr>
        <w:ind w:firstLine="420" w:firstLineChars="200"/>
        <w:rPr>
          <w:rFonts w:hint="eastAsia" w:ascii="宋体" w:hAnsi="宋体"/>
          <w:szCs w:val="21"/>
        </w:rPr>
      </w:pPr>
      <w:r>
        <w:rPr>
          <w:rFonts w:hint="eastAsia" w:ascii="宋体" w:hAnsi="宋体"/>
          <w:szCs w:val="21"/>
        </w:rPr>
        <w:t>（7）有关技术文件，图纸</w:t>
      </w:r>
    </w:p>
    <w:p w14:paraId="010AF97B">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14:paraId="13B3CA30">
      <w:pPr>
        <w:ind w:firstLine="420" w:firstLineChars="200"/>
        <w:rPr>
          <w:rFonts w:ascii="宋体" w:hAnsi="宋体"/>
          <w:szCs w:val="21"/>
        </w:rPr>
      </w:pPr>
      <w:r>
        <w:rPr>
          <w:rFonts w:hint="eastAsia" w:ascii="宋体" w:hAnsi="宋体"/>
          <w:szCs w:val="21"/>
        </w:rPr>
        <w:t>2、下列文件均为本合同的组成部分：</w:t>
      </w:r>
    </w:p>
    <w:p w14:paraId="78220174">
      <w:pPr>
        <w:ind w:firstLine="420" w:firstLineChars="200"/>
        <w:rPr>
          <w:rFonts w:ascii="宋体" w:hAnsi="宋体"/>
          <w:szCs w:val="21"/>
        </w:rPr>
      </w:pPr>
      <w:r>
        <w:rPr>
          <w:rFonts w:hint="eastAsia" w:ascii="宋体" w:hAnsi="宋体"/>
          <w:szCs w:val="21"/>
        </w:rPr>
        <w:t>（1）谈判文件、答疑及补充通知；</w:t>
      </w:r>
    </w:p>
    <w:p w14:paraId="5AD637FF">
      <w:pPr>
        <w:ind w:firstLine="420" w:firstLineChars="200"/>
        <w:rPr>
          <w:rFonts w:ascii="宋体" w:hAnsi="宋体"/>
          <w:szCs w:val="21"/>
        </w:rPr>
      </w:pPr>
      <w:r>
        <w:rPr>
          <w:rFonts w:hint="eastAsia" w:ascii="宋体" w:hAnsi="宋体"/>
          <w:szCs w:val="21"/>
        </w:rPr>
        <w:t>（2）应答文件；</w:t>
      </w:r>
    </w:p>
    <w:p w14:paraId="5E5EFCCD">
      <w:pPr>
        <w:ind w:firstLine="420" w:firstLineChars="200"/>
        <w:rPr>
          <w:rFonts w:ascii="宋体" w:hAnsi="宋体"/>
          <w:szCs w:val="21"/>
        </w:rPr>
      </w:pPr>
      <w:r>
        <w:rPr>
          <w:rFonts w:hint="eastAsia" w:ascii="宋体" w:hAnsi="宋体"/>
          <w:szCs w:val="21"/>
        </w:rPr>
        <w:t>（3）本合同执行中共同签署的补充与修正文件。</w:t>
      </w:r>
    </w:p>
    <w:p w14:paraId="2F1995E4">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066A0236">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09E4CD06">
      <w:pPr>
        <w:ind w:firstLine="420" w:firstLineChars="200"/>
        <w:rPr>
          <w:rFonts w:ascii="宋体" w:hAnsi="宋体"/>
          <w:szCs w:val="21"/>
        </w:rPr>
      </w:pPr>
    </w:p>
    <w:p w14:paraId="0F294807">
      <w:pPr>
        <w:ind w:firstLine="420" w:firstLineChars="200"/>
        <w:rPr>
          <w:rFonts w:ascii="宋体" w:hAnsi="宋体"/>
          <w:szCs w:val="21"/>
        </w:rPr>
      </w:pPr>
    </w:p>
    <w:p w14:paraId="153E9F03">
      <w:pPr>
        <w:spacing w:line="360" w:lineRule="auto"/>
        <w:ind w:firstLine="560"/>
        <w:jc w:val="left"/>
        <w:rPr>
          <w:rFonts w:ascii="宋体" w:hAnsi="宋体"/>
          <w:szCs w:val="21"/>
        </w:rPr>
      </w:pPr>
      <w:r>
        <w:rPr>
          <w:rFonts w:hint="eastAsia" w:ascii="宋体" w:hAnsi="宋体"/>
          <w:szCs w:val="21"/>
        </w:rPr>
        <w:t>甲方（采购人）：   （盖章）       乙方（供应商）：    （盖章）</w:t>
      </w:r>
    </w:p>
    <w:p w14:paraId="752DC59B">
      <w:pPr>
        <w:spacing w:line="360" w:lineRule="auto"/>
        <w:ind w:firstLine="560"/>
        <w:jc w:val="left"/>
        <w:rPr>
          <w:rFonts w:ascii="宋体" w:hAnsi="宋体"/>
          <w:szCs w:val="21"/>
        </w:rPr>
      </w:pPr>
      <w:r>
        <w:rPr>
          <w:rFonts w:hint="eastAsia" w:ascii="宋体" w:hAnsi="宋体"/>
          <w:szCs w:val="21"/>
        </w:rPr>
        <w:t xml:space="preserve">法定代表人：                     法定代表人： </w:t>
      </w:r>
    </w:p>
    <w:p w14:paraId="06C83951">
      <w:pPr>
        <w:spacing w:line="360" w:lineRule="auto"/>
        <w:ind w:firstLine="560"/>
        <w:jc w:val="left"/>
        <w:rPr>
          <w:rFonts w:ascii="宋体" w:hAnsi="宋体"/>
          <w:szCs w:val="21"/>
        </w:rPr>
      </w:pPr>
      <w:r>
        <w:rPr>
          <w:rFonts w:hint="eastAsia" w:ascii="宋体" w:hAnsi="宋体"/>
          <w:szCs w:val="21"/>
        </w:rPr>
        <w:t>委托代理人：                     委托代理人：</w:t>
      </w:r>
    </w:p>
    <w:p w14:paraId="1A1C9EB7">
      <w:pPr>
        <w:ind w:firstLine="420" w:firstLineChars="200"/>
        <w:rPr>
          <w:rFonts w:ascii="宋体" w:hAnsi="宋体"/>
          <w:szCs w:val="21"/>
        </w:rPr>
      </w:pPr>
      <w:r>
        <w:rPr>
          <w:rFonts w:hint="eastAsia" w:ascii="宋体" w:hAnsi="宋体"/>
          <w:szCs w:val="21"/>
        </w:rPr>
        <w:t>日期：   年     月    日         日期：   年     月    日</w:t>
      </w:r>
    </w:p>
    <w:p w14:paraId="7EFEE9EA">
      <w:pPr>
        <w:ind w:firstLine="420" w:firstLineChars="200"/>
        <w:rPr>
          <w:rFonts w:ascii="宋体" w:hAnsi="宋体"/>
          <w:szCs w:val="21"/>
        </w:rPr>
      </w:pPr>
    </w:p>
    <w:p w14:paraId="670C814E">
      <w:pPr>
        <w:ind w:firstLine="420" w:firstLineChars="200"/>
        <w:rPr>
          <w:rFonts w:ascii="宋体" w:hAnsi="宋体"/>
          <w:szCs w:val="21"/>
        </w:rPr>
      </w:pPr>
    </w:p>
    <w:p w14:paraId="059700B3">
      <w:pPr>
        <w:ind w:firstLine="420" w:firstLineChars="200"/>
        <w:rPr>
          <w:rFonts w:ascii="宋体" w:hAnsi="宋体"/>
          <w:szCs w:val="21"/>
        </w:rPr>
      </w:pPr>
    </w:p>
    <w:p w14:paraId="2BCEB37F">
      <w:pPr>
        <w:ind w:firstLine="527" w:firstLineChars="250"/>
        <w:rPr>
          <w:rFonts w:ascii="宋体" w:hAnsi="宋体"/>
          <w:b/>
          <w:szCs w:val="21"/>
        </w:rPr>
        <w:sectPr>
          <w:pgSz w:w="11907" w:h="16840"/>
          <w:pgMar w:top="1440" w:right="1797" w:bottom="1440" w:left="1797" w:header="851" w:footer="992" w:gutter="0"/>
          <w:cols w:space="425" w:num="1"/>
          <w:titlePg/>
          <w:docGrid w:linePitch="462" w:charSpace="0"/>
        </w:sectPr>
      </w:pPr>
    </w:p>
    <w:p w14:paraId="72DD141B">
      <w:pPr>
        <w:pStyle w:val="7"/>
        <w:rPr>
          <w:kern w:val="2"/>
        </w:rPr>
      </w:pPr>
      <w:r>
        <w:rPr>
          <w:rFonts w:hint="eastAsia"/>
          <w:kern w:val="2"/>
        </w:rPr>
        <w:t xml:space="preserve">第六章 </w:t>
      </w:r>
      <w:r>
        <w:rPr>
          <w:kern w:val="2"/>
        </w:rPr>
        <w:t xml:space="preserve"> </w:t>
      </w:r>
      <w:r>
        <w:rPr>
          <w:rFonts w:hint="eastAsia"/>
          <w:kern w:val="2"/>
        </w:rPr>
        <w:t>谈判须知</w:t>
      </w:r>
    </w:p>
    <w:p w14:paraId="395ECD00">
      <w:pPr>
        <w:pStyle w:val="7"/>
        <w:rPr>
          <w:kern w:val="2"/>
        </w:rPr>
      </w:pPr>
      <w:r>
        <w:rPr>
          <w:rFonts w:hint="eastAsia"/>
          <w:kern w:val="2"/>
        </w:rPr>
        <w:t>一、总则</w:t>
      </w:r>
    </w:p>
    <w:p w14:paraId="6D82B966">
      <w:pPr>
        <w:rPr>
          <w:rFonts w:ascii="黑体" w:hAnsi="宋体" w:eastAsia="黑体"/>
          <w:sz w:val="24"/>
        </w:rPr>
      </w:pPr>
      <w:r>
        <w:rPr>
          <w:rFonts w:hint="eastAsia" w:ascii="黑体" w:hAnsi="宋体" w:eastAsia="黑体"/>
          <w:sz w:val="24"/>
        </w:rPr>
        <w:t>1. 谈判须知说明</w:t>
      </w:r>
    </w:p>
    <w:p w14:paraId="2B294696">
      <w:pPr>
        <w:ind w:firstLine="411" w:firstLineChars="196"/>
        <w:rPr>
          <w:rFonts w:ascii="宋体" w:hAnsi="宋体"/>
          <w:szCs w:val="21"/>
        </w:rPr>
      </w:pPr>
      <w:r>
        <w:rPr>
          <w:rFonts w:hint="eastAsia" w:ascii="宋体" w:hAnsi="宋体"/>
          <w:szCs w:val="21"/>
        </w:rPr>
        <w:t>1.1政府集中采购机构发出谈判文件谈判须知，列出深圳市政府采购项目进行竞争性谈判</w:t>
      </w:r>
      <w:r>
        <w:rPr>
          <w:rFonts w:ascii="宋体" w:hAnsi="宋体"/>
          <w:szCs w:val="21"/>
        </w:rPr>
        <w:t>/</w:t>
      </w:r>
      <w:r>
        <w:rPr>
          <w:rFonts w:hint="eastAsia" w:ascii="宋体" w:hAnsi="宋体"/>
          <w:szCs w:val="21"/>
        </w:rPr>
        <w:t>单一来源采购所适用的一般性须知内容。如有需要，政府集中采购机构可以对谈判须知的内容进行补充。</w:t>
      </w:r>
    </w:p>
    <w:p w14:paraId="39B8F8BA">
      <w:pPr>
        <w:rPr>
          <w:rFonts w:ascii="黑体" w:hAnsi="宋体" w:eastAsia="黑体"/>
          <w:sz w:val="24"/>
        </w:rPr>
      </w:pPr>
      <w:r>
        <w:rPr>
          <w:rFonts w:ascii="黑体" w:hAnsi="宋体" w:eastAsia="黑体"/>
          <w:sz w:val="24"/>
        </w:rPr>
        <w:t>2．</w:t>
      </w:r>
      <w:r>
        <w:rPr>
          <w:rFonts w:hint="eastAsia" w:ascii="黑体" w:hAnsi="宋体" w:eastAsia="黑体"/>
          <w:sz w:val="24"/>
        </w:rPr>
        <w:t>谈判说明</w:t>
      </w:r>
    </w:p>
    <w:p w14:paraId="0C90347A">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本项目按照《深圳经济特区政府采购条例》、《深圳经济特区政府采购条例实施细则》及政府采购其他法律法规，通过竞争性谈判/单一来源采购方式确定成交供应商。</w:t>
      </w:r>
    </w:p>
    <w:p w14:paraId="21E2BBB5">
      <w:pPr>
        <w:rPr>
          <w:rFonts w:ascii="黑体" w:hAnsi="宋体" w:eastAsia="黑体"/>
          <w:sz w:val="24"/>
        </w:rPr>
      </w:pPr>
      <w:r>
        <w:rPr>
          <w:rFonts w:ascii="黑体" w:hAnsi="宋体" w:eastAsia="黑体"/>
          <w:sz w:val="24"/>
        </w:rPr>
        <w:t>3</w:t>
      </w:r>
      <w:r>
        <w:rPr>
          <w:rFonts w:hint="eastAsia" w:ascii="黑体" w:hAnsi="宋体" w:eastAsia="黑体"/>
          <w:sz w:val="24"/>
        </w:rPr>
        <w:t>．定义</w:t>
      </w:r>
    </w:p>
    <w:p w14:paraId="46DBDFB3">
      <w:pPr>
        <w:ind w:firstLine="420" w:firstLineChars="200"/>
        <w:rPr>
          <w:rFonts w:ascii="宋体" w:hAnsi="宋体"/>
          <w:szCs w:val="21"/>
        </w:rPr>
      </w:pPr>
      <w:r>
        <w:rPr>
          <w:rFonts w:hint="eastAsia" w:ascii="宋体" w:hAnsi="宋体"/>
          <w:szCs w:val="21"/>
        </w:rPr>
        <w:t>谈判</w:t>
      </w:r>
      <w:r>
        <w:rPr>
          <w:rFonts w:ascii="宋体" w:hAnsi="宋体"/>
          <w:szCs w:val="21"/>
        </w:rPr>
        <w:t>文件中下列术语应解释为：</w:t>
      </w:r>
    </w:p>
    <w:p w14:paraId="47A79ABA">
      <w:pPr>
        <w:ind w:firstLine="411" w:firstLineChars="196"/>
        <w:rPr>
          <w:rFonts w:ascii="宋体" w:hAnsi="宋体"/>
          <w:szCs w:val="21"/>
        </w:rPr>
      </w:pPr>
      <w:r>
        <w:rPr>
          <w:rFonts w:ascii="宋体" w:hAnsi="宋体"/>
          <w:szCs w:val="21"/>
        </w:rPr>
        <w:t>3</w:t>
      </w:r>
      <w:r>
        <w:rPr>
          <w:rFonts w:hint="eastAsia" w:ascii="宋体" w:hAnsi="宋体"/>
          <w:szCs w:val="21"/>
        </w:rPr>
        <w:t>.</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7B25C3C8">
      <w:pPr>
        <w:ind w:firstLine="411" w:firstLineChars="196"/>
        <w:rPr>
          <w:rFonts w:ascii="宋体" w:hAnsi="宋体"/>
          <w:szCs w:val="21"/>
        </w:rPr>
      </w:pPr>
      <w:r>
        <w:rPr>
          <w:rFonts w:ascii="宋体" w:hAnsi="宋体"/>
          <w:szCs w:val="21"/>
        </w:rPr>
        <w:t>3</w:t>
      </w:r>
      <w:r>
        <w:rPr>
          <w:rFonts w:hint="eastAsia" w:ascii="宋体" w:hAnsi="宋体"/>
          <w:szCs w:val="21"/>
        </w:rPr>
        <w:t>.2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375F9E04">
      <w:pPr>
        <w:ind w:firstLine="411" w:firstLineChars="196"/>
        <w:rPr>
          <w:rFonts w:ascii="宋体" w:hAnsi="宋体"/>
          <w:szCs w:val="21"/>
        </w:rPr>
      </w:pPr>
      <w:r>
        <w:rPr>
          <w:rFonts w:ascii="宋体" w:hAnsi="宋体"/>
          <w:szCs w:val="21"/>
        </w:rPr>
        <w:t>3</w:t>
      </w:r>
      <w:r>
        <w:rPr>
          <w:rFonts w:hint="eastAsia" w:ascii="宋体" w:hAnsi="宋体"/>
          <w:szCs w:val="21"/>
        </w:rPr>
        <w:t>.3“供应商”，即谈判供应商，指参加谈判竞争并愿意按照谈判文件要求向采购人提供货物、工程或者服务的依法成立的法人、其他组织或者自然人；</w:t>
      </w:r>
    </w:p>
    <w:p w14:paraId="7C88EFB8">
      <w:pPr>
        <w:ind w:firstLine="411" w:firstLineChars="196"/>
        <w:rPr>
          <w:rFonts w:ascii="宋体" w:hAnsi="宋体"/>
          <w:szCs w:val="21"/>
        </w:rPr>
      </w:pPr>
      <w:r>
        <w:rPr>
          <w:rFonts w:ascii="宋体" w:hAnsi="宋体"/>
          <w:szCs w:val="21"/>
        </w:rPr>
        <w:t>3</w:t>
      </w:r>
      <w:r>
        <w:rPr>
          <w:rFonts w:hint="eastAsia" w:ascii="宋体" w:hAnsi="宋体"/>
          <w:szCs w:val="21"/>
        </w:rPr>
        <w:t>.4“谈判小组”是依据《深圳经济特区政府采购条例》、《深圳经济特区政府采购条例实施细则》等有关规定组建的专门负责本次谈判工作的临时性机构；</w:t>
      </w:r>
    </w:p>
    <w:p w14:paraId="20A7C01B">
      <w:pPr>
        <w:ind w:firstLine="411" w:firstLineChars="196"/>
        <w:rPr>
          <w:rFonts w:ascii="宋体" w:hAnsi="宋体"/>
          <w:szCs w:val="21"/>
        </w:rPr>
      </w:pPr>
      <w:r>
        <w:rPr>
          <w:rFonts w:ascii="宋体" w:hAnsi="宋体"/>
          <w:szCs w:val="21"/>
        </w:rPr>
        <w:t>3</w:t>
      </w:r>
      <w:r>
        <w:rPr>
          <w:rFonts w:hint="eastAsia" w:ascii="宋体" w:hAnsi="宋体"/>
          <w:szCs w:val="21"/>
        </w:rPr>
        <w:t>.5“日期”</w:t>
      </w:r>
      <w:r>
        <w:rPr>
          <w:rFonts w:ascii="宋体" w:hAnsi="宋体"/>
          <w:szCs w:val="21"/>
        </w:rPr>
        <w:t>指</w:t>
      </w:r>
      <w:r>
        <w:rPr>
          <w:rFonts w:hint="eastAsia" w:ascii="宋体" w:hAnsi="宋体"/>
          <w:szCs w:val="21"/>
        </w:rPr>
        <w:t>公历日；</w:t>
      </w:r>
    </w:p>
    <w:p w14:paraId="17E3693D">
      <w:pPr>
        <w:ind w:firstLine="411" w:firstLineChars="196"/>
        <w:rPr>
          <w:rFonts w:ascii="宋体" w:hAnsi="宋体"/>
          <w:szCs w:val="21"/>
        </w:rPr>
      </w:pPr>
      <w:r>
        <w:rPr>
          <w:rFonts w:ascii="宋体" w:hAnsi="宋体"/>
          <w:szCs w:val="21"/>
        </w:rPr>
        <w:t>3</w:t>
      </w:r>
      <w:r>
        <w:rPr>
          <w:rFonts w:hint="eastAsia" w:ascii="宋体" w:hAnsi="宋体"/>
          <w:szCs w:val="21"/>
        </w:rPr>
        <w:t>.6“合同”指由本次所采购产生的合同或合约文件；</w:t>
      </w:r>
    </w:p>
    <w:p w14:paraId="22E16843">
      <w:pPr>
        <w:ind w:firstLine="411" w:firstLineChars="196"/>
        <w:rPr>
          <w:rFonts w:ascii="宋体" w:hAnsi="宋体"/>
          <w:szCs w:val="21"/>
        </w:rPr>
      </w:pPr>
      <w:r>
        <w:rPr>
          <w:rFonts w:ascii="宋体" w:hAnsi="宋体"/>
          <w:szCs w:val="21"/>
        </w:rPr>
        <w:t>3</w:t>
      </w:r>
      <w:r>
        <w:rPr>
          <w:rFonts w:hint="eastAsia" w:ascii="宋体" w:hAnsi="宋体"/>
          <w:szCs w:val="21"/>
        </w:rPr>
        <w:t>.7“电子投标文件”即谈判应答文件，指利用</w:t>
      </w:r>
      <w:r>
        <w:rPr>
          <w:rFonts w:hint="eastAsia" w:ascii="宋体" w:hAnsi="宋体"/>
          <w:b/>
          <w:bCs/>
          <w:szCs w:val="21"/>
        </w:rPr>
        <w:t>深圳公共资源交易中心（</w:t>
      </w:r>
      <w:r>
        <w:rPr>
          <w:rFonts w:hint="eastAsia" w:ascii="宋体" w:hAnsi="宋体"/>
          <w:b/>
          <w:bCs/>
          <w:szCs w:val="21"/>
          <w:lang w:eastAsia="zh-CN"/>
        </w:rPr>
        <w:t>深圳交易集团有限公司龙岗分公司</w:t>
      </w:r>
      <w:r>
        <w:rPr>
          <w:rFonts w:hint="eastAsia" w:ascii="宋体" w:hAnsi="宋体"/>
          <w:b/>
          <w:bCs/>
          <w:szCs w:val="21"/>
        </w:rPr>
        <w:t>）</w:t>
      </w:r>
      <w:r>
        <w:rPr>
          <w:rFonts w:hint="eastAsia" w:ascii="宋体" w:hAnsi="宋体"/>
          <w:szCs w:val="21"/>
        </w:rPr>
        <w:t>网站提供的深圳智慧采购平台投标文件制作专用软件（以下简称：投标文件制作软件）制作并加密的投标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szCs w:val="21"/>
        </w:rPr>
        <w:t>文件,适用于网上投标；（投标文件制作软件可从“下载地址：http://zfcg.szggzy.com:8081/cgxy/013002/20210923/173e0b2c-7a4c-4246-a0c7-e0ea75d84dd6.html深圳智慧采购平台投标文件制作专用软件.zip”下载）；</w:t>
      </w:r>
    </w:p>
    <w:p w14:paraId="3E032CDD">
      <w:pPr>
        <w:ind w:firstLine="411" w:firstLineChars="196"/>
        <w:rPr>
          <w:rFonts w:ascii="宋体" w:hAnsi="宋体"/>
          <w:szCs w:val="21"/>
        </w:rPr>
      </w:pPr>
      <w:r>
        <w:rPr>
          <w:rFonts w:ascii="宋体" w:hAnsi="宋体"/>
          <w:szCs w:val="21"/>
        </w:rPr>
        <w:t>3</w:t>
      </w:r>
      <w:r>
        <w:rPr>
          <w:rFonts w:hint="eastAsia" w:ascii="宋体" w:hAnsi="宋体"/>
          <w:szCs w:val="21"/>
        </w:rPr>
        <w:t>.8“网上投标”指通过</w:t>
      </w:r>
      <w:r>
        <w:rPr>
          <w:rFonts w:hint="eastAsia" w:ascii="宋体" w:hAnsi="宋体"/>
          <w:b/>
          <w:bCs/>
          <w:szCs w:val="21"/>
        </w:rPr>
        <w:t>深圳公共资源交易中心（</w:t>
      </w:r>
      <w:r>
        <w:rPr>
          <w:rFonts w:hint="eastAsia" w:ascii="宋体" w:hAnsi="宋体"/>
          <w:b/>
          <w:bCs/>
          <w:szCs w:val="21"/>
          <w:lang w:eastAsia="zh-CN"/>
        </w:rPr>
        <w:t>深圳交易集团有限公司龙岗分公司</w:t>
      </w:r>
      <w:r>
        <w:rPr>
          <w:rFonts w:hint="eastAsia" w:ascii="宋体" w:hAnsi="宋体"/>
          <w:b/>
          <w:bCs/>
          <w:szCs w:val="21"/>
        </w:rPr>
        <w:t>）</w:t>
      </w:r>
      <w:r>
        <w:rPr>
          <w:rFonts w:hint="eastAsia" w:ascii="宋体" w:hAnsi="宋体"/>
          <w:szCs w:val="21"/>
        </w:rPr>
        <w:t>网站上传电子投标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szCs w:val="21"/>
        </w:rPr>
        <w:t>文件；</w:t>
      </w:r>
    </w:p>
    <w:p w14:paraId="412ACB74">
      <w:pPr>
        <w:ind w:firstLine="411" w:firstLineChars="196"/>
        <w:rPr>
          <w:rFonts w:ascii="宋体" w:hAnsi="宋体"/>
          <w:szCs w:val="21"/>
        </w:rPr>
      </w:pPr>
      <w:r>
        <w:rPr>
          <w:rFonts w:ascii="宋体" w:hAnsi="宋体"/>
          <w:szCs w:val="21"/>
        </w:rPr>
        <w:t>3</w:t>
      </w:r>
      <w:r>
        <w:rPr>
          <w:rFonts w:hint="eastAsia" w:ascii="宋体" w:hAnsi="宋体"/>
          <w:szCs w:val="21"/>
        </w:rPr>
        <w:t>.9谈判文件中的标题或题名仅起引导作用，而不应视为对谈判文件内容的理解和解释。</w:t>
      </w:r>
    </w:p>
    <w:p w14:paraId="2159315F">
      <w:pPr>
        <w:rPr>
          <w:rFonts w:ascii="黑体" w:hAnsi="宋体" w:eastAsia="黑体"/>
          <w:sz w:val="24"/>
        </w:rPr>
      </w:pPr>
      <w:r>
        <w:rPr>
          <w:rFonts w:hint="eastAsia" w:ascii="黑体" w:hAnsi="宋体" w:eastAsia="黑体"/>
          <w:sz w:val="24"/>
        </w:rPr>
        <w:t>4</w:t>
      </w:r>
      <w:r>
        <w:rPr>
          <w:rFonts w:ascii="黑体" w:hAnsi="宋体" w:eastAsia="黑体"/>
          <w:sz w:val="24"/>
        </w:rPr>
        <w:t>.</w:t>
      </w:r>
      <w:r>
        <w:rPr>
          <w:rFonts w:hint="eastAsia" w:ascii="黑体" w:hAnsi="宋体" w:eastAsia="黑体"/>
          <w:sz w:val="24"/>
        </w:rPr>
        <w:t>政府采购供应商责任</w:t>
      </w:r>
    </w:p>
    <w:p w14:paraId="190E2984">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7B342E35">
      <w:pPr>
        <w:ind w:firstLine="411" w:firstLineChars="196"/>
        <w:rPr>
          <w:rFonts w:ascii="宋体" w:hAnsi="宋体"/>
          <w:szCs w:val="21"/>
        </w:rPr>
      </w:pPr>
      <w:r>
        <w:rPr>
          <w:rFonts w:hint="eastAsia" w:ascii="宋体" w:hAnsi="宋体"/>
          <w:szCs w:val="21"/>
        </w:rPr>
        <w:t>4.2谈判供应商应当遵循公平竞争的原则，不得恶意串通，不得妨碍其他谈判供应商的竞争行为，不得损害采购人或者其他谈判供应商的合法权益。如违反上述要求，经核实后，供应商的谈判应答无效。</w:t>
      </w:r>
    </w:p>
    <w:p w14:paraId="75D6BEEF">
      <w:pPr>
        <w:rPr>
          <w:rFonts w:ascii="黑体" w:hAnsi="宋体" w:eastAsia="黑体"/>
          <w:sz w:val="24"/>
        </w:rPr>
      </w:pPr>
      <w:r>
        <w:rPr>
          <w:rFonts w:hint="eastAsia" w:ascii="黑体" w:hAnsi="宋体" w:eastAsia="黑体"/>
          <w:sz w:val="24"/>
        </w:rPr>
        <w:t>5．供应商参加政府采购的条件</w:t>
      </w:r>
    </w:p>
    <w:p w14:paraId="1EF11D36">
      <w:pPr>
        <w:ind w:firstLine="411" w:firstLineChars="196"/>
        <w:rPr>
          <w:rFonts w:ascii="宋体" w:hAnsi="宋体"/>
          <w:szCs w:val="21"/>
        </w:rPr>
      </w:pPr>
      <w:bookmarkStart w:id="42" w:name="_Hlk72662959"/>
      <w:r>
        <w:rPr>
          <w:rFonts w:hint="eastAsia" w:ascii="宋体" w:hAnsi="宋体"/>
          <w:szCs w:val="21"/>
        </w:rPr>
        <w:t>5.1供应商应在参与谈判前到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w:t>
      </w:r>
      <w:bookmarkStart w:id="43" w:name="_Hlk72398857"/>
      <w:r>
        <w:rPr>
          <w:rFonts w:hint="eastAsia" w:ascii="宋体" w:hAnsi="宋体"/>
          <w:szCs w:val="21"/>
        </w:rPr>
        <w:t>《供应商注册及信息变更指引》详见</w:t>
      </w:r>
      <w:r>
        <w:rPr>
          <w:rFonts w:ascii="宋体" w:hAnsi="宋体"/>
          <w:szCs w:val="21"/>
        </w:rPr>
        <w:t>http://zfcg.szggzy.com:8081/cgxy/20210823/2df8c4bd-73df-4cf1-9646-f784111f24b8.html</w:t>
      </w:r>
      <w:r>
        <w:rPr>
          <w:rFonts w:hint="eastAsia" w:ascii="宋体" w:hAnsi="宋体"/>
          <w:szCs w:val="21"/>
        </w:rPr>
        <w:t>。</w:t>
      </w:r>
      <w:bookmarkEnd w:id="43"/>
      <w:r>
        <w:rPr>
          <w:rFonts w:hint="eastAsia" w:ascii="宋体" w:hAnsi="宋体"/>
          <w:szCs w:val="21"/>
        </w:rPr>
        <w:t>。</w:t>
      </w:r>
    </w:p>
    <w:p w14:paraId="71D5424B">
      <w:pPr>
        <w:ind w:firstLine="411" w:firstLineChars="196"/>
        <w:rPr>
          <w:rFonts w:ascii="宋体" w:hAnsi="宋体"/>
          <w:szCs w:val="21"/>
        </w:rPr>
      </w:pPr>
      <w:r>
        <w:rPr>
          <w:rFonts w:hint="eastAsia" w:ascii="宋体" w:hAnsi="宋体"/>
          <w:szCs w:val="21"/>
        </w:rPr>
        <w:t>5.2供应商资格要求</w:t>
      </w:r>
    </w:p>
    <w:p w14:paraId="31F16B7A">
      <w:pPr>
        <w:ind w:firstLine="411" w:firstLineChars="196"/>
        <w:rPr>
          <w:rFonts w:ascii="宋体" w:hAnsi="宋体"/>
          <w:szCs w:val="21"/>
        </w:rPr>
      </w:pPr>
      <w:r>
        <w:rPr>
          <w:rFonts w:hint="eastAsia" w:ascii="宋体" w:hAnsi="宋体"/>
          <w:szCs w:val="21"/>
        </w:rPr>
        <w:t>参加本项目的供应商应具备的资格条件详见本项目谈判公告中“申请人的资格要求”（即供应商资格要求）的内容。</w:t>
      </w:r>
    </w:p>
    <w:bookmarkEnd w:id="42"/>
    <w:p w14:paraId="46B5D439">
      <w:pPr>
        <w:rPr>
          <w:rFonts w:ascii="黑体" w:hAnsi="宋体" w:eastAsia="黑体"/>
          <w:sz w:val="24"/>
        </w:rPr>
      </w:pPr>
      <w:r>
        <w:rPr>
          <w:rFonts w:hint="eastAsia" w:ascii="黑体" w:hAnsi="宋体" w:eastAsia="黑体"/>
          <w:sz w:val="24"/>
        </w:rPr>
        <w:t>6．政策导向</w:t>
      </w:r>
    </w:p>
    <w:p w14:paraId="74EFD791">
      <w:pPr>
        <w:ind w:left="0" w:leftChars="0"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14:paraId="74FD7856">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1D846630">
      <w:pPr>
        <w:ind w:firstLine="405"/>
        <w:rPr>
          <w:rFonts w:hint="default" w:eastAsia="宋体"/>
          <w:lang w:val="en-US" w:eastAsia="zh-CN"/>
        </w:rPr>
      </w:pPr>
      <w:r>
        <w:rPr>
          <w:rFonts w:hint="eastAsia" w:ascii="宋体" w:hAnsi="宋体"/>
          <w:lang w:val="en-US" w:eastAsia="zh-CN"/>
        </w:rPr>
        <w:t>6.3  本项目支持投标人性别平等的相关政策。</w:t>
      </w:r>
    </w:p>
    <w:p w14:paraId="1C2C22DA">
      <w:pPr>
        <w:rPr>
          <w:rFonts w:ascii="黑体" w:hAnsi="宋体" w:eastAsia="黑体"/>
          <w:sz w:val="24"/>
        </w:rPr>
      </w:pPr>
      <w:r>
        <w:rPr>
          <w:rFonts w:hint="eastAsia" w:ascii="黑体" w:hAnsi="宋体" w:eastAsia="黑体"/>
          <w:sz w:val="24"/>
        </w:rPr>
        <w:t>7. 本项目若涉及采购货物，则合格的货物及相应服务应满足以下要求：</w:t>
      </w:r>
    </w:p>
    <w:p w14:paraId="0E5150BF">
      <w:pPr>
        <w:ind w:firstLine="411" w:firstLineChars="196"/>
        <w:rPr>
          <w:rFonts w:ascii="宋体" w:hAnsi="宋体"/>
        </w:rPr>
      </w:pPr>
      <w:bookmarkStart w:id="44" w:name="_Hlk72665160"/>
      <w:bookmarkStart w:id="45" w:name="_Hlk72665201"/>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52AE4EF6">
      <w:pPr>
        <w:ind w:firstLine="411" w:firstLineChars="196"/>
        <w:rPr>
          <w:rFonts w:ascii="宋体" w:hAnsi="宋体"/>
        </w:rPr>
      </w:pPr>
      <w:r>
        <w:rPr>
          <w:rFonts w:hint="eastAsia" w:ascii="宋体" w:hAnsi="宋体"/>
        </w:rPr>
        <w:t>7.2 国产的货物及其有关服务必须符合中华人民共和国的设计、制造生产标准及行业标准。谈判公告有其他要求的，亦应符合其要求。</w:t>
      </w:r>
    </w:p>
    <w:p w14:paraId="60C261C5">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谈判公告有其他要求的，亦应符合其要求。</w:t>
      </w:r>
    </w:p>
    <w:p w14:paraId="1D2EC005">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bookmarkStart w:id="46" w:name="_Hlk72152753"/>
      <w:r>
        <w:rPr>
          <w:rFonts w:hint="eastAsia" w:ascii="宋体" w:hAnsi="宋体"/>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46"/>
    </w:p>
    <w:p w14:paraId="073CECFB">
      <w:pPr>
        <w:ind w:firstLine="411" w:firstLineChars="196"/>
        <w:rPr>
          <w:rFonts w:ascii="宋体" w:hAnsi="宋体"/>
        </w:rPr>
      </w:pPr>
      <w:r>
        <w:rPr>
          <w:rFonts w:hint="eastAsia" w:ascii="宋体" w:hAnsi="宋体"/>
        </w:rPr>
        <w:t>7.5 供应商应保证，其所提供的货物符合国家强制性标准要求；符合相关行业标准（如具备行政主管部门颁发的资质证书或国家质量监督部门的产品《检验报告》等）。设备到货验收时，还必须提供设备的产品合格证、质量保证文件。若成交后，除非另有约定，成交供应商必须按合同规定完成设备的安装，并达到验收标准。</w:t>
      </w:r>
    </w:p>
    <w:p w14:paraId="1191D63A">
      <w:pPr>
        <w:ind w:firstLine="411" w:firstLineChars="196"/>
        <w:rPr>
          <w:rFonts w:ascii="宋体" w:hAnsi="宋体"/>
        </w:rPr>
      </w:pPr>
      <w:r>
        <w:rPr>
          <w:rFonts w:hint="eastAsia" w:ascii="宋体" w:hAnsi="宋体"/>
        </w:rPr>
        <w:t xml:space="preserve">7.6 </w:t>
      </w:r>
      <w:bookmarkStart w:id="47" w:name="_Hlk72399342"/>
      <w:r>
        <w:rPr>
          <w:rFonts w:hint="eastAsia" w:ascii="宋体" w:hAnsi="宋体"/>
        </w:rPr>
        <w:t>工期要求：供应商在谈判时对其所投项目应提交交货进度、交货计划等，在合同规定的时间内完成项目实施工作。</w:t>
      </w:r>
      <w:bookmarkEnd w:id="47"/>
    </w:p>
    <w:p w14:paraId="76A45448">
      <w:pPr>
        <w:ind w:firstLine="411" w:firstLineChars="196"/>
        <w:rPr>
          <w:rFonts w:ascii="宋体" w:hAnsi="宋体"/>
        </w:rPr>
      </w:pPr>
      <w:r>
        <w:rPr>
          <w:rFonts w:hint="eastAsia" w:ascii="宋体" w:hAnsi="宋体"/>
        </w:rPr>
        <w:t xml:space="preserve">7.7 </w:t>
      </w:r>
      <w:bookmarkEnd w:id="44"/>
      <w:r>
        <w:rPr>
          <w:rFonts w:hint="eastAsia" w:ascii="宋体" w:hAnsi="宋体"/>
        </w:rPr>
        <w:t>成交供应商必须承担货物运输、安装调试、验收检测和提供设备操作说明书、图纸等其他相关及类似的义务。</w:t>
      </w:r>
      <w:bookmarkEnd w:id="45"/>
    </w:p>
    <w:p w14:paraId="3D87094F">
      <w:pPr>
        <w:rPr>
          <w:rFonts w:ascii="黑体" w:hAnsi="宋体" w:eastAsia="黑体"/>
          <w:sz w:val="24"/>
        </w:rPr>
      </w:pPr>
      <w:r>
        <w:rPr>
          <w:rFonts w:hint="eastAsia" w:ascii="黑体" w:hAnsi="宋体" w:eastAsia="黑体"/>
          <w:sz w:val="24"/>
        </w:rPr>
        <w:t>8．谈判费用</w:t>
      </w:r>
    </w:p>
    <w:p w14:paraId="7C2F812A">
      <w:pPr>
        <w:ind w:firstLine="411" w:firstLineChars="196"/>
        <w:rPr>
          <w:rFonts w:ascii="宋体" w:hAnsi="宋体"/>
          <w:szCs w:val="21"/>
        </w:rPr>
      </w:pPr>
      <w:r>
        <w:rPr>
          <w:rFonts w:hint="eastAsia" w:ascii="宋体" w:hAnsi="宋体"/>
          <w:szCs w:val="21"/>
        </w:rPr>
        <w:t>不论谈判结果如何，供应商应承担其编制应答文件与递交应答文件所涉及的一切费用。</w:t>
      </w:r>
    </w:p>
    <w:p w14:paraId="6A9F2A85">
      <w:pPr>
        <w:pStyle w:val="7"/>
      </w:pPr>
      <w:r>
        <w:rPr>
          <w:rFonts w:hint="eastAsia"/>
        </w:rPr>
        <w:t>二、谈判文件</w:t>
      </w:r>
    </w:p>
    <w:p w14:paraId="57DB585F">
      <w:pPr>
        <w:rPr>
          <w:rFonts w:ascii="黑体" w:hAnsi="宋体" w:eastAsia="黑体"/>
          <w:sz w:val="24"/>
        </w:rPr>
      </w:pPr>
      <w:r>
        <w:rPr>
          <w:rFonts w:hint="eastAsia" w:ascii="黑体" w:hAnsi="宋体" w:eastAsia="黑体"/>
          <w:sz w:val="24"/>
        </w:rPr>
        <w:t>9</w:t>
      </w:r>
      <w:r>
        <w:rPr>
          <w:rFonts w:ascii="黑体" w:hAnsi="宋体" w:eastAsia="黑体"/>
          <w:sz w:val="24"/>
        </w:rPr>
        <w:t>.</w:t>
      </w:r>
      <w:r>
        <w:rPr>
          <w:rFonts w:hint="eastAsia" w:ascii="黑体" w:hAnsi="宋体" w:eastAsia="黑体"/>
          <w:sz w:val="24"/>
        </w:rPr>
        <w:t>谈判文件的编制与组成</w:t>
      </w:r>
    </w:p>
    <w:p w14:paraId="470A10FF">
      <w:pPr>
        <w:snapToGrid w:val="0"/>
        <w:ind w:firstLine="420" w:firstLineChars="200"/>
        <w:rPr>
          <w:rFonts w:ascii="宋体" w:hAnsi="宋体"/>
          <w:szCs w:val="21"/>
        </w:rPr>
      </w:pPr>
      <w:r>
        <w:rPr>
          <w:rFonts w:ascii="宋体" w:hAnsi="宋体"/>
          <w:szCs w:val="21"/>
        </w:rPr>
        <w:t>9</w:t>
      </w:r>
      <w:r>
        <w:rPr>
          <w:rFonts w:hint="eastAsia" w:ascii="宋体" w:hAnsi="宋体"/>
          <w:szCs w:val="21"/>
        </w:rPr>
        <w:t>.1谈判文件除以下内容外，政府集中采购机构在谈判期间发出的澄清或修改等相关公告或通知内容，均是谈判文件的组成部分，对供应商起约束作用；</w:t>
      </w:r>
    </w:p>
    <w:p w14:paraId="14F7A61E">
      <w:pPr>
        <w:ind w:firstLine="411" w:firstLineChars="196"/>
        <w:rPr>
          <w:rFonts w:ascii="宋体" w:hAnsi="宋体"/>
          <w:szCs w:val="21"/>
        </w:rPr>
      </w:pPr>
      <w:r>
        <w:rPr>
          <w:rFonts w:hint="eastAsia" w:ascii="宋体" w:hAnsi="宋体"/>
          <w:szCs w:val="21"/>
        </w:rPr>
        <w:t>谈判文件包括下列内容：</w:t>
      </w:r>
    </w:p>
    <w:p w14:paraId="1145911A">
      <w:pPr>
        <w:ind w:left="1079" w:leftChars="514"/>
        <w:rPr>
          <w:rFonts w:ascii="宋体" w:hAnsi="宋体"/>
          <w:b/>
          <w:szCs w:val="21"/>
        </w:rPr>
      </w:pPr>
      <w:r>
        <w:rPr>
          <w:rFonts w:hint="eastAsia" w:ascii="宋体" w:hAnsi="宋体"/>
          <w:b/>
          <w:szCs w:val="21"/>
        </w:rPr>
        <w:t>关键信息</w:t>
      </w:r>
    </w:p>
    <w:p w14:paraId="78876551">
      <w:pPr>
        <w:widowControl/>
        <w:wordWrap w:val="0"/>
        <w:ind w:firstLine="1260" w:firstLineChars="600"/>
        <w:jc w:val="left"/>
        <w:textAlignment w:val="top"/>
        <w:rPr>
          <w:szCs w:val="21"/>
        </w:rPr>
      </w:pPr>
      <w:r>
        <w:rPr>
          <w:rFonts w:hint="eastAsia"/>
          <w:szCs w:val="21"/>
        </w:rPr>
        <w:t>第一章  谈判公告</w:t>
      </w:r>
    </w:p>
    <w:p w14:paraId="2CDCF576">
      <w:pPr>
        <w:widowControl/>
        <w:wordWrap w:val="0"/>
        <w:ind w:firstLine="1260" w:firstLineChars="600"/>
        <w:jc w:val="left"/>
        <w:textAlignment w:val="top"/>
        <w:rPr>
          <w:szCs w:val="21"/>
        </w:rPr>
      </w:pPr>
      <w:r>
        <w:rPr>
          <w:rFonts w:hint="eastAsia"/>
          <w:szCs w:val="21"/>
        </w:rPr>
        <w:t>第二章  对谈判须知条款的补充内容及其他关键信息</w:t>
      </w:r>
    </w:p>
    <w:p w14:paraId="756A778A">
      <w:pPr>
        <w:widowControl/>
        <w:wordWrap w:val="0"/>
        <w:ind w:firstLine="1260" w:firstLineChars="600"/>
        <w:jc w:val="left"/>
        <w:textAlignment w:val="top"/>
        <w:rPr>
          <w:szCs w:val="21"/>
        </w:rPr>
      </w:pPr>
      <w:r>
        <w:rPr>
          <w:rFonts w:hint="eastAsia"/>
          <w:szCs w:val="21"/>
        </w:rPr>
        <w:t xml:space="preserve">第三章 </w:t>
      </w:r>
      <w:r>
        <w:rPr>
          <w:szCs w:val="21"/>
        </w:rPr>
        <w:t xml:space="preserve"> </w:t>
      </w:r>
      <w:r>
        <w:rPr>
          <w:rFonts w:hint="eastAsia"/>
          <w:szCs w:val="21"/>
        </w:rPr>
        <w:t>用户需求书</w:t>
      </w:r>
    </w:p>
    <w:p w14:paraId="07F53825">
      <w:pPr>
        <w:widowControl/>
        <w:wordWrap w:val="0"/>
        <w:ind w:firstLine="1260" w:firstLineChars="600"/>
        <w:jc w:val="left"/>
        <w:textAlignment w:val="top"/>
        <w:rPr>
          <w:szCs w:val="21"/>
        </w:rPr>
      </w:pPr>
      <w:r>
        <w:rPr>
          <w:rFonts w:hint="eastAsia"/>
          <w:szCs w:val="21"/>
        </w:rPr>
        <w:t xml:space="preserve">第四章 </w:t>
      </w:r>
      <w:r>
        <w:rPr>
          <w:szCs w:val="21"/>
        </w:rPr>
        <w:t xml:space="preserve"> </w:t>
      </w:r>
      <w:r>
        <w:rPr>
          <w:rFonts w:hint="eastAsia"/>
          <w:szCs w:val="21"/>
        </w:rPr>
        <w:t>谈判应答文件组成要求及格式</w:t>
      </w:r>
    </w:p>
    <w:p w14:paraId="2B07DF06">
      <w:pPr>
        <w:widowControl/>
        <w:wordWrap w:val="0"/>
        <w:ind w:firstLine="1260" w:firstLineChars="600"/>
        <w:jc w:val="left"/>
        <w:textAlignment w:val="top"/>
        <w:rPr>
          <w:szCs w:val="21"/>
        </w:rPr>
      </w:pPr>
      <w:r>
        <w:rPr>
          <w:rFonts w:hint="eastAsia"/>
          <w:szCs w:val="21"/>
        </w:rPr>
        <w:t>第五章  合同条款及格式</w:t>
      </w:r>
    </w:p>
    <w:p w14:paraId="089891D4">
      <w:pPr>
        <w:ind w:left="630" w:leftChars="300" w:firstLine="621" w:firstLineChars="296"/>
        <w:rPr>
          <w:rFonts w:ascii="宋体" w:hAnsi="宋体"/>
          <w:szCs w:val="21"/>
        </w:rPr>
      </w:pPr>
      <w:r>
        <w:rPr>
          <w:rFonts w:hint="eastAsia"/>
          <w:szCs w:val="21"/>
        </w:rPr>
        <w:t xml:space="preserve">第六章 </w:t>
      </w:r>
      <w:r>
        <w:rPr>
          <w:szCs w:val="21"/>
        </w:rPr>
        <w:t xml:space="preserve"> </w:t>
      </w:r>
      <w:r>
        <w:rPr>
          <w:rFonts w:hint="eastAsia"/>
          <w:szCs w:val="21"/>
        </w:rPr>
        <w:t>谈判须知</w:t>
      </w:r>
    </w:p>
    <w:p w14:paraId="5472D6D1">
      <w:pPr>
        <w:ind w:firstLine="411" w:firstLineChars="196"/>
        <w:rPr>
          <w:rFonts w:ascii="宋体" w:hAnsi="宋体"/>
          <w:szCs w:val="21"/>
        </w:rPr>
      </w:pPr>
      <w:bookmarkStart w:id="48" w:name="_Hlk72665307"/>
      <w:r>
        <w:rPr>
          <w:rFonts w:ascii="宋体" w:hAnsi="宋体"/>
          <w:szCs w:val="21"/>
        </w:rPr>
        <w:t>9</w:t>
      </w:r>
      <w:r>
        <w:rPr>
          <w:rFonts w:hint="eastAsia" w:ascii="宋体" w:hAnsi="宋体"/>
          <w:szCs w:val="21"/>
        </w:rPr>
        <w:t>.2 供应商下载谈判文件后，应仔细检查谈判文件的所有内容，如有疑问应在答疑截止时间之前向政府集中采购机构提出，否则，由此引起的损失自负；供应商同时应认真审阅谈判文件所有的事项、格式、条款和规范要求等，如果供应商的应答文件未按谈判文件要求提交全部资料或者应答文件未对谈判文件做出实质性响应，其风险由供应商自行承担。</w:t>
      </w:r>
    </w:p>
    <w:p w14:paraId="674330D7">
      <w:pPr>
        <w:ind w:firstLine="411" w:firstLineChars="196"/>
        <w:rPr>
          <w:rFonts w:hint="eastAsia" w:ascii="宋体" w:hAnsi="宋体"/>
        </w:rPr>
      </w:pPr>
      <w:r>
        <w:rPr>
          <w:rFonts w:ascii="宋体" w:hAnsi="宋体"/>
          <w:szCs w:val="21"/>
        </w:rPr>
        <w:t>9</w:t>
      </w:r>
      <w:r>
        <w:rPr>
          <w:rFonts w:hint="eastAsia" w:ascii="宋体" w:hAnsi="宋体"/>
          <w:szCs w:val="21"/>
        </w:rPr>
        <w:t>.3</w:t>
      </w:r>
      <w:r>
        <w:rPr>
          <w:rFonts w:hint="eastAsia" w:ascii="宋体" w:hAnsi="宋体"/>
        </w:rPr>
        <w:t>任何人或任何组织向供应商提交的任何书面或口头资料，未经政府集中采购机构在网上发布或书面通知，均作无效处理，不得作为谈判文件的组成部分。政府集中采购机构对供应商由此而做出的推论、理解和结论概不负责。</w:t>
      </w:r>
      <w:bookmarkEnd w:id="48"/>
    </w:p>
    <w:p w14:paraId="6C2D000F">
      <w:pPr>
        <w:pStyle w:val="3"/>
        <w:ind w:firstLine="420" w:firstLineChars="200"/>
        <w:rPr>
          <w:rFonts w:hint="eastAsia" w:ascii="宋体" w:hAnsi="宋体"/>
        </w:rPr>
      </w:pPr>
      <w:r>
        <w:rPr>
          <w:rFonts w:hint="eastAsia" w:ascii="宋体" w:hAnsi="宋体" w:cs="Times New Roman"/>
          <w:b w:val="0"/>
          <w:bCs w:val="0"/>
          <w:kern w:val="2"/>
          <w:sz w:val="21"/>
          <w:szCs w:val="24"/>
          <w:lang w:val="en-US" w:eastAsia="zh-CN" w:bidi="ar-SA"/>
        </w:rPr>
        <w:t>9</w:t>
      </w:r>
      <w:r>
        <w:rPr>
          <w:rFonts w:hint="eastAsia" w:ascii="宋体" w:hAnsi="宋体" w:eastAsia="宋体" w:cs="Times New Roman"/>
          <w:b w:val="0"/>
          <w:bCs w:val="0"/>
          <w:kern w:val="2"/>
          <w:sz w:val="21"/>
          <w:szCs w:val="24"/>
          <w:lang w:val="en-US" w:eastAsia="zh-CN" w:bidi="ar-SA"/>
        </w:rPr>
        <w:t>.4</w:t>
      </w:r>
      <w:r>
        <w:rPr>
          <w:rFonts w:hint="eastAsia" w:ascii="宋体" w:hAnsi="宋体" w:cs="Times New Roman"/>
          <w:b w:val="0"/>
          <w:bCs w:val="0"/>
          <w:kern w:val="2"/>
          <w:sz w:val="21"/>
          <w:szCs w:val="24"/>
          <w:lang w:val="en-US" w:eastAsia="zh-CN" w:bidi="ar-SA"/>
        </w:rPr>
        <w:t>谈判文件所称“原件</w:t>
      </w:r>
      <w:r>
        <w:rPr>
          <w:rFonts w:hint="eastAsia" w:ascii="宋体" w:hAnsi="宋体" w:eastAsia="宋体" w:cs="Times New Roman"/>
          <w:b w:val="0"/>
          <w:bCs w:val="0"/>
          <w:kern w:val="2"/>
          <w:sz w:val="21"/>
          <w:szCs w:val="24"/>
          <w:lang w:val="en-US" w:eastAsia="zh-CN" w:bidi="ar-SA"/>
        </w:rPr>
        <w:t>备查</w:t>
      </w:r>
      <w:r>
        <w:rPr>
          <w:rFonts w:hint="eastAsia" w:ascii="宋体" w:hAnsi="宋体" w:cs="Times New Roman"/>
          <w:b w:val="0"/>
          <w:bCs w:val="0"/>
          <w:kern w:val="2"/>
          <w:sz w:val="21"/>
          <w:szCs w:val="24"/>
          <w:lang w:val="en-US" w:eastAsia="zh-CN" w:bidi="ar-SA"/>
        </w:rPr>
        <w:t>”，</w:t>
      </w:r>
      <w:r>
        <w:rPr>
          <w:rFonts w:hint="eastAsia" w:ascii="宋体" w:hAnsi="宋体" w:eastAsia="宋体" w:cs="Times New Roman"/>
          <w:b w:val="0"/>
          <w:bCs w:val="0"/>
          <w:kern w:val="2"/>
          <w:sz w:val="21"/>
          <w:szCs w:val="24"/>
          <w:lang w:val="en-US" w:eastAsia="zh-CN" w:bidi="ar-SA"/>
        </w:rPr>
        <w:t>是指在项目产生质疑、投诉等阶段，主管部门、采购人、代理机构、评审委员会</w:t>
      </w:r>
      <w:r>
        <w:rPr>
          <w:rFonts w:hint="eastAsia" w:ascii="宋体" w:hAnsi="宋体" w:cs="Times New Roman"/>
          <w:b w:val="0"/>
          <w:bCs w:val="0"/>
          <w:kern w:val="2"/>
          <w:sz w:val="21"/>
          <w:szCs w:val="24"/>
          <w:lang w:val="en-US" w:eastAsia="zh-CN" w:bidi="ar-SA"/>
        </w:rPr>
        <w:t>（谈判小组）</w:t>
      </w:r>
      <w:r>
        <w:rPr>
          <w:rFonts w:hint="eastAsia" w:ascii="宋体" w:hAnsi="宋体" w:eastAsia="宋体" w:cs="Times New Roman"/>
          <w:b w:val="0"/>
          <w:bCs w:val="0"/>
          <w:kern w:val="2"/>
          <w:sz w:val="21"/>
          <w:szCs w:val="24"/>
          <w:lang w:val="en-US" w:eastAsia="zh-CN" w:bidi="ar-SA"/>
        </w:rPr>
        <w:t>等可以要求供应商提供原件进行核查。</w:t>
      </w:r>
    </w:p>
    <w:p w14:paraId="7793EA07">
      <w:pPr>
        <w:rPr>
          <w:rFonts w:ascii="黑体" w:hAnsi="宋体" w:eastAsia="黑体"/>
          <w:sz w:val="24"/>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．谈判文件的澄清</w:t>
      </w:r>
    </w:p>
    <w:p w14:paraId="0E92EFB8">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.1谈判文件澄清的目的是澄清、解答供应商在查阅谈判文件后可能提出的与谈判有关的疑问或询问。</w:t>
      </w:r>
    </w:p>
    <w:p w14:paraId="0F96D05C">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.2供应商如对谈判文件内容有疑问，应当在谈判公告规定的澄清（提问）截止时间前以网上提问的形式通过网上政府采购系统提交政府集中采购机构。</w:t>
      </w:r>
    </w:p>
    <w:p w14:paraId="184F3700">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3不论是政府集中采购机构根据需要主动对谈判文件进行必要的澄清或是根据供应商的要求对谈判文件做出澄清，政府集中采购机构都将在谈判截止日期前以书面形式（包括政府集中采购机构网站发布方式）答复或发送给所有供应商。答复内容是谈判文件的组成部分，对供应商起约束作用，其有效性按照本谈判须知第1</w:t>
      </w:r>
      <w:r>
        <w:rPr>
          <w:rFonts w:ascii="宋体" w:hAnsi="宋体"/>
          <w:szCs w:val="21"/>
        </w:rPr>
        <w:t>1.3</w:t>
      </w:r>
      <w:r>
        <w:rPr>
          <w:rFonts w:hint="eastAsia" w:ascii="宋体" w:hAnsi="宋体"/>
          <w:szCs w:val="21"/>
        </w:rPr>
        <w:t>、1</w:t>
      </w:r>
      <w:r>
        <w:rPr>
          <w:rFonts w:ascii="宋体" w:hAnsi="宋体"/>
          <w:szCs w:val="21"/>
        </w:rPr>
        <w:t>1.4</w:t>
      </w:r>
      <w:r>
        <w:rPr>
          <w:rFonts w:hint="eastAsia" w:ascii="宋体" w:hAnsi="宋体"/>
          <w:szCs w:val="21"/>
        </w:rPr>
        <w:t>款规定执行。</w:t>
      </w:r>
    </w:p>
    <w:p w14:paraId="6F6C6FC9">
      <w:pPr>
        <w:rPr>
          <w:rFonts w:ascii="黑体" w:hAnsi="宋体" w:eastAsia="黑体"/>
          <w:sz w:val="24"/>
        </w:rPr>
      </w:pPr>
      <w:r>
        <w:rPr>
          <w:rFonts w:ascii="黑体" w:hAnsi="宋体" w:eastAsia="黑体"/>
          <w:sz w:val="24"/>
        </w:rPr>
        <w:t>11</w:t>
      </w:r>
      <w:r>
        <w:rPr>
          <w:rFonts w:hint="eastAsia" w:ascii="黑体" w:hAnsi="宋体" w:eastAsia="黑体"/>
          <w:sz w:val="24"/>
        </w:rPr>
        <w:t>．谈判文件的修改</w:t>
      </w:r>
    </w:p>
    <w:p w14:paraId="058FFB03">
      <w:pPr>
        <w:ind w:firstLine="411" w:firstLineChars="196"/>
        <w:rPr>
          <w:rFonts w:ascii="宋体" w:hAnsi="宋体"/>
          <w:szCs w:val="21"/>
        </w:rPr>
      </w:pPr>
      <w:r>
        <w:rPr>
          <w:rFonts w:ascii="宋体" w:hAnsi="宋体"/>
          <w:szCs w:val="21"/>
        </w:rPr>
        <w:t>11</w:t>
      </w:r>
      <w:r>
        <w:rPr>
          <w:rFonts w:hint="eastAsia" w:ascii="宋体" w:hAnsi="宋体"/>
          <w:szCs w:val="21"/>
        </w:rPr>
        <w:t>.1谈判文件发出后，在谈判截止日期前任何时候，确需要变更谈判文件内容的，政府集中采购机构可主动或在解答供应商提出的澄清问题时对谈判文件进行修改。</w:t>
      </w:r>
    </w:p>
    <w:p w14:paraId="3BE1967E">
      <w:pPr>
        <w:ind w:firstLine="411" w:firstLineChars="196"/>
        <w:rPr>
          <w:rFonts w:ascii="宋体" w:hAnsi="宋体"/>
          <w:szCs w:val="21"/>
        </w:rPr>
      </w:pPr>
      <w:r>
        <w:rPr>
          <w:rFonts w:ascii="宋体" w:hAnsi="宋体"/>
          <w:szCs w:val="21"/>
        </w:rPr>
        <w:t>11</w:t>
      </w:r>
      <w:r>
        <w:rPr>
          <w:rFonts w:hint="eastAsia" w:ascii="宋体" w:hAnsi="宋体"/>
          <w:szCs w:val="21"/>
        </w:rPr>
        <w:t>.2谈判文件的修改以书面形式（包括政府集中采购机构网站发布方式，如更正公告等）发送给所有供应商，谈判文件的修改内容作为谈判文件的组成部分，并具有约束力。</w:t>
      </w:r>
    </w:p>
    <w:p w14:paraId="05BA87DC">
      <w:pPr>
        <w:ind w:firstLine="411" w:firstLineChars="196"/>
        <w:rPr>
          <w:rFonts w:ascii="宋体" w:hAnsi="宋体"/>
          <w:szCs w:val="21"/>
        </w:rPr>
      </w:pPr>
      <w:r>
        <w:rPr>
          <w:rFonts w:ascii="宋体" w:hAnsi="宋体"/>
          <w:szCs w:val="21"/>
        </w:rPr>
        <w:t>11</w:t>
      </w:r>
      <w:r>
        <w:rPr>
          <w:rFonts w:hint="eastAsia" w:ascii="宋体" w:hAnsi="宋体"/>
          <w:szCs w:val="21"/>
        </w:rPr>
        <w:t>.3谈判文件、谈判文件澄清答复内容、谈判文件修改补充内容均以书面形式（包括政府集中采购机构网站公开发布方式，如更正公告等）明确的内容为准。当谈判文件、修改补充通知、谈判文件澄清答复内容相互矛盾时，以最后发出的内容为准。</w:t>
      </w:r>
    </w:p>
    <w:p w14:paraId="0AA93C2B">
      <w:pPr>
        <w:ind w:firstLine="411" w:firstLineChars="196"/>
        <w:rPr>
          <w:rFonts w:ascii="宋体" w:hAnsi="宋体"/>
          <w:szCs w:val="21"/>
        </w:rPr>
      </w:pPr>
      <w:r>
        <w:rPr>
          <w:rFonts w:ascii="宋体" w:hAnsi="宋体"/>
          <w:szCs w:val="21"/>
        </w:rPr>
        <w:t>11</w:t>
      </w:r>
      <w:r>
        <w:rPr>
          <w:rFonts w:hint="eastAsia" w:ascii="宋体" w:hAnsi="宋体"/>
          <w:szCs w:val="21"/>
        </w:rPr>
        <w:t>.4政府集中采购机构保证谈判文件澄清答复内容和谈判文件修改补充内容在谈判截止时间前以书面形式（包括政府集中采购机构网站发布方式，如更正公告等）发送给所有供应商。为使供应商在编制谈判文件时有充分时间对谈判文件的修改部分进行研究，政府集中采购机构可以酌情延长递交应答文件的截止日期。</w:t>
      </w:r>
    </w:p>
    <w:p w14:paraId="457E1ADD">
      <w:pPr>
        <w:pStyle w:val="7"/>
      </w:pPr>
      <w:r>
        <w:rPr>
          <w:rFonts w:hint="eastAsia"/>
        </w:rPr>
        <w:t>三、应答文件</w:t>
      </w:r>
    </w:p>
    <w:p w14:paraId="55D97536">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应答文件的语言及度量单位</w:t>
      </w:r>
    </w:p>
    <w:p w14:paraId="339FC61A">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 供应商与政府集中采购机构之间与谈判有关的所有往来通知、函件和应答文件均用中文表述。供应商随应答文件提供的证明文件和资料可以为其它语言，但必须附中文译文。翻译的中文资料与外文资料如果出现差异时，以中文为准。</w:t>
      </w:r>
    </w:p>
    <w:p w14:paraId="30584BD5">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 除技术规范另有规定外，应答文件使用的度量单位，均采用中华人民共和国法定计量单位。</w:t>
      </w:r>
    </w:p>
    <w:p w14:paraId="268CEBB3">
      <w:pPr>
        <w:rPr>
          <w:rFonts w:ascii="黑体" w:hAnsi="宋体" w:eastAsia="黑体"/>
          <w:sz w:val="24"/>
        </w:rPr>
      </w:pPr>
      <w:r>
        <w:rPr>
          <w:rFonts w:hint="eastAsia" w:ascii="黑体" w:hAnsi="宋体" w:eastAsia="黑体"/>
          <w:sz w:val="24"/>
        </w:rPr>
        <w:t>1</w:t>
      </w:r>
      <w:r>
        <w:rPr>
          <w:rFonts w:ascii="黑体" w:hAnsi="宋体" w:eastAsia="黑体"/>
          <w:sz w:val="24"/>
        </w:rPr>
        <w:t>3.</w:t>
      </w:r>
      <w:r>
        <w:rPr>
          <w:rFonts w:hint="eastAsia" w:ascii="黑体" w:hAnsi="宋体" w:eastAsia="黑体"/>
          <w:sz w:val="24"/>
        </w:rPr>
        <w:t>应答文件组成</w:t>
      </w:r>
    </w:p>
    <w:p w14:paraId="7B104BA6">
      <w:pPr>
        <w:ind w:firstLine="411" w:firstLineChars="196"/>
        <w:rPr>
          <w:rFonts w:ascii="宋体" w:hAnsi="宋体"/>
          <w:szCs w:val="21"/>
        </w:rPr>
      </w:pPr>
      <w:r>
        <w:rPr>
          <w:rFonts w:hint="eastAsia" w:ascii="宋体" w:hAnsi="宋体"/>
          <w:szCs w:val="21"/>
        </w:rPr>
        <w:t>具体要求在第四章“</w:t>
      </w:r>
      <w:r>
        <w:rPr>
          <w:rFonts w:hint="eastAsia"/>
        </w:rPr>
        <w:t>应答文件组成要求及格式”</w:t>
      </w:r>
      <w:r>
        <w:rPr>
          <w:rFonts w:hint="eastAsia" w:ascii="宋体" w:hAnsi="宋体"/>
          <w:szCs w:val="21"/>
        </w:rPr>
        <w:t>进行规定。</w:t>
      </w:r>
    </w:p>
    <w:p w14:paraId="4A5DEDD9">
      <w:pPr>
        <w:rPr>
          <w:rFonts w:ascii="黑体" w:hAnsi="宋体" w:eastAsia="黑体"/>
          <w:sz w:val="24"/>
        </w:rPr>
      </w:pPr>
      <w:r>
        <w:rPr>
          <w:rFonts w:ascii="黑体" w:hAnsi="宋体" w:eastAsia="黑体"/>
          <w:sz w:val="24"/>
        </w:rPr>
        <w:t>14</w:t>
      </w:r>
      <w:r>
        <w:rPr>
          <w:rFonts w:hint="eastAsia" w:ascii="黑体" w:hAnsi="宋体" w:eastAsia="黑体"/>
          <w:sz w:val="24"/>
        </w:rPr>
        <w:t>.应答</w:t>
      </w:r>
      <w:r>
        <w:rPr>
          <w:rFonts w:ascii="黑体" w:hAnsi="宋体" w:eastAsia="黑体"/>
          <w:sz w:val="24"/>
        </w:rPr>
        <w:t>文件格式</w:t>
      </w:r>
    </w:p>
    <w:p w14:paraId="4D38A13F">
      <w:pPr>
        <w:ind w:firstLine="411" w:firstLineChars="196"/>
        <w:rPr>
          <w:rFonts w:ascii="宋体" w:hAnsi="宋体"/>
          <w:szCs w:val="21"/>
        </w:rPr>
      </w:pPr>
      <w:r>
        <w:rPr>
          <w:rFonts w:ascii="宋体" w:hAnsi="宋体"/>
          <w:szCs w:val="21"/>
        </w:rPr>
        <w:t>如</w:t>
      </w:r>
      <w:r>
        <w:rPr>
          <w:rFonts w:hint="eastAsia" w:ascii="宋体" w:hAnsi="宋体"/>
          <w:szCs w:val="21"/>
        </w:rPr>
        <w:t>谈判</w:t>
      </w:r>
      <w:r>
        <w:rPr>
          <w:rFonts w:ascii="宋体" w:hAnsi="宋体"/>
          <w:szCs w:val="21"/>
        </w:rPr>
        <w:t>文件提供了</w:t>
      </w:r>
      <w:r>
        <w:rPr>
          <w:rFonts w:hint="eastAsia" w:ascii="宋体" w:hAnsi="宋体"/>
          <w:szCs w:val="21"/>
        </w:rPr>
        <w:t>应答</w:t>
      </w:r>
      <w:r>
        <w:rPr>
          <w:rFonts w:ascii="宋体" w:hAnsi="宋体"/>
          <w:szCs w:val="21"/>
        </w:rPr>
        <w:t>文件格式，则</w:t>
      </w:r>
      <w:r>
        <w:rPr>
          <w:rFonts w:hint="eastAsia" w:ascii="宋体" w:hAnsi="宋体"/>
          <w:b/>
          <w:bCs/>
          <w:szCs w:val="21"/>
        </w:rPr>
        <w:t>供应商提交的应答文件应毫无例外地使用谈判文件所提供的相应格式</w:t>
      </w:r>
      <w:r>
        <w:rPr>
          <w:rFonts w:hint="eastAsia" w:ascii="宋体" w:hAnsi="宋体"/>
          <w:szCs w:val="21"/>
        </w:rPr>
        <w:t>（表格均可按同样格式扩展）。</w:t>
      </w:r>
    </w:p>
    <w:p w14:paraId="63499235">
      <w:pPr>
        <w:rPr>
          <w:rFonts w:ascii="黑体" w:hAnsi="宋体" w:eastAsia="黑体"/>
          <w:sz w:val="24"/>
        </w:rPr>
      </w:pPr>
      <w:r>
        <w:rPr>
          <w:rFonts w:hint="eastAsia" w:ascii="黑体" w:hAnsi="宋体" w:eastAsia="黑体"/>
          <w:sz w:val="24"/>
        </w:rPr>
        <w:t>1</w:t>
      </w:r>
      <w:r>
        <w:rPr>
          <w:rFonts w:ascii="黑体" w:hAnsi="宋体" w:eastAsia="黑体"/>
          <w:sz w:val="24"/>
        </w:rPr>
        <w:t>5.</w:t>
      </w:r>
      <w:r>
        <w:rPr>
          <w:rFonts w:hint="eastAsia" w:ascii="黑体" w:hAnsi="宋体" w:eastAsia="黑体"/>
          <w:sz w:val="24"/>
        </w:rPr>
        <w:t>谈判报价货币</w:t>
      </w:r>
    </w:p>
    <w:p w14:paraId="7A2F61A6">
      <w:pPr>
        <w:ind w:firstLine="411" w:firstLineChars="196"/>
        <w:rPr>
          <w:rFonts w:ascii="宋体" w:hAnsi="宋体"/>
          <w:szCs w:val="21"/>
        </w:rPr>
      </w:pPr>
      <w:r>
        <w:rPr>
          <w:rFonts w:hint="eastAsia" w:ascii="宋体" w:hAnsi="宋体"/>
          <w:szCs w:val="21"/>
        </w:rPr>
        <w:t>本项目的谈判应答报价应以人民币计。</w:t>
      </w:r>
    </w:p>
    <w:p w14:paraId="59B88A1C">
      <w:pPr>
        <w:rPr>
          <w:rFonts w:ascii="黑体" w:hAnsi="宋体" w:eastAsia="黑体"/>
          <w:sz w:val="24"/>
        </w:rPr>
      </w:pPr>
      <w:r>
        <w:rPr>
          <w:rFonts w:hint="eastAsia" w:ascii="黑体" w:hAnsi="宋体" w:eastAsia="黑体"/>
          <w:sz w:val="24"/>
        </w:rPr>
        <w:t>1</w:t>
      </w:r>
      <w:r>
        <w:rPr>
          <w:rFonts w:ascii="黑体" w:hAnsi="宋体" w:eastAsia="黑体"/>
          <w:sz w:val="24"/>
        </w:rPr>
        <w:t>6.</w:t>
      </w:r>
      <w:r>
        <w:rPr>
          <w:rFonts w:hint="eastAsia" w:ascii="黑体" w:hAnsi="宋体" w:eastAsia="黑体"/>
          <w:sz w:val="24"/>
        </w:rPr>
        <w:t>证明应答文件技术方案的合格性和符合谈判文件规定的文件要求</w:t>
      </w:r>
    </w:p>
    <w:p w14:paraId="7EA4790D">
      <w:pPr>
        <w:ind w:firstLine="411" w:firstLineChars="196"/>
        <w:rPr>
          <w:rFonts w:ascii="宋体" w:hAnsi="宋体"/>
          <w:szCs w:val="21"/>
        </w:rPr>
      </w:pPr>
      <w:r>
        <w:rPr>
          <w:rFonts w:hint="eastAsia" w:ascii="宋体" w:hAnsi="宋体"/>
          <w:szCs w:val="21"/>
        </w:rPr>
        <w:t>1</w:t>
      </w:r>
      <w:r>
        <w:rPr>
          <w:rFonts w:ascii="宋体" w:hAnsi="宋体"/>
          <w:szCs w:val="21"/>
        </w:rPr>
        <w:t xml:space="preserve">6.1 </w:t>
      </w:r>
      <w:r>
        <w:rPr>
          <w:rFonts w:hint="eastAsia" w:ascii="宋体" w:hAnsi="宋体"/>
          <w:szCs w:val="21"/>
        </w:rPr>
        <w:t>供应商应提交证明文件，证明其应答技术方案项下的货物和服务的合格性符合谈判文件规定。该应答技术方案及其证明文件均作为应答文件组成部分。</w:t>
      </w:r>
    </w:p>
    <w:p w14:paraId="40E21353">
      <w:pPr>
        <w:ind w:firstLine="411" w:firstLineChars="196"/>
        <w:rPr>
          <w:rFonts w:ascii="宋体" w:hAnsi="宋体"/>
          <w:szCs w:val="21"/>
        </w:rPr>
      </w:pPr>
      <w:r>
        <w:rPr>
          <w:rFonts w:ascii="宋体" w:hAnsi="宋体"/>
          <w:szCs w:val="21"/>
        </w:rPr>
        <w:t xml:space="preserve">16.2 </w:t>
      </w:r>
      <w:r>
        <w:rPr>
          <w:rFonts w:hint="eastAsia" w:ascii="宋体" w:hAnsi="宋体"/>
          <w:szCs w:val="21"/>
        </w:rPr>
        <w:t>供应商提供证明应答技术方案与谈判文件的要求相一致的文件，可以是文字资料、图纸、数据或数码照片、制造商公布的产品说明书、产品彩页和我国政府机构出具的产品检验和核准证件等，提供的文件应符合以下要求：</w:t>
      </w:r>
    </w:p>
    <w:p w14:paraId="33AA19B5">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.2.1主要技术指标和性能的详细说明。</w:t>
      </w:r>
    </w:p>
    <w:p w14:paraId="7CA2092D">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.2.</w:t>
      </w:r>
      <w:r>
        <w:rPr>
          <w:rFonts w:ascii="宋体" w:hAnsi="宋体"/>
          <w:szCs w:val="21"/>
        </w:rPr>
        <w:t>2</w:t>
      </w:r>
      <w:r>
        <w:rPr>
          <w:rFonts w:hint="eastAsia" w:ascii="宋体" w:hAnsi="宋体"/>
          <w:szCs w:val="21"/>
        </w:rPr>
        <w:t>相关产品从采购人开始使用至谈判文件中规定的周期内正常、连续地使用所必须的备件和专用工具清单，包括备件和专用工具的货源及现行价格。</w:t>
      </w:r>
    </w:p>
    <w:p w14:paraId="3635B348">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.2.</w:t>
      </w:r>
      <w:r>
        <w:rPr>
          <w:rFonts w:ascii="宋体" w:hAnsi="宋体"/>
          <w:szCs w:val="21"/>
        </w:rPr>
        <w:t>3</w:t>
      </w:r>
      <w:r>
        <w:rPr>
          <w:rFonts w:hint="eastAsia" w:ascii="宋体" w:hAnsi="宋体"/>
          <w:szCs w:val="21"/>
        </w:rPr>
        <w:t>对照谈判文件技术规格，逐条说明应答技术方案已对采购人的技术规格做出了实质性的响应，或申明与技术规格条文的偏差和例外。供应商应详细说明应答文件技术方案中产品的具体参数，不得不合理照搬照抄谈判文件的技术要求。</w:t>
      </w:r>
    </w:p>
    <w:p w14:paraId="7E368D9E">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2.4产品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4C3C42C8">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.2.5我国政府机构出具的产品检验和核准证件应为证件正面、背面和附件标注的全部具体内容；产品检验和核准证件的尺寸和清晰度应该能够在电脑上被阅读、识别和判断，提供原件扫描件。</w:t>
      </w:r>
    </w:p>
    <w:p w14:paraId="40B37B2B">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.3相关资料不符合1</w:t>
      </w:r>
      <w:r>
        <w:rPr>
          <w:rFonts w:ascii="宋体" w:hAnsi="宋体"/>
          <w:szCs w:val="21"/>
        </w:rPr>
        <w:t>6</w:t>
      </w:r>
      <w:r>
        <w:rPr>
          <w:rFonts w:hint="eastAsia" w:ascii="宋体" w:hAnsi="宋体"/>
          <w:szCs w:val="21"/>
        </w:rPr>
        <w:t>.2款要求的，谈判小组有权认定为应答技术方案不合格响应，其相关分数予以扣减或作应答无效处理。</w:t>
      </w:r>
    </w:p>
    <w:p w14:paraId="59744D96">
      <w:pPr>
        <w:ind w:firstLine="411" w:firstLineChars="196"/>
        <w:rPr>
          <w:rFonts w:ascii="宋体" w:hAnsi="宋体"/>
          <w:szCs w:val="21"/>
        </w:rPr>
      </w:pPr>
      <w:r>
        <w:rPr>
          <w:rFonts w:ascii="宋体" w:hAnsi="宋体"/>
          <w:szCs w:val="21"/>
        </w:rPr>
        <w:t>16.</w:t>
      </w:r>
      <w:r>
        <w:rPr>
          <w:rFonts w:hint="eastAsia" w:ascii="宋体" w:hAnsi="宋体"/>
          <w:szCs w:val="21"/>
        </w:rPr>
        <w:t>4供应商在阐述上述第1</w:t>
      </w:r>
      <w:r>
        <w:rPr>
          <w:rFonts w:ascii="宋体" w:hAnsi="宋体"/>
          <w:szCs w:val="21"/>
        </w:rPr>
        <w:t>6</w:t>
      </w:r>
      <w:r>
        <w:rPr>
          <w:rFonts w:hint="eastAsia" w:ascii="宋体" w:hAnsi="宋体"/>
          <w:szCs w:val="21"/>
        </w:rPr>
        <w:t>.2时应注意采购人在技术规格中指出的工艺、材料和设备的标准以及参照的牌号或分类号仅起说明作用，并没有任何限制性。供应商在应答中可以选用替代标准、牌号或分类号，但这些替代要实质上满足谈判文件中技术规格的要求，是否</w:t>
      </w:r>
      <w:r>
        <w:rPr>
          <w:rFonts w:hint="eastAsia"/>
        </w:rPr>
        <w:t>满足要求</w:t>
      </w:r>
      <w:r>
        <w:rPr>
          <w:rFonts w:hint="eastAsia" w:ascii="宋体" w:hAnsi="宋体"/>
          <w:szCs w:val="21"/>
        </w:rPr>
        <w:t>，由谈判小组来评判。</w:t>
      </w:r>
    </w:p>
    <w:p w14:paraId="5C634588">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.5除非另有规定或说明，供应商对同一项目不得同时提供两套或两套以上的应答方案。</w:t>
      </w:r>
    </w:p>
    <w:p w14:paraId="2ED0CF65">
      <w:pPr>
        <w:rPr>
          <w:rFonts w:ascii="黑体" w:hAnsi="宋体" w:eastAsia="黑体"/>
          <w:sz w:val="24"/>
        </w:rPr>
      </w:pPr>
      <w:r>
        <w:rPr>
          <w:rFonts w:hint="eastAsia" w:ascii="黑体" w:hAnsi="宋体" w:eastAsia="黑体"/>
          <w:sz w:val="24"/>
        </w:rPr>
        <w:t>1</w:t>
      </w:r>
      <w:r>
        <w:rPr>
          <w:rFonts w:ascii="黑体" w:hAnsi="宋体" w:eastAsia="黑体"/>
          <w:sz w:val="24"/>
        </w:rPr>
        <w:t>7.</w:t>
      </w:r>
      <w:r>
        <w:rPr>
          <w:rFonts w:hint="eastAsia" w:ascii="黑体" w:hAnsi="宋体" w:eastAsia="黑体"/>
          <w:sz w:val="24"/>
        </w:rPr>
        <w:t>应答文件其他证明文件的要求</w:t>
      </w:r>
    </w:p>
    <w:p w14:paraId="544429D5">
      <w:pPr>
        <w:rPr>
          <w:rFonts w:ascii="宋体" w:hAnsi="宋体"/>
          <w:color w:val="FF0000"/>
          <w:szCs w:val="21"/>
        </w:rPr>
      </w:pPr>
      <w:r>
        <w:rPr>
          <w:rFonts w:hint="eastAsia" w:ascii="黑体" w:hAnsi="宋体" w:eastAsia="黑体"/>
          <w:sz w:val="24"/>
        </w:rPr>
        <w:t xml:space="preserve">    </w:t>
      </w:r>
      <w:r>
        <w:rPr>
          <w:rFonts w:hint="eastAsia" w:ascii="宋体" w:hAnsi="宋体"/>
          <w:szCs w:val="21"/>
        </w:rPr>
        <w:t>1</w:t>
      </w:r>
      <w:r>
        <w:rPr>
          <w:rFonts w:ascii="宋体" w:hAnsi="宋体"/>
          <w:szCs w:val="21"/>
        </w:rPr>
        <w:t>7</w:t>
      </w:r>
      <w:r>
        <w:rPr>
          <w:rFonts w:hint="eastAsia" w:ascii="宋体" w:hAnsi="宋体"/>
          <w:szCs w:val="21"/>
        </w:rPr>
        <w:t>.1采用综合评分法的项目，对项目谈判文件《评审信息》评分项中涉及的相关业绩、社保情况等内容以及《资格性审查表》和《符合性审查表》中涉及的证明材料，供应商应提供相关部门出具的证明材料扫描件或照片，原件备查。有关扫描件（或照片）的尺寸和清晰度要求能够使用电脑阅读、识别和判断。若供应商未按要求提供证明材料或提供的是部分证明材料或提供不清晰的扫描件（或照片）的，谈判小组有权认定其应答文件未对谈判文件有关需求进行响应，涉及资格性检查或符合性检查的予以应答无效处理，涉及《评审信息》打分项的则该项评分予以0分处理。谈判小组对供应商应答资料是否异常、是否有效问题进行核查和判定，如认为供应商应答资料有异常或无效的，若涉及资格性审查或符合性审查条款的，则应作应答无效处理；若涉及评分的，则作不得分处理。</w:t>
      </w:r>
      <w:bookmarkStart w:id="49" w:name="_Hlk71407299"/>
    </w:p>
    <w:bookmarkEnd w:id="49"/>
    <w:p w14:paraId="5C74BF5B">
      <w:pPr>
        <w:ind w:firstLine="411" w:firstLineChars="196"/>
        <w:rPr>
          <w:rFonts w:ascii="宋体" w:hAnsi="宋体"/>
          <w:szCs w:val="21"/>
        </w:rPr>
      </w:pPr>
      <w:r>
        <w:rPr>
          <w:rFonts w:hint="eastAsia" w:ascii="宋体" w:hAnsi="宋体"/>
          <w:szCs w:val="21"/>
        </w:rPr>
        <w:t>1</w:t>
      </w:r>
      <w:r>
        <w:rPr>
          <w:rFonts w:ascii="宋体" w:hAnsi="宋体"/>
          <w:szCs w:val="21"/>
        </w:rPr>
        <w:t>7</w:t>
      </w:r>
      <w:r>
        <w:rPr>
          <w:rFonts w:hint="eastAsia" w:ascii="宋体" w:hAnsi="宋体"/>
          <w:szCs w:val="21"/>
        </w:rPr>
        <w:t>.2本项目涉及提供的有关资质（资格）证书，若原有资质（资格）证书处于年审期间，须提供证书颁发部门提供的回执，并且回执须证明该证书依然有效（若在法规范围不需提供的，供应商应作书面说明并提供证明文件，否则该证书无效），则该供应商提供年审证明的可按原资质（资格）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szCs w:val="21"/>
        </w:rPr>
        <w:t>；若供应商正在申报上一级别资质（资格），在未获批准之前，仍按原级别资质（资格）投标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szCs w:val="21"/>
        </w:rPr>
        <w:t>。</w:t>
      </w:r>
    </w:p>
    <w:p w14:paraId="1B084A49">
      <w:pPr>
        <w:rPr>
          <w:rFonts w:ascii="黑体" w:hAnsi="宋体" w:eastAsia="黑体"/>
          <w:sz w:val="24"/>
        </w:rPr>
      </w:pPr>
      <w:r>
        <w:rPr>
          <w:rFonts w:ascii="黑体" w:hAnsi="宋体" w:eastAsia="黑体"/>
          <w:sz w:val="24"/>
        </w:rPr>
        <w:t>18</w:t>
      </w:r>
      <w:r>
        <w:rPr>
          <w:rFonts w:hint="eastAsia" w:ascii="黑体" w:hAnsi="宋体" w:eastAsia="黑体"/>
          <w:sz w:val="24"/>
        </w:rPr>
        <w:t>．谈判应答有效期</w:t>
      </w:r>
    </w:p>
    <w:p w14:paraId="5F563691">
      <w:pPr>
        <w:ind w:firstLine="411" w:firstLineChars="196"/>
        <w:rPr>
          <w:rFonts w:ascii="宋体" w:hAnsi="宋体"/>
          <w:szCs w:val="21"/>
        </w:rPr>
      </w:pPr>
      <w:r>
        <w:rPr>
          <w:rFonts w:ascii="宋体" w:hAnsi="宋体"/>
          <w:szCs w:val="21"/>
        </w:rPr>
        <w:t>18</w:t>
      </w:r>
      <w:r>
        <w:rPr>
          <w:rFonts w:hint="eastAsia" w:ascii="宋体" w:hAnsi="宋体"/>
          <w:szCs w:val="21"/>
        </w:rPr>
        <w:t>.1 谈判应答有效期为</w:t>
      </w:r>
      <w:r>
        <w:rPr>
          <w:rFonts w:hint="eastAsia" w:ascii="Arial" w:hAnsi="Arial" w:cs="Arial"/>
          <w:szCs w:val="21"/>
        </w:rPr>
        <w:t>从谈判截止之日算起的日历天数。</w:t>
      </w:r>
      <w:r>
        <w:rPr>
          <w:rFonts w:hint="eastAsia" w:ascii="宋体" w:hAnsi="宋体"/>
          <w:szCs w:val="21"/>
        </w:rPr>
        <w:t>在此期限内，所有应答文件均保持有效。</w:t>
      </w:r>
    </w:p>
    <w:p w14:paraId="4815822A">
      <w:pPr>
        <w:ind w:firstLine="411" w:firstLineChars="196"/>
        <w:rPr>
          <w:rFonts w:ascii="宋体" w:hAnsi="宋体"/>
          <w:szCs w:val="21"/>
        </w:rPr>
      </w:pPr>
      <w:r>
        <w:rPr>
          <w:rFonts w:ascii="宋体" w:hAnsi="宋体"/>
          <w:szCs w:val="21"/>
        </w:rPr>
        <w:t>18</w:t>
      </w:r>
      <w:r>
        <w:rPr>
          <w:rFonts w:hint="eastAsia" w:ascii="宋体" w:hAnsi="宋体"/>
          <w:szCs w:val="21"/>
        </w:rPr>
        <w:t>.2 在特殊情况下，政府集中采购机构在原定的谈判应答有效期满之前，政府集中采购机构可以根据需要以书面形式（包括政府集中采购机构网站公开发布方式）向供应商提出延长谈判应答有效期的要求，对此要求供应商须以书面形式予以答复，供应商可以拒绝政府集中采购机构此项要求，其应答在原谈判应答有效期满后不再有效。同意延长谈判应答有效期的供应商不能要求也不允许修改其应答文件。</w:t>
      </w:r>
    </w:p>
    <w:p w14:paraId="47515EC7">
      <w:pPr>
        <w:ind w:firstLine="411" w:firstLineChars="196"/>
        <w:rPr>
          <w:rFonts w:ascii="宋体" w:hAnsi="宋体"/>
          <w:szCs w:val="21"/>
        </w:rPr>
      </w:pPr>
      <w:r>
        <w:rPr>
          <w:rFonts w:ascii="宋体" w:hAnsi="宋体"/>
          <w:szCs w:val="21"/>
        </w:rPr>
        <w:t>18.3</w:t>
      </w:r>
      <w:r>
        <w:rPr>
          <w:rFonts w:hint="eastAsia" w:ascii="宋体" w:hAnsi="宋体"/>
          <w:szCs w:val="21"/>
        </w:rPr>
        <w:t xml:space="preserve"> 成交供应商的应答文件有效期，截止于完成本谈判文件规定的全部项目内容，并通过竣工验收及保修期结束。</w:t>
      </w:r>
    </w:p>
    <w:p w14:paraId="7B7330CE">
      <w:pPr>
        <w:rPr>
          <w:rFonts w:ascii="黑体" w:hAnsi="宋体" w:eastAsia="黑体"/>
          <w:sz w:val="24"/>
        </w:rPr>
      </w:pPr>
      <w:r>
        <w:rPr>
          <w:rFonts w:hint="eastAsia" w:ascii="黑体" w:hAnsi="宋体" w:eastAsia="黑体"/>
          <w:sz w:val="24"/>
        </w:rPr>
        <w:t>1</w:t>
      </w:r>
      <w:r>
        <w:rPr>
          <w:rFonts w:ascii="黑体" w:hAnsi="宋体" w:eastAsia="黑体"/>
          <w:sz w:val="24"/>
        </w:rPr>
        <w:t>9.</w:t>
      </w:r>
      <w:r>
        <w:rPr>
          <w:rFonts w:hint="eastAsia" w:ascii="黑体" w:hAnsi="宋体" w:eastAsia="黑体"/>
          <w:sz w:val="24"/>
        </w:rPr>
        <w:t xml:space="preserve">关于谈判保证金 </w:t>
      </w:r>
    </w:p>
    <w:p w14:paraId="3B7284D8">
      <w:pPr>
        <w:rPr>
          <w:rFonts w:ascii="宋体" w:hAnsi="宋体"/>
          <w:szCs w:val="21"/>
        </w:rPr>
      </w:pPr>
      <w:r>
        <w:rPr>
          <w:rFonts w:hint="eastAsia" w:ascii="宋体" w:hAnsi="宋体"/>
          <w:szCs w:val="21"/>
        </w:rPr>
        <w:t xml:space="preserve">    </w:t>
      </w:r>
      <w:r>
        <w:rPr>
          <w:rFonts w:ascii="宋体" w:hAnsi="宋体"/>
          <w:szCs w:val="21"/>
        </w:rPr>
        <w:t>19</w:t>
      </w:r>
      <w:r>
        <w:rPr>
          <w:rFonts w:hint="eastAsia" w:ascii="宋体" w:hAnsi="宋体"/>
          <w:szCs w:val="21"/>
        </w:rPr>
        <w:t xml:space="preserve">.1 </w:t>
      </w:r>
      <w:r>
        <w:rPr>
          <w:rFonts w:hint="eastAsia"/>
        </w:rPr>
        <w:t>根据《深圳市财政局关于调整政府采购投标（响应）保证金管理政策的通知 》（深财购〔2021〕51 号 ）文的规定，本项目不收取谈判保证金。</w:t>
      </w:r>
    </w:p>
    <w:p w14:paraId="19FDCDAA">
      <w:pPr>
        <w:rPr>
          <w:rFonts w:ascii="黑体" w:hAnsi="宋体" w:eastAsia="黑体"/>
          <w:sz w:val="24"/>
        </w:rPr>
      </w:pPr>
      <w:r>
        <w:rPr>
          <w:rFonts w:ascii="黑体" w:hAnsi="宋体" w:eastAsia="黑体"/>
          <w:sz w:val="24"/>
        </w:rPr>
        <w:t>20.</w:t>
      </w:r>
      <w:r>
        <w:rPr>
          <w:rFonts w:hint="eastAsia" w:ascii="黑体" w:hAnsi="宋体" w:eastAsia="黑体"/>
          <w:sz w:val="24"/>
        </w:rPr>
        <w:t>供应商的替代方案</w:t>
      </w:r>
    </w:p>
    <w:p w14:paraId="539768BB">
      <w:pPr>
        <w:ind w:firstLine="411" w:firstLineChars="196"/>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.1供应商所提交的应答文件应完全满足谈判文件（包括图纸和技术规范所示的基本技术设计）的要求。除非项目明确允许供应商提交替代方案，否则供应商有关替代方案的条款将初审不通过，作应答无效处理。</w:t>
      </w:r>
    </w:p>
    <w:p w14:paraId="74B7F570">
      <w:pPr>
        <w:ind w:firstLine="411" w:firstLineChars="196"/>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.2 如果允许供应商提交替代方案，则准备提交替代方案的供应商除应提交一份满足谈判文件（包括图纸和技术规范所示的基本技术设计）要求的应答文件外，还应提交需评审其替代方案所需的全部资料，包括项目方案书、技术规范、替代方案报价书、所建议的项目方案及有关的其它详细资料。</w:t>
      </w:r>
    </w:p>
    <w:p w14:paraId="1A86E4D1">
      <w:pPr>
        <w:rPr>
          <w:rFonts w:ascii="黑体" w:hAnsi="宋体" w:eastAsia="黑体"/>
          <w:sz w:val="24"/>
        </w:rPr>
      </w:pPr>
      <w:r>
        <w:rPr>
          <w:rFonts w:hint="eastAsia" w:ascii="黑体" w:hAnsi="宋体" w:eastAsia="黑体"/>
          <w:sz w:val="24"/>
        </w:rPr>
        <w:t>2</w:t>
      </w:r>
      <w:r>
        <w:rPr>
          <w:rFonts w:ascii="黑体" w:hAnsi="宋体" w:eastAsia="黑体"/>
          <w:sz w:val="24"/>
        </w:rPr>
        <w:t>1.</w:t>
      </w:r>
      <w:r>
        <w:rPr>
          <w:rFonts w:hint="eastAsia" w:ascii="黑体" w:hAnsi="宋体" w:eastAsia="黑体"/>
          <w:sz w:val="24"/>
        </w:rPr>
        <w:t>应答</w:t>
      </w:r>
      <w:r>
        <w:rPr>
          <w:rFonts w:ascii="黑体" w:hAnsi="宋体" w:eastAsia="黑体"/>
          <w:sz w:val="24"/>
        </w:rPr>
        <w:t>文件的</w:t>
      </w:r>
      <w:r>
        <w:rPr>
          <w:rFonts w:hint="eastAsia" w:ascii="黑体" w:hAnsi="宋体" w:eastAsia="黑体"/>
          <w:sz w:val="24"/>
        </w:rPr>
        <w:t>制作</w:t>
      </w:r>
      <w:r>
        <w:rPr>
          <w:rFonts w:ascii="黑体" w:hAnsi="宋体" w:eastAsia="黑体"/>
          <w:sz w:val="24"/>
        </w:rPr>
        <w:t>要求</w:t>
      </w:r>
    </w:p>
    <w:p w14:paraId="1ED4B31A">
      <w:pPr>
        <w:ind w:firstLine="411" w:firstLineChars="196"/>
        <w:rPr>
          <w:rFonts w:ascii="宋体" w:hAnsi="宋体"/>
          <w:color w:val="FF0000"/>
        </w:rPr>
      </w:pPr>
      <w:r>
        <w:rPr>
          <w:rFonts w:hint="eastAsia" w:ascii="宋体" w:hAnsi="宋体"/>
          <w:color w:val="FF0000"/>
        </w:rPr>
        <w:t>2</w:t>
      </w:r>
      <w:r>
        <w:rPr>
          <w:rFonts w:ascii="宋体" w:hAnsi="宋体"/>
          <w:color w:val="FF0000"/>
        </w:rPr>
        <w:t>1</w:t>
      </w:r>
      <w:r>
        <w:rPr>
          <w:rFonts w:hint="eastAsia" w:ascii="宋体" w:hAnsi="宋体"/>
          <w:color w:val="FF0000"/>
        </w:rPr>
        <w:t>.1供应商应准备所投项目的电子应答文件（即应答文件）一份。此电子应答文件须由供应商根据政府集中采购机构提供的后缀名为.szczf的电子谈判文件，下载并使用相应的深圳智慧采购平台投标（应答）文件制作专用软件打开谈判文件（.szczf格式）【下载地址：</w:t>
      </w:r>
      <w:r>
        <w:rPr>
          <w:rFonts w:ascii="宋体" w:hAnsi="宋体"/>
          <w:color w:val="FF0000"/>
        </w:rPr>
        <w:t>http://zfcg.szggzy.com:8081/cgxy/013002/list.html</w:t>
      </w:r>
      <w:r>
        <w:rPr>
          <w:rFonts w:hint="eastAsia" w:ascii="宋体" w:hAnsi="宋体"/>
          <w:color w:val="FF0000"/>
        </w:rPr>
        <w:t>】。</w:t>
      </w:r>
    </w:p>
    <w:p w14:paraId="2B121BE6">
      <w:pPr>
        <w:ind w:firstLine="411" w:firstLineChars="196"/>
        <w:rPr>
          <w:rFonts w:ascii="宋体" w:hAnsi="宋体"/>
        </w:rPr>
      </w:pPr>
      <w:r>
        <w:rPr>
          <w:rFonts w:hint="eastAsia" w:ascii="宋体" w:hAnsi="宋体"/>
        </w:rPr>
        <w:t>2</w:t>
      </w:r>
      <w:r>
        <w:rPr>
          <w:rFonts w:ascii="宋体" w:hAnsi="宋体"/>
        </w:rPr>
        <w:t>1</w:t>
      </w:r>
      <w:r>
        <w:rPr>
          <w:rFonts w:hint="eastAsia" w:ascii="宋体" w:hAnsi="宋体"/>
        </w:rPr>
        <w:t>.2供应商在使用《投标书编制软件》编制应答文件时须注意：</w:t>
      </w:r>
    </w:p>
    <w:p w14:paraId="412BDE7C">
      <w:pPr>
        <w:ind w:firstLine="411" w:firstLineChars="196"/>
        <w:rPr>
          <w:rFonts w:ascii="宋体" w:hAnsi="宋体"/>
        </w:rPr>
      </w:pPr>
      <w:r>
        <w:rPr>
          <w:rFonts w:hint="eastAsia" w:ascii="宋体" w:hAnsi="宋体"/>
        </w:rPr>
        <w:t>2</w:t>
      </w:r>
      <w:r>
        <w:rPr>
          <w:rFonts w:ascii="宋体" w:hAnsi="宋体"/>
        </w:rPr>
        <w:t>1</w:t>
      </w:r>
      <w:r>
        <w:rPr>
          <w:rFonts w:hint="eastAsia" w:ascii="宋体" w:hAnsi="宋体"/>
        </w:rPr>
        <w:t>.2.1导入《投标书编制软件》的谈判文件项目编号、包号应与以此制作的应答文件项目编号、包号一致。例如，不能将甲项目A包的应答文件导入《投标书编制软件》，制作乙项目B包的应答文件。</w:t>
      </w:r>
    </w:p>
    <w:p w14:paraId="37FCDC59">
      <w:pPr>
        <w:ind w:firstLine="411" w:firstLineChars="196"/>
        <w:rPr>
          <w:rFonts w:ascii="宋体" w:hAnsi="宋体"/>
        </w:rPr>
      </w:pPr>
      <w:r>
        <w:rPr>
          <w:rFonts w:hint="eastAsia" w:ascii="宋体" w:hAnsi="宋体"/>
        </w:rPr>
        <w:t>2</w:t>
      </w:r>
      <w:r>
        <w:rPr>
          <w:rFonts w:ascii="宋体" w:hAnsi="宋体"/>
        </w:rPr>
        <w:t>1</w:t>
      </w:r>
      <w:r>
        <w:rPr>
          <w:rFonts w:hint="eastAsia" w:ascii="宋体" w:hAnsi="宋体"/>
        </w:rPr>
        <w:t>.2.2不能用非本公司的电子密钥加密本公司的应答文件，或者用其它公司的登录用户上传本公司的应答文件。</w:t>
      </w:r>
    </w:p>
    <w:p w14:paraId="5513C994">
      <w:pPr>
        <w:ind w:firstLine="411" w:firstLineChars="196"/>
        <w:rPr>
          <w:rFonts w:ascii="宋体" w:hAnsi="宋体"/>
        </w:rPr>
      </w:pPr>
      <w:r>
        <w:rPr>
          <w:rFonts w:hint="eastAsia" w:ascii="宋体" w:hAnsi="宋体"/>
        </w:rPr>
        <w:t>2</w:t>
      </w:r>
      <w:r>
        <w:rPr>
          <w:rFonts w:ascii="宋体" w:hAnsi="宋体"/>
        </w:rPr>
        <w:t>1</w:t>
      </w:r>
      <w:r>
        <w:rPr>
          <w:rFonts w:hint="eastAsia" w:ascii="宋体" w:hAnsi="宋体"/>
        </w:rPr>
        <w:t>.2.3要求用《投标书编制软件》编制应答文件的包，不能用其它方式编制应答文件。编制应答文件时，电脑须连通互联网。</w:t>
      </w:r>
    </w:p>
    <w:p w14:paraId="04B3066D">
      <w:pPr>
        <w:ind w:firstLine="411" w:firstLineChars="196"/>
        <w:rPr>
          <w:rFonts w:ascii="宋体" w:hAnsi="宋体"/>
        </w:rPr>
      </w:pPr>
      <w:r>
        <w:rPr>
          <w:rFonts w:hint="eastAsia" w:ascii="宋体" w:hAnsi="宋体"/>
        </w:rPr>
        <w:t>2</w:t>
      </w:r>
      <w:r>
        <w:rPr>
          <w:rFonts w:ascii="宋体" w:hAnsi="宋体"/>
        </w:rPr>
        <w:t>1</w:t>
      </w:r>
      <w:r>
        <w:rPr>
          <w:rFonts w:hint="eastAsia" w:ascii="宋体" w:hAnsi="宋体"/>
        </w:rPr>
        <w:t>.2.4应答文件不能带病毒。政府集中采购机构将用专业杀毒软件对应答文件进行病毒检测，如果这两种软件均报告发现病毒，则政府集中采购机构认为该应答文件带病毒。</w:t>
      </w:r>
    </w:p>
    <w:p w14:paraId="5E5DC1E0">
      <w:pPr>
        <w:ind w:firstLine="411" w:firstLineChars="196"/>
        <w:rPr>
          <w:rFonts w:ascii="宋体" w:hAnsi="宋体"/>
        </w:rPr>
      </w:pPr>
      <w:r>
        <w:rPr>
          <w:rFonts w:hint="eastAsia" w:ascii="宋体" w:hAnsi="宋体"/>
        </w:rPr>
        <w:t>2</w:t>
      </w:r>
      <w:r>
        <w:rPr>
          <w:rFonts w:ascii="宋体" w:hAnsi="宋体"/>
        </w:rPr>
        <w:t>1</w:t>
      </w:r>
      <w:r>
        <w:rPr>
          <w:rFonts w:hint="eastAsia" w:ascii="宋体" w:hAnsi="宋体"/>
        </w:rPr>
        <w:t>.2.5完整填写“投标关键信息”，如下图所示：</w:t>
      </w:r>
    </w:p>
    <w:p w14:paraId="18F33208">
      <w:pPr>
        <w:ind w:firstLine="411" w:firstLineChars="196"/>
        <w:rPr>
          <w:rFonts w:ascii="宋体" w:hAnsi="宋体"/>
        </w:rPr>
      </w:pPr>
      <w:r>
        <w:rPr>
          <w:rFonts w:ascii="宋体" w:hAnsi="宋体"/>
          <w:highlight w:val="green"/>
        </w:rPr>
        <w:drawing>
          <wp:inline distT="0" distB="0" distL="0" distR="0">
            <wp:extent cx="4982845" cy="2568575"/>
            <wp:effectExtent l="0" t="0" r="635" b="6985"/>
            <wp:docPr id="9"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形用户界面, 应用程序&#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83154" cy="2569205"/>
                    </a:xfrm>
                    <a:prstGeom prst="rect">
                      <a:avLst/>
                    </a:prstGeom>
                    <a:noFill/>
                    <a:ln>
                      <a:noFill/>
                    </a:ln>
                  </pic:spPr>
                </pic:pic>
              </a:graphicData>
            </a:graphic>
          </wp:inline>
        </w:drawing>
      </w:r>
    </w:p>
    <w:p w14:paraId="56B289A8">
      <w:pPr>
        <w:ind w:firstLine="411" w:firstLineChars="196"/>
        <w:rPr>
          <w:rFonts w:ascii="宋体" w:hAnsi="宋体"/>
          <w:color w:val="FF0000"/>
        </w:rPr>
      </w:pPr>
      <w:r>
        <w:rPr>
          <w:rFonts w:hint="eastAsia" w:ascii="宋体" w:hAnsi="宋体"/>
          <w:color w:val="FF0000"/>
        </w:rPr>
        <w:t>备注：上述“开标一览表”中的“投标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color w:val="FF0000"/>
        </w:rPr>
        <w:t>报价”将作为价格分计算依据；其它信息仅是对投标（应答）文件相关内容的概括性表述，不作为谈判依据。</w:t>
      </w:r>
    </w:p>
    <w:p w14:paraId="354FFFF4">
      <w:pPr>
        <w:ind w:firstLine="411" w:firstLineChars="196"/>
        <w:rPr>
          <w:rFonts w:ascii="宋体" w:hAnsi="宋体"/>
        </w:rPr>
      </w:pPr>
      <w:r>
        <w:rPr>
          <w:rFonts w:hint="eastAsia" w:ascii="宋体" w:hAnsi="宋体"/>
        </w:rPr>
        <w:t>23.2.6供应商在编辑应答文件时，</w:t>
      </w:r>
      <w:r>
        <w:rPr>
          <w:rFonts w:hint="eastAsia" w:ascii="宋体" w:hAnsi="宋体"/>
          <w:b/>
        </w:rPr>
        <w:t>在应答文件目录中属于本节点内容的必须在本节点中填写，填写到其他节点或附件，</w:t>
      </w:r>
      <w:r>
        <w:rPr>
          <w:rFonts w:hint="eastAsia" w:ascii="宋体" w:hAnsi="宋体"/>
        </w:rPr>
        <w:t>一切后果由供应商自行承担。</w:t>
      </w:r>
    </w:p>
    <w:p w14:paraId="593D0487">
      <w:pPr>
        <w:ind w:firstLine="411" w:firstLineChars="196"/>
        <w:rPr>
          <w:rFonts w:ascii="宋体" w:hAnsi="宋体"/>
        </w:rPr>
      </w:pPr>
      <w:r>
        <w:rPr>
          <w:rFonts w:hint="eastAsia" w:ascii="宋体" w:hAnsi="宋体"/>
        </w:rPr>
        <w:t>23.2.7应答文件编写完成后，</w:t>
      </w:r>
      <w:r>
        <w:rPr>
          <w:rFonts w:hint="eastAsia" w:ascii="宋体" w:hAnsi="宋体"/>
          <w:b/>
        </w:rPr>
        <w:t>必须用属于供应商的电子密钥进行加密，否则视同未盖公章，将导致应答文件无效。</w:t>
      </w:r>
    </w:p>
    <w:p w14:paraId="25D4488C">
      <w:pPr>
        <w:ind w:firstLine="411" w:firstLineChars="196"/>
        <w:rPr>
          <w:rFonts w:ascii="宋体" w:hAnsi="宋体"/>
        </w:rPr>
      </w:pPr>
      <w:r>
        <w:rPr>
          <w:rFonts w:hint="eastAsia" w:ascii="宋体" w:hAnsi="宋体"/>
        </w:rPr>
        <w:t>23.2.8政府集中采购机构不接受谈判截止时间后递交的纸质、电子、传真等所有形式的应答文件。由于对网上政府采购系统操作不熟悉或自身电脑、网络等原因导致不能在谈判截止时间之前上传应答文件（应答文件），政府集中采购机构概不负责。建议于谈判前一个工作日完成应答文件的制作与上传，如上传确有困难，</w:t>
      </w:r>
      <w:r>
        <w:rPr>
          <w:rFonts w:hint="eastAsia" w:ascii="宋体" w:hAnsi="宋体"/>
          <w:szCs w:val="21"/>
        </w:rPr>
        <w:t>请及时咨询。</w:t>
      </w:r>
    </w:p>
    <w:p w14:paraId="5513E7ED">
      <w:pPr>
        <w:ind w:firstLine="411" w:firstLineChars="196"/>
        <w:rPr>
          <w:rFonts w:ascii="宋体" w:hAnsi="宋体"/>
        </w:rPr>
      </w:pPr>
      <w:r>
        <w:rPr>
          <w:rFonts w:hint="eastAsia" w:ascii="宋体" w:hAnsi="宋体"/>
        </w:rPr>
        <w:t>23.2.9如果谈判时出现网络故障、技术故障，影响了谈判活动，政府集中采购机构有权采取措施如延期、接受无法从网上上传的应答文件等，以保障政府采购活动的公开、公平和公正。</w:t>
      </w:r>
    </w:p>
    <w:p w14:paraId="65DA6F0C">
      <w:pPr>
        <w:ind w:firstLine="411" w:firstLineChars="196"/>
        <w:rPr>
          <w:rFonts w:ascii="宋体" w:hAnsi="宋体"/>
        </w:rPr>
      </w:pPr>
      <w:r>
        <w:rPr>
          <w:rFonts w:hint="eastAsia" w:ascii="宋体" w:hAnsi="宋体"/>
        </w:rPr>
        <w:t>23.3电报、电话、传真形式的应答概不接受。</w:t>
      </w:r>
    </w:p>
    <w:p w14:paraId="2EC03BF0">
      <w:pPr>
        <w:ind w:firstLine="411" w:firstLineChars="196"/>
        <w:rPr>
          <w:rFonts w:ascii="宋体" w:hAnsi="宋体"/>
          <w:b/>
          <w:color w:val="FF0000"/>
        </w:rPr>
      </w:pPr>
      <w:r>
        <w:rPr>
          <w:rFonts w:hint="eastAsia" w:ascii="宋体" w:hAnsi="宋体"/>
          <w:color w:val="FF0000"/>
        </w:rPr>
        <w:t>23.4经供应商电子密钥加密的应答文件无须盖章或签字，专用条款另有要求的除外。</w:t>
      </w:r>
    </w:p>
    <w:p w14:paraId="0E41A406">
      <w:pPr>
        <w:spacing w:line="360" w:lineRule="auto"/>
        <w:ind w:firstLine="422" w:firstLineChars="200"/>
        <w:jc w:val="left"/>
      </w:pPr>
      <w:r>
        <w:rPr>
          <w:rFonts w:hint="eastAsia" w:ascii="宋体" w:hAnsi="宋体"/>
          <w:b/>
        </w:rPr>
        <w:t>23.5</w:t>
      </w:r>
      <w:r>
        <w:rPr>
          <w:rFonts w:hint="eastAsia" w:ascii="宋体" w:hAnsi="宋体"/>
        </w:rPr>
        <w:t xml:space="preserve"> 各类资格（资质）文件提供扫描件，另有专门要求的除外。</w:t>
      </w:r>
    </w:p>
    <w:p w14:paraId="00003F7F">
      <w:pPr>
        <w:pStyle w:val="7"/>
      </w:pPr>
      <w:r>
        <w:rPr>
          <w:rFonts w:hint="eastAsia"/>
        </w:rPr>
        <w:t>四、应答文件的递交</w:t>
      </w:r>
    </w:p>
    <w:p w14:paraId="4F5A0C06">
      <w:pPr>
        <w:rPr>
          <w:rFonts w:ascii="黑体" w:hAnsi="宋体" w:eastAsia="黑体"/>
          <w:sz w:val="24"/>
        </w:rPr>
      </w:pPr>
      <w:r>
        <w:rPr>
          <w:rFonts w:hint="eastAsia" w:ascii="黑体" w:hAnsi="宋体" w:eastAsia="黑体"/>
          <w:sz w:val="24"/>
        </w:rPr>
        <w:t>24．应答文件的保密</w:t>
      </w:r>
    </w:p>
    <w:p w14:paraId="6F464C74">
      <w:pPr>
        <w:widowControl/>
        <w:spacing w:line="240" w:lineRule="auto"/>
        <w:ind w:firstLine="411" w:firstLineChars="196"/>
        <w:jc w:val="left"/>
        <w:rPr>
          <w:rFonts w:hint="eastAsia" w:ascii="Times New Roman" w:hAnsi="Times New Roman" w:eastAsia="宋体" w:cs="Times New Roman"/>
          <w:color w:val="FF0000"/>
          <w:lang w:eastAsia="zh-CN"/>
        </w:rPr>
      </w:pPr>
      <w:r>
        <w:rPr>
          <w:rFonts w:hint="eastAsia" w:ascii="宋体" w:hAnsi="宋体"/>
          <w:color w:val="FF0000"/>
        </w:rPr>
        <w:t>24.1在应答文件制作完成后，</w:t>
      </w:r>
      <w:r>
        <w:rPr>
          <w:rFonts w:hint="eastAsia" w:ascii="Times New Roman" w:hAnsi="Times New Roman" w:eastAsia="宋体" w:cs="Times New Roman"/>
          <w:color w:val="FF0000"/>
        </w:rPr>
        <w:t>生成后会选择是否加密</w:t>
      </w:r>
      <w:r>
        <w:rPr>
          <w:rFonts w:hint="eastAsia" w:ascii="Times New Roman" w:hAnsi="Times New Roman" w:eastAsia="宋体" w:cs="Times New Roman"/>
          <w:color w:val="FF0000"/>
          <w:lang w:val="en-US" w:eastAsia="zh-CN"/>
        </w:rPr>
        <w:t>应答</w:t>
      </w:r>
      <w:r>
        <w:rPr>
          <w:rFonts w:hint="eastAsia" w:ascii="Times New Roman" w:hAnsi="Times New Roman" w:eastAsia="宋体" w:cs="Times New Roman"/>
          <w:color w:val="FF0000"/>
        </w:rPr>
        <w:t>文件，如不加密则直接点击生成文件即可，如需加密请插入CA锁，点击加密后生成文件，需输入CA锁密码即可加密成功</w:t>
      </w:r>
      <w:r>
        <w:rPr>
          <w:rFonts w:hint="eastAsia" w:ascii="Times New Roman" w:hAnsi="Times New Roman" w:eastAsia="宋体" w:cs="Times New Roman"/>
          <w:color w:val="FF0000"/>
          <w:lang w:eastAsia="zh-CN"/>
        </w:rPr>
        <w:t>。</w:t>
      </w:r>
    </w:p>
    <w:p w14:paraId="0CB6B7FD">
      <w:pPr>
        <w:widowControl/>
        <w:ind w:firstLine="420" w:firstLineChars="200"/>
        <w:jc w:val="left"/>
        <w:rPr>
          <w:rFonts w:ascii="宋体" w:hAnsi="宋体"/>
          <w:color w:val="FF0000"/>
        </w:rPr>
      </w:pPr>
      <w:r>
        <w:rPr>
          <w:rFonts w:hint="eastAsia" w:ascii="Times New Roman" w:hAnsi="Times New Roman" w:eastAsia="宋体" w:cs="Times New Roman"/>
        </w:rPr>
        <w:drawing>
          <wp:inline distT="0" distB="0" distL="114300" distR="114300">
            <wp:extent cx="5266690" cy="2126615"/>
            <wp:effectExtent l="0" t="0" r="10160" b="6985"/>
            <wp:docPr id="14" name="图片 14" descr="企业微信截图_1699261725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企业微信截图_16992617251837"/>
                    <pic:cNvPicPr>
                      <a:picLocks noChangeAspect="1"/>
                    </pic:cNvPicPr>
                  </pic:nvPicPr>
                  <pic:blipFill>
                    <a:blip r:embed="rId9"/>
                    <a:stretch>
                      <a:fillRect/>
                    </a:stretch>
                  </pic:blipFill>
                  <pic:spPr>
                    <a:xfrm>
                      <a:off x="0" y="0"/>
                      <a:ext cx="5266690" cy="2126615"/>
                    </a:xfrm>
                    <a:prstGeom prst="rect">
                      <a:avLst/>
                    </a:prstGeom>
                  </pic:spPr>
                </pic:pic>
              </a:graphicData>
            </a:graphic>
          </wp:inline>
        </w:drawing>
      </w:r>
    </w:p>
    <w:p w14:paraId="6ADFB99A">
      <w:pPr>
        <w:widowControl/>
        <w:ind w:firstLine="420" w:firstLineChars="200"/>
        <w:jc w:val="left"/>
        <w:rPr>
          <w:rFonts w:ascii="宋体" w:hAnsi="宋体"/>
          <w:color w:val="FF0000"/>
        </w:rPr>
      </w:pPr>
    </w:p>
    <w:p w14:paraId="17E6E222">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加密后会提示文件生成成功！</w:t>
      </w:r>
    </w:p>
    <w:p w14:paraId="66BA8C48">
      <w:pPr>
        <w:jc w:val="left"/>
        <w:rPr>
          <w:sz w:val="24"/>
        </w:rPr>
      </w:pPr>
      <w:r>
        <w:rPr>
          <w:rFonts w:hint="eastAsia" w:ascii="Times New Roman" w:hAnsi="Times New Roman" w:eastAsia="宋体" w:cs="Times New Roman"/>
          <w:color w:val="FF0000"/>
          <w:kern w:val="2"/>
          <w:sz w:val="21"/>
          <w:szCs w:val="24"/>
          <w:lang w:val="en-US" w:eastAsia="zh-CN" w:bidi="ar-SA"/>
        </w:rPr>
        <w:t>(注意：</w:t>
      </w:r>
      <w:r>
        <w:rPr>
          <w:rFonts w:hint="eastAsia" w:ascii="Times New Roman" w:hAnsi="Times New Roman" w:eastAsia="宋体" w:cs="Times New Roman"/>
          <w:kern w:val="2"/>
          <w:sz w:val="21"/>
          <w:szCs w:val="24"/>
          <w:lang w:val="en-US" w:eastAsia="zh-CN" w:bidi="ar-SA"/>
        </w:rPr>
        <w:t>加密的投标文件</w:t>
      </w:r>
      <w:r>
        <w:rPr>
          <w:rFonts w:hint="eastAsia" w:ascii="Times New Roman" w:hAnsi="Times New Roman" w:eastAsia="宋体" w:cs="Times New Roman"/>
          <w:color w:val="FF0000"/>
          <w:kern w:val="2"/>
          <w:sz w:val="21"/>
          <w:szCs w:val="24"/>
          <w:lang w:val="en-US" w:eastAsia="zh-CN" w:bidi="ar-SA"/>
        </w:rPr>
        <w:t>开标时须使用加密文件时使用的锁在项目规定时间内解密！</w:t>
      </w:r>
      <w:r>
        <w:rPr>
          <w:rFonts w:hint="eastAsia" w:ascii="Times New Roman" w:hAnsi="Times New Roman" w:eastAsia="宋体" w:cs="Times New Roman"/>
          <w:color w:val="FF0000"/>
        </w:rPr>
        <w:t>)</w:t>
      </w:r>
    </w:p>
    <w:p w14:paraId="04BE9962">
      <w:pPr>
        <w:rPr>
          <w:sz w:val="24"/>
        </w:rPr>
      </w:pPr>
      <w:r>
        <w:drawing>
          <wp:inline distT="0" distB="0" distL="114300" distR="114300">
            <wp:extent cx="5266690" cy="2185035"/>
            <wp:effectExtent l="0" t="0" r="10160" b="571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0"/>
                    <a:stretch>
                      <a:fillRect/>
                    </a:stretch>
                  </pic:blipFill>
                  <pic:spPr>
                    <a:xfrm>
                      <a:off x="0" y="0"/>
                      <a:ext cx="5266690" cy="2185035"/>
                    </a:xfrm>
                    <a:prstGeom prst="rect">
                      <a:avLst/>
                    </a:prstGeom>
                    <a:noFill/>
                    <a:ln>
                      <a:noFill/>
                    </a:ln>
                  </pic:spPr>
                </pic:pic>
              </a:graphicData>
            </a:graphic>
          </wp:inline>
        </w:drawing>
      </w:r>
    </w:p>
    <w:p w14:paraId="307578BC">
      <w:pPr>
        <w:rPr>
          <w:rFonts w:ascii="宋体" w:hAnsi="宋体"/>
          <w:b/>
        </w:rPr>
      </w:pPr>
      <w:r>
        <w:rPr>
          <w:rFonts w:hint="eastAsia" w:ascii="宋体" w:hAnsi="宋体"/>
          <w:b/>
        </w:rPr>
        <w:t>24.2若采购项目出现延期情况：</w:t>
      </w:r>
    </w:p>
    <w:p w14:paraId="333A443A">
      <w:pPr>
        <w:ind w:firstLine="422" w:firstLineChars="200"/>
        <w:rPr>
          <w:rFonts w:ascii="黑体" w:hAnsi="宋体" w:eastAsia="黑体"/>
          <w:b/>
          <w:sz w:val="24"/>
        </w:rPr>
      </w:pPr>
      <w:r>
        <w:rPr>
          <w:rFonts w:hint="eastAsia" w:ascii="宋体" w:hAnsi="宋体"/>
          <w:b/>
        </w:rPr>
        <w:t>如果供下载的谈判文件（后缀名为.</w:t>
      </w:r>
      <w:r>
        <w:rPr>
          <w:rFonts w:ascii="宋体" w:hAnsi="宋体"/>
          <w:b/>
          <w:highlight w:val="none"/>
        </w:rPr>
        <w:t xml:space="preserve"> szczf</w:t>
      </w:r>
      <w:r>
        <w:rPr>
          <w:rFonts w:hint="eastAsia" w:ascii="宋体" w:hAnsi="宋体"/>
          <w:b/>
        </w:rPr>
        <w:t>）有更新，供应商必须重新下载谈判文件、重新制作应答文件、重新加密应答文件、重新上传应答文件；如果供下载的谈判文件（后缀名为</w:t>
      </w:r>
      <w:r>
        <w:rPr>
          <w:rFonts w:ascii="宋体" w:hAnsi="宋体"/>
          <w:b/>
          <w:highlight w:val="none"/>
        </w:rPr>
        <w:t>. szczf</w:t>
      </w:r>
      <w:r>
        <w:rPr>
          <w:rFonts w:hint="eastAsia" w:ascii="宋体" w:hAnsi="宋体"/>
          <w:b/>
          <w:highlight w:val="none"/>
        </w:rPr>
        <w:t>）</w:t>
      </w:r>
      <w:r>
        <w:rPr>
          <w:rFonts w:hint="eastAsia" w:ascii="宋体" w:hAnsi="宋体"/>
          <w:b/>
        </w:rPr>
        <w:t>没有更新，供应商必须重新加密应答文件、重新上传应答文件（是否重新制作应答文件根据项目实际情况定）。否则，供应商自行承担应答文件无法解密导致应答无效的后果。</w:t>
      </w:r>
    </w:p>
    <w:p w14:paraId="67B19603">
      <w:pPr>
        <w:rPr>
          <w:rFonts w:ascii="黑体" w:hAnsi="宋体" w:eastAsia="黑体"/>
          <w:sz w:val="24"/>
        </w:rPr>
      </w:pPr>
      <w:r>
        <w:rPr>
          <w:rFonts w:hint="eastAsia" w:ascii="黑体" w:hAnsi="宋体" w:eastAsia="黑体"/>
          <w:sz w:val="24"/>
        </w:rPr>
        <w:t>25．上传应答文件及谈判截止日期</w:t>
      </w:r>
    </w:p>
    <w:p w14:paraId="6A9AF501">
      <w:pPr>
        <w:keepNext w:val="0"/>
        <w:keepLines w:val="0"/>
        <w:pageBreakBefore w:val="0"/>
        <w:widowControl w:val="0"/>
        <w:kinsoku/>
        <w:wordWrap w:val="0"/>
        <w:overflowPunct/>
        <w:topLinePunct w:val="0"/>
        <w:autoSpaceDE/>
        <w:autoSpaceDN/>
        <w:bidi w:val="0"/>
        <w:adjustRightInd/>
        <w:snapToGrid/>
        <w:ind w:firstLine="411" w:firstLineChars="196"/>
        <w:textAlignment w:val="auto"/>
        <w:rPr>
          <w:rFonts w:hint="eastAsia" w:ascii="宋体" w:hAnsi="宋体" w:eastAsia="宋体"/>
          <w:lang w:eastAsia="zh-CN"/>
        </w:rPr>
      </w:pPr>
      <w:r>
        <w:rPr>
          <w:rFonts w:hint="eastAsia" w:ascii="宋体" w:hAnsi="宋体"/>
        </w:rPr>
        <w:t>25</w:t>
      </w:r>
      <w:r>
        <w:rPr>
          <w:rFonts w:ascii="宋体" w:hAnsi="宋体"/>
        </w:rPr>
        <w:t>.</w:t>
      </w:r>
      <w:r>
        <w:rPr>
          <w:rFonts w:hint="eastAsia" w:ascii="宋体" w:hAnsi="宋体"/>
        </w:rPr>
        <w:t>1实行网上投标，</w:t>
      </w:r>
      <w:r>
        <w:rPr>
          <w:rFonts w:hint="eastAsia"/>
        </w:rPr>
        <w:t>生成投标文件后供应商需要在投标文件递交截止时间之前递交投标文件，超过规定时间则无法递交</w:t>
      </w:r>
      <w:r>
        <w:rPr>
          <w:rFonts w:hint="eastAsia" w:ascii="宋体" w:hAnsi="宋体"/>
          <w:lang w:eastAsia="zh-CN"/>
        </w:rPr>
        <w:t>。</w:t>
      </w:r>
    </w:p>
    <w:p w14:paraId="4D4BB690">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770E7AEF">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00B370B7">
      <w:pPr>
        <w:ind w:firstLine="411" w:firstLineChars="196"/>
        <w:rPr>
          <w:rFonts w:ascii="宋体" w:hAnsi="宋体"/>
        </w:rPr>
      </w:pPr>
    </w:p>
    <w:p w14:paraId="23710FC9">
      <w:pPr>
        <w:rPr>
          <w:rFonts w:ascii="黑体" w:hAnsi="宋体" w:eastAsia="黑体"/>
          <w:sz w:val="24"/>
        </w:rPr>
      </w:pPr>
      <w:r>
        <w:rPr>
          <w:rFonts w:ascii="黑体" w:hAnsi="宋体" w:eastAsia="黑体"/>
          <w:sz w:val="24"/>
        </w:rPr>
        <w:t>26</w:t>
      </w:r>
      <w:r>
        <w:rPr>
          <w:rFonts w:hint="eastAsia" w:ascii="黑体" w:hAnsi="宋体" w:eastAsia="黑体"/>
          <w:sz w:val="24"/>
        </w:rPr>
        <w:t>．应答</w:t>
      </w:r>
      <w:r>
        <w:rPr>
          <w:rFonts w:ascii="黑体" w:hAnsi="宋体" w:eastAsia="黑体"/>
          <w:sz w:val="24"/>
        </w:rPr>
        <w:t>文件的修改和撤销</w:t>
      </w:r>
    </w:p>
    <w:p w14:paraId="7C8C017E">
      <w:pPr>
        <w:ind w:firstLine="411" w:firstLineChars="196"/>
        <w:rPr>
          <w:rFonts w:ascii="宋体" w:hAnsi="宋体"/>
        </w:rPr>
      </w:pPr>
      <w:r>
        <w:rPr>
          <w:rFonts w:ascii="宋体" w:hAnsi="宋体"/>
        </w:rPr>
        <w:t>26.</w:t>
      </w:r>
      <w:r>
        <w:rPr>
          <w:rFonts w:hint="eastAsia" w:ascii="宋体" w:hAnsi="宋体"/>
        </w:rPr>
        <w:t>1供应商</w:t>
      </w:r>
      <w:r>
        <w:rPr>
          <w:rFonts w:ascii="宋体" w:hAnsi="宋体"/>
        </w:rPr>
        <w:t>在提交</w:t>
      </w:r>
      <w:r>
        <w:rPr>
          <w:rFonts w:hint="eastAsia" w:ascii="宋体" w:hAnsi="宋体"/>
        </w:rPr>
        <w:t>应答</w:t>
      </w:r>
      <w:r>
        <w:rPr>
          <w:rFonts w:ascii="宋体" w:hAnsi="宋体"/>
        </w:rPr>
        <w:t>文件后可对其</w:t>
      </w:r>
      <w:r>
        <w:rPr>
          <w:rFonts w:hint="eastAsia" w:ascii="宋体" w:hAnsi="宋体"/>
        </w:rPr>
        <w:t>应答</w:t>
      </w:r>
      <w:r>
        <w:rPr>
          <w:rFonts w:ascii="宋体" w:hAnsi="宋体"/>
        </w:rPr>
        <w:t>文件进行修改</w:t>
      </w:r>
      <w:r>
        <w:rPr>
          <w:rFonts w:hint="eastAsia" w:ascii="宋体" w:hAnsi="宋体"/>
        </w:rPr>
        <w:t>并重新上传应答文件</w:t>
      </w:r>
      <w:r>
        <w:rPr>
          <w:rFonts w:ascii="宋体" w:hAnsi="宋体"/>
        </w:rPr>
        <w:t>或</w:t>
      </w:r>
      <w:r>
        <w:rPr>
          <w:rFonts w:hint="eastAsia" w:ascii="宋体" w:hAnsi="宋体"/>
        </w:rPr>
        <w:t>在网上进行</w:t>
      </w:r>
      <w:r>
        <w:rPr>
          <w:rFonts w:ascii="宋体" w:hAnsi="宋体"/>
        </w:rPr>
        <w:t>撤销</w:t>
      </w:r>
      <w:r>
        <w:rPr>
          <w:rFonts w:hint="eastAsia" w:ascii="宋体" w:hAnsi="宋体"/>
        </w:rPr>
        <w:t>应答的操作</w:t>
      </w:r>
      <w:r>
        <w:rPr>
          <w:rFonts w:ascii="宋体" w:hAnsi="宋体"/>
        </w:rPr>
        <w:t>。</w:t>
      </w:r>
    </w:p>
    <w:p w14:paraId="19B26386">
      <w:pPr>
        <w:ind w:firstLine="411" w:firstLineChars="196"/>
        <w:rPr>
          <w:rFonts w:ascii="宋体" w:hAnsi="宋体"/>
        </w:rPr>
      </w:pPr>
      <w:r>
        <w:rPr>
          <w:rFonts w:ascii="宋体" w:hAnsi="宋体"/>
        </w:rPr>
        <w:t>26.</w:t>
      </w:r>
      <w:r>
        <w:rPr>
          <w:rFonts w:hint="eastAsia" w:ascii="宋体" w:hAnsi="宋体"/>
        </w:rPr>
        <w:t>2</w:t>
      </w:r>
      <w:bookmarkStart w:id="50" w:name="_Hlk72663776"/>
      <w:r>
        <w:rPr>
          <w:rFonts w:hint="eastAsia" w:ascii="宋体" w:hAnsi="宋体"/>
        </w:rPr>
        <w:t>谈判</w:t>
      </w:r>
      <w:r>
        <w:rPr>
          <w:rFonts w:ascii="宋体" w:hAnsi="宋体"/>
        </w:rPr>
        <w:t>截止时间以后不</w:t>
      </w:r>
      <w:r>
        <w:rPr>
          <w:rFonts w:hint="eastAsia" w:ascii="宋体" w:hAnsi="宋体"/>
        </w:rPr>
        <w:t>能通过网上政府采购系统</w:t>
      </w:r>
      <w:r>
        <w:rPr>
          <w:rFonts w:ascii="宋体" w:hAnsi="宋体"/>
        </w:rPr>
        <w:t>修改</w:t>
      </w:r>
      <w:r>
        <w:rPr>
          <w:rFonts w:hint="eastAsia" w:ascii="宋体" w:hAnsi="宋体"/>
        </w:rPr>
        <w:t>应答</w:t>
      </w:r>
      <w:r>
        <w:rPr>
          <w:rFonts w:ascii="宋体" w:hAnsi="宋体"/>
        </w:rPr>
        <w:t>文件。</w:t>
      </w:r>
      <w:bookmarkEnd w:id="50"/>
    </w:p>
    <w:p w14:paraId="53B27A97">
      <w:pPr>
        <w:ind w:firstLine="411" w:firstLineChars="196"/>
        <w:rPr>
          <w:rFonts w:ascii="宋体" w:hAnsi="宋体"/>
        </w:rPr>
      </w:pPr>
      <w:r>
        <w:rPr>
          <w:rFonts w:ascii="宋体" w:hAnsi="宋体"/>
        </w:rPr>
        <w:t>26.</w:t>
      </w:r>
      <w:r>
        <w:rPr>
          <w:rFonts w:hint="eastAsia" w:ascii="宋体" w:hAnsi="宋体"/>
        </w:rPr>
        <w:t>3从应答截止期至供应商在应答文件中确定的谈判应答有效期之间的这段时间内，供应商不得撤回其谈判应答。</w:t>
      </w:r>
    </w:p>
    <w:p w14:paraId="55CA86AB">
      <w:pPr>
        <w:ind w:firstLine="420" w:firstLineChars="200"/>
        <w:rPr>
          <w:rFonts w:ascii="宋体" w:hAnsi="宋体"/>
          <w:szCs w:val="21"/>
        </w:rPr>
      </w:pPr>
      <w:r>
        <w:rPr>
          <w:rFonts w:hint="eastAsia" w:ascii="宋体" w:hAnsi="宋体"/>
          <w:szCs w:val="21"/>
        </w:rPr>
        <w:t>2</w:t>
      </w:r>
      <w:r>
        <w:rPr>
          <w:rFonts w:ascii="宋体" w:hAnsi="宋体"/>
          <w:szCs w:val="21"/>
        </w:rPr>
        <w:t>6</w:t>
      </w:r>
      <w:r>
        <w:rPr>
          <w:rFonts w:hint="eastAsia" w:ascii="宋体" w:hAnsi="宋体"/>
          <w:szCs w:val="21"/>
        </w:rPr>
        <w:t>.4政府集中采购机构不退还应答文件。</w:t>
      </w:r>
    </w:p>
    <w:p w14:paraId="282BA60D">
      <w:pPr>
        <w:pStyle w:val="7"/>
      </w:pPr>
      <w:r>
        <w:rPr>
          <w:rFonts w:hint="eastAsia"/>
        </w:rPr>
        <w:t>五、谈判</w:t>
      </w:r>
    </w:p>
    <w:p w14:paraId="336134BC">
      <w:pPr>
        <w:rPr>
          <w:rFonts w:ascii="黑体" w:hAnsi="宋体" w:eastAsia="黑体"/>
          <w:sz w:val="24"/>
        </w:rPr>
      </w:pPr>
      <w:bookmarkStart w:id="51" w:name="_Toc78703964"/>
      <w:r>
        <w:rPr>
          <w:rFonts w:ascii="黑体" w:hAnsi="宋体" w:eastAsia="黑体"/>
          <w:sz w:val="24"/>
        </w:rPr>
        <w:t>27.</w:t>
      </w:r>
      <w:r>
        <w:rPr>
          <w:rFonts w:hint="eastAsia" w:ascii="黑体" w:hAnsi="宋体" w:eastAsia="黑体"/>
          <w:sz w:val="24"/>
        </w:rPr>
        <w:t>谈判</w:t>
      </w:r>
      <w:bookmarkEnd w:id="51"/>
      <w:r>
        <w:rPr>
          <w:rFonts w:hint="eastAsia" w:ascii="黑体" w:hAnsi="宋体" w:eastAsia="黑体"/>
          <w:sz w:val="24"/>
        </w:rPr>
        <w:t>要求</w:t>
      </w:r>
    </w:p>
    <w:p w14:paraId="6404CD81">
      <w:pPr>
        <w:ind w:firstLine="359" w:firstLineChars="171"/>
        <w:rPr>
          <w:rFonts w:hint="eastAsia" w:ascii="宋体" w:hAnsi="宋体"/>
          <w:szCs w:val="21"/>
        </w:rPr>
      </w:pPr>
      <w:r>
        <w:rPr>
          <w:rFonts w:ascii="宋体" w:hAnsi="宋体"/>
        </w:rPr>
        <w:t>27</w:t>
      </w:r>
      <w:r>
        <w:rPr>
          <w:rFonts w:hint="eastAsia" w:ascii="宋体" w:hAnsi="宋体"/>
        </w:rPr>
        <w:t>.1</w:t>
      </w:r>
      <w:r>
        <w:rPr>
          <w:rFonts w:hint="eastAsia"/>
        </w:rPr>
        <w:t>如投标文件为加密，则需插入CA锁点击解密，</w:t>
      </w:r>
      <w:r>
        <w:rPr>
          <w:rFonts w:hint="eastAsia" w:ascii="宋体" w:hAnsi="宋体"/>
          <w:szCs w:val="21"/>
        </w:rPr>
        <w:t>逾期未解密的作无效处理</w:t>
      </w:r>
      <w:r>
        <w:rPr>
          <w:rFonts w:hint="eastAsia" w:ascii="宋体" w:hAnsi="宋体"/>
          <w:szCs w:val="21"/>
          <w:lang w:eastAsia="zh-CN"/>
        </w:rPr>
        <w:t>，</w:t>
      </w:r>
      <w:r>
        <w:rPr>
          <w:rFonts w:hint="eastAsia"/>
        </w:rPr>
        <w:t>否则无需解密</w:t>
      </w:r>
      <w:r>
        <w:rPr>
          <w:rFonts w:hint="eastAsia" w:eastAsia="宋体"/>
          <w:lang w:eastAsia="zh-CN"/>
        </w:rPr>
        <w:t>。</w:t>
      </w:r>
    </w:p>
    <w:p w14:paraId="00A59E1B">
      <w:pPr>
        <w:ind w:firstLine="411" w:firstLineChars="196"/>
        <w:rPr>
          <w:rFonts w:ascii="宋体" w:hAnsi="宋体"/>
        </w:rPr>
      </w:pPr>
      <w:r>
        <w:rPr>
          <w:rFonts w:ascii="宋体" w:hAnsi="宋体"/>
        </w:rPr>
        <w:t>27</w:t>
      </w:r>
      <w:r>
        <w:rPr>
          <w:rFonts w:hint="eastAsia" w:ascii="宋体" w:hAnsi="宋体"/>
        </w:rPr>
        <w:t>.2</w:t>
      </w:r>
      <w:r>
        <w:rPr>
          <w:rFonts w:hint="eastAsia" w:ascii="宋体" w:hAnsi="宋体"/>
          <w:szCs w:val="21"/>
        </w:rPr>
        <w:t>政府集中采购机构将在满足开标条件（①解密时间结束，解密后的投标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szCs w:val="21"/>
        </w:rPr>
        <w:t>供应商数量满足开标要求或②解密时间结束前所有投标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szCs w:val="21"/>
        </w:rPr>
        <w:t>供应商均完成投标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szCs w:val="21"/>
        </w:rPr>
        <w:t>文件解密）后，对投标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szCs w:val="21"/>
        </w:rPr>
        <w:t>文件进行开标，并在网上公布开标结果。</w:t>
      </w:r>
    </w:p>
    <w:p w14:paraId="675F3439">
      <w:pPr>
        <w:ind w:firstLine="411" w:firstLineChars="196"/>
        <w:rPr>
          <w:rFonts w:hint="eastAsia" w:ascii="宋体" w:hAnsi="宋体"/>
        </w:rPr>
      </w:pPr>
      <w:r>
        <w:rPr>
          <w:rFonts w:ascii="宋体" w:hAnsi="宋体"/>
        </w:rPr>
        <w:t>27</w:t>
      </w:r>
      <w:r>
        <w:rPr>
          <w:rFonts w:hint="eastAsia" w:ascii="宋体" w:hAnsi="宋体"/>
        </w:rPr>
        <w:t>.3评审委员会（谈判小组成员）由采购人代表和评审专家组成，成员人数应当为</w:t>
      </w:r>
      <w:r>
        <w:rPr>
          <w:rFonts w:ascii="宋体" w:hAnsi="宋体"/>
        </w:rPr>
        <w:t>3</w:t>
      </w:r>
      <w:r>
        <w:rPr>
          <w:rFonts w:hint="eastAsia" w:ascii="宋体" w:hAnsi="宋体"/>
        </w:rPr>
        <w:t>人以上单数，其中评审专家（谈判小组成员）不得少于成员总数的三分之二。</w:t>
      </w:r>
    </w:p>
    <w:p w14:paraId="052851F2">
      <w:pPr>
        <w:rPr>
          <w:rFonts w:ascii="黑体" w:hAnsi="宋体" w:eastAsia="黑体"/>
          <w:sz w:val="24"/>
        </w:rPr>
      </w:pPr>
      <w:r>
        <w:rPr>
          <w:rFonts w:ascii="黑体" w:hAnsi="宋体" w:eastAsia="黑体"/>
          <w:sz w:val="24"/>
        </w:rPr>
        <w:t>28.</w:t>
      </w:r>
      <w:r>
        <w:rPr>
          <w:rFonts w:hint="eastAsia" w:ascii="黑体" w:hAnsi="宋体" w:eastAsia="黑体"/>
          <w:sz w:val="24"/>
        </w:rPr>
        <w:t>谈判应答文件的审查</w:t>
      </w:r>
    </w:p>
    <w:p w14:paraId="02B6DCBE">
      <w:pPr>
        <w:tabs>
          <w:tab w:val="left" w:pos="-1080"/>
        </w:tabs>
        <w:ind w:firstLine="420" w:firstLineChars="200"/>
        <w:rPr>
          <w:rFonts w:ascii="宋体" w:hAnsi="宋体"/>
          <w:b/>
          <w:bCs/>
        </w:rPr>
      </w:pPr>
      <w:r>
        <w:rPr>
          <w:rFonts w:ascii="宋体" w:hAnsi="宋体"/>
        </w:rPr>
        <w:t>28</w:t>
      </w:r>
      <w:r>
        <w:rPr>
          <w:rFonts w:hint="eastAsia" w:ascii="宋体" w:hAnsi="宋体"/>
        </w:rPr>
        <w:t>.1 谈判前，谈判小组将对谈判应答文件进行审查，</w:t>
      </w:r>
      <w:r>
        <w:rPr>
          <w:rFonts w:hint="eastAsia" w:ascii="宋体" w:hAnsi="宋体"/>
          <w:b/>
          <w:bCs/>
        </w:rPr>
        <w:t>当谈判应答文件出现下列情况之一的将视为无效，按应答无效处理，不得进入谈判：</w:t>
      </w:r>
    </w:p>
    <w:p w14:paraId="31B1A534">
      <w:pPr>
        <w:tabs>
          <w:tab w:val="left" w:pos="-1080"/>
        </w:tabs>
        <w:ind w:firstLine="422" w:firstLineChars="200"/>
        <w:rPr>
          <w:rFonts w:ascii="宋体" w:hAnsi="宋体"/>
          <w:b/>
        </w:rPr>
      </w:pPr>
      <w:r>
        <w:rPr>
          <w:rFonts w:hint="eastAsia" w:ascii="宋体" w:hAnsi="宋体"/>
          <w:b/>
        </w:rPr>
        <w:t>具体内容见《资格性审查表》。</w:t>
      </w:r>
    </w:p>
    <w:p w14:paraId="41B19016">
      <w:pPr>
        <w:rPr>
          <w:rFonts w:ascii="黑体" w:hAnsi="宋体" w:eastAsia="黑体"/>
          <w:sz w:val="24"/>
        </w:rPr>
      </w:pPr>
      <w:bookmarkStart w:id="52" w:name="_Toc78703965"/>
      <w:r>
        <w:rPr>
          <w:rFonts w:ascii="黑体" w:hAnsi="宋体" w:eastAsia="黑体"/>
          <w:sz w:val="24"/>
        </w:rPr>
        <w:t>29.</w:t>
      </w:r>
      <w:r>
        <w:rPr>
          <w:rFonts w:hint="eastAsia" w:ascii="黑体" w:hAnsi="宋体" w:eastAsia="黑体"/>
          <w:sz w:val="24"/>
        </w:rPr>
        <w:t>谈判应答文件的澄清或修改</w:t>
      </w:r>
      <w:bookmarkEnd w:id="52"/>
    </w:p>
    <w:p w14:paraId="657466F3">
      <w:pPr>
        <w:tabs>
          <w:tab w:val="left" w:pos="-1080"/>
        </w:tabs>
        <w:ind w:firstLine="420" w:firstLineChars="200"/>
        <w:rPr>
          <w:rFonts w:ascii="宋体" w:hAnsi="宋体"/>
        </w:rPr>
      </w:pPr>
      <w:r>
        <w:rPr>
          <w:rFonts w:ascii="宋体" w:hAnsi="宋体"/>
        </w:rPr>
        <w:t>29</w:t>
      </w:r>
      <w:r>
        <w:rPr>
          <w:rFonts w:hint="eastAsia" w:ascii="宋体" w:hAnsi="宋体"/>
        </w:rPr>
        <w:t>.1谈判小组可以要求供应商对谈判应答文件含义不明确的内容作必要的澄清或者说明，供应商应进行澄清、说明。</w:t>
      </w:r>
    </w:p>
    <w:p w14:paraId="3D07189B">
      <w:pPr>
        <w:tabs>
          <w:tab w:val="left" w:pos="-1080"/>
        </w:tabs>
        <w:ind w:firstLine="420" w:firstLineChars="200"/>
        <w:rPr>
          <w:rFonts w:ascii="宋体" w:hAnsi="宋体"/>
        </w:rPr>
      </w:pPr>
      <w:r>
        <w:rPr>
          <w:rFonts w:ascii="宋体" w:hAnsi="宋体"/>
        </w:rPr>
        <w:t>29.2</w:t>
      </w:r>
      <w:r>
        <w:rPr>
          <w:rFonts w:hint="eastAsia" w:ascii="宋体" w:hAnsi="宋体"/>
        </w:rPr>
        <w:t xml:space="preserve"> 允许供应商在谈判结束之前根据谈判小组提出的内容进行澄清、修改或完善，或对方案进行相应的调整。</w:t>
      </w:r>
    </w:p>
    <w:p w14:paraId="1815C2D4">
      <w:pPr>
        <w:rPr>
          <w:rFonts w:ascii="黑体" w:hAnsi="宋体" w:eastAsia="黑体"/>
          <w:sz w:val="24"/>
        </w:rPr>
      </w:pPr>
      <w:bookmarkStart w:id="53" w:name="_Toc78703966"/>
      <w:r>
        <w:rPr>
          <w:rFonts w:ascii="黑体" w:hAnsi="宋体" w:eastAsia="黑体"/>
          <w:sz w:val="24"/>
        </w:rPr>
        <w:t>30.</w:t>
      </w:r>
      <w:r>
        <w:rPr>
          <w:rFonts w:hint="eastAsia" w:ascii="黑体" w:hAnsi="宋体" w:eastAsia="黑体"/>
          <w:sz w:val="24"/>
        </w:rPr>
        <w:t>谈判方式及程序</w:t>
      </w:r>
      <w:bookmarkEnd w:id="53"/>
    </w:p>
    <w:p w14:paraId="62B52A89">
      <w:pPr>
        <w:tabs>
          <w:tab w:val="left" w:pos="-1080"/>
        </w:tabs>
        <w:ind w:firstLine="420" w:firstLineChars="200"/>
        <w:rPr>
          <w:rFonts w:ascii="宋体" w:hAnsi="宋体"/>
        </w:rPr>
      </w:pPr>
      <w:bookmarkStart w:id="54" w:name="_Hlk72664977"/>
      <w:r>
        <w:rPr>
          <w:rFonts w:ascii="宋体" w:hAnsi="宋体"/>
          <w:szCs w:val="21"/>
        </w:rPr>
        <w:t>30</w:t>
      </w:r>
      <w:r>
        <w:rPr>
          <w:rFonts w:hint="eastAsia" w:ascii="宋体" w:hAnsi="宋体"/>
          <w:szCs w:val="21"/>
        </w:rPr>
        <w:t>.1谈判方式为</w:t>
      </w:r>
      <w:r>
        <w:rPr>
          <w:rFonts w:hint="eastAsia" w:ascii="宋体" w:hAnsi="宋体"/>
          <w:b/>
          <w:color w:val="FF0000"/>
          <w:szCs w:val="21"/>
        </w:rPr>
        <w:t>网下谈判</w:t>
      </w:r>
      <w:r>
        <w:rPr>
          <w:rFonts w:hint="eastAsia" w:ascii="宋体" w:hAnsi="宋体"/>
          <w:szCs w:val="21"/>
        </w:rPr>
        <w:t>，谈判程序如下：</w:t>
      </w:r>
    </w:p>
    <w:p w14:paraId="6EE73577">
      <w:pPr>
        <w:tabs>
          <w:tab w:val="left" w:pos="-1080"/>
        </w:tabs>
        <w:ind w:firstLine="420" w:firstLineChars="200"/>
        <w:rPr>
          <w:rFonts w:ascii="宋体" w:hAnsi="宋体"/>
        </w:rPr>
      </w:pPr>
      <w:r>
        <w:rPr>
          <w:rFonts w:ascii="宋体" w:hAnsi="宋体"/>
        </w:rPr>
        <w:t>30</w:t>
      </w:r>
      <w:r>
        <w:rPr>
          <w:rFonts w:hint="eastAsia" w:ascii="宋体" w:hAnsi="宋体"/>
        </w:rPr>
        <w:t>.2参加谈判的供应商谈判代表和谈判小组成员到谈判现场填写谈判供应商签到表，并交验身份证明文件。</w:t>
      </w:r>
      <w:r>
        <w:rPr>
          <w:rFonts w:hint="eastAsia" w:ascii="宋体" w:hAnsi="宋体"/>
          <w:color w:val="FF0000"/>
        </w:rPr>
        <w:t>身份证明文件指被授权的谈判代表的身份证原件(非中国国籍管辖范围人员，可以提供公安部门认可的身份证明材料)；如被授权的谈判代表不是法定代表人（负责人），也不是谈判应答文件签署授权委托书中列明的可以对谈判应答文件的修改和补充的授权委托代理人，则需同时提供法定代表人（负责人）证明书（加盖公章）、法人授权委托书（加盖公章，授权委托内容至少应当包括授权其在本项目谈判组织实施过程中对谈判应答文件进行修改和补充）、被授权的谈判代表身份证原件作为身份证明文件。</w:t>
      </w:r>
    </w:p>
    <w:p w14:paraId="7ABE5246">
      <w:pPr>
        <w:tabs>
          <w:tab w:val="left" w:pos="-1080"/>
        </w:tabs>
        <w:ind w:firstLine="420" w:firstLineChars="200"/>
        <w:rPr>
          <w:rFonts w:ascii="宋体" w:hAnsi="宋体"/>
        </w:rPr>
      </w:pPr>
      <w:r>
        <w:rPr>
          <w:rFonts w:ascii="宋体" w:hAnsi="宋体"/>
        </w:rPr>
        <w:t>30.</w:t>
      </w:r>
      <w:r>
        <w:rPr>
          <w:rFonts w:hint="eastAsia" w:ascii="宋体" w:hAnsi="宋体"/>
        </w:rPr>
        <w:t>3谈判主持人将在谈判现场宣布谈判规则和谈判纪律。</w:t>
      </w:r>
    </w:p>
    <w:p w14:paraId="2059B1B5">
      <w:pPr>
        <w:tabs>
          <w:tab w:val="left" w:pos="-1080"/>
        </w:tabs>
        <w:ind w:firstLine="420" w:firstLineChars="200"/>
        <w:rPr>
          <w:rFonts w:ascii="宋体" w:hAnsi="宋体"/>
        </w:rPr>
      </w:pPr>
      <w:r>
        <w:rPr>
          <w:rFonts w:ascii="宋体" w:hAnsi="宋体"/>
        </w:rPr>
        <w:t>30.</w:t>
      </w:r>
      <w:r>
        <w:rPr>
          <w:rFonts w:hint="eastAsia" w:ascii="宋体" w:hAnsi="宋体"/>
        </w:rPr>
        <w:t>4在谈判中，谈判小组将就服务方案、报价及其它相关事项跟供应商进行谈判。采购文件有实质性变更的，谈判小组应当通过市政府</w:t>
      </w:r>
      <w:r>
        <w:rPr>
          <w:rFonts w:hint="eastAsia" w:ascii="宋体" w:hAnsi="宋体"/>
          <w:lang w:val="en-US" w:eastAsia="zh-CN"/>
        </w:rPr>
        <w:t>深圳公共资源交易</w:t>
      </w:r>
      <w:r>
        <w:rPr>
          <w:rFonts w:hint="eastAsia" w:ascii="宋体" w:hAnsi="宋体"/>
        </w:rPr>
        <w:t>中心书面告知所有参加谈判的供应商。</w:t>
      </w:r>
    </w:p>
    <w:p w14:paraId="5AAEE141">
      <w:pPr>
        <w:tabs>
          <w:tab w:val="left" w:pos="-1080"/>
        </w:tabs>
        <w:ind w:firstLine="420" w:firstLineChars="200"/>
        <w:rPr>
          <w:rFonts w:ascii="宋体" w:hAnsi="宋体"/>
        </w:rPr>
      </w:pPr>
      <w:r>
        <w:rPr>
          <w:rFonts w:ascii="宋体" w:hAnsi="宋体"/>
        </w:rPr>
        <w:t>30.</w:t>
      </w:r>
      <w:r>
        <w:rPr>
          <w:rFonts w:hint="eastAsia" w:ascii="宋体" w:hAnsi="宋体"/>
        </w:rPr>
        <w:t>5谈判小组所有成员集中与单一供应商分别进行谈判，谈判应不少于三轮。谈判小组将在每一轮谈判前向所有供应商公布各供应商最新的承诺及报价排名，但不得透露每一家供应商的具体报价及技术资料。应答文件中的报价即为供应商的第一轮报价；最后一轮谈判时供应商谈判代表将获得提示（提示为最后一轮谈判），供应商谈判代表应在规定的时间内对应答文件进行最后更改及书面承诺（含最终报价）。</w:t>
      </w:r>
    </w:p>
    <w:p w14:paraId="2EC88160">
      <w:pPr>
        <w:tabs>
          <w:tab w:val="left" w:pos="-1080"/>
        </w:tabs>
        <w:ind w:firstLine="420" w:firstLineChars="200"/>
        <w:rPr>
          <w:rFonts w:ascii="宋体" w:hAnsi="宋体"/>
        </w:rPr>
      </w:pPr>
      <w:r>
        <w:rPr>
          <w:rFonts w:ascii="宋体" w:hAnsi="宋体"/>
        </w:rPr>
        <w:t>30.</w:t>
      </w:r>
      <w:r>
        <w:rPr>
          <w:rFonts w:hint="eastAsia" w:ascii="宋体" w:hAnsi="宋体"/>
        </w:rPr>
        <w:t>6谈判结束后，谈判小组根据供应商提供的谈判应答文件、谈判过程中产生的相关资料，对供应商谈判应答文件进行评估与比较，提出书面评审意见。</w:t>
      </w:r>
    </w:p>
    <w:p w14:paraId="38F29CED">
      <w:pPr>
        <w:tabs>
          <w:tab w:val="left" w:pos="-1080"/>
        </w:tabs>
        <w:ind w:firstLine="420" w:firstLineChars="200"/>
        <w:rPr>
          <w:rFonts w:ascii="宋体" w:hAnsi="宋体"/>
        </w:rPr>
      </w:pPr>
      <w:r>
        <w:rPr>
          <w:rFonts w:ascii="宋体" w:hAnsi="宋体"/>
        </w:rPr>
        <w:t>30</w:t>
      </w:r>
      <w:r>
        <w:rPr>
          <w:rFonts w:hint="eastAsia" w:ascii="宋体" w:hAnsi="宋体"/>
        </w:rPr>
        <w:t>.7谈判小组将对谈判过程进行记录，以存档备查。</w:t>
      </w:r>
    </w:p>
    <w:bookmarkEnd w:id="54"/>
    <w:p w14:paraId="05BD7B1A">
      <w:pPr>
        <w:keepNext/>
        <w:keepLines/>
        <w:adjustRightInd w:val="0"/>
        <w:snapToGrid w:val="0"/>
        <w:jc w:val="center"/>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六、成交</w:t>
      </w:r>
    </w:p>
    <w:p w14:paraId="1FBB6C44">
      <w:pPr>
        <w:rPr>
          <w:rFonts w:ascii="黑体" w:hAnsi="宋体" w:eastAsia="黑体"/>
          <w:sz w:val="24"/>
        </w:rPr>
      </w:pPr>
      <w:bookmarkStart w:id="55" w:name="_Toc78703968"/>
      <w:r>
        <w:rPr>
          <w:rFonts w:ascii="黑体" w:hAnsi="宋体" w:eastAsia="黑体"/>
          <w:sz w:val="24"/>
        </w:rPr>
        <w:t>31.</w:t>
      </w:r>
      <w:r>
        <w:rPr>
          <w:rFonts w:hint="eastAsia" w:ascii="黑体" w:hAnsi="宋体" w:eastAsia="黑体"/>
          <w:sz w:val="24"/>
        </w:rPr>
        <w:t>应答无效</w:t>
      </w:r>
    </w:p>
    <w:p w14:paraId="00E9635F">
      <w:pPr>
        <w:tabs>
          <w:tab w:val="left" w:pos="-1080"/>
        </w:tabs>
        <w:ind w:firstLine="422" w:firstLineChars="200"/>
        <w:rPr>
          <w:rFonts w:ascii="宋体" w:hAnsi="宋体"/>
          <w:b/>
          <w:bCs/>
        </w:rPr>
      </w:pPr>
      <w:r>
        <w:rPr>
          <w:rFonts w:ascii="宋体" w:hAnsi="宋体"/>
          <w:b/>
          <w:bCs/>
        </w:rPr>
        <w:t>31</w:t>
      </w:r>
      <w:r>
        <w:rPr>
          <w:rFonts w:hint="eastAsia" w:ascii="宋体" w:hAnsi="宋体"/>
          <w:b/>
          <w:bCs/>
        </w:rPr>
        <w:t>.1有下列情形之一的，该供应商的谈判作应答无效处理：</w:t>
      </w:r>
    </w:p>
    <w:p w14:paraId="01F1844D">
      <w:pPr>
        <w:tabs>
          <w:tab w:val="left" w:pos="-1080"/>
        </w:tabs>
        <w:ind w:firstLine="422" w:firstLineChars="200"/>
        <w:rPr>
          <w:rFonts w:ascii="宋体" w:hAnsi="宋体"/>
          <w:b/>
        </w:rPr>
      </w:pPr>
      <w:r>
        <w:rPr>
          <w:rFonts w:hint="eastAsia" w:ascii="宋体" w:hAnsi="宋体"/>
          <w:b/>
        </w:rPr>
        <w:t>具体内容见</w:t>
      </w:r>
      <w:r>
        <w:rPr>
          <w:rFonts w:hint="eastAsia"/>
        </w:rPr>
        <w:t>《</w:t>
      </w:r>
      <w:r>
        <w:rPr>
          <w:rFonts w:hint="eastAsia"/>
          <w:b/>
          <w:bCs/>
        </w:rPr>
        <w:t>资格性审查表</w:t>
      </w:r>
      <w:r>
        <w:rPr>
          <w:rFonts w:hint="eastAsia"/>
        </w:rPr>
        <w:t>》、</w:t>
      </w:r>
      <w:r>
        <w:rPr>
          <w:rFonts w:hint="eastAsia" w:ascii="宋体" w:hAnsi="宋体"/>
          <w:b/>
        </w:rPr>
        <w:t>《符合性审查表》。</w:t>
      </w:r>
    </w:p>
    <w:p w14:paraId="2A34C219">
      <w:pPr>
        <w:tabs>
          <w:tab w:val="left" w:pos="-1080"/>
        </w:tabs>
        <w:ind w:firstLine="422" w:firstLineChars="200"/>
        <w:rPr>
          <w:rFonts w:ascii="宋体" w:hAnsi="宋体"/>
          <w:b/>
        </w:rPr>
      </w:pPr>
      <w:r>
        <w:rPr>
          <w:rFonts w:hint="eastAsia" w:ascii="宋体" w:hAnsi="宋体"/>
          <w:b/>
        </w:rPr>
        <w:t>注：《资格性审查表》、《符合性审查表》的所有条款均为应答无效条款，对不属于应答无效条款所列的其它情形，除法律法规另有规定外，不得作为应答无效的理由。供应商若有一条审查不通过则按应答无效处理。</w:t>
      </w:r>
    </w:p>
    <w:p w14:paraId="266F4C09">
      <w:pPr>
        <w:rPr>
          <w:rFonts w:ascii="黑体" w:hAnsi="宋体" w:eastAsia="黑体"/>
          <w:sz w:val="24"/>
        </w:rPr>
      </w:pPr>
      <w:r>
        <w:rPr>
          <w:rFonts w:ascii="黑体" w:hAnsi="宋体" w:eastAsia="黑体"/>
          <w:sz w:val="24"/>
        </w:rPr>
        <w:t>32.</w:t>
      </w:r>
      <w:bookmarkEnd w:id="55"/>
      <w:r>
        <w:rPr>
          <w:rFonts w:hint="eastAsia" w:ascii="黑体" w:hAnsi="宋体" w:eastAsia="黑体"/>
          <w:sz w:val="24"/>
        </w:rPr>
        <w:t>成交</w:t>
      </w:r>
    </w:p>
    <w:p w14:paraId="40CA5476">
      <w:pPr>
        <w:tabs>
          <w:tab w:val="left" w:pos="-1080"/>
        </w:tabs>
        <w:ind w:firstLine="420" w:firstLineChars="200"/>
        <w:rPr>
          <w:rFonts w:ascii="宋体" w:hAnsi="宋体"/>
        </w:rPr>
      </w:pPr>
      <w:r>
        <w:rPr>
          <w:rFonts w:ascii="宋体" w:hAnsi="宋体"/>
        </w:rPr>
        <w:t>32</w:t>
      </w:r>
      <w:r>
        <w:rPr>
          <w:rFonts w:hint="eastAsia" w:ascii="宋体" w:hAnsi="宋体"/>
        </w:rPr>
        <w:t>.1谈判小组依据本须知对谈判应答文件进行评审和比较，综合各家供应商最终的方案、服务和投资等谈判结果并按最低价法/综合评分法[以评审信息为准]进行评审。</w:t>
      </w:r>
      <w:bookmarkStart w:id="56" w:name="评标方法3"/>
    </w:p>
    <w:p w14:paraId="009DABC4">
      <w:pPr>
        <w:tabs>
          <w:tab w:val="left" w:pos="-1080"/>
        </w:tabs>
        <w:ind w:firstLine="420" w:firstLineChars="200"/>
        <w:rPr>
          <w:rFonts w:ascii="宋体" w:hAnsi="宋体"/>
        </w:rPr>
      </w:pPr>
      <w:r>
        <w:rPr>
          <w:rFonts w:ascii="宋体" w:hAnsi="宋体"/>
        </w:rPr>
        <w:t>最低价法，是指</w:t>
      </w:r>
      <w:r>
        <w:rPr>
          <w:rFonts w:hint="eastAsia" w:ascii="宋体" w:hAnsi="宋体"/>
        </w:rPr>
        <w:t>应答文件</w:t>
      </w:r>
      <w:r>
        <w:rPr>
          <w:rFonts w:ascii="宋体" w:hAnsi="宋体"/>
        </w:rPr>
        <w:t>满足</w:t>
      </w:r>
      <w:r>
        <w:rPr>
          <w:rFonts w:hint="eastAsia" w:ascii="宋体" w:hAnsi="宋体"/>
        </w:rPr>
        <w:t>谈判</w:t>
      </w:r>
      <w:r>
        <w:rPr>
          <w:rFonts w:ascii="宋体" w:hAnsi="宋体"/>
        </w:rPr>
        <w:t>文件实质性要求，</w:t>
      </w:r>
      <w:r>
        <w:rPr>
          <w:rFonts w:hint="eastAsia" w:ascii="宋体" w:hAnsi="宋体"/>
        </w:rPr>
        <w:t>按照报价由低到高的顺序，以报价最低的供应商作为成交供应商的评审方法。</w:t>
      </w:r>
    </w:p>
    <w:bookmarkEnd w:id="56"/>
    <w:p w14:paraId="4628F361">
      <w:pPr>
        <w:tabs>
          <w:tab w:val="left" w:pos="-1080"/>
        </w:tabs>
        <w:ind w:firstLine="420" w:firstLineChars="200"/>
        <w:rPr>
          <w:szCs w:val="21"/>
        </w:rPr>
      </w:pPr>
      <w:r>
        <w:rPr>
          <w:rFonts w:ascii="宋体" w:hAnsi="宋体"/>
        </w:rPr>
        <w:t>综合评分法，是指</w:t>
      </w:r>
      <w:r>
        <w:rPr>
          <w:rFonts w:hint="eastAsia" w:ascii="宋体" w:hAnsi="宋体"/>
        </w:rPr>
        <w:t>应答</w:t>
      </w:r>
      <w:r>
        <w:rPr>
          <w:rFonts w:ascii="宋体" w:hAnsi="宋体"/>
        </w:rPr>
        <w:t>文件满足</w:t>
      </w:r>
      <w:r>
        <w:rPr>
          <w:rFonts w:hint="eastAsia" w:ascii="宋体" w:hAnsi="宋体"/>
        </w:rPr>
        <w:t>谈判</w:t>
      </w:r>
      <w:r>
        <w:rPr>
          <w:rFonts w:ascii="宋体" w:hAnsi="宋体"/>
        </w:rPr>
        <w:t>文件全部实</w:t>
      </w:r>
      <w:r>
        <w:rPr>
          <w:szCs w:val="21"/>
        </w:rPr>
        <w:t>质性要求，且按照评审因素的量化指标评审得分最高的</w:t>
      </w:r>
      <w:r>
        <w:rPr>
          <w:rFonts w:hint="eastAsia"/>
          <w:szCs w:val="21"/>
        </w:rPr>
        <w:t>供应商</w:t>
      </w:r>
      <w:r>
        <w:rPr>
          <w:szCs w:val="21"/>
        </w:rPr>
        <w:t>为</w:t>
      </w:r>
      <w:r>
        <w:rPr>
          <w:rFonts w:hint="eastAsia"/>
          <w:szCs w:val="21"/>
        </w:rPr>
        <w:t>成交</w:t>
      </w:r>
      <w:r>
        <w:rPr>
          <w:rFonts w:hint="eastAsia" w:ascii="宋体" w:hAnsi="宋体"/>
          <w:bCs/>
          <w:szCs w:val="21"/>
        </w:rPr>
        <w:t>候选</w:t>
      </w:r>
      <w:r>
        <w:rPr>
          <w:rFonts w:hint="eastAsia"/>
          <w:szCs w:val="21"/>
        </w:rPr>
        <w:t>供应商</w:t>
      </w:r>
      <w:r>
        <w:rPr>
          <w:szCs w:val="21"/>
        </w:rPr>
        <w:t>的评</w:t>
      </w:r>
      <w:r>
        <w:rPr>
          <w:rFonts w:hint="eastAsia"/>
          <w:szCs w:val="21"/>
        </w:rPr>
        <w:t>审</w:t>
      </w:r>
      <w:r>
        <w:rPr>
          <w:szCs w:val="21"/>
        </w:rPr>
        <w:t>方法。</w:t>
      </w:r>
    </w:p>
    <w:p w14:paraId="5A9E8E48">
      <w:pPr>
        <w:tabs>
          <w:tab w:val="left" w:pos="-1080"/>
        </w:tabs>
        <w:ind w:firstLine="420" w:firstLineChars="200"/>
        <w:rPr>
          <w:rFonts w:ascii="宋体" w:hAnsi="宋体"/>
        </w:rPr>
      </w:pPr>
      <w:r>
        <w:rPr>
          <w:rFonts w:ascii="宋体" w:hAnsi="宋体"/>
        </w:rPr>
        <w:t>32</w:t>
      </w:r>
      <w:r>
        <w:rPr>
          <w:rFonts w:hint="eastAsia" w:ascii="宋体" w:hAnsi="宋体"/>
        </w:rPr>
        <w:t>.2谈判小组向政府集中采购机构提交书面评审报告，并受采购人委托直接确定成交供应商。</w:t>
      </w:r>
    </w:p>
    <w:p w14:paraId="49673790">
      <w:pPr>
        <w:rPr>
          <w:rFonts w:ascii="黑体" w:hAnsi="宋体" w:eastAsia="黑体"/>
          <w:sz w:val="24"/>
        </w:rPr>
      </w:pPr>
      <w:bookmarkStart w:id="57" w:name="_Hlk72658609"/>
      <w:r>
        <w:rPr>
          <w:rFonts w:ascii="黑体" w:hAnsi="宋体" w:eastAsia="黑体"/>
          <w:sz w:val="24"/>
        </w:rPr>
        <w:t>33</w:t>
      </w:r>
      <w:r>
        <w:rPr>
          <w:rFonts w:hint="eastAsia" w:ascii="黑体" w:hAnsi="宋体" w:eastAsia="黑体"/>
          <w:sz w:val="24"/>
        </w:rPr>
        <w:t>.谈判结果公示</w:t>
      </w:r>
    </w:p>
    <w:p w14:paraId="149422D7">
      <w:pPr>
        <w:ind w:firstLine="411" w:firstLineChars="196"/>
        <w:rPr>
          <w:rFonts w:ascii="宋体" w:hAnsi="宋体"/>
          <w:szCs w:val="21"/>
        </w:rPr>
      </w:pPr>
      <w:r>
        <w:rPr>
          <w:rFonts w:ascii="宋体" w:hAnsi="宋体"/>
        </w:rPr>
        <w:t>33</w:t>
      </w:r>
      <w:r>
        <w:rPr>
          <w:rFonts w:hint="eastAsia" w:ascii="宋体" w:hAnsi="宋体"/>
        </w:rPr>
        <w:t>.1</w:t>
      </w:r>
      <w:r>
        <w:rPr>
          <w:rFonts w:hint="eastAsia" w:ascii="宋体" w:hAnsi="宋体"/>
          <w:szCs w:val="21"/>
        </w:rPr>
        <w:t>为体现“公开、公平、公正”的原则，谈判结束后经采购人确认评审结果，政府集中采购机构将在</w:t>
      </w:r>
      <w:r>
        <w:rPr>
          <w:rFonts w:hint="eastAsia" w:ascii="宋体" w:hAnsi="宋体"/>
          <w:b/>
          <w:bCs/>
          <w:szCs w:val="21"/>
        </w:rPr>
        <w:t>“深圳公共资源交易网（https://szggzy.com/）”</w:t>
      </w:r>
      <w:r>
        <w:rPr>
          <w:rFonts w:hint="eastAsia" w:ascii="宋体" w:hAnsi="宋体"/>
          <w:szCs w:val="21"/>
        </w:rPr>
        <w:t>上发布成交结果公告。供应商如对评审结果有异议，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w:t>
      </w:r>
      <w:r>
        <w:rPr>
          <w:rFonts w:hint="eastAsia" w:ascii="宋体" w:hAnsi="宋体"/>
          <w:szCs w:val="21"/>
          <w:lang w:val="en-US" w:eastAsia="zh-CN"/>
        </w:rPr>
        <w:t>89552033</w:t>
      </w:r>
      <w:r>
        <w:rPr>
          <w:rFonts w:ascii="宋体" w:hAnsi="宋体"/>
          <w:szCs w:val="21"/>
        </w:rPr>
        <w:t>。</w:t>
      </w:r>
      <w:r>
        <w:rPr>
          <w:rFonts w:hint="eastAsia" w:ascii="宋体" w:hAnsi="宋体"/>
          <w:szCs w:val="21"/>
        </w:rPr>
        <w:t>若在公示期内未提出质疑，则视为认同该评审结果。</w:t>
      </w:r>
    </w:p>
    <w:p w14:paraId="7E543B68">
      <w:pPr>
        <w:tabs>
          <w:tab w:val="left" w:pos="-1080"/>
        </w:tabs>
        <w:ind w:firstLine="420" w:firstLineChars="200"/>
        <w:rPr>
          <w:rFonts w:ascii="宋体" w:hAnsi="宋体"/>
        </w:rPr>
      </w:pPr>
      <w:r>
        <w:rPr>
          <w:rFonts w:ascii="宋体" w:hAnsi="宋体"/>
        </w:rPr>
        <w:t>33</w:t>
      </w:r>
      <w:r>
        <w:rPr>
          <w:rFonts w:hint="eastAsia" w:ascii="宋体" w:hAnsi="宋体"/>
        </w:rPr>
        <w:t>.2质疑、投诉供应商应保证质疑、投诉内容的真实性和可靠性，并承担相应的法律责任。</w:t>
      </w:r>
    </w:p>
    <w:p w14:paraId="185F59F0">
      <w:pPr>
        <w:rPr>
          <w:rFonts w:ascii="黑体" w:hAnsi="宋体" w:eastAsia="黑体"/>
          <w:sz w:val="24"/>
        </w:rPr>
      </w:pPr>
      <w:bookmarkStart w:id="58" w:name="_Toc78703971"/>
      <w:r>
        <w:rPr>
          <w:rFonts w:ascii="黑体" w:hAnsi="宋体" w:eastAsia="黑体"/>
          <w:sz w:val="24"/>
        </w:rPr>
        <w:t>34.</w:t>
      </w:r>
      <w:r>
        <w:rPr>
          <w:rFonts w:hint="eastAsia" w:ascii="黑体" w:hAnsi="宋体" w:eastAsia="黑体"/>
          <w:sz w:val="24"/>
        </w:rPr>
        <w:t>成交通知书</w:t>
      </w:r>
      <w:bookmarkEnd w:id="58"/>
    </w:p>
    <w:p w14:paraId="6E06C657">
      <w:pPr>
        <w:ind w:firstLine="411" w:firstLineChars="196"/>
        <w:rPr>
          <w:rFonts w:ascii="宋体" w:hAnsi="宋体"/>
          <w:szCs w:val="21"/>
        </w:rPr>
      </w:pPr>
      <w:r>
        <w:rPr>
          <w:rFonts w:ascii="宋体" w:hAnsi="宋体"/>
        </w:rPr>
        <w:t>34</w:t>
      </w:r>
      <w:r>
        <w:rPr>
          <w:rFonts w:hint="eastAsia" w:ascii="宋体" w:hAnsi="宋体"/>
        </w:rPr>
        <w:t>.1</w:t>
      </w:r>
      <w:bookmarkStart w:id="59"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b/>
          <w:bCs/>
          <w:szCs w:val="21"/>
          <w:lang w:val="en-US" w:eastAsia="zh-CN"/>
        </w:rPr>
        <w:t>深圳市自行采购系统</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59"/>
    </w:p>
    <w:p w14:paraId="126BAFE4">
      <w:pPr>
        <w:ind w:firstLine="411" w:firstLineChars="196"/>
        <w:rPr>
          <w:rFonts w:ascii="宋体" w:hAnsi="宋体"/>
          <w:szCs w:val="21"/>
        </w:rPr>
      </w:pPr>
      <w:r>
        <w:rPr>
          <w:rFonts w:ascii="宋体" w:hAnsi="宋体"/>
          <w:szCs w:val="21"/>
        </w:rPr>
        <w:t>34.2</w:t>
      </w:r>
      <w:r>
        <w:rPr>
          <w:rFonts w:hint="eastAsia" w:ascii="宋体" w:hAnsi="宋体"/>
          <w:szCs w:val="21"/>
        </w:rPr>
        <w:t>成交通知书是合同的重要组成部分。</w:t>
      </w:r>
    </w:p>
    <w:p w14:paraId="22A81034">
      <w:pPr>
        <w:ind w:firstLine="411" w:firstLineChars="196"/>
        <w:rPr>
          <w:rFonts w:ascii="宋体" w:hAnsi="宋体"/>
          <w:szCs w:val="21"/>
        </w:rPr>
      </w:pPr>
      <w:r>
        <w:rPr>
          <w:rFonts w:ascii="宋体" w:hAnsi="宋体"/>
          <w:szCs w:val="21"/>
        </w:rPr>
        <w:t>34</w:t>
      </w:r>
      <w:r>
        <w:rPr>
          <w:rFonts w:hint="eastAsia" w:ascii="宋体" w:hAnsi="宋体"/>
          <w:szCs w:val="21"/>
        </w:rPr>
        <w:t>.3因质疑投诉或其它原因导致项目结果变更或采购终止的，政府集中采购机构有权吊销成交通知书。</w:t>
      </w:r>
    </w:p>
    <w:bookmarkEnd w:id="57"/>
    <w:p w14:paraId="476AA49E">
      <w:pPr>
        <w:keepNext/>
        <w:keepLines/>
        <w:adjustRightInd w:val="0"/>
        <w:snapToGrid w:val="0"/>
        <w:jc w:val="center"/>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七、合同的授予与备案</w:t>
      </w:r>
    </w:p>
    <w:p w14:paraId="0ECF1015">
      <w:pPr>
        <w:rPr>
          <w:rFonts w:ascii="黑体" w:hAnsi="宋体" w:eastAsia="黑体"/>
          <w:sz w:val="24"/>
        </w:rPr>
      </w:pPr>
      <w:bookmarkStart w:id="60" w:name="_Toc73521586"/>
      <w:bookmarkStart w:id="61" w:name="_Toc73521674"/>
      <w:bookmarkStart w:id="62" w:name="_Toc73517679"/>
      <w:bookmarkStart w:id="63" w:name="_Toc100052408"/>
      <w:bookmarkStart w:id="64" w:name="_Toc73518157"/>
      <w:r>
        <w:rPr>
          <w:rFonts w:ascii="黑体" w:hAnsi="宋体" w:eastAsia="黑体"/>
          <w:sz w:val="24"/>
        </w:rPr>
        <w:t>35</w:t>
      </w:r>
      <w:r>
        <w:rPr>
          <w:rFonts w:hint="eastAsia" w:ascii="黑体" w:hAnsi="宋体" w:eastAsia="黑体"/>
          <w:sz w:val="24"/>
        </w:rPr>
        <w:t>．合同授予标准</w:t>
      </w:r>
      <w:bookmarkEnd w:id="60"/>
      <w:bookmarkEnd w:id="61"/>
      <w:bookmarkEnd w:id="62"/>
      <w:bookmarkEnd w:id="63"/>
      <w:bookmarkEnd w:id="64"/>
    </w:p>
    <w:p w14:paraId="3FBFF5BD">
      <w:pPr>
        <w:ind w:firstLine="411" w:firstLineChars="196"/>
        <w:rPr>
          <w:rFonts w:ascii="宋体" w:hAnsi="宋体"/>
          <w:szCs w:val="21"/>
        </w:rPr>
      </w:pPr>
      <w:r>
        <w:rPr>
          <w:rFonts w:hint="eastAsia" w:ascii="宋体" w:hAnsi="宋体"/>
          <w:szCs w:val="21"/>
        </w:rPr>
        <w:t>本项目的合同将授予经本谈判文件规定评审确定的成交供应商。</w:t>
      </w:r>
    </w:p>
    <w:p w14:paraId="1EF3BAFF">
      <w:pPr>
        <w:rPr>
          <w:rFonts w:ascii="黑体" w:hAnsi="宋体" w:eastAsia="黑体"/>
          <w:sz w:val="24"/>
        </w:rPr>
      </w:pPr>
      <w:bookmarkStart w:id="65" w:name="_Toc73521675"/>
      <w:bookmarkStart w:id="66" w:name="_Toc73518158"/>
      <w:bookmarkStart w:id="67" w:name="_Toc73517680"/>
      <w:bookmarkStart w:id="68" w:name="_Toc100052409"/>
      <w:bookmarkStart w:id="69" w:name="_Toc73521587"/>
      <w:r>
        <w:rPr>
          <w:rFonts w:ascii="黑体" w:hAnsi="宋体" w:eastAsia="黑体"/>
          <w:sz w:val="24"/>
        </w:rPr>
        <w:t>36</w:t>
      </w:r>
      <w:r>
        <w:rPr>
          <w:rFonts w:hint="eastAsia" w:ascii="黑体" w:hAnsi="宋体" w:eastAsia="黑体"/>
          <w:sz w:val="24"/>
        </w:rPr>
        <w:t>．</w:t>
      </w:r>
      <w:bookmarkEnd w:id="65"/>
      <w:bookmarkEnd w:id="66"/>
      <w:bookmarkEnd w:id="67"/>
      <w:bookmarkEnd w:id="68"/>
      <w:bookmarkEnd w:id="69"/>
      <w:r>
        <w:rPr>
          <w:rFonts w:hint="eastAsia" w:ascii="黑体" w:hAnsi="宋体" w:eastAsia="黑体"/>
          <w:sz w:val="24"/>
        </w:rPr>
        <w:t>接受和拒绝任何或所有应答的权力</w:t>
      </w:r>
    </w:p>
    <w:p w14:paraId="0804546D">
      <w:pPr>
        <w:ind w:firstLine="411" w:firstLineChars="196"/>
        <w:rPr>
          <w:rFonts w:ascii="宋体" w:hAnsi="宋体"/>
          <w:szCs w:val="21"/>
        </w:rPr>
      </w:pPr>
      <w:r>
        <w:rPr>
          <w:rFonts w:hint="eastAsia" w:ascii="宋体" w:hAnsi="宋体"/>
          <w:szCs w:val="21"/>
        </w:rPr>
        <w:t>政府集中采购机构和采购人保留在谈判截止时间之前任何时候接受或拒绝任何应答或所有应答，以及宣布谈判无效的权力，对受影响的供应商不承担任何责任，也无义务向受影响的供应商解释采取这一行动的理由。</w:t>
      </w:r>
    </w:p>
    <w:p w14:paraId="0D34885C">
      <w:pPr>
        <w:rPr>
          <w:rFonts w:ascii="黑体" w:hAnsi="宋体" w:eastAsia="黑体"/>
          <w:sz w:val="24"/>
        </w:rPr>
      </w:pPr>
      <w:bookmarkStart w:id="70" w:name="_Toc73521677"/>
      <w:bookmarkStart w:id="71" w:name="_Toc73518160"/>
      <w:bookmarkStart w:id="72" w:name="_Toc73517682"/>
      <w:bookmarkStart w:id="73" w:name="_Toc100052410"/>
      <w:bookmarkStart w:id="74" w:name="_Toc73521589"/>
      <w:r>
        <w:rPr>
          <w:rFonts w:ascii="黑体" w:hAnsi="宋体" w:eastAsia="黑体"/>
          <w:sz w:val="24"/>
        </w:rPr>
        <w:t>37</w:t>
      </w:r>
      <w:r>
        <w:rPr>
          <w:rFonts w:hint="eastAsia" w:ascii="黑体" w:hAnsi="宋体" w:eastAsia="黑体"/>
          <w:sz w:val="24"/>
        </w:rPr>
        <w:t>．合同的签订</w:t>
      </w:r>
      <w:bookmarkEnd w:id="70"/>
      <w:bookmarkEnd w:id="71"/>
      <w:bookmarkEnd w:id="72"/>
      <w:bookmarkEnd w:id="73"/>
      <w:bookmarkEnd w:id="74"/>
    </w:p>
    <w:p w14:paraId="561D548F">
      <w:pPr>
        <w:ind w:firstLine="411" w:firstLineChars="196"/>
        <w:rPr>
          <w:rFonts w:ascii="宋体" w:hAnsi="宋体"/>
          <w:szCs w:val="21"/>
        </w:rPr>
      </w:pPr>
      <w:r>
        <w:rPr>
          <w:rFonts w:ascii="宋体" w:hAnsi="宋体"/>
          <w:szCs w:val="21"/>
        </w:rPr>
        <w:t>37</w:t>
      </w:r>
      <w:r>
        <w:rPr>
          <w:rFonts w:hint="eastAsia" w:ascii="宋体" w:hAnsi="宋体"/>
          <w:szCs w:val="21"/>
        </w:rPr>
        <w:t>.1成交供应商将于成交通知书发出之日起十个工作日内，按照采购文件和谈判应答内容与采购人签订政府采购合同；合同的实质性内容应当符合谈判文件的规定；</w:t>
      </w:r>
    </w:p>
    <w:p w14:paraId="71E65FAD">
      <w:pPr>
        <w:ind w:firstLine="411" w:firstLineChars="196"/>
        <w:rPr>
          <w:rFonts w:ascii="宋体" w:hAnsi="宋体"/>
          <w:szCs w:val="21"/>
        </w:rPr>
      </w:pPr>
      <w:r>
        <w:rPr>
          <w:rFonts w:ascii="宋体" w:hAnsi="宋体"/>
          <w:szCs w:val="21"/>
        </w:rPr>
        <w:t>37</w:t>
      </w:r>
      <w:r>
        <w:rPr>
          <w:rFonts w:hint="eastAsia" w:ascii="宋体" w:hAnsi="宋体"/>
          <w:szCs w:val="21"/>
        </w:rPr>
        <w:t>.2成交供应商如不按本通用条款第</w:t>
      </w:r>
      <w:r>
        <w:rPr>
          <w:rFonts w:ascii="宋体" w:hAnsi="宋体"/>
          <w:szCs w:val="21"/>
        </w:rPr>
        <w:t>37.1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4B9DB102">
      <w:pPr>
        <w:ind w:firstLine="411" w:firstLineChars="196"/>
        <w:rPr>
          <w:rFonts w:ascii="宋体" w:hAnsi="宋体"/>
          <w:szCs w:val="21"/>
        </w:rPr>
      </w:pPr>
      <w:r>
        <w:rPr>
          <w:rFonts w:ascii="宋体" w:hAnsi="宋体"/>
          <w:szCs w:val="21"/>
        </w:rPr>
        <w:t>37</w:t>
      </w:r>
      <w:r>
        <w:rPr>
          <w:rFonts w:hint="eastAsia" w:ascii="宋体" w:hAnsi="宋体"/>
          <w:szCs w:val="21"/>
        </w:rPr>
        <w:t>.3成交供应商应当按照合同约定履行义务，完成成交项目，不得将成交项目转让（转包）给他人。</w:t>
      </w:r>
    </w:p>
    <w:p w14:paraId="6A7C0852">
      <w:pPr>
        <w:rPr>
          <w:rFonts w:ascii="黑体" w:hAnsi="宋体" w:eastAsia="黑体"/>
          <w:sz w:val="24"/>
        </w:rPr>
      </w:pPr>
      <w:bookmarkStart w:id="75" w:name="_Toc73518161"/>
      <w:bookmarkStart w:id="76" w:name="_Toc73521590"/>
      <w:bookmarkStart w:id="77" w:name="_Toc100052411"/>
      <w:bookmarkStart w:id="78" w:name="_Toc73517683"/>
      <w:bookmarkStart w:id="79" w:name="_Toc73521678"/>
      <w:r>
        <w:rPr>
          <w:rFonts w:ascii="黑体" w:hAnsi="宋体" w:eastAsia="黑体"/>
          <w:sz w:val="24"/>
        </w:rPr>
        <w:t>38</w:t>
      </w:r>
      <w:r>
        <w:rPr>
          <w:rFonts w:hint="eastAsia" w:ascii="黑体" w:hAnsi="宋体" w:eastAsia="黑体"/>
          <w:sz w:val="24"/>
        </w:rPr>
        <w:t>．履约担保</w:t>
      </w:r>
      <w:bookmarkEnd w:id="75"/>
      <w:bookmarkEnd w:id="76"/>
      <w:bookmarkEnd w:id="77"/>
      <w:bookmarkEnd w:id="78"/>
      <w:bookmarkEnd w:id="79"/>
    </w:p>
    <w:p w14:paraId="274CC9B8">
      <w:pPr>
        <w:ind w:firstLine="411" w:firstLineChars="196"/>
        <w:rPr>
          <w:rFonts w:ascii="宋体" w:hAnsi="宋体"/>
          <w:szCs w:val="21"/>
        </w:rPr>
      </w:pPr>
      <w:r>
        <w:rPr>
          <w:rFonts w:ascii="宋体" w:hAnsi="宋体"/>
          <w:szCs w:val="21"/>
        </w:rPr>
        <w:t>38</w:t>
      </w:r>
      <w:r>
        <w:rPr>
          <w:rFonts w:hint="eastAsia" w:ascii="宋体" w:hAnsi="宋体"/>
          <w:szCs w:val="21"/>
        </w:rPr>
        <w:t>.1在签订项目合同的同时，成交供应商应按“对谈判须知条款的补充内容”中规定的金额向采购人提交履约担保；</w:t>
      </w:r>
    </w:p>
    <w:p w14:paraId="51BE947D">
      <w:pPr>
        <w:ind w:firstLine="411" w:firstLineChars="196"/>
        <w:rPr>
          <w:rFonts w:ascii="宋体" w:hAnsi="宋体"/>
          <w:szCs w:val="21"/>
        </w:rPr>
      </w:pPr>
      <w:r>
        <w:rPr>
          <w:rFonts w:ascii="宋体" w:hAnsi="宋体"/>
          <w:szCs w:val="21"/>
        </w:rPr>
        <w:t>38</w:t>
      </w:r>
      <w:r>
        <w:rPr>
          <w:rFonts w:hint="eastAsia" w:ascii="宋体" w:hAnsi="宋体"/>
          <w:szCs w:val="21"/>
        </w:rPr>
        <w:t>.2，允许供应商自主选择以支票、汇票、本票、保函等非现金方式提交履约担保；</w:t>
      </w:r>
      <w:r>
        <w:rPr>
          <w:rFonts w:hint="eastAsia"/>
        </w:rPr>
        <w:t>成交供应商</w:t>
      </w:r>
      <w:r>
        <w:t>提交履约</w:t>
      </w:r>
      <w:r>
        <w:rPr>
          <w:rFonts w:hint="eastAsia"/>
        </w:rPr>
        <w:t>担保不是</w:t>
      </w:r>
      <w:r>
        <w:t>合同签订的</w:t>
      </w:r>
      <w:r>
        <w:rPr>
          <w:rFonts w:hint="eastAsia"/>
        </w:rPr>
        <w:t>前提</w:t>
      </w:r>
      <w:r>
        <w:t>条件，不要求</w:t>
      </w:r>
      <w:r>
        <w:rPr>
          <w:rFonts w:hint="eastAsia"/>
        </w:rPr>
        <w:t>成交供应商</w:t>
      </w:r>
      <w:r>
        <w:t>提供除法律、法规明确规定外的其他担保</w:t>
      </w:r>
      <w:r>
        <w:rPr>
          <w:rFonts w:hint="eastAsia"/>
        </w:rPr>
        <w:t>。</w:t>
      </w:r>
    </w:p>
    <w:p w14:paraId="5133CB9C">
      <w:pPr>
        <w:rPr>
          <w:rFonts w:ascii="黑体" w:hAnsi="宋体" w:eastAsia="黑体"/>
          <w:sz w:val="24"/>
        </w:rPr>
      </w:pPr>
      <w:r>
        <w:rPr>
          <w:rFonts w:ascii="黑体" w:hAnsi="宋体" w:eastAsia="黑体"/>
          <w:sz w:val="24"/>
        </w:rPr>
        <w:t>39</w:t>
      </w:r>
      <w:r>
        <w:rPr>
          <w:rFonts w:hint="eastAsia" w:ascii="黑体" w:hAnsi="宋体" w:eastAsia="黑体"/>
          <w:sz w:val="24"/>
        </w:rPr>
        <w:t>. 合同备案</w:t>
      </w:r>
    </w:p>
    <w:p w14:paraId="4A4E82B2">
      <w:pPr>
        <w:ind w:firstLine="411" w:firstLineChars="196"/>
        <w:rPr>
          <w:rFonts w:ascii="宋体" w:hAnsi="宋体"/>
          <w:szCs w:val="21"/>
        </w:rPr>
      </w:pPr>
      <w:r>
        <w:rPr>
          <w:rFonts w:hint="eastAsia" w:ascii="宋体" w:hAnsi="宋体"/>
          <w:szCs w:val="21"/>
        </w:rPr>
        <w:t>采购人与成交供应商应自成交通知书发出之日起10个工作日内签订政府采购合同，</w:t>
      </w:r>
      <w:r>
        <w:rPr>
          <w:rFonts w:hint="eastAsia" w:ascii="宋体" w:hAnsi="宋体"/>
          <w:szCs w:val="21"/>
          <w:lang w:val="en-US" w:eastAsia="zh-CN"/>
        </w:rPr>
        <w:t>并按财政部门规定提交备案。</w:t>
      </w:r>
    </w:p>
    <w:p w14:paraId="3FD376B9">
      <w:pPr>
        <w:rPr>
          <w:rFonts w:ascii="黑体" w:hAnsi="宋体" w:eastAsia="黑体"/>
          <w:sz w:val="24"/>
        </w:rPr>
      </w:pPr>
      <w:r>
        <w:rPr>
          <w:rFonts w:hint="eastAsia" w:ascii="黑体" w:hAnsi="宋体" w:eastAsia="黑体"/>
          <w:sz w:val="24"/>
        </w:rPr>
        <w:t>4</w:t>
      </w:r>
      <w:r>
        <w:rPr>
          <w:rFonts w:ascii="黑体" w:hAnsi="宋体" w:eastAsia="黑体"/>
          <w:sz w:val="24"/>
        </w:rPr>
        <w:t>0</w:t>
      </w:r>
      <w:r>
        <w:rPr>
          <w:rFonts w:hint="eastAsia" w:ascii="黑体" w:hAnsi="宋体" w:eastAsia="黑体"/>
          <w:sz w:val="24"/>
        </w:rPr>
        <w:t>. 合同变更</w:t>
      </w:r>
    </w:p>
    <w:p w14:paraId="7C700456">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14:paraId="45E64FE6">
      <w:pPr>
        <w:rPr>
          <w:rFonts w:ascii="黑体" w:hAnsi="宋体" w:eastAsia="黑体"/>
          <w:sz w:val="24"/>
        </w:rPr>
      </w:pPr>
      <w:r>
        <w:rPr>
          <w:rFonts w:hint="eastAsia" w:ascii="黑体" w:hAnsi="宋体" w:eastAsia="黑体"/>
          <w:sz w:val="24"/>
        </w:rPr>
        <w:t>4</w:t>
      </w:r>
      <w:r>
        <w:rPr>
          <w:rFonts w:ascii="黑体" w:hAnsi="宋体" w:eastAsia="黑体"/>
          <w:sz w:val="24"/>
        </w:rPr>
        <w:t>1</w:t>
      </w:r>
      <w:r>
        <w:rPr>
          <w:rFonts w:hint="eastAsia" w:ascii="黑体" w:hAnsi="宋体" w:eastAsia="黑体"/>
          <w:sz w:val="24"/>
        </w:rPr>
        <w:t>. 项目验收</w:t>
      </w:r>
    </w:p>
    <w:p w14:paraId="6BABF1D2">
      <w:pPr>
        <w:widowControl/>
        <w:ind w:right="176" w:firstLine="420"/>
        <w:jc w:val="left"/>
        <w:rPr>
          <w:rFonts w:ascii="宋体" w:hAnsi="宋体"/>
        </w:rPr>
      </w:pPr>
      <w:r>
        <w:rPr>
          <w:rFonts w:hint="eastAsia" w:ascii="宋体" w:hAnsi="宋体"/>
        </w:rPr>
        <w:t>4</w:t>
      </w:r>
      <w:r>
        <w:rPr>
          <w:rFonts w:ascii="宋体" w:hAnsi="宋体"/>
        </w:rPr>
        <w:t>1</w:t>
      </w:r>
      <w:r>
        <w:rPr>
          <w:rFonts w:hint="eastAsia" w:ascii="宋体" w:hAnsi="宋体"/>
        </w:rPr>
        <w:t>.1采购人应当按照谈判文件和合同规定的标准和方法，及时组织验收。</w:t>
      </w:r>
      <w:r>
        <w:rPr>
          <w:rFonts w:ascii="宋体" w:hAnsi="宋体"/>
        </w:rPr>
        <w:t xml:space="preserve"> </w:t>
      </w:r>
    </w:p>
    <w:p w14:paraId="6D885E35">
      <w:pPr>
        <w:rPr>
          <w:rFonts w:ascii="黑体" w:hAnsi="宋体" w:eastAsia="黑体"/>
          <w:sz w:val="24"/>
        </w:rPr>
      </w:pPr>
      <w:r>
        <w:rPr>
          <w:rFonts w:ascii="黑体" w:hAnsi="宋体" w:eastAsia="黑体"/>
          <w:sz w:val="24"/>
        </w:rPr>
        <w:t>42</w:t>
      </w:r>
      <w:r>
        <w:rPr>
          <w:rFonts w:hint="eastAsia" w:ascii="黑体" w:hAnsi="宋体" w:eastAsia="黑体"/>
          <w:sz w:val="24"/>
        </w:rPr>
        <w:t>. 宣传</w:t>
      </w:r>
    </w:p>
    <w:p w14:paraId="3B965250">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66830688">
      <w:pPr>
        <w:ind w:left="210" w:leftChars="100" w:firstLine="411" w:firstLineChars="196"/>
        <w:rPr>
          <w:rFonts w:ascii="宋体" w:hAnsi="宋体"/>
        </w:rPr>
      </w:pPr>
      <w:r>
        <w:rPr>
          <w:rFonts w:ascii="宋体" w:hAnsi="宋体"/>
        </w:rPr>
        <w:t>a.名片、宣传册、广告标语等；</w:t>
      </w:r>
    </w:p>
    <w:p w14:paraId="449BFFA0">
      <w:pPr>
        <w:ind w:left="210" w:leftChars="100" w:firstLine="411" w:firstLineChars="196"/>
        <w:rPr>
          <w:rFonts w:ascii="宋体" w:hAnsi="宋体"/>
        </w:rPr>
      </w:pPr>
      <w:r>
        <w:rPr>
          <w:rFonts w:ascii="宋体" w:hAnsi="宋体"/>
        </w:rPr>
        <w:t>b.案例介绍、推广等；</w:t>
      </w:r>
    </w:p>
    <w:p w14:paraId="0E659481">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2072F891">
      <w:pPr>
        <w:rPr>
          <w:rFonts w:ascii="黑体" w:hAnsi="宋体" w:eastAsia="黑体"/>
          <w:sz w:val="24"/>
        </w:rPr>
      </w:pPr>
      <w:r>
        <w:rPr>
          <w:rFonts w:ascii="黑体" w:hAnsi="宋体" w:eastAsia="黑体"/>
          <w:sz w:val="24"/>
        </w:rPr>
        <w:t>43</w:t>
      </w:r>
      <w:r>
        <w:rPr>
          <w:rFonts w:hint="eastAsia" w:ascii="黑体" w:hAnsi="宋体" w:eastAsia="黑体"/>
          <w:sz w:val="24"/>
        </w:rPr>
        <w:t>. 供应商违法责任</w:t>
      </w:r>
    </w:p>
    <w:p w14:paraId="2B7C0C2A">
      <w:pPr>
        <w:ind w:firstLine="411" w:firstLineChars="196"/>
        <w:rPr>
          <w:rFonts w:ascii="宋体" w:hAnsi="宋体"/>
          <w:szCs w:val="21"/>
        </w:rPr>
      </w:pPr>
      <w:r>
        <w:rPr>
          <w:rFonts w:ascii="宋体" w:hAnsi="宋体"/>
          <w:szCs w:val="21"/>
        </w:rPr>
        <w:t>43.1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E137DC3">
      <w:pPr>
        <w:ind w:firstLine="411" w:firstLineChars="196"/>
        <w:rPr>
          <w:rFonts w:ascii="宋体" w:hAnsi="宋体"/>
          <w:szCs w:val="21"/>
        </w:rPr>
      </w:pPr>
      <w:r>
        <w:rPr>
          <w:rFonts w:hint="eastAsia" w:ascii="宋体" w:hAnsi="宋体"/>
          <w:szCs w:val="21"/>
        </w:rPr>
        <w:t>（1）在采购活动中应当回避而未回避的；</w:t>
      </w:r>
    </w:p>
    <w:p w14:paraId="5C082EAF">
      <w:pPr>
        <w:ind w:firstLine="411" w:firstLineChars="196"/>
        <w:rPr>
          <w:rFonts w:ascii="宋体" w:hAnsi="宋体"/>
          <w:szCs w:val="21"/>
        </w:rPr>
      </w:pPr>
      <w:r>
        <w:rPr>
          <w:rFonts w:hint="eastAsia" w:ascii="宋体" w:hAnsi="宋体"/>
          <w:szCs w:val="21"/>
        </w:rPr>
        <w:t>（2）未按本条例规定签订、履行采购合同，造成严重后果的；</w:t>
      </w:r>
    </w:p>
    <w:p w14:paraId="63A287EB">
      <w:pPr>
        <w:ind w:firstLine="411" w:firstLineChars="196"/>
        <w:rPr>
          <w:rFonts w:ascii="宋体" w:hAnsi="宋体"/>
          <w:szCs w:val="21"/>
        </w:rPr>
      </w:pPr>
      <w:r>
        <w:rPr>
          <w:rFonts w:hint="eastAsia" w:ascii="宋体" w:hAnsi="宋体"/>
          <w:szCs w:val="21"/>
        </w:rPr>
        <w:t>（3）隐瞒真实情况，提供虚假资料的；</w:t>
      </w:r>
    </w:p>
    <w:p w14:paraId="2B5768B8">
      <w:pPr>
        <w:ind w:firstLine="411" w:firstLineChars="196"/>
        <w:rPr>
          <w:rFonts w:ascii="宋体" w:hAnsi="宋体"/>
          <w:szCs w:val="21"/>
        </w:rPr>
      </w:pPr>
      <w:r>
        <w:rPr>
          <w:rFonts w:hint="eastAsia" w:ascii="宋体" w:hAnsi="宋体"/>
          <w:szCs w:val="21"/>
        </w:rPr>
        <w:t>（4）以非法手段排斥其他供应商参与竞争的；</w:t>
      </w:r>
    </w:p>
    <w:p w14:paraId="2626B8AC">
      <w:pPr>
        <w:ind w:firstLine="411" w:firstLineChars="196"/>
        <w:rPr>
          <w:rFonts w:ascii="宋体" w:hAnsi="宋体"/>
          <w:szCs w:val="21"/>
        </w:rPr>
      </w:pPr>
      <w:r>
        <w:rPr>
          <w:rFonts w:hint="eastAsia" w:ascii="宋体" w:hAnsi="宋体"/>
          <w:szCs w:val="21"/>
        </w:rPr>
        <w:t>（5）与其他采购参加人串通投标（谈判）的；</w:t>
      </w:r>
    </w:p>
    <w:p w14:paraId="11B2B07A">
      <w:pPr>
        <w:ind w:firstLine="411" w:firstLineChars="196"/>
        <w:rPr>
          <w:rFonts w:ascii="宋体" w:hAnsi="宋体"/>
          <w:szCs w:val="21"/>
        </w:rPr>
      </w:pPr>
      <w:r>
        <w:rPr>
          <w:rFonts w:hint="eastAsia" w:ascii="宋体" w:hAnsi="宋体"/>
          <w:szCs w:val="21"/>
        </w:rPr>
        <w:t>（6）恶意投诉的；</w:t>
      </w:r>
    </w:p>
    <w:p w14:paraId="2A76FB06">
      <w:pPr>
        <w:ind w:firstLine="411" w:firstLineChars="196"/>
        <w:rPr>
          <w:rFonts w:ascii="宋体" w:hAnsi="宋体"/>
          <w:szCs w:val="21"/>
        </w:rPr>
      </w:pPr>
      <w:r>
        <w:rPr>
          <w:rFonts w:hint="eastAsia" w:ascii="宋体" w:hAnsi="宋体"/>
          <w:szCs w:val="21"/>
        </w:rPr>
        <w:t>（7）向采购项目相关人行贿或者提供其他不当利益的；</w:t>
      </w:r>
    </w:p>
    <w:p w14:paraId="1FF433D2">
      <w:pPr>
        <w:ind w:firstLine="411" w:firstLineChars="196"/>
        <w:rPr>
          <w:rFonts w:ascii="宋体" w:hAnsi="宋体"/>
          <w:szCs w:val="21"/>
        </w:rPr>
      </w:pPr>
      <w:r>
        <w:rPr>
          <w:rFonts w:hint="eastAsia" w:ascii="宋体" w:hAnsi="宋体"/>
          <w:szCs w:val="21"/>
        </w:rPr>
        <w:t>（8）阻碍、抗拒主管部门监督检查的；</w:t>
      </w:r>
    </w:p>
    <w:p w14:paraId="46E04B89">
      <w:pPr>
        <w:ind w:firstLine="411" w:firstLineChars="196"/>
        <w:rPr>
          <w:rFonts w:ascii="宋体" w:hAnsi="宋体"/>
          <w:szCs w:val="21"/>
        </w:rPr>
      </w:pPr>
      <w:r>
        <w:rPr>
          <w:rFonts w:hint="eastAsia" w:ascii="宋体" w:hAnsi="宋体"/>
          <w:szCs w:val="21"/>
        </w:rPr>
        <w:t>（9）其他违反本条例规定的行为。</w:t>
      </w:r>
    </w:p>
    <w:p w14:paraId="39B33870">
      <w:pPr>
        <w:ind w:firstLine="411" w:firstLineChars="196"/>
        <w:rPr>
          <w:rFonts w:ascii="宋体" w:hAnsi="宋体"/>
          <w:szCs w:val="21"/>
        </w:rPr>
      </w:pPr>
      <w:r>
        <w:rPr>
          <w:rFonts w:ascii="宋体" w:hAnsi="宋体"/>
          <w:szCs w:val="21"/>
        </w:rPr>
        <w:t xml:space="preserve">43.2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w:t>
      </w:r>
      <w:bookmarkStart w:id="80" w:name="_Hlk72440717"/>
      <w:r>
        <w:rPr>
          <w:rFonts w:hint="eastAsia" w:ascii="宋体" w:hAnsi="宋体"/>
          <w:szCs w:val="21"/>
        </w:rPr>
        <w:t>第八十条所列情形的</w:t>
      </w:r>
      <w:bookmarkEnd w:id="80"/>
      <w:r>
        <w:rPr>
          <w:rFonts w:hint="eastAsia" w:ascii="宋体" w:hAnsi="宋体"/>
          <w:szCs w:val="21"/>
        </w:rPr>
        <w:t>，政府集中采购机构或采购人不予退还其交纳的谈判保证金，情节严重的，并由主管部门记入供应商诚信档案，予以通报：</w:t>
      </w:r>
    </w:p>
    <w:p w14:paraId="2BD28B2B">
      <w:pPr>
        <w:ind w:firstLine="411" w:firstLineChars="196"/>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谈判</w:t>
      </w:r>
      <w:r>
        <w:rPr>
          <w:rFonts w:ascii="宋体" w:hAnsi="宋体"/>
          <w:szCs w:val="21"/>
        </w:rPr>
        <w:t>截止</w:t>
      </w:r>
      <w:r>
        <w:rPr>
          <w:rFonts w:hint="eastAsia" w:ascii="宋体" w:hAnsi="宋体"/>
          <w:szCs w:val="21"/>
        </w:rPr>
        <w:t>时间</w:t>
      </w:r>
      <w:r>
        <w:rPr>
          <w:rFonts w:ascii="宋体" w:hAnsi="宋体"/>
          <w:szCs w:val="21"/>
        </w:rPr>
        <w:t>后，撤销</w:t>
      </w:r>
      <w:r>
        <w:rPr>
          <w:rFonts w:hint="eastAsia" w:ascii="宋体" w:hAnsi="宋体"/>
          <w:szCs w:val="21"/>
        </w:rPr>
        <w:t>应答</w:t>
      </w:r>
      <w:r>
        <w:rPr>
          <w:rFonts w:ascii="宋体" w:hAnsi="宋体"/>
          <w:szCs w:val="21"/>
        </w:rPr>
        <w:t>的；</w:t>
      </w:r>
    </w:p>
    <w:p w14:paraId="41B58E51">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rPr>
        <w:t>成交</w:t>
      </w:r>
      <w:r>
        <w:rPr>
          <w:rFonts w:ascii="宋体" w:hAnsi="宋体"/>
          <w:szCs w:val="21"/>
        </w:rPr>
        <w:t>后无正当理由未在规定期限内签订合同的；</w:t>
      </w:r>
    </w:p>
    <w:p w14:paraId="549FC4E9">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w:t>
      </w:r>
      <w:r>
        <w:rPr>
          <w:rFonts w:hint="eastAsia" w:ascii="宋体" w:hAnsi="宋体"/>
          <w:szCs w:val="21"/>
        </w:rPr>
        <w:t>成交</w:t>
      </w:r>
      <w:r>
        <w:rPr>
          <w:rFonts w:ascii="宋体" w:hAnsi="宋体"/>
          <w:szCs w:val="21"/>
        </w:rPr>
        <w:t>项目转让给他人或者在</w:t>
      </w:r>
      <w:r>
        <w:rPr>
          <w:rFonts w:hint="eastAsia" w:ascii="宋体" w:hAnsi="宋体"/>
          <w:szCs w:val="21"/>
        </w:rPr>
        <w:t>应答</w:t>
      </w:r>
      <w:r>
        <w:rPr>
          <w:rFonts w:ascii="宋体" w:hAnsi="宋体"/>
          <w:szCs w:val="21"/>
        </w:rPr>
        <w:t>文件中未说明且未经采购人、政府集中采购机构同意，将</w:t>
      </w:r>
      <w:r>
        <w:rPr>
          <w:rFonts w:hint="eastAsia" w:ascii="宋体" w:hAnsi="宋体"/>
          <w:szCs w:val="21"/>
        </w:rPr>
        <w:t>成交</w:t>
      </w:r>
      <w:r>
        <w:rPr>
          <w:rFonts w:ascii="宋体" w:hAnsi="宋体"/>
          <w:szCs w:val="21"/>
        </w:rPr>
        <w:t>项目分包给他人的；</w:t>
      </w:r>
    </w:p>
    <w:p w14:paraId="2AC2591E">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14:paraId="12D79357">
      <w:pPr>
        <w:keepNext/>
        <w:keepLines/>
        <w:adjustRightInd w:val="0"/>
        <w:snapToGrid w:val="0"/>
        <w:jc w:val="center"/>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八、质疑处理</w:t>
      </w:r>
    </w:p>
    <w:p w14:paraId="6392208F">
      <w:pPr>
        <w:rPr>
          <w:rFonts w:ascii="黑体" w:hAnsi="宋体" w:eastAsia="黑体"/>
          <w:sz w:val="24"/>
        </w:rPr>
      </w:pPr>
      <w:r>
        <w:rPr>
          <w:rFonts w:ascii="黑体" w:hAnsi="宋体" w:eastAsia="黑体"/>
          <w:sz w:val="24"/>
        </w:rPr>
        <w:t>44</w:t>
      </w:r>
      <w:r>
        <w:rPr>
          <w:rFonts w:hint="eastAsia" w:ascii="黑体" w:hAnsi="宋体" w:eastAsia="黑体"/>
          <w:sz w:val="24"/>
        </w:rPr>
        <w:t>.质疑提出与答复</w:t>
      </w:r>
    </w:p>
    <w:p w14:paraId="0B5092F4">
      <w:pPr>
        <w:rPr>
          <w:rFonts w:ascii="宋体" w:hAnsi="宋体"/>
          <w:szCs w:val="21"/>
        </w:rPr>
      </w:pPr>
      <w:r>
        <w:rPr>
          <w:rFonts w:hint="eastAsia" w:ascii="宋体" w:hAnsi="宋体"/>
          <w:szCs w:val="21"/>
        </w:rPr>
        <w:t xml:space="preserve">    </w:t>
      </w:r>
      <w:r>
        <w:rPr>
          <w:rFonts w:ascii="宋体" w:hAnsi="宋体"/>
          <w:szCs w:val="21"/>
        </w:rPr>
        <w:t>44</w:t>
      </w:r>
      <w:r>
        <w:rPr>
          <w:rFonts w:hint="eastAsia" w:ascii="宋体" w:hAnsi="宋体"/>
          <w:szCs w:val="21"/>
        </w:rPr>
        <w:t>.1提出质疑</w:t>
      </w:r>
    </w:p>
    <w:p w14:paraId="058ACE5C">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2BD6F37E">
      <w:pPr>
        <w:rPr>
          <w:rFonts w:ascii="宋体" w:hAnsi="宋体"/>
          <w:szCs w:val="21"/>
        </w:rPr>
      </w:pPr>
      <w:r>
        <w:rPr>
          <w:rFonts w:hint="eastAsia" w:ascii="宋体" w:hAnsi="宋体"/>
          <w:szCs w:val="21"/>
        </w:rPr>
        <w:t xml:space="preserve">    </w:t>
      </w:r>
      <w:r>
        <w:rPr>
          <w:rFonts w:ascii="宋体" w:hAnsi="宋体"/>
          <w:szCs w:val="21"/>
        </w:rPr>
        <w:t>44</w:t>
      </w:r>
      <w:r>
        <w:rPr>
          <w:rFonts w:hint="eastAsia" w:ascii="宋体" w:hAnsi="宋体"/>
          <w:szCs w:val="21"/>
        </w:rPr>
        <w:t>.2</w:t>
      </w:r>
      <w:r>
        <w:rPr>
          <w:rFonts w:ascii="宋体" w:hAnsi="宋体"/>
          <w:szCs w:val="21"/>
        </w:rPr>
        <w:t>法律依据</w:t>
      </w:r>
    </w:p>
    <w:p w14:paraId="497CA27A">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63FDCC66">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ascii="宋体" w:hAnsi="宋体"/>
          <w:szCs w:val="21"/>
        </w:rPr>
        <w:t>44</w:t>
      </w:r>
      <w:r>
        <w:rPr>
          <w:rFonts w:hint="eastAsia" w:ascii="宋体" w:hAnsi="宋体"/>
          <w:szCs w:val="21"/>
        </w:rPr>
        <w:t>.3质疑条件</w:t>
      </w:r>
    </w:p>
    <w:p w14:paraId="348C9381">
      <w:pPr>
        <w:rPr>
          <w:rFonts w:ascii="宋体" w:hAnsi="宋体"/>
          <w:szCs w:val="21"/>
        </w:rPr>
      </w:pPr>
      <w:r>
        <w:rPr>
          <w:rFonts w:hint="eastAsia" w:ascii="宋体" w:hAnsi="宋体"/>
          <w:szCs w:val="21"/>
        </w:rPr>
        <w:t xml:space="preserve">    </w:t>
      </w:r>
      <w:r>
        <w:rPr>
          <w:rFonts w:ascii="宋体" w:hAnsi="宋体"/>
          <w:szCs w:val="21"/>
        </w:rPr>
        <w:t>44</w:t>
      </w:r>
      <w:r>
        <w:rPr>
          <w:rFonts w:hint="eastAsia" w:ascii="宋体" w:hAnsi="宋体"/>
          <w:szCs w:val="21"/>
        </w:rPr>
        <w:t>.3.1提出质疑的供应商应当是参与所</w:t>
      </w:r>
      <w:bookmarkStart w:id="82" w:name="_GoBack"/>
      <w:bookmarkEnd w:id="82"/>
      <w:r>
        <w:rPr>
          <w:rFonts w:hint="eastAsia" w:ascii="宋体" w:hAnsi="宋体"/>
          <w:szCs w:val="21"/>
        </w:rPr>
        <w:t>质疑项目采购活动的供应商；以联合体形式参与的，质疑应当由组成联合体的所有成员共同提出；</w:t>
      </w:r>
    </w:p>
    <w:p w14:paraId="328374D2">
      <w:pPr>
        <w:rPr>
          <w:rFonts w:ascii="宋体" w:hAnsi="宋体"/>
          <w:szCs w:val="21"/>
        </w:rPr>
      </w:pPr>
      <w:r>
        <w:rPr>
          <w:rFonts w:hint="eastAsia" w:ascii="宋体" w:hAnsi="宋体"/>
          <w:szCs w:val="21"/>
        </w:rPr>
        <w:t xml:space="preserve">    </w:t>
      </w:r>
      <w:bookmarkStart w:id="81" w:name="_Hlk72666302"/>
      <w:r>
        <w:rPr>
          <w:rFonts w:ascii="宋体" w:hAnsi="宋体"/>
          <w:szCs w:val="21"/>
        </w:rPr>
        <w:t>44</w:t>
      </w:r>
      <w:r>
        <w:rPr>
          <w:rFonts w:hint="eastAsia" w:ascii="宋体" w:hAnsi="宋体"/>
          <w:szCs w:val="21"/>
        </w:rPr>
        <w:t>.3.2应当在法定质疑期内一次性提出针对同一采购程序环节的质疑，法定质疑期为自知道或应当知道权益受到损害之日起7个工作日内。应当知道其权益受到损害之日是指：对招标（谈判）文件的质疑，为招标（谈判）文件公布之日；对采购过程的质疑，为各采购程序环节结束之日；对中标(成交)结果以及评审委员会（谈判小组）组成人员的质疑，为中标（成交）结果公示之日；</w:t>
      </w:r>
      <w:bookmarkEnd w:id="81"/>
    </w:p>
    <w:p w14:paraId="01C5846F">
      <w:pPr>
        <w:ind w:firstLine="420"/>
        <w:rPr>
          <w:rFonts w:ascii="宋体" w:hAnsi="宋体"/>
          <w:szCs w:val="21"/>
        </w:rPr>
      </w:pPr>
      <w:r>
        <w:rPr>
          <w:rFonts w:ascii="宋体" w:hAnsi="宋体"/>
          <w:szCs w:val="21"/>
        </w:rPr>
        <w:t>44</w:t>
      </w:r>
      <w:r>
        <w:rPr>
          <w:rFonts w:hint="eastAsia" w:ascii="宋体" w:hAnsi="宋体"/>
          <w:szCs w:val="21"/>
        </w:rPr>
        <w:t>.3.3应提交书面质疑函，质疑函应当包括以下内容：</w:t>
      </w:r>
      <w:r>
        <w:rPr>
          <w:rFonts w:ascii="宋体" w:hAnsi="宋体"/>
          <w:szCs w:val="21"/>
        </w:rPr>
        <w:t xml:space="preserve"> </w:t>
      </w:r>
    </w:p>
    <w:p w14:paraId="08E9B412">
      <w:pPr>
        <w:ind w:firstLine="420"/>
        <w:rPr>
          <w:rFonts w:ascii="宋体" w:hAnsi="宋体"/>
          <w:szCs w:val="21"/>
        </w:rPr>
      </w:pPr>
      <w:r>
        <w:rPr>
          <w:rFonts w:hint="eastAsia" w:ascii="宋体" w:hAnsi="宋体"/>
          <w:szCs w:val="21"/>
        </w:rPr>
        <w:t>（1）供应商的名称（或者姓名）、地址、邮编、邮箱、联系人及联系电话；</w:t>
      </w:r>
    </w:p>
    <w:p w14:paraId="0B64014E">
      <w:pPr>
        <w:ind w:firstLine="420" w:firstLineChars="200"/>
        <w:rPr>
          <w:rFonts w:ascii="宋体" w:hAnsi="宋体"/>
          <w:szCs w:val="21"/>
        </w:rPr>
      </w:pPr>
      <w:r>
        <w:rPr>
          <w:rFonts w:hint="eastAsia" w:ascii="宋体" w:hAnsi="宋体"/>
          <w:szCs w:val="21"/>
        </w:rPr>
        <w:t>（2）质疑项目的名称、编号；</w:t>
      </w:r>
    </w:p>
    <w:p w14:paraId="62731E92">
      <w:pPr>
        <w:ind w:firstLine="420" w:firstLineChars="200"/>
        <w:rPr>
          <w:rFonts w:ascii="宋体" w:hAnsi="宋体"/>
          <w:szCs w:val="21"/>
        </w:rPr>
      </w:pPr>
      <w:r>
        <w:rPr>
          <w:rFonts w:hint="eastAsia" w:ascii="宋体" w:hAnsi="宋体"/>
          <w:szCs w:val="21"/>
        </w:rPr>
        <w:t>（3）具体、明确的质疑对象、质疑事项和质疑请求；</w:t>
      </w:r>
    </w:p>
    <w:p w14:paraId="18886464">
      <w:pPr>
        <w:ind w:firstLine="420" w:firstLineChars="200"/>
        <w:rPr>
          <w:rFonts w:ascii="宋体" w:hAnsi="宋体"/>
          <w:szCs w:val="21"/>
        </w:rPr>
      </w:pPr>
      <w:r>
        <w:rPr>
          <w:rFonts w:hint="eastAsia" w:ascii="宋体" w:hAnsi="宋体"/>
          <w:szCs w:val="21"/>
        </w:rPr>
        <w:t>（4）因质疑事项而受损害的权益；</w:t>
      </w:r>
    </w:p>
    <w:p w14:paraId="5022ABAC">
      <w:pPr>
        <w:ind w:firstLine="420" w:firstLineChars="200"/>
        <w:rPr>
          <w:rFonts w:ascii="宋体" w:hAnsi="宋体"/>
          <w:szCs w:val="21"/>
        </w:rPr>
      </w:pPr>
      <w:r>
        <w:rPr>
          <w:rFonts w:hint="eastAsia" w:ascii="宋体" w:hAnsi="宋体"/>
          <w:szCs w:val="21"/>
        </w:rPr>
        <w:t>（5）事实依据；</w:t>
      </w:r>
    </w:p>
    <w:p w14:paraId="77C29E95">
      <w:pPr>
        <w:ind w:firstLine="420" w:firstLineChars="200"/>
        <w:rPr>
          <w:rFonts w:ascii="宋体" w:hAnsi="宋体"/>
          <w:szCs w:val="21"/>
        </w:rPr>
      </w:pPr>
      <w:r>
        <w:rPr>
          <w:rFonts w:hint="eastAsia" w:ascii="宋体" w:hAnsi="宋体"/>
          <w:szCs w:val="21"/>
        </w:rPr>
        <w:t>（6）必要的法律依据；</w:t>
      </w:r>
    </w:p>
    <w:p w14:paraId="7A6BABA8">
      <w:pPr>
        <w:ind w:firstLine="420" w:firstLineChars="200"/>
        <w:rPr>
          <w:rFonts w:ascii="宋体" w:hAnsi="宋体"/>
          <w:szCs w:val="21"/>
        </w:rPr>
      </w:pPr>
      <w:r>
        <w:rPr>
          <w:rFonts w:hint="eastAsia" w:ascii="宋体" w:hAnsi="宋体"/>
          <w:szCs w:val="21"/>
        </w:rPr>
        <w:t>（7）提出质疑的日期。</w:t>
      </w:r>
    </w:p>
    <w:p w14:paraId="1ED94C89">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708EF20C">
      <w:pPr>
        <w:ind w:firstLine="420" w:firstLineChars="200"/>
        <w:rPr>
          <w:rFonts w:ascii="宋体" w:hAnsi="宋体"/>
          <w:szCs w:val="21"/>
        </w:rPr>
      </w:pPr>
      <w:r>
        <w:rPr>
          <w:rFonts w:ascii="宋体" w:hAnsi="宋体"/>
          <w:szCs w:val="21"/>
        </w:rPr>
        <w:t>44</w:t>
      </w:r>
      <w:r>
        <w:rPr>
          <w:rFonts w:hint="eastAsia" w:ascii="宋体" w:hAnsi="宋体"/>
          <w:szCs w:val="21"/>
        </w:rPr>
        <w:t>.4提交</w:t>
      </w:r>
      <w:r>
        <w:rPr>
          <w:rFonts w:ascii="宋体" w:hAnsi="宋体"/>
          <w:szCs w:val="21"/>
        </w:rPr>
        <w:t>材料</w:t>
      </w:r>
    </w:p>
    <w:p w14:paraId="352D8E16">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D3D050B">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2F9646E">
      <w:pPr>
        <w:ind w:firstLine="420" w:firstLineChars="200"/>
        <w:rPr>
          <w:rFonts w:ascii="宋体" w:hAnsi="宋体"/>
          <w:szCs w:val="21"/>
        </w:rPr>
      </w:pPr>
      <w:r>
        <w:rPr>
          <w:rFonts w:ascii="宋体" w:hAnsi="宋体"/>
          <w:szCs w:val="21"/>
        </w:rPr>
        <w:t>44</w:t>
      </w:r>
      <w:r>
        <w:rPr>
          <w:rFonts w:hint="eastAsia" w:ascii="宋体" w:hAnsi="宋体"/>
          <w:szCs w:val="21"/>
        </w:rPr>
        <w:t>.5收文地点</w:t>
      </w:r>
    </w:p>
    <w:p w14:paraId="089DE97E">
      <w:pPr>
        <w:ind w:firstLine="422" w:firstLineChars="200"/>
        <w:rPr>
          <w:rFonts w:ascii="宋体" w:hAnsi="宋体"/>
          <w:b/>
          <w:bCs/>
          <w:szCs w:val="21"/>
        </w:rPr>
      </w:pPr>
      <w:r>
        <w:rPr>
          <w:rFonts w:hint="eastAsia" w:ascii="宋体" w:hAnsi="宋体"/>
          <w:b/>
          <w:bCs/>
          <w:szCs w:val="21"/>
        </w:rPr>
        <w:t>地址：深圳公共资源交易中心（深圳交易集团有限公司龙岗分公司），地址：深圳市龙岗区龙城街道黄阁路383号（原工程交易中心），质疑咨询电话：0755-89552611。</w:t>
      </w:r>
    </w:p>
    <w:p w14:paraId="35EB9976">
      <w:pPr>
        <w:ind w:firstLine="420" w:firstLineChars="200"/>
        <w:rPr>
          <w:rFonts w:ascii="宋体" w:hAnsi="宋体"/>
          <w:szCs w:val="21"/>
        </w:rPr>
      </w:pPr>
      <w:r>
        <w:rPr>
          <w:rFonts w:ascii="宋体" w:hAnsi="宋体"/>
          <w:szCs w:val="21"/>
        </w:rPr>
        <w:t>44</w:t>
      </w:r>
      <w:r>
        <w:rPr>
          <w:rFonts w:hint="eastAsia" w:ascii="宋体" w:hAnsi="宋体"/>
          <w:szCs w:val="21"/>
        </w:rPr>
        <w:t>.6收文办理</w:t>
      </w:r>
      <w:r>
        <w:rPr>
          <w:rFonts w:ascii="宋体" w:hAnsi="宋体"/>
          <w:szCs w:val="21"/>
        </w:rPr>
        <w:t>程序</w:t>
      </w:r>
    </w:p>
    <w:p w14:paraId="67DC57F4">
      <w:pPr>
        <w:ind w:firstLine="420" w:firstLineChars="200"/>
        <w:rPr>
          <w:rFonts w:ascii="宋体" w:hAnsi="宋体"/>
          <w:szCs w:val="21"/>
        </w:rPr>
      </w:pPr>
      <w:r>
        <w:rPr>
          <w:rFonts w:ascii="宋体" w:hAnsi="宋体"/>
          <w:szCs w:val="21"/>
        </w:rPr>
        <w:t>44</w:t>
      </w:r>
      <w:r>
        <w:rPr>
          <w:rFonts w:hint="eastAsia" w:ascii="宋体" w:hAnsi="宋体"/>
          <w:szCs w:val="21"/>
        </w:rPr>
        <w:t>.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4F968E02">
      <w:pPr>
        <w:ind w:firstLine="420" w:firstLineChars="200"/>
        <w:rPr>
          <w:rFonts w:ascii="仿宋" w:hAnsi="仿宋" w:eastAsia="仿宋"/>
          <w:sz w:val="28"/>
          <w:szCs w:val="28"/>
        </w:rPr>
      </w:pPr>
      <w:r>
        <w:rPr>
          <w:rFonts w:ascii="宋体" w:hAnsi="宋体"/>
          <w:szCs w:val="21"/>
        </w:rPr>
        <w:t>44</w:t>
      </w:r>
      <w:r>
        <w:rPr>
          <w:rFonts w:hint="eastAsia" w:ascii="宋体" w:hAnsi="宋体"/>
          <w:szCs w:val="21"/>
        </w:rPr>
        <w:t>.6.2供应商提交的质疑材料不符合质疑条件的，视情况处理：</w:t>
      </w:r>
    </w:p>
    <w:p w14:paraId="69AB6CAB">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22B146B8">
      <w:pPr>
        <w:ind w:firstLine="420" w:firstLineChars="200"/>
        <w:rPr>
          <w:rFonts w:ascii="宋体" w:hAnsi="宋体"/>
          <w:szCs w:val="21"/>
        </w:rPr>
      </w:pPr>
      <w:r>
        <w:rPr>
          <w:rFonts w:hint="eastAsia" w:ascii="宋体" w:hAnsi="宋体"/>
          <w:szCs w:val="21"/>
        </w:rPr>
        <w:t>供应商提交的质疑存在下列情形之一的，不予受理：</w:t>
      </w:r>
    </w:p>
    <w:p w14:paraId="6FE251F6">
      <w:pPr>
        <w:ind w:firstLine="420" w:firstLineChars="200"/>
        <w:rPr>
          <w:rFonts w:ascii="宋体" w:hAnsi="宋体"/>
          <w:szCs w:val="21"/>
        </w:rPr>
      </w:pPr>
      <w:r>
        <w:rPr>
          <w:rFonts w:hint="eastAsia" w:ascii="宋体" w:hAnsi="宋体"/>
          <w:szCs w:val="21"/>
        </w:rPr>
        <w:t>（1）质疑主体不满足要求的；</w:t>
      </w:r>
    </w:p>
    <w:p w14:paraId="48F7026F">
      <w:pPr>
        <w:ind w:firstLine="420" w:firstLineChars="200"/>
        <w:rPr>
          <w:rFonts w:ascii="宋体" w:hAnsi="宋体"/>
          <w:szCs w:val="21"/>
        </w:rPr>
      </w:pPr>
      <w:r>
        <w:rPr>
          <w:rFonts w:hint="eastAsia" w:ascii="宋体" w:hAnsi="宋体"/>
          <w:szCs w:val="21"/>
        </w:rPr>
        <w:t>（2）供应商自身权益未受到损害的；</w:t>
      </w:r>
    </w:p>
    <w:p w14:paraId="57FD11E4">
      <w:pPr>
        <w:ind w:firstLine="420" w:firstLineChars="200"/>
        <w:rPr>
          <w:rFonts w:ascii="宋体" w:hAnsi="宋体"/>
          <w:szCs w:val="21"/>
        </w:rPr>
      </w:pPr>
      <w:r>
        <w:rPr>
          <w:rFonts w:hint="eastAsia" w:ascii="宋体" w:hAnsi="宋体"/>
          <w:szCs w:val="21"/>
        </w:rPr>
        <w:t>（3）供应商未在法定质疑期限内提出质疑的；</w:t>
      </w:r>
    </w:p>
    <w:p w14:paraId="6221C71C">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168E6E60">
      <w:pPr>
        <w:ind w:firstLine="420" w:firstLineChars="200"/>
        <w:rPr>
          <w:rFonts w:ascii="宋体" w:hAnsi="宋体"/>
          <w:szCs w:val="21"/>
        </w:rPr>
      </w:pPr>
      <w:r>
        <w:rPr>
          <w:rFonts w:hint="eastAsia" w:ascii="宋体" w:hAnsi="宋体"/>
          <w:szCs w:val="21"/>
        </w:rPr>
        <w:t>（5）其他不符合受理条件情形的。</w:t>
      </w:r>
    </w:p>
    <w:p w14:paraId="28B84D20">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77BC5C53">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w:t>
      </w:r>
      <w:r>
        <w:rPr>
          <w:rFonts w:ascii="宋体" w:hAnsi="宋体"/>
          <w:szCs w:val="21"/>
        </w:rPr>
        <w:t>44</w:t>
      </w:r>
      <w:r>
        <w:rPr>
          <w:rFonts w:hint="eastAsia" w:ascii="宋体" w:hAnsi="宋体"/>
          <w:szCs w:val="21"/>
        </w:rPr>
        <w:t>.7质疑答复时限</w:t>
      </w:r>
    </w:p>
    <w:p w14:paraId="3DE274D9">
      <w:pPr>
        <w:rPr>
          <w:rFonts w:ascii="宋体" w:hAnsi="宋体"/>
          <w:szCs w:val="21"/>
        </w:rPr>
      </w:pPr>
      <w:r>
        <w:rPr>
          <w:rFonts w:hint="eastAsia" w:ascii="宋体" w:hAnsi="宋体"/>
          <w:szCs w:val="21"/>
        </w:rPr>
        <w:t xml:space="preserve">    自收文之日起七个工作日内。</w:t>
      </w:r>
    </w:p>
    <w:p w14:paraId="64C51E11">
      <w:pPr>
        <w:rPr>
          <w:rFonts w:ascii="宋体" w:hAnsi="宋体"/>
          <w:szCs w:val="21"/>
        </w:rPr>
      </w:pPr>
      <w:r>
        <w:rPr>
          <w:rFonts w:hint="eastAsia" w:ascii="宋体" w:hAnsi="宋体"/>
          <w:szCs w:val="21"/>
        </w:rPr>
        <w:t xml:space="preserve">    </w:t>
      </w:r>
      <w:r>
        <w:rPr>
          <w:rFonts w:ascii="宋体" w:hAnsi="宋体"/>
          <w:szCs w:val="21"/>
        </w:rPr>
        <w:t>44</w:t>
      </w:r>
      <w:r>
        <w:rPr>
          <w:rFonts w:hint="eastAsia" w:ascii="宋体" w:hAnsi="宋体"/>
          <w:szCs w:val="21"/>
        </w:rPr>
        <w:t>.8投诉</w:t>
      </w:r>
    </w:p>
    <w:p w14:paraId="76259885">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w:t>
      </w:r>
      <w:r>
        <w:rPr>
          <w:rFonts w:hint="eastAsia" w:ascii="宋体" w:hAnsi="宋体"/>
          <w:szCs w:val="21"/>
          <w:lang w:val="en-US" w:eastAsia="zh-CN"/>
        </w:rPr>
        <w:t>采购人</w:t>
      </w:r>
      <w:r>
        <w:rPr>
          <w:rFonts w:hint="eastAsia" w:ascii="宋体" w:hAnsi="宋体"/>
          <w:szCs w:val="21"/>
        </w:rPr>
        <w:t>投诉。</w:t>
      </w:r>
    </w:p>
    <w:p w14:paraId="4F6700DC">
      <w:pPr>
        <w:rPr>
          <w:rFonts w:ascii="黑体" w:hAnsi="宋体" w:eastAsia="黑体"/>
          <w:sz w:val="24"/>
        </w:rPr>
      </w:pPr>
      <w:r>
        <w:rPr>
          <w:rFonts w:ascii="黑体" w:hAnsi="宋体" w:eastAsia="黑体"/>
          <w:sz w:val="24"/>
        </w:rPr>
        <w:t>45</w:t>
      </w:r>
      <w:r>
        <w:rPr>
          <w:rFonts w:hint="eastAsia" w:ascii="黑体" w:hAnsi="宋体" w:eastAsia="黑体"/>
          <w:sz w:val="24"/>
        </w:rPr>
        <w:t>. 质疑后续处理</w:t>
      </w:r>
    </w:p>
    <w:p w14:paraId="38DAE5AD">
      <w:pPr>
        <w:rPr>
          <w:rFonts w:ascii="宋体" w:hAnsi="宋体"/>
          <w:szCs w:val="21"/>
        </w:rPr>
      </w:pPr>
      <w:r>
        <w:rPr>
          <w:rFonts w:hint="eastAsia" w:ascii="宋体" w:hAnsi="宋体"/>
          <w:szCs w:val="21"/>
        </w:rPr>
        <w:t xml:space="preserve">    </w:t>
      </w:r>
      <w:r>
        <w:rPr>
          <w:rFonts w:ascii="宋体" w:hAnsi="宋体"/>
          <w:szCs w:val="21"/>
        </w:rPr>
        <w:t>45</w:t>
      </w:r>
      <w:r>
        <w:rPr>
          <w:rFonts w:hint="eastAsia" w:ascii="宋体" w:hAnsi="宋体"/>
          <w:szCs w:val="21"/>
        </w:rPr>
        <w:t>.1供应商质疑不成立，或者成立但未对中标、成交结果构成影响的，继续开展采购活动。</w:t>
      </w:r>
    </w:p>
    <w:p w14:paraId="13EA01C3">
      <w:pPr>
        <w:rPr>
          <w:rFonts w:ascii="宋体" w:hAnsi="宋体"/>
          <w:szCs w:val="21"/>
        </w:rPr>
      </w:pPr>
      <w:r>
        <w:rPr>
          <w:rFonts w:hint="eastAsia" w:ascii="宋体" w:hAnsi="宋体"/>
          <w:szCs w:val="21"/>
        </w:rPr>
        <w:t xml:space="preserve">    </w:t>
      </w:r>
      <w:r>
        <w:rPr>
          <w:rFonts w:ascii="宋体" w:hAnsi="宋体"/>
          <w:szCs w:val="21"/>
        </w:rPr>
        <w:t>45</w:t>
      </w:r>
      <w:r>
        <w:rPr>
          <w:rFonts w:hint="eastAsia" w:ascii="宋体" w:hAnsi="宋体"/>
          <w:szCs w:val="21"/>
        </w:rPr>
        <w:t>.2供应商质疑成立且影响或者可能影响中标、成交结果的，按照下列情况处理：（1）对谈判文件提出的质疑，依法通过澄清或者修改可以继续开展采购活动的，澄清或者修改谈判文件后继续开展采购活动；否则应当修改谈判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23DAE344">
      <w:pPr>
        <w:jc w:val="center"/>
      </w:pPr>
      <w:r>
        <w:t>---- END ----</w:t>
      </w:r>
    </w:p>
    <w:p w14:paraId="69139416">
      <w:pPr>
        <w:spacing w:line="360" w:lineRule="auto"/>
        <w:ind w:firstLine="560"/>
        <w:jc w:val="left"/>
      </w:pPr>
    </w:p>
    <w:p w14:paraId="1D560F19">
      <w:pPr>
        <w:spacing w:line="360" w:lineRule="auto"/>
        <w:ind w:firstLine="560"/>
        <w:jc w:val="left"/>
      </w:pPr>
    </w:p>
    <w:p w14:paraId="5D66D611">
      <w:pPr>
        <w:spacing w:line="360" w:lineRule="auto"/>
        <w:ind w:firstLine="560"/>
        <w:jc w:val="left"/>
      </w:pPr>
    </w:p>
    <w:p w14:paraId="25331DD2">
      <w:pPr>
        <w:spacing w:line="360" w:lineRule="auto"/>
        <w:ind w:firstLine="560"/>
        <w:jc w:val="left"/>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19FA">
    <w:pPr>
      <w:pStyle w:val="27"/>
      <w:framePr w:wrap="around" w:vAnchor="text" w:hAnchor="margin" w:xAlign="center" w:y="1"/>
      <w:rPr>
        <w:rStyle w:val="48"/>
      </w:rPr>
    </w:pPr>
    <w:r>
      <w:t xml:space="preserve">- </w:t>
    </w:r>
    <w:r>
      <w:fldChar w:fldCharType="begin"/>
    </w:r>
    <w:r>
      <w:instrText xml:space="preserve"> PAGE </w:instrText>
    </w:r>
    <w:r>
      <w:fldChar w:fldCharType="separate"/>
    </w:r>
    <w:r>
      <w:t>35</w:t>
    </w:r>
    <w:r>
      <w:fldChar w:fldCharType="end"/>
    </w:r>
    <w:r>
      <w:t xml:space="preserve"> -</w:t>
    </w:r>
  </w:p>
  <w:p w14:paraId="1335BA99">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AE5ED">
    <w:pPr>
      <w:pStyle w:val="27"/>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14:paraId="3D8EC677">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09E97">
    <w:pPr>
      <w:pStyle w:val="28"/>
      <w:pBdr>
        <w:bottom w:val="none" w:color="auto" w:sz="0" w:space="1"/>
      </w:pBdr>
      <w:tabs>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58C2E"/>
    <w:multiLevelType w:val="singleLevel"/>
    <w:tmpl w:val="B9358C2E"/>
    <w:lvl w:ilvl="0" w:tentative="0">
      <w:start w:val="2"/>
      <w:numFmt w:val="decimal"/>
      <w:suff w:val="nothing"/>
      <w:lvlText w:val="%1、"/>
      <w:lvlJc w:val="left"/>
    </w:lvl>
  </w:abstractNum>
  <w:abstractNum w:abstractNumId="1">
    <w:nsid w:val="FFFFFF7C"/>
    <w:multiLevelType w:val="singleLevel"/>
    <w:tmpl w:val="FFFFFF7C"/>
    <w:lvl w:ilvl="0" w:tentative="0">
      <w:start w:val="1"/>
      <w:numFmt w:val="decimal"/>
      <w:pStyle w:val="60"/>
      <w:lvlText w:val="%1."/>
      <w:lvlJc w:val="left"/>
      <w:pPr>
        <w:tabs>
          <w:tab w:val="left" w:pos="7994"/>
        </w:tabs>
        <w:ind w:left="7994" w:leftChars="800" w:hanging="360" w:hangingChars="200"/>
      </w:pPr>
    </w:lvl>
  </w:abstractNum>
  <w:abstractNum w:abstractNumId="2">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3">
    <w:nsid w:val="12503483"/>
    <w:multiLevelType w:val="multilevel"/>
    <w:tmpl w:val="12503483"/>
    <w:lvl w:ilvl="0" w:tentative="0">
      <w:start w:val="1"/>
      <w:numFmt w:val="bullet"/>
      <w:pStyle w:val="108"/>
      <w:lvlText w:val=""/>
      <w:lvlJc w:val="left"/>
      <w:pPr>
        <w:tabs>
          <w:tab w:val="left" w:pos="420"/>
        </w:tabs>
        <w:ind w:left="420" w:hanging="420"/>
      </w:pPr>
      <w:rPr>
        <w:rFonts w:hint="default" w:ascii="Wingdings" w:hAnsi="Wingdings"/>
      </w:rPr>
    </w:lvl>
    <w:lvl w:ilvl="1" w:tentative="0">
      <w:start w:val="1"/>
      <w:numFmt w:val="bullet"/>
      <w:pStyle w:val="10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76"/>
      <w:lvlText w:val=""/>
      <w:lvlJc w:val="left"/>
      <w:pPr>
        <w:tabs>
          <w:tab w:val="left" w:pos="840"/>
        </w:tabs>
        <w:ind w:left="840" w:hanging="420"/>
      </w:pPr>
      <w:rPr>
        <w:rFonts w:hint="default" w:ascii="Wingdings" w:hAnsi="Wingdings"/>
      </w:rPr>
    </w:lvl>
    <w:lvl w:ilvl="1" w:tentative="0">
      <w:start w:val="1"/>
      <w:numFmt w:val="bullet"/>
      <w:pStyle w:val="7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2F395B7B"/>
    <w:multiLevelType w:val="multilevel"/>
    <w:tmpl w:val="2F395B7B"/>
    <w:lvl w:ilvl="0" w:tentative="0">
      <w:start w:val="1"/>
      <w:numFmt w:val="bullet"/>
      <w:pStyle w:val="168"/>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4389DD44"/>
    <w:multiLevelType w:val="singleLevel"/>
    <w:tmpl w:val="4389DD44"/>
    <w:lvl w:ilvl="0" w:tentative="0">
      <w:start w:val="4"/>
      <w:numFmt w:val="chineseCounting"/>
      <w:suff w:val="nothing"/>
      <w:lvlText w:val="%1、"/>
      <w:lvlJc w:val="left"/>
      <w:rPr>
        <w:rFonts w:hint="eastAsia"/>
      </w:rPr>
    </w:lvl>
  </w:abstractNum>
  <w:abstractNum w:abstractNumId="7">
    <w:nsid w:val="48B6FC18"/>
    <w:multiLevelType w:val="singleLevel"/>
    <w:tmpl w:val="48B6FC18"/>
    <w:lvl w:ilvl="0" w:tentative="0">
      <w:start w:val="3"/>
      <w:numFmt w:val="decimal"/>
      <w:suff w:val="nothing"/>
      <w:lvlText w:val="（%1）"/>
      <w:lvlJc w:val="left"/>
    </w:lvl>
  </w:abstractNum>
  <w:abstractNum w:abstractNumId="8">
    <w:nsid w:val="7AEF7716"/>
    <w:multiLevelType w:val="multilevel"/>
    <w:tmpl w:val="7AEF7716"/>
    <w:lvl w:ilvl="0" w:tentative="0">
      <w:start w:val="1"/>
      <w:numFmt w:val="chineseCountingThousand"/>
      <w:pStyle w:val="121"/>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3"/>
  </w:num>
  <w:num w:numId="5">
    <w:abstractNumId w:val="8"/>
  </w:num>
  <w:num w:numId="6">
    <w:abstractNumId w:val="5"/>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OWI4MDU3YTJhYzdmNGM4MWU3MmRkYjBiZmM3MjgifQ=="/>
  </w:docVars>
  <w:rsids>
    <w:rsidRoot w:val="006C5683"/>
    <w:rsid w:val="00000AD9"/>
    <w:rsid w:val="000043C0"/>
    <w:rsid w:val="00004F2D"/>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3E7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578"/>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7EA"/>
    <w:rsid w:val="00056C11"/>
    <w:rsid w:val="00057302"/>
    <w:rsid w:val="00057332"/>
    <w:rsid w:val="00057D00"/>
    <w:rsid w:val="00060A3D"/>
    <w:rsid w:val="00060C1C"/>
    <w:rsid w:val="00061D20"/>
    <w:rsid w:val="0006267A"/>
    <w:rsid w:val="0006335B"/>
    <w:rsid w:val="0006352D"/>
    <w:rsid w:val="00063C25"/>
    <w:rsid w:val="00063EC7"/>
    <w:rsid w:val="00064892"/>
    <w:rsid w:val="00066026"/>
    <w:rsid w:val="00066260"/>
    <w:rsid w:val="0006660A"/>
    <w:rsid w:val="0006670C"/>
    <w:rsid w:val="00067960"/>
    <w:rsid w:val="0007003A"/>
    <w:rsid w:val="00070210"/>
    <w:rsid w:val="000707BF"/>
    <w:rsid w:val="00072B70"/>
    <w:rsid w:val="00072CB4"/>
    <w:rsid w:val="000734CD"/>
    <w:rsid w:val="00074403"/>
    <w:rsid w:val="000750DC"/>
    <w:rsid w:val="00075497"/>
    <w:rsid w:val="0007583C"/>
    <w:rsid w:val="00075E26"/>
    <w:rsid w:val="00076057"/>
    <w:rsid w:val="000770EC"/>
    <w:rsid w:val="00080613"/>
    <w:rsid w:val="00082667"/>
    <w:rsid w:val="00082AD2"/>
    <w:rsid w:val="00083DC6"/>
    <w:rsid w:val="00084857"/>
    <w:rsid w:val="000850AF"/>
    <w:rsid w:val="000852EB"/>
    <w:rsid w:val="000869D8"/>
    <w:rsid w:val="00086CA6"/>
    <w:rsid w:val="00090213"/>
    <w:rsid w:val="00092FC7"/>
    <w:rsid w:val="00093133"/>
    <w:rsid w:val="00093680"/>
    <w:rsid w:val="0009395E"/>
    <w:rsid w:val="00094C6E"/>
    <w:rsid w:val="000954D5"/>
    <w:rsid w:val="00095723"/>
    <w:rsid w:val="00095A74"/>
    <w:rsid w:val="0009618D"/>
    <w:rsid w:val="0009709B"/>
    <w:rsid w:val="000975E3"/>
    <w:rsid w:val="000A1DD1"/>
    <w:rsid w:val="000A21A5"/>
    <w:rsid w:val="000A3908"/>
    <w:rsid w:val="000A4C29"/>
    <w:rsid w:val="000A5B36"/>
    <w:rsid w:val="000A6E2B"/>
    <w:rsid w:val="000A79D3"/>
    <w:rsid w:val="000B05E2"/>
    <w:rsid w:val="000B2568"/>
    <w:rsid w:val="000B41BB"/>
    <w:rsid w:val="000B5357"/>
    <w:rsid w:val="000B597F"/>
    <w:rsid w:val="000B61CE"/>
    <w:rsid w:val="000B634D"/>
    <w:rsid w:val="000B73D2"/>
    <w:rsid w:val="000B7465"/>
    <w:rsid w:val="000C14CB"/>
    <w:rsid w:val="000C18BC"/>
    <w:rsid w:val="000C1D03"/>
    <w:rsid w:val="000C1EE4"/>
    <w:rsid w:val="000C1FF9"/>
    <w:rsid w:val="000C4151"/>
    <w:rsid w:val="000C4425"/>
    <w:rsid w:val="000C4B12"/>
    <w:rsid w:val="000C5F2C"/>
    <w:rsid w:val="000C5FA7"/>
    <w:rsid w:val="000C7E71"/>
    <w:rsid w:val="000D0BCE"/>
    <w:rsid w:val="000D16AA"/>
    <w:rsid w:val="000D1A7D"/>
    <w:rsid w:val="000D2309"/>
    <w:rsid w:val="000D2CCA"/>
    <w:rsid w:val="000D366B"/>
    <w:rsid w:val="000D38F9"/>
    <w:rsid w:val="000D3C8D"/>
    <w:rsid w:val="000D5B61"/>
    <w:rsid w:val="000D5D6B"/>
    <w:rsid w:val="000D7A20"/>
    <w:rsid w:val="000E161C"/>
    <w:rsid w:val="000E28E8"/>
    <w:rsid w:val="000E2C39"/>
    <w:rsid w:val="000E355C"/>
    <w:rsid w:val="000E4445"/>
    <w:rsid w:val="000E470B"/>
    <w:rsid w:val="000E4DE8"/>
    <w:rsid w:val="000E4EF8"/>
    <w:rsid w:val="000E50F5"/>
    <w:rsid w:val="000E5E99"/>
    <w:rsid w:val="000E6A66"/>
    <w:rsid w:val="000F0C3B"/>
    <w:rsid w:val="000F0E9F"/>
    <w:rsid w:val="000F1540"/>
    <w:rsid w:val="000F1D4A"/>
    <w:rsid w:val="000F2065"/>
    <w:rsid w:val="000F2A88"/>
    <w:rsid w:val="000F2C23"/>
    <w:rsid w:val="000F2D1B"/>
    <w:rsid w:val="000F3658"/>
    <w:rsid w:val="000F3B37"/>
    <w:rsid w:val="000F3C85"/>
    <w:rsid w:val="000F3F12"/>
    <w:rsid w:val="000F565B"/>
    <w:rsid w:val="000F5C6C"/>
    <w:rsid w:val="000F5F3F"/>
    <w:rsid w:val="000F64AD"/>
    <w:rsid w:val="00100570"/>
    <w:rsid w:val="00101CE5"/>
    <w:rsid w:val="00101DD0"/>
    <w:rsid w:val="00102555"/>
    <w:rsid w:val="0010291B"/>
    <w:rsid w:val="00102B4B"/>
    <w:rsid w:val="00102E1B"/>
    <w:rsid w:val="00103AB9"/>
    <w:rsid w:val="00103E80"/>
    <w:rsid w:val="00107187"/>
    <w:rsid w:val="00107272"/>
    <w:rsid w:val="00107D54"/>
    <w:rsid w:val="00110383"/>
    <w:rsid w:val="00110B62"/>
    <w:rsid w:val="00111581"/>
    <w:rsid w:val="00111CEB"/>
    <w:rsid w:val="0011245C"/>
    <w:rsid w:val="001136B4"/>
    <w:rsid w:val="0011500F"/>
    <w:rsid w:val="00115A55"/>
    <w:rsid w:val="0011665D"/>
    <w:rsid w:val="00116AAC"/>
    <w:rsid w:val="00117D55"/>
    <w:rsid w:val="001204B2"/>
    <w:rsid w:val="001212EF"/>
    <w:rsid w:val="001217DC"/>
    <w:rsid w:val="00121F81"/>
    <w:rsid w:val="0012203F"/>
    <w:rsid w:val="00123CC6"/>
    <w:rsid w:val="00125689"/>
    <w:rsid w:val="00125C8A"/>
    <w:rsid w:val="001261FC"/>
    <w:rsid w:val="001306FE"/>
    <w:rsid w:val="00130827"/>
    <w:rsid w:val="001308A2"/>
    <w:rsid w:val="00131140"/>
    <w:rsid w:val="001317AD"/>
    <w:rsid w:val="00131FC3"/>
    <w:rsid w:val="0013281E"/>
    <w:rsid w:val="00132FD3"/>
    <w:rsid w:val="001339CF"/>
    <w:rsid w:val="0013535A"/>
    <w:rsid w:val="0013673A"/>
    <w:rsid w:val="00136D81"/>
    <w:rsid w:val="00137038"/>
    <w:rsid w:val="001410EB"/>
    <w:rsid w:val="00141224"/>
    <w:rsid w:val="00143103"/>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64F"/>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41F"/>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6EAE"/>
    <w:rsid w:val="00186F7A"/>
    <w:rsid w:val="00187518"/>
    <w:rsid w:val="00187743"/>
    <w:rsid w:val="00187F07"/>
    <w:rsid w:val="0019096C"/>
    <w:rsid w:val="00191EA7"/>
    <w:rsid w:val="00192164"/>
    <w:rsid w:val="00192883"/>
    <w:rsid w:val="00194C98"/>
    <w:rsid w:val="00194FB7"/>
    <w:rsid w:val="00195D28"/>
    <w:rsid w:val="001960F8"/>
    <w:rsid w:val="00196B4E"/>
    <w:rsid w:val="001975A1"/>
    <w:rsid w:val="001A027A"/>
    <w:rsid w:val="001A05F4"/>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5963"/>
    <w:rsid w:val="001B6FAD"/>
    <w:rsid w:val="001C04B2"/>
    <w:rsid w:val="001C14C1"/>
    <w:rsid w:val="001C1FDE"/>
    <w:rsid w:val="001C2063"/>
    <w:rsid w:val="001C21E1"/>
    <w:rsid w:val="001C3426"/>
    <w:rsid w:val="001C4675"/>
    <w:rsid w:val="001C4768"/>
    <w:rsid w:val="001C5839"/>
    <w:rsid w:val="001C6AF6"/>
    <w:rsid w:val="001C7129"/>
    <w:rsid w:val="001C77E1"/>
    <w:rsid w:val="001C7ADA"/>
    <w:rsid w:val="001C7B48"/>
    <w:rsid w:val="001C7EA0"/>
    <w:rsid w:val="001D0A85"/>
    <w:rsid w:val="001D121D"/>
    <w:rsid w:val="001D3543"/>
    <w:rsid w:val="001D4151"/>
    <w:rsid w:val="001D58E5"/>
    <w:rsid w:val="001D6546"/>
    <w:rsid w:val="001D7299"/>
    <w:rsid w:val="001E0701"/>
    <w:rsid w:val="001E0FAB"/>
    <w:rsid w:val="001E2084"/>
    <w:rsid w:val="001E2502"/>
    <w:rsid w:val="001E292F"/>
    <w:rsid w:val="001E351C"/>
    <w:rsid w:val="001E474D"/>
    <w:rsid w:val="001E5194"/>
    <w:rsid w:val="001E5851"/>
    <w:rsid w:val="001E5A81"/>
    <w:rsid w:val="001E62FB"/>
    <w:rsid w:val="001E6A0B"/>
    <w:rsid w:val="001E77DA"/>
    <w:rsid w:val="001E7A2F"/>
    <w:rsid w:val="001E7AB0"/>
    <w:rsid w:val="001E7DD0"/>
    <w:rsid w:val="001F0349"/>
    <w:rsid w:val="001F077B"/>
    <w:rsid w:val="001F0B74"/>
    <w:rsid w:val="001F2648"/>
    <w:rsid w:val="001F3E37"/>
    <w:rsid w:val="001F41B9"/>
    <w:rsid w:val="001F4BE8"/>
    <w:rsid w:val="001F4EB8"/>
    <w:rsid w:val="001F560A"/>
    <w:rsid w:val="001F6318"/>
    <w:rsid w:val="001F65B1"/>
    <w:rsid w:val="001F6B83"/>
    <w:rsid w:val="001F6F6A"/>
    <w:rsid w:val="001F7595"/>
    <w:rsid w:val="002000B8"/>
    <w:rsid w:val="002004D9"/>
    <w:rsid w:val="002005CD"/>
    <w:rsid w:val="00200B4C"/>
    <w:rsid w:val="00202F46"/>
    <w:rsid w:val="00203267"/>
    <w:rsid w:val="00203897"/>
    <w:rsid w:val="0020391D"/>
    <w:rsid w:val="00205F9C"/>
    <w:rsid w:val="002060F7"/>
    <w:rsid w:val="00207BC6"/>
    <w:rsid w:val="00210604"/>
    <w:rsid w:val="00210771"/>
    <w:rsid w:val="00210EE2"/>
    <w:rsid w:val="00211885"/>
    <w:rsid w:val="00212864"/>
    <w:rsid w:val="00212ADF"/>
    <w:rsid w:val="002134CF"/>
    <w:rsid w:val="00213A60"/>
    <w:rsid w:val="0021429B"/>
    <w:rsid w:val="00215699"/>
    <w:rsid w:val="002159DE"/>
    <w:rsid w:val="00215E99"/>
    <w:rsid w:val="0021667D"/>
    <w:rsid w:val="002166A1"/>
    <w:rsid w:val="002166A6"/>
    <w:rsid w:val="00216BB6"/>
    <w:rsid w:val="0022039D"/>
    <w:rsid w:val="0022048B"/>
    <w:rsid w:val="0022175C"/>
    <w:rsid w:val="00222261"/>
    <w:rsid w:val="002227DF"/>
    <w:rsid w:val="00223AC8"/>
    <w:rsid w:val="00223C96"/>
    <w:rsid w:val="002246D6"/>
    <w:rsid w:val="00224852"/>
    <w:rsid w:val="0022634D"/>
    <w:rsid w:val="00226935"/>
    <w:rsid w:val="00227512"/>
    <w:rsid w:val="0022766E"/>
    <w:rsid w:val="0022777A"/>
    <w:rsid w:val="002278D5"/>
    <w:rsid w:val="00227C13"/>
    <w:rsid w:val="00227D49"/>
    <w:rsid w:val="00227FC7"/>
    <w:rsid w:val="0023110A"/>
    <w:rsid w:val="00233A54"/>
    <w:rsid w:val="00234440"/>
    <w:rsid w:val="002347C9"/>
    <w:rsid w:val="00236E72"/>
    <w:rsid w:val="0023738E"/>
    <w:rsid w:val="002411BD"/>
    <w:rsid w:val="00244711"/>
    <w:rsid w:val="00244AE4"/>
    <w:rsid w:val="00245EBE"/>
    <w:rsid w:val="002472C1"/>
    <w:rsid w:val="002473F4"/>
    <w:rsid w:val="00247D64"/>
    <w:rsid w:val="00250F42"/>
    <w:rsid w:val="00252B8C"/>
    <w:rsid w:val="00252EBA"/>
    <w:rsid w:val="0025361A"/>
    <w:rsid w:val="002545EF"/>
    <w:rsid w:val="00254B44"/>
    <w:rsid w:val="00254E99"/>
    <w:rsid w:val="00255B9B"/>
    <w:rsid w:val="002561A5"/>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5EF5"/>
    <w:rsid w:val="002702CD"/>
    <w:rsid w:val="00270B4E"/>
    <w:rsid w:val="00271500"/>
    <w:rsid w:val="00272E57"/>
    <w:rsid w:val="00274663"/>
    <w:rsid w:val="00275641"/>
    <w:rsid w:val="0027569A"/>
    <w:rsid w:val="002767D9"/>
    <w:rsid w:val="00280382"/>
    <w:rsid w:val="00280F4B"/>
    <w:rsid w:val="002821E9"/>
    <w:rsid w:val="002827D2"/>
    <w:rsid w:val="002835B7"/>
    <w:rsid w:val="00284C1F"/>
    <w:rsid w:val="002851AF"/>
    <w:rsid w:val="00285866"/>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A7AE1"/>
    <w:rsid w:val="002B18D6"/>
    <w:rsid w:val="002B22D4"/>
    <w:rsid w:val="002B3984"/>
    <w:rsid w:val="002B4BF3"/>
    <w:rsid w:val="002B55C8"/>
    <w:rsid w:val="002B5E4B"/>
    <w:rsid w:val="002B64E9"/>
    <w:rsid w:val="002B660D"/>
    <w:rsid w:val="002B7969"/>
    <w:rsid w:val="002C0031"/>
    <w:rsid w:val="002C0485"/>
    <w:rsid w:val="002C0762"/>
    <w:rsid w:val="002C257A"/>
    <w:rsid w:val="002C2BEC"/>
    <w:rsid w:val="002C30C0"/>
    <w:rsid w:val="002C4F4B"/>
    <w:rsid w:val="002C5233"/>
    <w:rsid w:val="002C6EC0"/>
    <w:rsid w:val="002C7258"/>
    <w:rsid w:val="002C77D7"/>
    <w:rsid w:val="002C787C"/>
    <w:rsid w:val="002D0189"/>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545"/>
    <w:rsid w:val="002F0823"/>
    <w:rsid w:val="002F0C63"/>
    <w:rsid w:val="002F2471"/>
    <w:rsid w:val="002F2B7A"/>
    <w:rsid w:val="002F3105"/>
    <w:rsid w:val="002F5E6C"/>
    <w:rsid w:val="002F72FF"/>
    <w:rsid w:val="00300BF3"/>
    <w:rsid w:val="0030143F"/>
    <w:rsid w:val="00301A2B"/>
    <w:rsid w:val="00301BCD"/>
    <w:rsid w:val="00302988"/>
    <w:rsid w:val="00303ACF"/>
    <w:rsid w:val="00303E95"/>
    <w:rsid w:val="0030463E"/>
    <w:rsid w:val="00304ED6"/>
    <w:rsid w:val="00306654"/>
    <w:rsid w:val="00306D5D"/>
    <w:rsid w:val="00306FF4"/>
    <w:rsid w:val="00310EE1"/>
    <w:rsid w:val="003122B0"/>
    <w:rsid w:val="00312390"/>
    <w:rsid w:val="003123F4"/>
    <w:rsid w:val="00313487"/>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7BA"/>
    <w:rsid w:val="00324A1D"/>
    <w:rsid w:val="00324C55"/>
    <w:rsid w:val="003250B4"/>
    <w:rsid w:val="00325742"/>
    <w:rsid w:val="00327224"/>
    <w:rsid w:val="00327AB3"/>
    <w:rsid w:val="00327F9E"/>
    <w:rsid w:val="00330527"/>
    <w:rsid w:val="00330C9F"/>
    <w:rsid w:val="003318A6"/>
    <w:rsid w:val="003321A8"/>
    <w:rsid w:val="00332EB1"/>
    <w:rsid w:val="00333E63"/>
    <w:rsid w:val="00334044"/>
    <w:rsid w:val="00334CB0"/>
    <w:rsid w:val="00335188"/>
    <w:rsid w:val="00335234"/>
    <w:rsid w:val="003373B8"/>
    <w:rsid w:val="003413F4"/>
    <w:rsid w:val="00342DC1"/>
    <w:rsid w:val="00342EF7"/>
    <w:rsid w:val="003432B6"/>
    <w:rsid w:val="003434E9"/>
    <w:rsid w:val="00343F41"/>
    <w:rsid w:val="00344BF3"/>
    <w:rsid w:val="00345CC1"/>
    <w:rsid w:val="00345EA7"/>
    <w:rsid w:val="0034652C"/>
    <w:rsid w:val="00346606"/>
    <w:rsid w:val="00346E73"/>
    <w:rsid w:val="00346F27"/>
    <w:rsid w:val="0035067B"/>
    <w:rsid w:val="00350681"/>
    <w:rsid w:val="00350B6E"/>
    <w:rsid w:val="00351A4A"/>
    <w:rsid w:val="00351D95"/>
    <w:rsid w:val="00351FB4"/>
    <w:rsid w:val="00352DB5"/>
    <w:rsid w:val="00353860"/>
    <w:rsid w:val="00354CD9"/>
    <w:rsid w:val="003556C1"/>
    <w:rsid w:val="00355EEE"/>
    <w:rsid w:val="003566B5"/>
    <w:rsid w:val="00356FC1"/>
    <w:rsid w:val="00357883"/>
    <w:rsid w:val="00360494"/>
    <w:rsid w:val="00360C00"/>
    <w:rsid w:val="00361243"/>
    <w:rsid w:val="00361633"/>
    <w:rsid w:val="00361935"/>
    <w:rsid w:val="003626AE"/>
    <w:rsid w:val="0036292A"/>
    <w:rsid w:val="00362AF3"/>
    <w:rsid w:val="00364BEE"/>
    <w:rsid w:val="0036508D"/>
    <w:rsid w:val="003651C8"/>
    <w:rsid w:val="00366321"/>
    <w:rsid w:val="00366419"/>
    <w:rsid w:val="003669F1"/>
    <w:rsid w:val="00366F10"/>
    <w:rsid w:val="003700A3"/>
    <w:rsid w:val="00370B40"/>
    <w:rsid w:val="00371C15"/>
    <w:rsid w:val="00372CDF"/>
    <w:rsid w:val="00373411"/>
    <w:rsid w:val="00373D40"/>
    <w:rsid w:val="003741F6"/>
    <w:rsid w:val="00374A29"/>
    <w:rsid w:val="00374FA4"/>
    <w:rsid w:val="003756C6"/>
    <w:rsid w:val="00375FB2"/>
    <w:rsid w:val="00376E35"/>
    <w:rsid w:val="0037723C"/>
    <w:rsid w:val="003773AC"/>
    <w:rsid w:val="00377F6C"/>
    <w:rsid w:val="00380094"/>
    <w:rsid w:val="00380256"/>
    <w:rsid w:val="0038165D"/>
    <w:rsid w:val="00383071"/>
    <w:rsid w:val="00385175"/>
    <w:rsid w:val="00385444"/>
    <w:rsid w:val="00385F39"/>
    <w:rsid w:val="00386070"/>
    <w:rsid w:val="00387DCF"/>
    <w:rsid w:val="00390006"/>
    <w:rsid w:val="003900A5"/>
    <w:rsid w:val="003917AD"/>
    <w:rsid w:val="003917D1"/>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11D"/>
    <w:rsid w:val="003A0DC3"/>
    <w:rsid w:val="003A1675"/>
    <w:rsid w:val="003A1CA9"/>
    <w:rsid w:val="003A1CF5"/>
    <w:rsid w:val="003A2812"/>
    <w:rsid w:val="003A2D0C"/>
    <w:rsid w:val="003A3304"/>
    <w:rsid w:val="003A3551"/>
    <w:rsid w:val="003A38F0"/>
    <w:rsid w:val="003A443D"/>
    <w:rsid w:val="003A4DE4"/>
    <w:rsid w:val="003A6A5A"/>
    <w:rsid w:val="003A72E9"/>
    <w:rsid w:val="003B175A"/>
    <w:rsid w:val="003B3231"/>
    <w:rsid w:val="003B3381"/>
    <w:rsid w:val="003B341A"/>
    <w:rsid w:val="003B357A"/>
    <w:rsid w:val="003B4859"/>
    <w:rsid w:val="003B499C"/>
    <w:rsid w:val="003B4CCD"/>
    <w:rsid w:val="003B53D4"/>
    <w:rsid w:val="003B56D7"/>
    <w:rsid w:val="003B7298"/>
    <w:rsid w:val="003C0FF8"/>
    <w:rsid w:val="003C1D0C"/>
    <w:rsid w:val="003C1F2E"/>
    <w:rsid w:val="003C3A16"/>
    <w:rsid w:val="003C42A3"/>
    <w:rsid w:val="003C49D5"/>
    <w:rsid w:val="003C4FD5"/>
    <w:rsid w:val="003C582B"/>
    <w:rsid w:val="003C63AE"/>
    <w:rsid w:val="003C6BFF"/>
    <w:rsid w:val="003D2333"/>
    <w:rsid w:val="003D3241"/>
    <w:rsid w:val="003D39AE"/>
    <w:rsid w:val="003D4804"/>
    <w:rsid w:val="003D5413"/>
    <w:rsid w:val="003D7685"/>
    <w:rsid w:val="003D7E9A"/>
    <w:rsid w:val="003E0366"/>
    <w:rsid w:val="003E100C"/>
    <w:rsid w:val="003E1C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1F48"/>
    <w:rsid w:val="00402311"/>
    <w:rsid w:val="0040239F"/>
    <w:rsid w:val="00402C97"/>
    <w:rsid w:val="00403364"/>
    <w:rsid w:val="0040415C"/>
    <w:rsid w:val="00404AA4"/>
    <w:rsid w:val="00404AF1"/>
    <w:rsid w:val="00404C61"/>
    <w:rsid w:val="004050C9"/>
    <w:rsid w:val="004051F0"/>
    <w:rsid w:val="00405C04"/>
    <w:rsid w:val="00406314"/>
    <w:rsid w:val="00406376"/>
    <w:rsid w:val="00406896"/>
    <w:rsid w:val="00407B79"/>
    <w:rsid w:val="00411B37"/>
    <w:rsid w:val="0041244F"/>
    <w:rsid w:val="004125ED"/>
    <w:rsid w:val="0041353D"/>
    <w:rsid w:val="00413B39"/>
    <w:rsid w:val="0041450E"/>
    <w:rsid w:val="0041456E"/>
    <w:rsid w:val="00415370"/>
    <w:rsid w:val="00415781"/>
    <w:rsid w:val="00416485"/>
    <w:rsid w:val="00416C35"/>
    <w:rsid w:val="00416F40"/>
    <w:rsid w:val="00417769"/>
    <w:rsid w:val="00417F0D"/>
    <w:rsid w:val="00420765"/>
    <w:rsid w:val="00421EF2"/>
    <w:rsid w:val="00422668"/>
    <w:rsid w:val="00424946"/>
    <w:rsid w:val="0042602D"/>
    <w:rsid w:val="004261DA"/>
    <w:rsid w:val="00427004"/>
    <w:rsid w:val="00431540"/>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49E"/>
    <w:rsid w:val="00444FA3"/>
    <w:rsid w:val="004459DC"/>
    <w:rsid w:val="00446553"/>
    <w:rsid w:val="00446A92"/>
    <w:rsid w:val="004501B4"/>
    <w:rsid w:val="0045082F"/>
    <w:rsid w:val="00450C00"/>
    <w:rsid w:val="0045135E"/>
    <w:rsid w:val="00452434"/>
    <w:rsid w:val="00452C53"/>
    <w:rsid w:val="004539C7"/>
    <w:rsid w:val="00454597"/>
    <w:rsid w:val="004548E6"/>
    <w:rsid w:val="00454A79"/>
    <w:rsid w:val="0045543A"/>
    <w:rsid w:val="0045543C"/>
    <w:rsid w:val="004556FB"/>
    <w:rsid w:val="00455880"/>
    <w:rsid w:val="004561F9"/>
    <w:rsid w:val="0045637C"/>
    <w:rsid w:val="0045687E"/>
    <w:rsid w:val="004569A3"/>
    <w:rsid w:val="004578ED"/>
    <w:rsid w:val="00457EFC"/>
    <w:rsid w:val="0046064C"/>
    <w:rsid w:val="004611B6"/>
    <w:rsid w:val="00461997"/>
    <w:rsid w:val="00463F8B"/>
    <w:rsid w:val="004644C2"/>
    <w:rsid w:val="004649AD"/>
    <w:rsid w:val="004650E7"/>
    <w:rsid w:val="0046687B"/>
    <w:rsid w:val="00466CB4"/>
    <w:rsid w:val="00470418"/>
    <w:rsid w:val="004704EA"/>
    <w:rsid w:val="0047071D"/>
    <w:rsid w:val="004727C4"/>
    <w:rsid w:val="00472F62"/>
    <w:rsid w:val="00473579"/>
    <w:rsid w:val="00473E50"/>
    <w:rsid w:val="00474E5A"/>
    <w:rsid w:val="0047558F"/>
    <w:rsid w:val="00475FD5"/>
    <w:rsid w:val="00476FED"/>
    <w:rsid w:val="0047725A"/>
    <w:rsid w:val="004812F4"/>
    <w:rsid w:val="0048231B"/>
    <w:rsid w:val="004838D4"/>
    <w:rsid w:val="004845AC"/>
    <w:rsid w:val="00484C31"/>
    <w:rsid w:val="00485E3C"/>
    <w:rsid w:val="00486F09"/>
    <w:rsid w:val="004877FB"/>
    <w:rsid w:val="004906DB"/>
    <w:rsid w:val="00490C0F"/>
    <w:rsid w:val="00491FF2"/>
    <w:rsid w:val="004925EE"/>
    <w:rsid w:val="00492735"/>
    <w:rsid w:val="00493926"/>
    <w:rsid w:val="004945E8"/>
    <w:rsid w:val="00494FC9"/>
    <w:rsid w:val="00495228"/>
    <w:rsid w:val="004963B6"/>
    <w:rsid w:val="004A1AB1"/>
    <w:rsid w:val="004A2013"/>
    <w:rsid w:val="004A201B"/>
    <w:rsid w:val="004A2B7A"/>
    <w:rsid w:val="004A3EB3"/>
    <w:rsid w:val="004A4377"/>
    <w:rsid w:val="004A57EB"/>
    <w:rsid w:val="004A5824"/>
    <w:rsid w:val="004A59D3"/>
    <w:rsid w:val="004A6156"/>
    <w:rsid w:val="004A6D7C"/>
    <w:rsid w:val="004A6F11"/>
    <w:rsid w:val="004A74DD"/>
    <w:rsid w:val="004B00D1"/>
    <w:rsid w:val="004B0B57"/>
    <w:rsid w:val="004B0BBE"/>
    <w:rsid w:val="004B0EB0"/>
    <w:rsid w:val="004B1246"/>
    <w:rsid w:val="004B1CAB"/>
    <w:rsid w:val="004B2FF9"/>
    <w:rsid w:val="004B3397"/>
    <w:rsid w:val="004B3506"/>
    <w:rsid w:val="004B36ED"/>
    <w:rsid w:val="004B40DB"/>
    <w:rsid w:val="004B4EF6"/>
    <w:rsid w:val="004B612E"/>
    <w:rsid w:val="004B623B"/>
    <w:rsid w:val="004B6554"/>
    <w:rsid w:val="004B6B22"/>
    <w:rsid w:val="004B6C50"/>
    <w:rsid w:val="004C0DA0"/>
    <w:rsid w:val="004C3E02"/>
    <w:rsid w:val="004C422D"/>
    <w:rsid w:val="004C440E"/>
    <w:rsid w:val="004C4CEB"/>
    <w:rsid w:val="004C5CBA"/>
    <w:rsid w:val="004C64D8"/>
    <w:rsid w:val="004C64F7"/>
    <w:rsid w:val="004C6C09"/>
    <w:rsid w:val="004C6EA3"/>
    <w:rsid w:val="004C7BCD"/>
    <w:rsid w:val="004D000F"/>
    <w:rsid w:val="004D055D"/>
    <w:rsid w:val="004D1240"/>
    <w:rsid w:val="004D12F6"/>
    <w:rsid w:val="004D32ED"/>
    <w:rsid w:val="004D3E71"/>
    <w:rsid w:val="004D49EE"/>
    <w:rsid w:val="004D4AE0"/>
    <w:rsid w:val="004D4C0B"/>
    <w:rsid w:val="004D4EF7"/>
    <w:rsid w:val="004D69FC"/>
    <w:rsid w:val="004D72BA"/>
    <w:rsid w:val="004D77BD"/>
    <w:rsid w:val="004D77DE"/>
    <w:rsid w:val="004D7BF4"/>
    <w:rsid w:val="004D7C92"/>
    <w:rsid w:val="004E295C"/>
    <w:rsid w:val="004E38B2"/>
    <w:rsid w:val="004E3936"/>
    <w:rsid w:val="004E490B"/>
    <w:rsid w:val="004E57F7"/>
    <w:rsid w:val="004E5D9C"/>
    <w:rsid w:val="004E6191"/>
    <w:rsid w:val="004E6707"/>
    <w:rsid w:val="004E6B8E"/>
    <w:rsid w:val="004F0543"/>
    <w:rsid w:val="004F0D33"/>
    <w:rsid w:val="004F2385"/>
    <w:rsid w:val="004F246C"/>
    <w:rsid w:val="004F30BB"/>
    <w:rsid w:val="004F3A97"/>
    <w:rsid w:val="004F5591"/>
    <w:rsid w:val="004F5D14"/>
    <w:rsid w:val="004F68DC"/>
    <w:rsid w:val="004F7F44"/>
    <w:rsid w:val="00500598"/>
    <w:rsid w:val="00500F7A"/>
    <w:rsid w:val="005012AD"/>
    <w:rsid w:val="005016E5"/>
    <w:rsid w:val="00501A56"/>
    <w:rsid w:val="00502317"/>
    <w:rsid w:val="005027BB"/>
    <w:rsid w:val="00503415"/>
    <w:rsid w:val="005034C1"/>
    <w:rsid w:val="005037E1"/>
    <w:rsid w:val="00503B5C"/>
    <w:rsid w:val="0050456A"/>
    <w:rsid w:val="005068E1"/>
    <w:rsid w:val="005070B6"/>
    <w:rsid w:val="005077C5"/>
    <w:rsid w:val="00510B80"/>
    <w:rsid w:val="0051168A"/>
    <w:rsid w:val="005117D2"/>
    <w:rsid w:val="005118A6"/>
    <w:rsid w:val="005122F4"/>
    <w:rsid w:val="00512830"/>
    <w:rsid w:val="0051405F"/>
    <w:rsid w:val="0051444F"/>
    <w:rsid w:val="005156A6"/>
    <w:rsid w:val="00516393"/>
    <w:rsid w:val="00516669"/>
    <w:rsid w:val="005179A5"/>
    <w:rsid w:val="00520B20"/>
    <w:rsid w:val="00520B4F"/>
    <w:rsid w:val="00524AD7"/>
    <w:rsid w:val="00525011"/>
    <w:rsid w:val="005254FD"/>
    <w:rsid w:val="00525BDC"/>
    <w:rsid w:val="0052622B"/>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0B60"/>
    <w:rsid w:val="00541076"/>
    <w:rsid w:val="00541136"/>
    <w:rsid w:val="0054216F"/>
    <w:rsid w:val="00542F18"/>
    <w:rsid w:val="0054343C"/>
    <w:rsid w:val="00544853"/>
    <w:rsid w:val="00544CA5"/>
    <w:rsid w:val="005450E2"/>
    <w:rsid w:val="00545B19"/>
    <w:rsid w:val="00547404"/>
    <w:rsid w:val="005474A2"/>
    <w:rsid w:val="00547520"/>
    <w:rsid w:val="0055035F"/>
    <w:rsid w:val="005507FD"/>
    <w:rsid w:val="005511C0"/>
    <w:rsid w:val="00551E3C"/>
    <w:rsid w:val="0055232C"/>
    <w:rsid w:val="0055278E"/>
    <w:rsid w:val="00555488"/>
    <w:rsid w:val="0055549A"/>
    <w:rsid w:val="00555B18"/>
    <w:rsid w:val="00555C9C"/>
    <w:rsid w:val="00556A4D"/>
    <w:rsid w:val="00557319"/>
    <w:rsid w:val="0055764E"/>
    <w:rsid w:val="00560528"/>
    <w:rsid w:val="00560699"/>
    <w:rsid w:val="00561503"/>
    <w:rsid w:val="00561923"/>
    <w:rsid w:val="005622F8"/>
    <w:rsid w:val="0056310A"/>
    <w:rsid w:val="0056336F"/>
    <w:rsid w:val="00565AF7"/>
    <w:rsid w:val="00565C93"/>
    <w:rsid w:val="00566024"/>
    <w:rsid w:val="005671C3"/>
    <w:rsid w:val="0057060C"/>
    <w:rsid w:val="0057189C"/>
    <w:rsid w:val="00571BD2"/>
    <w:rsid w:val="00571CD7"/>
    <w:rsid w:val="00571D59"/>
    <w:rsid w:val="00572E3E"/>
    <w:rsid w:val="0057332B"/>
    <w:rsid w:val="0057364D"/>
    <w:rsid w:val="005737FC"/>
    <w:rsid w:val="0057420B"/>
    <w:rsid w:val="00574279"/>
    <w:rsid w:val="0057593B"/>
    <w:rsid w:val="005762CE"/>
    <w:rsid w:val="00580280"/>
    <w:rsid w:val="00580B9E"/>
    <w:rsid w:val="00580DAB"/>
    <w:rsid w:val="0058135A"/>
    <w:rsid w:val="005817D9"/>
    <w:rsid w:val="00581F7C"/>
    <w:rsid w:val="005821A9"/>
    <w:rsid w:val="00583358"/>
    <w:rsid w:val="005839BF"/>
    <w:rsid w:val="00584058"/>
    <w:rsid w:val="005844A5"/>
    <w:rsid w:val="005846B4"/>
    <w:rsid w:val="005850E5"/>
    <w:rsid w:val="005851E0"/>
    <w:rsid w:val="005853B3"/>
    <w:rsid w:val="00585571"/>
    <w:rsid w:val="005856F9"/>
    <w:rsid w:val="00585B91"/>
    <w:rsid w:val="00586BB0"/>
    <w:rsid w:val="00586BF1"/>
    <w:rsid w:val="00587DC4"/>
    <w:rsid w:val="0059008F"/>
    <w:rsid w:val="005903E4"/>
    <w:rsid w:val="005907D5"/>
    <w:rsid w:val="005910C0"/>
    <w:rsid w:val="005913EE"/>
    <w:rsid w:val="00592461"/>
    <w:rsid w:val="005950D6"/>
    <w:rsid w:val="0059519C"/>
    <w:rsid w:val="00595524"/>
    <w:rsid w:val="005974F3"/>
    <w:rsid w:val="0059751C"/>
    <w:rsid w:val="00597919"/>
    <w:rsid w:val="005A0B9F"/>
    <w:rsid w:val="005A0EFC"/>
    <w:rsid w:val="005A44E7"/>
    <w:rsid w:val="005A5D8E"/>
    <w:rsid w:val="005A63D8"/>
    <w:rsid w:val="005A7420"/>
    <w:rsid w:val="005A7C14"/>
    <w:rsid w:val="005A7DBE"/>
    <w:rsid w:val="005B152C"/>
    <w:rsid w:val="005B1C64"/>
    <w:rsid w:val="005B1DE8"/>
    <w:rsid w:val="005B2294"/>
    <w:rsid w:val="005B271E"/>
    <w:rsid w:val="005B2807"/>
    <w:rsid w:val="005B3606"/>
    <w:rsid w:val="005B388D"/>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C6E71"/>
    <w:rsid w:val="005C736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3B04"/>
    <w:rsid w:val="005F5574"/>
    <w:rsid w:val="005F5D1D"/>
    <w:rsid w:val="005F60C9"/>
    <w:rsid w:val="005F64C6"/>
    <w:rsid w:val="006008F1"/>
    <w:rsid w:val="00601714"/>
    <w:rsid w:val="00601735"/>
    <w:rsid w:val="00602BD2"/>
    <w:rsid w:val="00604980"/>
    <w:rsid w:val="00604D4C"/>
    <w:rsid w:val="0060614D"/>
    <w:rsid w:val="00610871"/>
    <w:rsid w:val="00610E48"/>
    <w:rsid w:val="00610FE0"/>
    <w:rsid w:val="006118FF"/>
    <w:rsid w:val="00613C47"/>
    <w:rsid w:val="00615086"/>
    <w:rsid w:val="00616201"/>
    <w:rsid w:val="00616225"/>
    <w:rsid w:val="00616BA2"/>
    <w:rsid w:val="0061705E"/>
    <w:rsid w:val="00617914"/>
    <w:rsid w:val="00617A8B"/>
    <w:rsid w:val="00621904"/>
    <w:rsid w:val="00622248"/>
    <w:rsid w:val="00622FEA"/>
    <w:rsid w:val="00623CDF"/>
    <w:rsid w:val="00623DB1"/>
    <w:rsid w:val="006245F3"/>
    <w:rsid w:val="0062485E"/>
    <w:rsid w:val="00624DBE"/>
    <w:rsid w:val="00625450"/>
    <w:rsid w:val="0062557A"/>
    <w:rsid w:val="0062624F"/>
    <w:rsid w:val="006319CA"/>
    <w:rsid w:val="00633901"/>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5413"/>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126"/>
    <w:rsid w:val="00683993"/>
    <w:rsid w:val="006846E8"/>
    <w:rsid w:val="00685EBD"/>
    <w:rsid w:val="006861C3"/>
    <w:rsid w:val="00686AF3"/>
    <w:rsid w:val="00690F1F"/>
    <w:rsid w:val="006914FA"/>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7EB"/>
    <w:rsid w:val="006A4AEE"/>
    <w:rsid w:val="006A70BE"/>
    <w:rsid w:val="006A7934"/>
    <w:rsid w:val="006A7BC8"/>
    <w:rsid w:val="006B0001"/>
    <w:rsid w:val="006B054B"/>
    <w:rsid w:val="006B059F"/>
    <w:rsid w:val="006B2048"/>
    <w:rsid w:val="006B215A"/>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CDD"/>
    <w:rsid w:val="006D7604"/>
    <w:rsid w:val="006D765E"/>
    <w:rsid w:val="006D76CB"/>
    <w:rsid w:val="006E0455"/>
    <w:rsid w:val="006E4238"/>
    <w:rsid w:val="006E4551"/>
    <w:rsid w:val="006E5F01"/>
    <w:rsid w:val="006E7033"/>
    <w:rsid w:val="006E7404"/>
    <w:rsid w:val="006E7B97"/>
    <w:rsid w:val="006F05B9"/>
    <w:rsid w:val="006F1972"/>
    <w:rsid w:val="006F1EA3"/>
    <w:rsid w:val="006F2627"/>
    <w:rsid w:val="006F3187"/>
    <w:rsid w:val="006F3568"/>
    <w:rsid w:val="006F40AD"/>
    <w:rsid w:val="006F53EB"/>
    <w:rsid w:val="006F6360"/>
    <w:rsid w:val="006F6436"/>
    <w:rsid w:val="006F65C5"/>
    <w:rsid w:val="006F687A"/>
    <w:rsid w:val="006F68EF"/>
    <w:rsid w:val="006F6D4C"/>
    <w:rsid w:val="006F6E67"/>
    <w:rsid w:val="006F708A"/>
    <w:rsid w:val="006F7157"/>
    <w:rsid w:val="006F78E0"/>
    <w:rsid w:val="007023EA"/>
    <w:rsid w:val="00702B1B"/>
    <w:rsid w:val="007032B3"/>
    <w:rsid w:val="00704164"/>
    <w:rsid w:val="007063BD"/>
    <w:rsid w:val="00706A58"/>
    <w:rsid w:val="00707517"/>
    <w:rsid w:val="007078ED"/>
    <w:rsid w:val="00710187"/>
    <w:rsid w:val="007101D7"/>
    <w:rsid w:val="007110E1"/>
    <w:rsid w:val="00711B18"/>
    <w:rsid w:val="007126D1"/>
    <w:rsid w:val="00714394"/>
    <w:rsid w:val="00714C87"/>
    <w:rsid w:val="00714ED6"/>
    <w:rsid w:val="00715E8D"/>
    <w:rsid w:val="00721C26"/>
    <w:rsid w:val="00721F7E"/>
    <w:rsid w:val="00722E29"/>
    <w:rsid w:val="00723ECB"/>
    <w:rsid w:val="00724606"/>
    <w:rsid w:val="00724A36"/>
    <w:rsid w:val="00724A60"/>
    <w:rsid w:val="00724E85"/>
    <w:rsid w:val="0072525D"/>
    <w:rsid w:val="00726596"/>
    <w:rsid w:val="00726E8A"/>
    <w:rsid w:val="00727047"/>
    <w:rsid w:val="00727A0E"/>
    <w:rsid w:val="00727C81"/>
    <w:rsid w:val="00730B33"/>
    <w:rsid w:val="007316CE"/>
    <w:rsid w:val="00734510"/>
    <w:rsid w:val="00734887"/>
    <w:rsid w:val="00735B0B"/>
    <w:rsid w:val="007365B6"/>
    <w:rsid w:val="00737394"/>
    <w:rsid w:val="007401E2"/>
    <w:rsid w:val="00740205"/>
    <w:rsid w:val="007411E5"/>
    <w:rsid w:val="00741605"/>
    <w:rsid w:val="00742788"/>
    <w:rsid w:val="007436F2"/>
    <w:rsid w:val="00743B2E"/>
    <w:rsid w:val="0074419A"/>
    <w:rsid w:val="0074436D"/>
    <w:rsid w:val="00746951"/>
    <w:rsid w:val="00746F65"/>
    <w:rsid w:val="007472C3"/>
    <w:rsid w:val="0074791E"/>
    <w:rsid w:val="00750948"/>
    <w:rsid w:val="00750A23"/>
    <w:rsid w:val="0075115D"/>
    <w:rsid w:val="00751A33"/>
    <w:rsid w:val="00753890"/>
    <w:rsid w:val="0075466D"/>
    <w:rsid w:val="007555DF"/>
    <w:rsid w:val="007569DC"/>
    <w:rsid w:val="0075711E"/>
    <w:rsid w:val="00757549"/>
    <w:rsid w:val="007579F2"/>
    <w:rsid w:val="00761434"/>
    <w:rsid w:val="00761FD5"/>
    <w:rsid w:val="00762BB6"/>
    <w:rsid w:val="0076341D"/>
    <w:rsid w:val="0076446D"/>
    <w:rsid w:val="007647EF"/>
    <w:rsid w:val="00765DD8"/>
    <w:rsid w:val="00766230"/>
    <w:rsid w:val="00766B33"/>
    <w:rsid w:val="00766D36"/>
    <w:rsid w:val="0076750A"/>
    <w:rsid w:val="00767607"/>
    <w:rsid w:val="00767ACD"/>
    <w:rsid w:val="007705B5"/>
    <w:rsid w:val="00771CEA"/>
    <w:rsid w:val="0077270D"/>
    <w:rsid w:val="00773874"/>
    <w:rsid w:val="0077393B"/>
    <w:rsid w:val="00775D3B"/>
    <w:rsid w:val="0077615A"/>
    <w:rsid w:val="007806A0"/>
    <w:rsid w:val="00781690"/>
    <w:rsid w:val="00782346"/>
    <w:rsid w:val="007838CD"/>
    <w:rsid w:val="007840F3"/>
    <w:rsid w:val="007849BE"/>
    <w:rsid w:val="00785491"/>
    <w:rsid w:val="007858C0"/>
    <w:rsid w:val="0078679A"/>
    <w:rsid w:val="00786BDC"/>
    <w:rsid w:val="007871FE"/>
    <w:rsid w:val="00787C89"/>
    <w:rsid w:val="007908ED"/>
    <w:rsid w:val="00790F74"/>
    <w:rsid w:val="00792014"/>
    <w:rsid w:val="00792288"/>
    <w:rsid w:val="00792447"/>
    <w:rsid w:val="007928C6"/>
    <w:rsid w:val="00792E73"/>
    <w:rsid w:val="0079694C"/>
    <w:rsid w:val="007A0187"/>
    <w:rsid w:val="007A19AC"/>
    <w:rsid w:val="007A268F"/>
    <w:rsid w:val="007A29EC"/>
    <w:rsid w:val="007A4A53"/>
    <w:rsid w:val="007A4C93"/>
    <w:rsid w:val="007A4E17"/>
    <w:rsid w:val="007A6DB9"/>
    <w:rsid w:val="007A7F6D"/>
    <w:rsid w:val="007B0FBD"/>
    <w:rsid w:val="007B1BAF"/>
    <w:rsid w:val="007B20C3"/>
    <w:rsid w:val="007B2FE8"/>
    <w:rsid w:val="007B35F7"/>
    <w:rsid w:val="007B48DF"/>
    <w:rsid w:val="007B4DD5"/>
    <w:rsid w:val="007B4F72"/>
    <w:rsid w:val="007B5148"/>
    <w:rsid w:val="007B5A16"/>
    <w:rsid w:val="007B71AA"/>
    <w:rsid w:val="007B7F09"/>
    <w:rsid w:val="007C03FE"/>
    <w:rsid w:val="007C0E04"/>
    <w:rsid w:val="007C17D3"/>
    <w:rsid w:val="007C1FA2"/>
    <w:rsid w:val="007C2827"/>
    <w:rsid w:val="007C367B"/>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358B"/>
    <w:rsid w:val="007D370E"/>
    <w:rsid w:val="007D4624"/>
    <w:rsid w:val="007D4A8F"/>
    <w:rsid w:val="007D563E"/>
    <w:rsid w:val="007D5A49"/>
    <w:rsid w:val="007D5FC1"/>
    <w:rsid w:val="007D6EB6"/>
    <w:rsid w:val="007D715A"/>
    <w:rsid w:val="007E002B"/>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800D05"/>
    <w:rsid w:val="00801D7A"/>
    <w:rsid w:val="008020F2"/>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0CD0"/>
    <w:rsid w:val="008310B4"/>
    <w:rsid w:val="00831573"/>
    <w:rsid w:val="00831C7F"/>
    <w:rsid w:val="00833C51"/>
    <w:rsid w:val="00833FAC"/>
    <w:rsid w:val="00834577"/>
    <w:rsid w:val="008349A6"/>
    <w:rsid w:val="00835271"/>
    <w:rsid w:val="00835679"/>
    <w:rsid w:val="008377DA"/>
    <w:rsid w:val="00841F21"/>
    <w:rsid w:val="00842991"/>
    <w:rsid w:val="008429B0"/>
    <w:rsid w:val="00843900"/>
    <w:rsid w:val="00844C5B"/>
    <w:rsid w:val="00845A15"/>
    <w:rsid w:val="0084632F"/>
    <w:rsid w:val="008474A9"/>
    <w:rsid w:val="00847809"/>
    <w:rsid w:val="00851180"/>
    <w:rsid w:val="00852528"/>
    <w:rsid w:val="00853379"/>
    <w:rsid w:val="0085434F"/>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5C83"/>
    <w:rsid w:val="008677CB"/>
    <w:rsid w:val="0087026D"/>
    <w:rsid w:val="0087056E"/>
    <w:rsid w:val="00870CB6"/>
    <w:rsid w:val="008737AE"/>
    <w:rsid w:val="00873FEA"/>
    <w:rsid w:val="0087419B"/>
    <w:rsid w:val="008744CC"/>
    <w:rsid w:val="00874592"/>
    <w:rsid w:val="008751C1"/>
    <w:rsid w:val="008757D9"/>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833"/>
    <w:rsid w:val="00892DCB"/>
    <w:rsid w:val="00893479"/>
    <w:rsid w:val="0089375D"/>
    <w:rsid w:val="008943CB"/>
    <w:rsid w:val="008946B9"/>
    <w:rsid w:val="008A0882"/>
    <w:rsid w:val="008A10C1"/>
    <w:rsid w:val="008A181A"/>
    <w:rsid w:val="008A183F"/>
    <w:rsid w:val="008A1C47"/>
    <w:rsid w:val="008A2289"/>
    <w:rsid w:val="008A34BA"/>
    <w:rsid w:val="008A3766"/>
    <w:rsid w:val="008A4132"/>
    <w:rsid w:val="008A4F66"/>
    <w:rsid w:val="008A5290"/>
    <w:rsid w:val="008A593A"/>
    <w:rsid w:val="008A6A60"/>
    <w:rsid w:val="008A6C5A"/>
    <w:rsid w:val="008A6CCA"/>
    <w:rsid w:val="008A7D1D"/>
    <w:rsid w:val="008B1B8C"/>
    <w:rsid w:val="008B2C59"/>
    <w:rsid w:val="008B2DF3"/>
    <w:rsid w:val="008B376A"/>
    <w:rsid w:val="008B444E"/>
    <w:rsid w:val="008B569F"/>
    <w:rsid w:val="008B7220"/>
    <w:rsid w:val="008C0669"/>
    <w:rsid w:val="008C0814"/>
    <w:rsid w:val="008C08A5"/>
    <w:rsid w:val="008C1B32"/>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737"/>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5D8D"/>
    <w:rsid w:val="008E5F21"/>
    <w:rsid w:val="008E610D"/>
    <w:rsid w:val="008E69A2"/>
    <w:rsid w:val="008E6EAC"/>
    <w:rsid w:val="008E78F2"/>
    <w:rsid w:val="008E7B12"/>
    <w:rsid w:val="008F022C"/>
    <w:rsid w:val="008F152D"/>
    <w:rsid w:val="008F1D53"/>
    <w:rsid w:val="008F2A60"/>
    <w:rsid w:val="008F310D"/>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6AD1"/>
    <w:rsid w:val="009075A4"/>
    <w:rsid w:val="009101AF"/>
    <w:rsid w:val="00911808"/>
    <w:rsid w:val="00912F07"/>
    <w:rsid w:val="009145FB"/>
    <w:rsid w:val="009153E8"/>
    <w:rsid w:val="0091555E"/>
    <w:rsid w:val="00915786"/>
    <w:rsid w:val="0091746C"/>
    <w:rsid w:val="00917816"/>
    <w:rsid w:val="00917D06"/>
    <w:rsid w:val="009204E1"/>
    <w:rsid w:val="009207DB"/>
    <w:rsid w:val="00921202"/>
    <w:rsid w:val="00922024"/>
    <w:rsid w:val="009222A3"/>
    <w:rsid w:val="009224EE"/>
    <w:rsid w:val="00922D24"/>
    <w:rsid w:val="00924853"/>
    <w:rsid w:val="009252E0"/>
    <w:rsid w:val="00925501"/>
    <w:rsid w:val="00926982"/>
    <w:rsid w:val="00926D4C"/>
    <w:rsid w:val="009270C4"/>
    <w:rsid w:val="0093083B"/>
    <w:rsid w:val="0093092B"/>
    <w:rsid w:val="009319D7"/>
    <w:rsid w:val="009325F7"/>
    <w:rsid w:val="00932BCF"/>
    <w:rsid w:val="00933396"/>
    <w:rsid w:val="009343BB"/>
    <w:rsid w:val="00934D73"/>
    <w:rsid w:val="00935042"/>
    <w:rsid w:val="009354F5"/>
    <w:rsid w:val="0093740F"/>
    <w:rsid w:val="00937B4A"/>
    <w:rsid w:val="00937BE9"/>
    <w:rsid w:val="00937C1D"/>
    <w:rsid w:val="00940804"/>
    <w:rsid w:val="00940E9B"/>
    <w:rsid w:val="00940FC3"/>
    <w:rsid w:val="009410B3"/>
    <w:rsid w:val="0094131D"/>
    <w:rsid w:val="0094166C"/>
    <w:rsid w:val="0094203A"/>
    <w:rsid w:val="00942120"/>
    <w:rsid w:val="00942292"/>
    <w:rsid w:val="0094245E"/>
    <w:rsid w:val="009425F7"/>
    <w:rsid w:val="00943BC0"/>
    <w:rsid w:val="00944BF0"/>
    <w:rsid w:val="00945EC2"/>
    <w:rsid w:val="00946136"/>
    <w:rsid w:val="00946CD9"/>
    <w:rsid w:val="00946E7C"/>
    <w:rsid w:val="00947046"/>
    <w:rsid w:val="00950297"/>
    <w:rsid w:val="009505F4"/>
    <w:rsid w:val="00951216"/>
    <w:rsid w:val="00951614"/>
    <w:rsid w:val="0095227D"/>
    <w:rsid w:val="0095279B"/>
    <w:rsid w:val="009533C3"/>
    <w:rsid w:val="009535D3"/>
    <w:rsid w:val="00953807"/>
    <w:rsid w:val="00954282"/>
    <w:rsid w:val="00954427"/>
    <w:rsid w:val="0095611C"/>
    <w:rsid w:val="009564ED"/>
    <w:rsid w:val="009566CD"/>
    <w:rsid w:val="00956CA2"/>
    <w:rsid w:val="0096079B"/>
    <w:rsid w:val="0096218D"/>
    <w:rsid w:val="00964509"/>
    <w:rsid w:val="0096501B"/>
    <w:rsid w:val="0096625E"/>
    <w:rsid w:val="0096662B"/>
    <w:rsid w:val="009666AF"/>
    <w:rsid w:val="00967180"/>
    <w:rsid w:val="0096797D"/>
    <w:rsid w:val="00970704"/>
    <w:rsid w:val="00970B65"/>
    <w:rsid w:val="00970D66"/>
    <w:rsid w:val="00971127"/>
    <w:rsid w:val="0097119E"/>
    <w:rsid w:val="009718E9"/>
    <w:rsid w:val="00972C93"/>
    <w:rsid w:val="009734B8"/>
    <w:rsid w:val="00973514"/>
    <w:rsid w:val="009739F9"/>
    <w:rsid w:val="009741E7"/>
    <w:rsid w:val="00975C75"/>
    <w:rsid w:val="00977506"/>
    <w:rsid w:val="00977DFD"/>
    <w:rsid w:val="0098177A"/>
    <w:rsid w:val="00982E2A"/>
    <w:rsid w:val="00983583"/>
    <w:rsid w:val="00983EFD"/>
    <w:rsid w:val="009855B0"/>
    <w:rsid w:val="009859A8"/>
    <w:rsid w:val="00986257"/>
    <w:rsid w:val="00986564"/>
    <w:rsid w:val="0098658A"/>
    <w:rsid w:val="00986861"/>
    <w:rsid w:val="00986FB8"/>
    <w:rsid w:val="00987CBC"/>
    <w:rsid w:val="00991EB0"/>
    <w:rsid w:val="0099212B"/>
    <w:rsid w:val="0099245F"/>
    <w:rsid w:val="009928E8"/>
    <w:rsid w:val="00995768"/>
    <w:rsid w:val="00995F21"/>
    <w:rsid w:val="00996203"/>
    <w:rsid w:val="00996326"/>
    <w:rsid w:val="00996F95"/>
    <w:rsid w:val="00997B35"/>
    <w:rsid w:val="00997EA5"/>
    <w:rsid w:val="009A07D5"/>
    <w:rsid w:val="009A1FE7"/>
    <w:rsid w:val="009A2967"/>
    <w:rsid w:val="009A3274"/>
    <w:rsid w:val="009A36B7"/>
    <w:rsid w:val="009A3720"/>
    <w:rsid w:val="009A392B"/>
    <w:rsid w:val="009A3D58"/>
    <w:rsid w:val="009A42CF"/>
    <w:rsid w:val="009A44E8"/>
    <w:rsid w:val="009A581E"/>
    <w:rsid w:val="009A695D"/>
    <w:rsid w:val="009A698D"/>
    <w:rsid w:val="009A6AB4"/>
    <w:rsid w:val="009B1DA5"/>
    <w:rsid w:val="009B1E1D"/>
    <w:rsid w:val="009B28FD"/>
    <w:rsid w:val="009B2AD6"/>
    <w:rsid w:val="009B3172"/>
    <w:rsid w:val="009B461D"/>
    <w:rsid w:val="009B4F1F"/>
    <w:rsid w:val="009B5594"/>
    <w:rsid w:val="009B59ED"/>
    <w:rsid w:val="009B6405"/>
    <w:rsid w:val="009B729E"/>
    <w:rsid w:val="009B7498"/>
    <w:rsid w:val="009C217C"/>
    <w:rsid w:val="009C264B"/>
    <w:rsid w:val="009C34F1"/>
    <w:rsid w:val="009C3B80"/>
    <w:rsid w:val="009C3D84"/>
    <w:rsid w:val="009C3F5A"/>
    <w:rsid w:val="009C48C6"/>
    <w:rsid w:val="009C5D76"/>
    <w:rsid w:val="009C5DFB"/>
    <w:rsid w:val="009C5FDE"/>
    <w:rsid w:val="009C69E7"/>
    <w:rsid w:val="009C76E7"/>
    <w:rsid w:val="009C7B1D"/>
    <w:rsid w:val="009C7F10"/>
    <w:rsid w:val="009C7FF8"/>
    <w:rsid w:val="009D03F1"/>
    <w:rsid w:val="009D0921"/>
    <w:rsid w:val="009D101B"/>
    <w:rsid w:val="009D118E"/>
    <w:rsid w:val="009D1CF4"/>
    <w:rsid w:val="009D380F"/>
    <w:rsid w:val="009D57A7"/>
    <w:rsid w:val="009D65EE"/>
    <w:rsid w:val="009D6865"/>
    <w:rsid w:val="009D6903"/>
    <w:rsid w:val="009E0525"/>
    <w:rsid w:val="009E199C"/>
    <w:rsid w:val="009E1F76"/>
    <w:rsid w:val="009E2037"/>
    <w:rsid w:val="009E20A6"/>
    <w:rsid w:val="009E233F"/>
    <w:rsid w:val="009E323A"/>
    <w:rsid w:val="009E328B"/>
    <w:rsid w:val="009E68C1"/>
    <w:rsid w:val="009E6DD0"/>
    <w:rsid w:val="009E6DEE"/>
    <w:rsid w:val="009E700C"/>
    <w:rsid w:val="009F082A"/>
    <w:rsid w:val="009F0BD9"/>
    <w:rsid w:val="009F12B4"/>
    <w:rsid w:val="009F3311"/>
    <w:rsid w:val="009F33FA"/>
    <w:rsid w:val="009F347C"/>
    <w:rsid w:val="009F3F14"/>
    <w:rsid w:val="009F54D7"/>
    <w:rsid w:val="009F5B9D"/>
    <w:rsid w:val="009F6619"/>
    <w:rsid w:val="009F68FF"/>
    <w:rsid w:val="00A00E77"/>
    <w:rsid w:val="00A01712"/>
    <w:rsid w:val="00A01A4C"/>
    <w:rsid w:val="00A01C1F"/>
    <w:rsid w:val="00A01C98"/>
    <w:rsid w:val="00A020F7"/>
    <w:rsid w:val="00A025E5"/>
    <w:rsid w:val="00A04B2F"/>
    <w:rsid w:val="00A054CB"/>
    <w:rsid w:val="00A05E8F"/>
    <w:rsid w:val="00A06A54"/>
    <w:rsid w:val="00A10423"/>
    <w:rsid w:val="00A10A6F"/>
    <w:rsid w:val="00A115B1"/>
    <w:rsid w:val="00A118B4"/>
    <w:rsid w:val="00A129C6"/>
    <w:rsid w:val="00A14BDD"/>
    <w:rsid w:val="00A15A52"/>
    <w:rsid w:val="00A169FE"/>
    <w:rsid w:val="00A1706F"/>
    <w:rsid w:val="00A1721D"/>
    <w:rsid w:val="00A20630"/>
    <w:rsid w:val="00A20956"/>
    <w:rsid w:val="00A210DB"/>
    <w:rsid w:val="00A21667"/>
    <w:rsid w:val="00A220FB"/>
    <w:rsid w:val="00A223A5"/>
    <w:rsid w:val="00A22946"/>
    <w:rsid w:val="00A22CC8"/>
    <w:rsid w:val="00A23770"/>
    <w:rsid w:val="00A241FD"/>
    <w:rsid w:val="00A24BC5"/>
    <w:rsid w:val="00A24E75"/>
    <w:rsid w:val="00A2504C"/>
    <w:rsid w:val="00A252FA"/>
    <w:rsid w:val="00A26CA4"/>
    <w:rsid w:val="00A26D2E"/>
    <w:rsid w:val="00A26E5D"/>
    <w:rsid w:val="00A276A6"/>
    <w:rsid w:val="00A276FF"/>
    <w:rsid w:val="00A27A41"/>
    <w:rsid w:val="00A30C82"/>
    <w:rsid w:val="00A31A01"/>
    <w:rsid w:val="00A32211"/>
    <w:rsid w:val="00A322AB"/>
    <w:rsid w:val="00A33842"/>
    <w:rsid w:val="00A33A1E"/>
    <w:rsid w:val="00A33FDC"/>
    <w:rsid w:val="00A34114"/>
    <w:rsid w:val="00A34C81"/>
    <w:rsid w:val="00A34E19"/>
    <w:rsid w:val="00A35C90"/>
    <w:rsid w:val="00A362F9"/>
    <w:rsid w:val="00A36BE7"/>
    <w:rsid w:val="00A36F35"/>
    <w:rsid w:val="00A373CC"/>
    <w:rsid w:val="00A3760C"/>
    <w:rsid w:val="00A37704"/>
    <w:rsid w:val="00A378A0"/>
    <w:rsid w:val="00A37E59"/>
    <w:rsid w:val="00A40108"/>
    <w:rsid w:val="00A404AF"/>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943"/>
    <w:rsid w:val="00A60A2E"/>
    <w:rsid w:val="00A60A60"/>
    <w:rsid w:val="00A61263"/>
    <w:rsid w:val="00A614AD"/>
    <w:rsid w:val="00A616BD"/>
    <w:rsid w:val="00A61886"/>
    <w:rsid w:val="00A61E92"/>
    <w:rsid w:val="00A63D89"/>
    <w:rsid w:val="00A650F1"/>
    <w:rsid w:val="00A6526E"/>
    <w:rsid w:val="00A65DA4"/>
    <w:rsid w:val="00A66E04"/>
    <w:rsid w:val="00A67194"/>
    <w:rsid w:val="00A671B3"/>
    <w:rsid w:val="00A67864"/>
    <w:rsid w:val="00A70242"/>
    <w:rsid w:val="00A7040E"/>
    <w:rsid w:val="00A7286F"/>
    <w:rsid w:val="00A734F2"/>
    <w:rsid w:val="00A73DEE"/>
    <w:rsid w:val="00A74678"/>
    <w:rsid w:val="00A75AEA"/>
    <w:rsid w:val="00A76063"/>
    <w:rsid w:val="00A767EB"/>
    <w:rsid w:val="00A771BF"/>
    <w:rsid w:val="00A77299"/>
    <w:rsid w:val="00A803C1"/>
    <w:rsid w:val="00A815B6"/>
    <w:rsid w:val="00A81953"/>
    <w:rsid w:val="00A823D7"/>
    <w:rsid w:val="00A827C9"/>
    <w:rsid w:val="00A8350D"/>
    <w:rsid w:val="00A843C1"/>
    <w:rsid w:val="00A85B31"/>
    <w:rsid w:val="00A861F3"/>
    <w:rsid w:val="00A86C48"/>
    <w:rsid w:val="00A870DA"/>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CE8"/>
    <w:rsid w:val="00AB2AE4"/>
    <w:rsid w:val="00AB2F06"/>
    <w:rsid w:val="00AB4FFF"/>
    <w:rsid w:val="00AB5190"/>
    <w:rsid w:val="00AB5513"/>
    <w:rsid w:val="00AB5A0C"/>
    <w:rsid w:val="00AB6070"/>
    <w:rsid w:val="00AB6DFC"/>
    <w:rsid w:val="00AB7354"/>
    <w:rsid w:val="00AB7C46"/>
    <w:rsid w:val="00AB7DD5"/>
    <w:rsid w:val="00AC05D0"/>
    <w:rsid w:val="00AC3637"/>
    <w:rsid w:val="00AC3D4F"/>
    <w:rsid w:val="00AC3DB7"/>
    <w:rsid w:val="00AC4699"/>
    <w:rsid w:val="00AC4FD5"/>
    <w:rsid w:val="00AC5650"/>
    <w:rsid w:val="00AC59DF"/>
    <w:rsid w:val="00AC68FF"/>
    <w:rsid w:val="00AC72C7"/>
    <w:rsid w:val="00AC7899"/>
    <w:rsid w:val="00AD13D6"/>
    <w:rsid w:val="00AD4087"/>
    <w:rsid w:val="00AD4E84"/>
    <w:rsid w:val="00AD6A21"/>
    <w:rsid w:val="00AD6BE0"/>
    <w:rsid w:val="00AD752F"/>
    <w:rsid w:val="00AD7C37"/>
    <w:rsid w:val="00AE0C8D"/>
    <w:rsid w:val="00AE0E2A"/>
    <w:rsid w:val="00AE1411"/>
    <w:rsid w:val="00AE19B4"/>
    <w:rsid w:val="00AE2330"/>
    <w:rsid w:val="00AE55BC"/>
    <w:rsid w:val="00AE62E7"/>
    <w:rsid w:val="00AE686D"/>
    <w:rsid w:val="00AE6B27"/>
    <w:rsid w:val="00AF0DC0"/>
    <w:rsid w:val="00AF0F96"/>
    <w:rsid w:val="00AF21D7"/>
    <w:rsid w:val="00AF28EB"/>
    <w:rsid w:val="00AF2A29"/>
    <w:rsid w:val="00AF31BA"/>
    <w:rsid w:val="00AF36B6"/>
    <w:rsid w:val="00AF4101"/>
    <w:rsid w:val="00AF4803"/>
    <w:rsid w:val="00AF4D10"/>
    <w:rsid w:val="00AF58CB"/>
    <w:rsid w:val="00AF726F"/>
    <w:rsid w:val="00B00506"/>
    <w:rsid w:val="00B00ED5"/>
    <w:rsid w:val="00B0128C"/>
    <w:rsid w:val="00B0190C"/>
    <w:rsid w:val="00B01C3F"/>
    <w:rsid w:val="00B02315"/>
    <w:rsid w:val="00B02BF0"/>
    <w:rsid w:val="00B02EA8"/>
    <w:rsid w:val="00B034DD"/>
    <w:rsid w:val="00B03AB4"/>
    <w:rsid w:val="00B05B91"/>
    <w:rsid w:val="00B06ED4"/>
    <w:rsid w:val="00B077CC"/>
    <w:rsid w:val="00B07A28"/>
    <w:rsid w:val="00B102E7"/>
    <w:rsid w:val="00B12A63"/>
    <w:rsid w:val="00B13397"/>
    <w:rsid w:val="00B1400D"/>
    <w:rsid w:val="00B147C9"/>
    <w:rsid w:val="00B15BB2"/>
    <w:rsid w:val="00B16EBE"/>
    <w:rsid w:val="00B20E3B"/>
    <w:rsid w:val="00B21D0E"/>
    <w:rsid w:val="00B22C57"/>
    <w:rsid w:val="00B23C76"/>
    <w:rsid w:val="00B23EEE"/>
    <w:rsid w:val="00B27298"/>
    <w:rsid w:val="00B27384"/>
    <w:rsid w:val="00B276E4"/>
    <w:rsid w:val="00B27A6D"/>
    <w:rsid w:val="00B309F9"/>
    <w:rsid w:val="00B30DAD"/>
    <w:rsid w:val="00B31782"/>
    <w:rsid w:val="00B3402E"/>
    <w:rsid w:val="00B34EA5"/>
    <w:rsid w:val="00B360B7"/>
    <w:rsid w:val="00B36928"/>
    <w:rsid w:val="00B37293"/>
    <w:rsid w:val="00B37745"/>
    <w:rsid w:val="00B402DF"/>
    <w:rsid w:val="00B4076A"/>
    <w:rsid w:val="00B413EB"/>
    <w:rsid w:val="00B42C20"/>
    <w:rsid w:val="00B43287"/>
    <w:rsid w:val="00B43864"/>
    <w:rsid w:val="00B439B8"/>
    <w:rsid w:val="00B43AD9"/>
    <w:rsid w:val="00B443D5"/>
    <w:rsid w:val="00B44482"/>
    <w:rsid w:val="00B450D9"/>
    <w:rsid w:val="00B46FF2"/>
    <w:rsid w:val="00B51B75"/>
    <w:rsid w:val="00B52AD3"/>
    <w:rsid w:val="00B539EB"/>
    <w:rsid w:val="00B54B76"/>
    <w:rsid w:val="00B55ECC"/>
    <w:rsid w:val="00B560E5"/>
    <w:rsid w:val="00B5610F"/>
    <w:rsid w:val="00B567E5"/>
    <w:rsid w:val="00B576E1"/>
    <w:rsid w:val="00B6088D"/>
    <w:rsid w:val="00B608F1"/>
    <w:rsid w:val="00B60F79"/>
    <w:rsid w:val="00B6252C"/>
    <w:rsid w:val="00B62CBE"/>
    <w:rsid w:val="00B62EFD"/>
    <w:rsid w:val="00B63999"/>
    <w:rsid w:val="00B63B4A"/>
    <w:rsid w:val="00B63E1F"/>
    <w:rsid w:val="00B641C5"/>
    <w:rsid w:val="00B64F8D"/>
    <w:rsid w:val="00B6533C"/>
    <w:rsid w:val="00B65388"/>
    <w:rsid w:val="00B6731A"/>
    <w:rsid w:val="00B673CA"/>
    <w:rsid w:val="00B70903"/>
    <w:rsid w:val="00B7108D"/>
    <w:rsid w:val="00B7117A"/>
    <w:rsid w:val="00B713F0"/>
    <w:rsid w:val="00B72053"/>
    <w:rsid w:val="00B72895"/>
    <w:rsid w:val="00B73BEF"/>
    <w:rsid w:val="00B7433C"/>
    <w:rsid w:val="00B74530"/>
    <w:rsid w:val="00B7458C"/>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421"/>
    <w:rsid w:val="00B866BF"/>
    <w:rsid w:val="00B868D6"/>
    <w:rsid w:val="00B86D0A"/>
    <w:rsid w:val="00B8748B"/>
    <w:rsid w:val="00B87890"/>
    <w:rsid w:val="00B87B3F"/>
    <w:rsid w:val="00B90972"/>
    <w:rsid w:val="00B91818"/>
    <w:rsid w:val="00B922D6"/>
    <w:rsid w:val="00B92819"/>
    <w:rsid w:val="00B93E18"/>
    <w:rsid w:val="00B93E2C"/>
    <w:rsid w:val="00B94BE5"/>
    <w:rsid w:val="00B95B44"/>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7"/>
    <w:rsid w:val="00BB2D1B"/>
    <w:rsid w:val="00BB42D2"/>
    <w:rsid w:val="00BB61FE"/>
    <w:rsid w:val="00BB6ECF"/>
    <w:rsid w:val="00BB74B3"/>
    <w:rsid w:val="00BB777A"/>
    <w:rsid w:val="00BB7E97"/>
    <w:rsid w:val="00BC06FE"/>
    <w:rsid w:val="00BC1765"/>
    <w:rsid w:val="00BC1FD6"/>
    <w:rsid w:val="00BC25D7"/>
    <w:rsid w:val="00BC320C"/>
    <w:rsid w:val="00BC4883"/>
    <w:rsid w:val="00BC5334"/>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07A5"/>
    <w:rsid w:val="00BE15DA"/>
    <w:rsid w:val="00BE19AD"/>
    <w:rsid w:val="00BE369C"/>
    <w:rsid w:val="00BE4F97"/>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BF7EB2"/>
    <w:rsid w:val="00C00D03"/>
    <w:rsid w:val="00C00D9C"/>
    <w:rsid w:val="00C01DFC"/>
    <w:rsid w:val="00C0270E"/>
    <w:rsid w:val="00C0282B"/>
    <w:rsid w:val="00C03262"/>
    <w:rsid w:val="00C047A4"/>
    <w:rsid w:val="00C05013"/>
    <w:rsid w:val="00C067E0"/>
    <w:rsid w:val="00C0773D"/>
    <w:rsid w:val="00C1025D"/>
    <w:rsid w:val="00C11733"/>
    <w:rsid w:val="00C12CC1"/>
    <w:rsid w:val="00C12D93"/>
    <w:rsid w:val="00C12EE2"/>
    <w:rsid w:val="00C12EE5"/>
    <w:rsid w:val="00C1324B"/>
    <w:rsid w:val="00C139DE"/>
    <w:rsid w:val="00C13B55"/>
    <w:rsid w:val="00C13CB8"/>
    <w:rsid w:val="00C151CE"/>
    <w:rsid w:val="00C1561B"/>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614"/>
    <w:rsid w:val="00C33AEC"/>
    <w:rsid w:val="00C357CB"/>
    <w:rsid w:val="00C35C8E"/>
    <w:rsid w:val="00C36B1D"/>
    <w:rsid w:val="00C3742C"/>
    <w:rsid w:val="00C410D2"/>
    <w:rsid w:val="00C41363"/>
    <w:rsid w:val="00C42A78"/>
    <w:rsid w:val="00C437D6"/>
    <w:rsid w:val="00C45C94"/>
    <w:rsid w:val="00C4601D"/>
    <w:rsid w:val="00C4615A"/>
    <w:rsid w:val="00C509D2"/>
    <w:rsid w:val="00C51CCA"/>
    <w:rsid w:val="00C523ED"/>
    <w:rsid w:val="00C53131"/>
    <w:rsid w:val="00C54473"/>
    <w:rsid w:val="00C54789"/>
    <w:rsid w:val="00C54A13"/>
    <w:rsid w:val="00C55945"/>
    <w:rsid w:val="00C55D94"/>
    <w:rsid w:val="00C55DCB"/>
    <w:rsid w:val="00C55FBB"/>
    <w:rsid w:val="00C57582"/>
    <w:rsid w:val="00C608EF"/>
    <w:rsid w:val="00C60D60"/>
    <w:rsid w:val="00C612BB"/>
    <w:rsid w:val="00C612BF"/>
    <w:rsid w:val="00C61338"/>
    <w:rsid w:val="00C6207E"/>
    <w:rsid w:val="00C6324D"/>
    <w:rsid w:val="00C64FAE"/>
    <w:rsid w:val="00C65A78"/>
    <w:rsid w:val="00C66344"/>
    <w:rsid w:val="00C66EDC"/>
    <w:rsid w:val="00C674F7"/>
    <w:rsid w:val="00C67AC2"/>
    <w:rsid w:val="00C67D05"/>
    <w:rsid w:val="00C714EE"/>
    <w:rsid w:val="00C731E1"/>
    <w:rsid w:val="00C73883"/>
    <w:rsid w:val="00C7443F"/>
    <w:rsid w:val="00C745D7"/>
    <w:rsid w:val="00C7702A"/>
    <w:rsid w:val="00C7732F"/>
    <w:rsid w:val="00C773C8"/>
    <w:rsid w:val="00C80A25"/>
    <w:rsid w:val="00C80E5E"/>
    <w:rsid w:val="00C82930"/>
    <w:rsid w:val="00C82C9E"/>
    <w:rsid w:val="00C841BF"/>
    <w:rsid w:val="00C84F61"/>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1A95"/>
    <w:rsid w:val="00C92931"/>
    <w:rsid w:val="00C92949"/>
    <w:rsid w:val="00C9312F"/>
    <w:rsid w:val="00C94499"/>
    <w:rsid w:val="00C9491A"/>
    <w:rsid w:val="00C94BE9"/>
    <w:rsid w:val="00C95DD7"/>
    <w:rsid w:val="00C95ED6"/>
    <w:rsid w:val="00C96BBB"/>
    <w:rsid w:val="00CA04D5"/>
    <w:rsid w:val="00CA1AC8"/>
    <w:rsid w:val="00CA1FB0"/>
    <w:rsid w:val="00CA24D1"/>
    <w:rsid w:val="00CA2AD9"/>
    <w:rsid w:val="00CA39CC"/>
    <w:rsid w:val="00CA3C11"/>
    <w:rsid w:val="00CA403D"/>
    <w:rsid w:val="00CA4743"/>
    <w:rsid w:val="00CA57FE"/>
    <w:rsid w:val="00CA5FF6"/>
    <w:rsid w:val="00CA6F32"/>
    <w:rsid w:val="00CA735E"/>
    <w:rsid w:val="00CB01B1"/>
    <w:rsid w:val="00CB138F"/>
    <w:rsid w:val="00CB13CF"/>
    <w:rsid w:val="00CB13E0"/>
    <w:rsid w:val="00CB2282"/>
    <w:rsid w:val="00CB2F02"/>
    <w:rsid w:val="00CB44CC"/>
    <w:rsid w:val="00CB4522"/>
    <w:rsid w:val="00CB6008"/>
    <w:rsid w:val="00CB76B8"/>
    <w:rsid w:val="00CB7703"/>
    <w:rsid w:val="00CB77EE"/>
    <w:rsid w:val="00CB783B"/>
    <w:rsid w:val="00CB7AE2"/>
    <w:rsid w:val="00CC1C1E"/>
    <w:rsid w:val="00CC2611"/>
    <w:rsid w:val="00CC2803"/>
    <w:rsid w:val="00CC295E"/>
    <w:rsid w:val="00CC41A0"/>
    <w:rsid w:val="00CC48D6"/>
    <w:rsid w:val="00CC4B7F"/>
    <w:rsid w:val="00CC544C"/>
    <w:rsid w:val="00CC559E"/>
    <w:rsid w:val="00CC6845"/>
    <w:rsid w:val="00CC707F"/>
    <w:rsid w:val="00CC708A"/>
    <w:rsid w:val="00CC79CD"/>
    <w:rsid w:val="00CD0365"/>
    <w:rsid w:val="00CD1447"/>
    <w:rsid w:val="00CD1841"/>
    <w:rsid w:val="00CD1BF1"/>
    <w:rsid w:val="00CD1D2E"/>
    <w:rsid w:val="00CD27CD"/>
    <w:rsid w:val="00CD4BF8"/>
    <w:rsid w:val="00CD52CD"/>
    <w:rsid w:val="00CD63FD"/>
    <w:rsid w:val="00CD652E"/>
    <w:rsid w:val="00CD6828"/>
    <w:rsid w:val="00CD685C"/>
    <w:rsid w:val="00CD68DD"/>
    <w:rsid w:val="00CD7B8B"/>
    <w:rsid w:val="00CE01F8"/>
    <w:rsid w:val="00CE0D43"/>
    <w:rsid w:val="00CE1EB8"/>
    <w:rsid w:val="00CE24B9"/>
    <w:rsid w:val="00CE2B04"/>
    <w:rsid w:val="00CE3E8B"/>
    <w:rsid w:val="00CE47DC"/>
    <w:rsid w:val="00CE5298"/>
    <w:rsid w:val="00CE5322"/>
    <w:rsid w:val="00CE58EB"/>
    <w:rsid w:val="00CE705F"/>
    <w:rsid w:val="00CE745E"/>
    <w:rsid w:val="00CF0041"/>
    <w:rsid w:val="00CF0D4B"/>
    <w:rsid w:val="00CF2605"/>
    <w:rsid w:val="00CF2804"/>
    <w:rsid w:val="00CF35B2"/>
    <w:rsid w:val="00CF36C4"/>
    <w:rsid w:val="00CF38D4"/>
    <w:rsid w:val="00CF5C07"/>
    <w:rsid w:val="00CF5CFC"/>
    <w:rsid w:val="00CF7087"/>
    <w:rsid w:val="00D00272"/>
    <w:rsid w:val="00D00AF5"/>
    <w:rsid w:val="00D00E75"/>
    <w:rsid w:val="00D00EE2"/>
    <w:rsid w:val="00D01917"/>
    <w:rsid w:val="00D01EBC"/>
    <w:rsid w:val="00D0322F"/>
    <w:rsid w:val="00D036AC"/>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648C"/>
    <w:rsid w:val="00D36E35"/>
    <w:rsid w:val="00D37354"/>
    <w:rsid w:val="00D404B1"/>
    <w:rsid w:val="00D4104F"/>
    <w:rsid w:val="00D43988"/>
    <w:rsid w:val="00D4707E"/>
    <w:rsid w:val="00D47238"/>
    <w:rsid w:val="00D4762C"/>
    <w:rsid w:val="00D47867"/>
    <w:rsid w:val="00D47B4E"/>
    <w:rsid w:val="00D47EAF"/>
    <w:rsid w:val="00D50B2A"/>
    <w:rsid w:val="00D50FAF"/>
    <w:rsid w:val="00D51517"/>
    <w:rsid w:val="00D52D4A"/>
    <w:rsid w:val="00D52D7F"/>
    <w:rsid w:val="00D53034"/>
    <w:rsid w:val="00D538B0"/>
    <w:rsid w:val="00D541A8"/>
    <w:rsid w:val="00D55A05"/>
    <w:rsid w:val="00D562A8"/>
    <w:rsid w:val="00D61A9F"/>
    <w:rsid w:val="00D61EDD"/>
    <w:rsid w:val="00D628AF"/>
    <w:rsid w:val="00D6294B"/>
    <w:rsid w:val="00D654F8"/>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563E"/>
    <w:rsid w:val="00D76E21"/>
    <w:rsid w:val="00D770D5"/>
    <w:rsid w:val="00D809B7"/>
    <w:rsid w:val="00D80C1F"/>
    <w:rsid w:val="00D812A9"/>
    <w:rsid w:val="00D813B0"/>
    <w:rsid w:val="00D8141C"/>
    <w:rsid w:val="00D81A57"/>
    <w:rsid w:val="00D81A98"/>
    <w:rsid w:val="00D8269A"/>
    <w:rsid w:val="00D82962"/>
    <w:rsid w:val="00D82A4C"/>
    <w:rsid w:val="00D830B5"/>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0A19"/>
    <w:rsid w:val="00DA16AA"/>
    <w:rsid w:val="00DA28A7"/>
    <w:rsid w:val="00DA2BB0"/>
    <w:rsid w:val="00DA2FCA"/>
    <w:rsid w:val="00DA348E"/>
    <w:rsid w:val="00DA373A"/>
    <w:rsid w:val="00DA43EB"/>
    <w:rsid w:val="00DA4A4E"/>
    <w:rsid w:val="00DA59D2"/>
    <w:rsid w:val="00DA5A9C"/>
    <w:rsid w:val="00DA5F60"/>
    <w:rsid w:val="00DA6E9D"/>
    <w:rsid w:val="00DA6FF3"/>
    <w:rsid w:val="00DB0066"/>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3E7"/>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6937"/>
    <w:rsid w:val="00DD7F9B"/>
    <w:rsid w:val="00DE1C74"/>
    <w:rsid w:val="00DE1CCF"/>
    <w:rsid w:val="00DE31EE"/>
    <w:rsid w:val="00DE3385"/>
    <w:rsid w:val="00DE3CA1"/>
    <w:rsid w:val="00DE4007"/>
    <w:rsid w:val="00DE4053"/>
    <w:rsid w:val="00DE4638"/>
    <w:rsid w:val="00DE4651"/>
    <w:rsid w:val="00DE4FEE"/>
    <w:rsid w:val="00DE534A"/>
    <w:rsid w:val="00DE55FD"/>
    <w:rsid w:val="00DE60A8"/>
    <w:rsid w:val="00DE7265"/>
    <w:rsid w:val="00DE7525"/>
    <w:rsid w:val="00DE7C1C"/>
    <w:rsid w:val="00DF0111"/>
    <w:rsid w:val="00DF01E6"/>
    <w:rsid w:val="00DF14DF"/>
    <w:rsid w:val="00DF2247"/>
    <w:rsid w:val="00DF2353"/>
    <w:rsid w:val="00DF3AB2"/>
    <w:rsid w:val="00DF4116"/>
    <w:rsid w:val="00DF5129"/>
    <w:rsid w:val="00DF5784"/>
    <w:rsid w:val="00DF58B8"/>
    <w:rsid w:val="00DF5FF8"/>
    <w:rsid w:val="00DF6EE5"/>
    <w:rsid w:val="00DF7E7E"/>
    <w:rsid w:val="00E0077B"/>
    <w:rsid w:val="00E00898"/>
    <w:rsid w:val="00E03634"/>
    <w:rsid w:val="00E050B6"/>
    <w:rsid w:val="00E0557E"/>
    <w:rsid w:val="00E05980"/>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0BB5"/>
    <w:rsid w:val="00E21F5A"/>
    <w:rsid w:val="00E221D8"/>
    <w:rsid w:val="00E23BDA"/>
    <w:rsid w:val="00E25124"/>
    <w:rsid w:val="00E261F8"/>
    <w:rsid w:val="00E26E25"/>
    <w:rsid w:val="00E27DF3"/>
    <w:rsid w:val="00E3110A"/>
    <w:rsid w:val="00E319DC"/>
    <w:rsid w:val="00E324AD"/>
    <w:rsid w:val="00E32C41"/>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BB7"/>
    <w:rsid w:val="00E64EEE"/>
    <w:rsid w:val="00E66F49"/>
    <w:rsid w:val="00E721A9"/>
    <w:rsid w:val="00E73549"/>
    <w:rsid w:val="00E7484F"/>
    <w:rsid w:val="00E74861"/>
    <w:rsid w:val="00E74B50"/>
    <w:rsid w:val="00E74EC9"/>
    <w:rsid w:val="00E75572"/>
    <w:rsid w:val="00E75733"/>
    <w:rsid w:val="00E75A9D"/>
    <w:rsid w:val="00E77754"/>
    <w:rsid w:val="00E77DB1"/>
    <w:rsid w:val="00E80CF7"/>
    <w:rsid w:val="00E80FB4"/>
    <w:rsid w:val="00E81B8E"/>
    <w:rsid w:val="00E81ED7"/>
    <w:rsid w:val="00E8369B"/>
    <w:rsid w:val="00E8377F"/>
    <w:rsid w:val="00E83850"/>
    <w:rsid w:val="00E85244"/>
    <w:rsid w:val="00E85A96"/>
    <w:rsid w:val="00E86159"/>
    <w:rsid w:val="00E86741"/>
    <w:rsid w:val="00E87AE4"/>
    <w:rsid w:val="00E900B3"/>
    <w:rsid w:val="00E90A5A"/>
    <w:rsid w:val="00E90C1F"/>
    <w:rsid w:val="00E9124A"/>
    <w:rsid w:val="00E9222C"/>
    <w:rsid w:val="00E9296D"/>
    <w:rsid w:val="00E92AA5"/>
    <w:rsid w:val="00E94509"/>
    <w:rsid w:val="00E94A0D"/>
    <w:rsid w:val="00E9558B"/>
    <w:rsid w:val="00E95A44"/>
    <w:rsid w:val="00E95D1B"/>
    <w:rsid w:val="00E969A4"/>
    <w:rsid w:val="00E9735C"/>
    <w:rsid w:val="00EA234B"/>
    <w:rsid w:val="00EA274B"/>
    <w:rsid w:val="00EA2EFA"/>
    <w:rsid w:val="00EA306F"/>
    <w:rsid w:val="00EA3184"/>
    <w:rsid w:val="00EA3732"/>
    <w:rsid w:val="00EA3794"/>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12C"/>
    <w:rsid w:val="00EB2216"/>
    <w:rsid w:val="00EB27D1"/>
    <w:rsid w:val="00EB33F4"/>
    <w:rsid w:val="00EB3B9C"/>
    <w:rsid w:val="00EB40E0"/>
    <w:rsid w:val="00EB4C04"/>
    <w:rsid w:val="00EB6502"/>
    <w:rsid w:val="00EB7D9C"/>
    <w:rsid w:val="00EC01F0"/>
    <w:rsid w:val="00EC1406"/>
    <w:rsid w:val="00EC1526"/>
    <w:rsid w:val="00EC23F3"/>
    <w:rsid w:val="00EC2677"/>
    <w:rsid w:val="00EC2AB5"/>
    <w:rsid w:val="00EC3051"/>
    <w:rsid w:val="00EC36F2"/>
    <w:rsid w:val="00EC4B79"/>
    <w:rsid w:val="00EC4F33"/>
    <w:rsid w:val="00EC7E82"/>
    <w:rsid w:val="00ED0B81"/>
    <w:rsid w:val="00ED19B3"/>
    <w:rsid w:val="00ED1A64"/>
    <w:rsid w:val="00ED28DD"/>
    <w:rsid w:val="00ED421C"/>
    <w:rsid w:val="00ED43A6"/>
    <w:rsid w:val="00ED502A"/>
    <w:rsid w:val="00ED69B3"/>
    <w:rsid w:val="00ED6AF3"/>
    <w:rsid w:val="00ED6FB9"/>
    <w:rsid w:val="00ED7371"/>
    <w:rsid w:val="00ED7E2F"/>
    <w:rsid w:val="00ED7EA8"/>
    <w:rsid w:val="00EE1313"/>
    <w:rsid w:val="00EE2126"/>
    <w:rsid w:val="00EE3363"/>
    <w:rsid w:val="00EE3725"/>
    <w:rsid w:val="00EE3F3C"/>
    <w:rsid w:val="00EE4C7E"/>
    <w:rsid w:val="00EE556D"/>
    <w:rsid w:val="00EE60A2"/>
    <w:rsid w:val="00EE6184"/>
    <w:rsid w:val="00EE679C"/>
    <w:rsid w:val="00EE7A2C"/>
    <w:rsid w:val="00EF06D3"/>
    <w:rsid w:val="00EF09D3"/>
    <w:rsid w:val="00EF0E81"/>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07B03"/>
    <w:rsid w:val="00F115A2"/>
    <w:rsid w:val="00F11635"/>
    <w:rsid w:val="00F11928"/>
    <w:rsid w:val="00F12D86"/>
    <w:rsid w:val="00F131AA"/>
    <w:rsid w:val="00F131FD"/>
    <w:rsid w:val="00F1350B"/>
    <w:rsid w:val="00F13B05"/>
    <w:rsid w:val="00F13B5A"/>
    <w:rsid w:val="00F13EED"/>
    <w:rsid w:val="00F15AF2"/>
    <w:rsid w:val="00F21290"/>
    <w:rsid w:val="00F2299F"/>
    <w:rsid w:val="00F231F0"/>
    <w:rsid w:val="00F24787"/>
    <w:rsid w:val="00F25311"/>
    <w:rsid w:val="00F259A5"/>
    <w:rsid w:val="00F263E5"/>
    <w:rsid w:val="00F301E0"/>
    <w:rsid w:val="00F307CC"/>
    <w:rsid w:val="00F30BBA"/>
    <w:rsid w:val="00F31630"/>
    <w:rsid w:val="00F31A8F"/>
    <w:rsid w:val="00F320C0"/>
    <w:rsid w:val="00F32D63"/>
    <w:rsid w:val="00F34012"/>
    <w:rsid w:val="00F343A3"/>
    <w:rsid w:val="00F34C99"/>
    <w:rsid w:val="00F3531A"/>
    <w:rsid w:val="00F353E8"/>
    <w:rsid w:val="00F41DB0"/>
    <w:rsid w:val="00F439BB"/>
    <w:rsid w:val="00F43CEB"/>
    <w:rsid w:val="00F449D7"/>
    <w:rsid w:val="00F457C9"/>
    <w:rsid w:val="00F460C4"/>
    <w:rsid w:val="00F461AE"/>
    <w:rsid w:val="00F467F9"/>
    <w:rsid w:val="00F47426"/>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1A48"/>
    <w:rsid w:val="00F82021"/>
    <w:rsid w:val="00F82080"/>
    <w:rsid w:val="00F82A7B"/>
    <w:rsid w:val="00F8476C"/>
    <w:rsid w:val="00F850A1"/>
    <w:rsid w:val="00F85CBD"/>
    <w:rsid w:val="00F87810"/>
    <w:rsid w:val="00F905B8"/>
    <w:rsid w:val="00F91164"/>
    <w:rsid w:val="00F91292"/>
    <w:rsid w:val="00F91D47"/>
    <w:rsid w:val="00F92B0F"/>
    <w:rsid w:val="00F9354E"/>
    <w:rsid w:val="00F941FC"/>
    <w:rsid w:val="00F96D24"/>
    <w:rsid w:val="00F97093"/>
    <w:rsid w:val="00F97FF3"/>
    <w:rsid w:val="00FA0091"/>
    <w:rsid w:val="00FA1AA9"/>
    <w:rsid w:val="00FA2C8B"/>
    <w:rsid w:val="00FA375E"/>
    <w:rsid w:val="00FA3E0C"/>
    <w:rsid w:val="00FA4FBA"/>
    <w:rsid w:val="00FA5580"/>
    <w:rsid w:val="00FA655A"/>
    <w:rsid w:val="00FA69C3"/>
    <w:rsid w:val="00FA6AAC"/>
    <w:rsid w:val="00FA6CBC"/>
    <w:rsid w:val="00FA6D48"/>
    <w:rsid w:val="00FA7027"/>
    <w:rsid w:val="00FA7775"/>
    <w:rsid w:val="00FA7EC0"/>
    <w:rsid w:val="00FB1729"/>
    <w:rsid w:val="00FB30A2"/>
    <w:rsid w:val="00FB4993"/>
    <w:rsid w:val="00FC072E"/>
    <w:rsid w:val="00FC1364"/>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4A75"/>
    <w:rsid w:val="00FD54E6"/>
    <w:rsid w:val="00FD5688"/>
    <w:rsid w:val="00FD5725"/>
    <w:rsid w:val="00FD5E1C"/>
    <w:rsid w:val="00FD5F36"/>
    <w:rsid w:val="00FD6624"/>
    <w:rsid w:val="00FD7F6B"/>
    <w:rsid w:val="00FE0948"/>
    <w:rsid w:val="00FE1880"/>
    <w:rsid w:val="00FE304D"/>
    <w:rsid w:val="00FE3256"/>
    <w:rsid w:val="00FE3F8E"/>
    <w:rsid w:val="00FE445D"/>
    <w:rsid w:val="00FE47ED"/>
    <w:rsid w:val="00FE5101"/>
    <w:rsid w:val="00FE61DC"/>
    <w:rsid w:val="00FE67D0"/>
    <w:rsid w:val="00FE689B"/>
    <w:rsid w:val="00FE7081"/>
    <w:rsid w:val="00FE79CE"/>
    <w:rsid w:val="00FF06FA"/>
    <w:rsid w:val="00FF081E"/>
    <w:rsid w:val="00FF145C"/>
    <w:rsid w:val="00FF26EE"/>
    <w:rsid w:val="00FF28EC"/>
    <w:rsid w:val="00FF47A3"/>
    <w:rsid w:val="00FF4B3F"/>
    <w:rsid w:val="00FF4B43"/>
    <w:rsid w:val="00FF574F"/>
    <w:rsid w:val="011D5A3C"/>
    <w:rsid w:val="011E42FB"/>
    <w:rsid w:val="012146C6"/>
    <w:rsid w:val="017252D5"/>
    <w:rsid w:val="01C91291"/>
    <w:rsid w:val="02431249"/>
    <w:rsid w:val="027C35B6"/>
    <w:rsid w:val="02BA5D5B"/>
    <w:rsid w:val="02E14EF2"/>
    <w:rsid w:val="048953D9"/>
    <w:rsid w:val="04FE73EF"/>
    <w:rsid w:val="052C6D75"/>
    <w:rsid w:val="05821997"/>
    <w:rsid w:val="05AD3711"/>
    <w:rsid w:val="05D12AE6"/>
    <w:rsid w:val="079176C9"/>
    <w:rsid w:val="07D670E3"/>
    <w:rsid w:val="08435AFA"/>
    <w:rsid w:val="085220FC"/>
    <w:rsid w:val="08A03373"/>
    <w:rsid w:val="090C7C1B"/>
    <w:rsid w:val="09FF4899"/>
    <w:rsid w:val="0C4C5587"/>
    <w:rsid w:val="0C660420"/>
    <w:rsid w:val="0CAA2179"/>
    <w:rsid w:val="0DD31382"/>
    <w:rsid w:val="0E1520B6"/>
    <w:rsid w:val="0E6E6F80"/>
    <w:rsid w:val="0F612496"/>
    <w:rsid w:val="0F6732B3"/>
    <w:rsid w:val="0FF94323"/>
    <w:rsid w:val="108D4A90"/>
    <w:rsid w:val="11C9655C"/>
    <w:rsid w:val="11F626B0"/>
    <w:rsid w:val="12407135"/>
    <w:rsid w:val="129D2E79"/>
    <w:rsid w:val="130E2576"/>
    <w:rsid w:val="13BC78CD"/>
    <w:rsid w:val="14570BAE"/>
    <w:rsid w:val="149B775F"/>
    <w:rsid w:val="14AD6172"/>
    <w:rsid w:val="15474A66"/>
    <w:rsid w:val="161955FF"/>
    <w:rsid w:val="161A1EE6"/>
    <w:rsid w:val="170A54FC"/>
    <w:rsid w:val="18772C58"/>
    <w:rsid w:val="189834AF"/>
    <w:rsid w:val="18BB16A1"/>
    <w:rsid w:val="18C02FC0"/>
    <w:rsid w:val="198E1224"/>
    <w:rsid w:val="1A8F26EA"/>
    <w:rsid w:val="1A970539"/>
    <w:rsid w:val="1B567841"/>
    <w:rsid w:val="1CDF4666"/>
    <w:rsid w:val="1F3A5DE3"/>
    <w:rsid w:val="1FA1131B"/>
    <w:rsid w:val="205107A9"/>
    <w:rsid w:val="20E07DFA"/>
    <w:rsid w:val="20FC4BEE"/>
    <w:rsid w:val="218002CA"/>
    <w:rsid w:val="219A1B7F"/>
    <w:rsid w:val="237D046F"/>
    <w:rsid w:val="23AA6A32"/>
    <w:rsid w:val="245A3F80"/>
    <w:rsid w:val="25F11338"/>
    <w:rsid w:val="27B06B49"/>
    <w:rsid w:val="27DE3BF9"/>
    <w:rsid w:val="282F329C"/>
    <w:rsid w:val="2B033371"/>
    <w:rsid w:val="2B2F400B"/>
    <w:rsid w:val="2B667ED5"/>
    <w:rsid w:val="2B74700E"/>
    <w:rsid w:val="2C240F34"/>
    <w:rsid w:val="2C64115C"/>
    <w:rsid w:val="2CA20A3D"/>
    <w:rsid w:val="2D0B54A3"/>
    <w:rsid w:val="2F2A3C40"/>
    <w:rsid w:val="2F3E547B"/>
    <w:rsid w:val="2FD02BAA"/>
    <w:rsid w:val="300801AF"/>
    <w:rsid w:val="304918EE"/>
    <w:rsid w:val="3063463F"/>
    <w:rsid w:val="306A004D"/>
    <w:rsid w:val="31547237"/>
    <w:rsid w:val="324B16F5"/>
    <w:rsid w:val="32BD27CB"/>
    <w:rsid w:val="33052782"/>
    <w:rsid w:val="33B67A9F"/>
    <w:rsid w:val="33ED0A42"/>
    <w:rsid w:val="34E60A39"/>
    <w:rsid w:val="35014E18"/>
    <w:rsid w:val="35D73F34"/>
    <w:rsid w:val="35F61243"/>
    <w:rsid w:val="36D0410B"/>
    <w:rsid w:val="375225F2"/>
    <w:rsid w:val="37B2619B"/>
    <w:rsid w:val="380148FE"/>
    <w:rsid w:val="382725D6"/>
    <w:rsid w:val="38E75F9A"/>
    <w:rsid w:val="39C108DD"/>
    <w:rsid w:val="3A9C3269"/>
    <w:rsid w:val="3AC2057B"/>
    <w:rsid w:val="3C373E1D"/>
    <w:rsid w:val="3C950EEB"/>
    <w:rsid w:val="3CAD7829"/>
    <w:rsid w:val="3CDF3135"/>
    <w:rsid w:val="3DCC6B11"/>
    <w:rsid w:val="3E7C5B03"/>
    <w:rsid w:val="3EAB3EA1"/>
    <w:rsid w:val="3FB269C3"/>
    <w:rsid w:val="40C73B7A"/>
    <w:rsid w:val="410061AC"/>
    <w:rsid w:val="412109BE"/>
    <w:rsid w:val="41571D6E"/>
    <w:rsid w:val="43906070"/>
    <w:rsid w:val="43A64CAC"/>
    <w:rsid w:val="44372549"/>
    <w:rsid w:val="44965551"/>
    <w:rsid w:val="45B05852"/>
    <w:rsid w:val="46113492"/>
    <w:rsid w:val="468830D6"/>
    <w:rsid w:val="46AF58CF"/>
    <w:rsid w:val="475410FB"/>
    <w:rsid w:val="47767C14"/>
    <w:rsid w:val="47850BA4"/>
    <w:rsid w:val="48D43EA7"/>
    <w:rsid w:val="4BD1731B"/>
    <w:rsid w:val="4DCC0223"/>
    <w:rsid w:val="4DFB20DE"/>
    <w:rsid w:val="4E0562C4"/>
    <w:rsid w:val="4E06001E"/>
    <w:rsid w:val="4E2F0201"/>
    <w:rsid w:val="4F897DDC"/>
    <w:rsid w:val="4FEC07C0"/>
    <w:rsid w:val="4FF37A7B"/>
    <w:rsid w:val="500D064C"/>
    <w:rsid w:val="50757DA6"/>
    <w:rsid w:val="50CB1E8C"/>
    <w:rsid w:val="51B503F8"/>
    <w:rsid w:val="51D1327D"/>
    <w:rsid w:val="52E53CDC"/>
    <w:rsid w:val="53146C1C"/>
    <w:rsid w:val="53225DC3"/>
    <w:rsid w:val="53B57275"/>
    <w:rsid w:val="5422686A"/>
    <w:rsid w:val="543F5578"/>
    <w:rsid w:val="544D7D8B"/>
    <w:rsid w:val="54FF580F"/>
    <w:rsid w:val="550C0DD5"/>
    <w:rsid w:val="5548115A"/>
    <w:rsid w:val="5553632A"/>
    <w:rsid w:val="560E70A6"/>
    <w:rsid w:val="565A5626"/>
    <w:rsid w:val="56AD6CF1"/>
    <w:rsid w:val="56B01306"/>
    <w:rsid w:val="57793503"/>
    <w:rsid w:val="58321EC6"/>
    <w:rsid w:val="586757C9"/>
    <w:rsid w:val="5A937B21"/>
    <w:rsid w:val="5B515622"/>
    <w:rsid w:val="5BD24F57"/>
    <w:rsid w:val="5D7E3803"/>
    <w:rsid w:val="5DAD5823"/>
    <w:rsid w:val="5DB04EE7"/>
    <w:rsid w:val="5E643D94"/>
    <w:rsid w:val="5EEC4F2C"/>
    <w:rsid w:val="60EC2572"/>
    <w:rsid w:val="610039C6"/>
    <w:rsid w:val="6159391A"/>
    <w:rsid w:val="618D046B"/>
    <w:rsid w:val="62A24271"/>
    <w:rsid w:val="62B95C6D"/>
    <w:rsid w:val="63424F30"/>
    <w:rsid w:val="639801C2"/>
    <w:rsid w:val="63E07D7E"/>
    <w:rsid w:val="63EF4F82"/>
    <w:rsid w:val="64B355B9"/>
    <w:rsid w:val="650443F8"/>
    <w:rsid w:val="65842A18"/>
    <w:rsid w:val="658A2AAD"/>
    <w:rsid w:val="666B09B5"/>
    <w:rsid w:val="66885224"/>
    <w:rsid w:val="669F1E7E"/>
    <w:rsid w:val="675E39A2"/>
    <w:rsid w:val="6818452E"/>
    <w:rsid w:val="684F2A12"/>
    <w:rsid w:val="685759C9"/>
    <w:rsid w:val="689E467A"/>
    <w:rsid w:val="68D357B0"/>
    <w:rsid w:val="693A1F1E"/>
    <w:rsid w:val="69D4537F"/>
    <w:rsid w:val="69E47EB5"/>
    <w:rsid w:val="6A0A70F1"/>
    <w:rsid w:val="6A620CB5"/>
    <w:rsid w:val="6D15073E"/>
    <w:rsid w:val="6D3D563E"/>
    <w:rsid w:val="6D487F6F"/>
    <w:rsid w:val="6D80483F"/>
    <w:rsid w:val="6D9574A1"/>
    <w:rsid w:val="6E851CE7"/>
    <w:rsid w:val="6F0D6DEA"/>
    <w:rsid w:val="6FDB6284"/>
    <w:rsid w:val="70335EFB"/>
    <w:rsid w:val="716D5D94"/>
    <w:rsid w:val="720D7257"/>
    <w:rsid w:val="725A7846"/>
    <w:rsid w:val="728B1D53"/>
    <w:rsid w:val="73564B53"/>
    <w:rsid w:val="74035607"/>
    <w:rsid w:val="741F5EF8"/>
    <w:rsid w:val="76D10E3F"/>
    <w:rsid w:val="77901832"/>
    <w:rsid w:val="784264C1"/>
    <w:rsid w:val="786B73C0"/>
    <w:rsid w:val="79C20E03"/>
    <w:rsid w:val="79F55D1E"/>
    <w:rsid w:val="7A81291E"/>
    <w:rsid w:val="7CCC3BF9"/>
    <w:rsid w:val="7D1F60FD"/>
    <w:rsid w:val="7D8F2440"/>
    <w:rsid w:val="7DB23C95"/>
    <w:rsid w:val="7E0A6B90"/>
    <w:rsid w:val="7E5F7042"/>
    <w:rsid w:val="7F941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7"/>
    <w:autoRedefine/>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2"/>
    <w:autoRedefine/>
    <w:qFormat/>
    <w:uiPriority w:val="0"/>
    <w:pPr>
      <w:adjustRightInd w:val="0"/>
      <w:jc w:val="center"/>
      <w:textAlignment w:val="baseline"/>
      <w:outlineLvl w:val="1"/>
    </w:pPr>
    <w:rPr>
      <w:kern w:val="0"/>
      <w:sz w:val="24"/>
      <w:szCs w:val="20"/>
    </w:rPr>
  </w:style>
  <w:style w:type="paragraph" w:styleId="5">
    <w:name w:val="heading 3"/>
    <w:basedOn w:val="6"/>
    <w:next w:val="1"/>
    <w:link w:val="56"/>
    <w:autoRedefine/>
    <w:qFormat/>
    <w:uiPriority w:val="0"/>
    <w:pPr>
      <w:spacing w:before="260" w:after="260" w:line="240" w:lineRule="auto"/>
      <w:outlineLvl w:val="2"/>
    </w:pPr>
    <w:rPr>
      <w:rFonts w:ascii="宋体" w:hAnsi="宋体" w:eastAsia="宋体"/>
      <w:szCs w:val="32"/>
    </w:rPr>
  </w:style>
  <w:style w:type="paragraph" w:styleId="6">
    <w:name w:val="heading 4"/>
    <w:basedOn w:val="1"/>
    <w:next w:val="1"/>
    <w:link w:val="54"/>
    <w:autoRedefine/>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2"/>
    <w:link w:val="81"/>
    <w:autoRedefine/>
    <w:qFormat/>
    <w:uiPriority w:val="0"/>
    <w:pPr>
      <w:keepNext/>
      <w:keepLines/>
      <w:spacing w:before="280" w:after="290" w:line="376" w:lineRule="auto"/>
      <w:outlineLvl w:val="4"/>
    </w:pPr>
    <w:rPr>
      <w:b/>
      <w:sz w:val="28"/>
      <w:szCs w:val="20"/>
    </w:rPr>
  </w:style>
  <w:style w:type="paragraph" w:styleId="9">
    <w:name w:val="heading 6"/>
    <w:basedOn w:val="1"/>
    <w:next w:val="2"/>
    <w:link w:val="84"/>
    <w:autoRedefine/>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2"/>
    <w:link w:val="85"/>
    <w:autoRedefine/>
    <w:qFormat/>
    <w:uiPriority w:val="0"/>
    <w:pPr>
      <w:keepNext/>
      <w:keepLines/>
      <w:spacing w:before="240" w:after="64" w:line="320" w:lineRule="auto"/>
      <w:outlineLvl w:val="6"/>
    </w:pPr>
    <w:rPr>
      <w:b/>
      <w:sz w:val="24"/>
      <w:szCs w:val="20"/>
    </w:rPr>
  </w:style>
  <w:style w:type="paragraph" w:styleId="11">
    <w:name w:val="heading 8"/>
    <w:basedOn w:val="1"/>
    <w:next w:val="2"/>
    <w:link w:val="86"/>
    <w:autoRedefine/>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2"/>
    <w:link w:val="87"/>
    <w:autoRedefine/>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link w:val="58"/>
    <w:autoRedefine/>
    <w:qFormat/>
    <w:uiPriority w:val="0"/>
    <w:pPr>
      <w:ind w:firstLine="420"/>
    </w:pPr>
    <w:rPr>
      <w:szCs w:val="20"/>
    </w:rPr>
  </w:style>
  <w:style w:type="paragraph" w:styleId="3">
    <w:name w:val="Body Text"/>
    <w:basedOn w:val="1"/>
    <w:next w:val="1"/>
    <w:link w:val="93"/>
    <w:autoRedefine/>
    <w:qFormat/>
    <w:uiPriority w:val="0"/>
    <w:pPr>
      <w:spacing w:line="360" w:lineRule="auto"/>
    </w:pPr>
    <w:rPr>
      <w:b/>
      <w:bCs/>
      <w:sz w:val="24"/>
    </w:rPr>
  </w:style>
  <w:style w:type="paragraph" w:styleId="13">
    <w:name w:val="toc 7"/>
    <w:basedOn w:val="1"/>
    <w:next w:val="1"/>
    <w:autoRedefine/>
    <w:semiHidden/>
    <w:qFormat/>
    <w:uiPriority w:val="0"/>
    <w:pPr>
      <w:ind w:left="1260"/>
      <w:jc w:val="left"/>
    </w:pPr>
    <w:rPr>
      <w:szCs w:val="21"/>
    </w:rPr>
  </w:style>
  <w:style w:type="paragraph" w:styleId="14">
    <w:name w:val="caption"/>
    <w:basedOn w:val="1"/>
    <w:next w:val="1"/>
    <w:autoRedefine/>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autoRedefine/>
    <w:qFormat/>
    <w:uiPriority w:val="0"/>
    <w:pPr>
      <w:numPr>
        <w:ilvl w:val="0"/>
        <w:numId w:val="1"/>
      </w:numPr>
    </w:pPr>
    <w:rPr>
      <w:szCs w:val="20"/>
    </w:rPr>
  </w:style>
  <w:style w:type="paragraph" w:styleId="16">
    <w:name w:val="Document Map"/>
    <w:basedOn w:val="1"/>
    <w:autoRedefine/>
    <w:semiHidden/>
    <w:qFormat/>
    <w:uiPriority w:val="0"/>
    <w:pPr>
      <w:shd w:val="clear" w:color="auto" w:fill="000080"/>
    </w:pPr>
  </w:style>
  <w:style w:type="paragraph" w:styleId="17">
    <w:name w:val="annotation text"/>
    <w:basedOn w:val="1"/>
    <w:link w:val="185"/>
    <w:autoRedefine/>
    <w:semiHidden/>
    <w:qFormat/>
    <w:uiPriority w:val="0"/>
    <w:pPr>
      <w:autoSpaceDE w:val="0"/>
      <w:autoSpaceDN w:val="0"/>
      <w:adjustRightInd w:val="0"/>
      <w:jc w:val="left"/>
      <w:textAlignment w:val="baseline"/>
    </w:pPr>
    <w:rPr>
      <w:rFonts w:ascii="宋体"/>
      <w:kern w:val="0"/>
      <w:sz w:val="34"/>
      <w:szCs w:val="20"/>
    </w:rPr>
  </w:style>
  <w:style w:type="paragraph" w:styleId="18">
    <w:name w:val="Body Text 3"/>
    <w:basedOn w:val="1"/>
    <w:link w:val="99"/>
    <w:qFormat/>
    <w:uiPriority w:val="0"/>
    <w:pPr>
      <w:spacing w:after="120"/>
    </w:pPr>
    <w:rPr>
      <w:sz w:val="16"/>
      <w:szCs w:val="16"/>
    </w:rPr>
  </w:style>
  <w:style w:type="paragraph" w:styleId="19">
    <w:name w:val="Body Text Indent"/>
    <w:basedOn w:val="1"/>
    <w:link w:val="80"/>
    <w:autoRedefine/>
    <w:qFormat/>
    <w:uiPriority w:val="0"/>
    <w:pPr>
      <w:spacing w:line="360" w:lineRule="auto"/>
      <w:ind w:firstLine="420" w:firstLineChars="200"/>
    </w:pPr>
  </w:style>
  <w:style w:type="paragraph" w:styleId="20">
    <w:name w:val="toc 5"/>
    <w:basedOn w:val="1"/>
    <w:next w:val="1"/>
    <w:autoRedefine/>
    <w:semiHidden/>
    <w:qFormat/>
    <w:uiPriority w:val="0"/>
    <w:pPr>
      <w:ind w:left="840"/>
      <w:jc w:val="left"/>
    </w:pPr>
    <w:rPr>
      <w:szCs w:val="21"/>
    </w:rPr>
  </w:style>
  <w:style w:type="paragraph" w:styleId="21">
    <w:name w:val="toc 3"/>
    <w:basedOn w:val="1"/>
    <w:next w:val="1"/>
    <w:autoRedefine/>
    <w:semiHidden/>
    <w:qFormat/>
    <w:uiPriority w:val="0"/>
    <w:pPr>
      <w:ind w:left="420"/>
      <w:jc w:val="left"/>
    </w:pPr>
    <w:rPr>
      <w:i/>
      <w:iCs/>
    </w:rPr>
  </w:style>
  <w:style w:type="paragraph" w:styleId="22">
    <w:name w:val="Plain Text"/>
    <w:basedOn w:val="1"/>
    <w:link w:val="91"/>
    <w:autoRedefine/>
    <w:qFormat/>
    <w:uiPriority w:val="0"/>
    <w:rPr>
      <w:rFonts w:ascii="宋体" w:hAnsi="Courier New"/>
      <w:szCs w:val="20"/>
    </w:rPr>
  </w:style>
  <w:style w:type="paragraph" w:styleId="23">
    <w:name w:val="toc 8"/>
    <w:basedOn w:val="1"/>
    <w:next w:val="1"/>
    <w:autoRedefine/>
    <w:semiHidden/>
    <w:qFormat/>
    <w:uiPriority w:val="0"/>
    <w:pPr>
      <w:ind w:left="1470"/>
      <w:jc w:val="left"/>
    </w:pPr>
    <w:rPr>
      <w:szCs w:val="21"/>
    </w:rPr>
  </w:style>
  <w:style w:type="paragraph" w:styleId="24">
    <w:name w:val="Date"/>
    <w:basedOn w:val="1"/>
    <w:next w:val="1"/>
    <w:link w:val="89"/>
    <w:autoRedefine/>
    <w:qFormat/>
    <w:uiPriority w:val="0"/>
    <w:rPr>
      <w:rFonts w:ascii="宋体" w:hAnsi="Courier New"/>
      <w:sz w:val="32"/>
      <w:szCs w:val="20"/>
    </w:rPr>
  </w:style>
  <w:style w:type="paragraph" w:styleId="25">
    <w:name w:val="Body Text Indent 2"/>
    <w:basedOn w:val="1"/>
    <w:link w:val="94"/>
    <w:autoRedefine/>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100"/>
    <w:autoRedefine/>
    <w:semiHidden/>
    <w:qFormat/>
    <w:uiPriority w:val="0"/>
    <w:rPr>
      <w:sz w:val="18"/>
      <w:szCs w:val="18"/>
    </w:rPr>
  </w:style>
  <w:style w:type="paragraph" w:styleId="27">
    <w:name w:val="footer"/>
    <w:basedOn w:val="1"/>
    <w:link w:val="98"/>
    <w:autoRedefine/>
    <w:qFormat/>
    <w:uiPriority w:val="0"/>
    <w:pPr>
      <w:tabs>
        <w:tab w:val="center" w:pos="4153"/>
        <w:tab w:val="right" w:pos="8306"/>
      </w:tabs>
      <w:snapToGrid w:val="0"/>
      <w:jc w:val="left"/>
    </w:pPr>
    <w:rPr>
      <w:sz w:val="18"/>
      <w:szCs w:val="18"/>
    </w:rPr>
  </w:style>
  <w:style w:type="paragraph" w:styleId="28">
    <w:name w:val="header"/>
    <w:basedOn w:val="1"/>
    <w:link w:val="95"/>
    <w:autoRedefine/>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0"/>
    <w:pPr>
      <w:spacing w:before="120" w:after="120"/>
      <w:jc w:val="left"/>
    </w:pPr>
    <w:rPr>
      <w:b/>
      <w:bCs/>
      <w:caps/>
    </w:rPr>
  </w:style>
  <w:style w:type="paragraph" w:styleId="30">
    <w:name w:val="toc 4"/>
    <w:basedOn w:val="1"/>
    <w:next w:val="1"/>
    <w:autoRedefine/>
    <w:semiHidden/>
    <w:qFormat/>
    <w:uiPriority w:val="0"/>
    <w:pPr>
      <w:ind w:left="630"/>
      <w:jc w:val="left"/>
    </w:pPr>
    <w:rPr>
      <w:szCs w:val="21"/>
    </w:rPr>
  </w:style>
  <w:style w:type="paragraph" w:styleId="31">
    <w:name w:val="Subtitle"/>
    <w:next w:val="1"/>
    <w:link w:val="310"/>
    <w:autoRedefine/>
    <w:qFormat/>
    <w:uiPriority w:val="0"/>
    <w:pPr>
      <w:wordWrap w:val="0"/>
      <w:spacing w:after="60"/>
      <w:jc w:val="center"/>
    </w:pPr>
    <w:rPr>
      <w:rFonts w:ascii="Calibri" w:hAnsi="Calibri" w:eastAsia="宋体" w:cs="Times New Roman"/>
      <w:sz w:val="24"/>
      <w:lang w:val="en-US" w:eastAsia="zh-CN" w:bidi="ar-SA"/>
    </w:rPr>
  </w:style>
  <w:style w:type="paragraph" w:styleId="32">
    <w:name w:val="toc 6"/>
    <w:basedOn w:val="1"/>
    <w:next w:val="1"/>
    <w:autoRedefine/>
    <w:semiHidden/>
    <w:qFormat/>
    <w:uiPriority w:val="0"/>
    <w:pPr>
      <w:ind w:left="1050"/>
      <w:jc w:val="left"/>
    </w:pPr>
    <w:rPr>
      <w:szCs w:val="21"/>
    </w:rPr>
  </w:style>
  <w:style w:type="paragraph" w:styleId="33">
    <w:name w:val="Body Text Indent 3"/>
    <w:basedOn w:val="1"/>
    <w:link w:val="96"/>
    <w:autoRedefine/>
    <w:qFormat/>
    <w:uiPriority w:val="0"/>
    <w:pPr>
      <w:spacing w:line="360" w:lineRule="auto"/>
      <w:ind w:firstLine="482" w:firstLineChars="200"/>
    </w:pPr>
    <w:rPr>
      <w:rFonts w:ascii="宋体"/>
      <w:b/>
      <w:bCs/>
      <w:sz w:val="24"/>
    </w:rPr>
  </w:style>
  <w:style w:type="paragraph" w:styleId="34">
    <w:name w:val="toc 2"/>
    <w:basedOn w:val="1"/>
    <w:next w:val="1"/>
    <w:autoRedefine/>
    <w:semiHidden/>
    <w:qFormat/>
    <w:uiPriority w:val="0"/>
    <w:pPr>
      <w:tabs>
        <w:tab w:val="right" w:leader="dot" w:pos="8296"/>
      </w:tabs>
      <w:ind w:left="210"/>
      <w:jc w:val="left"/>
    </w:pPr>
    <w:rPr>
      <w:smallCaps/>
    </w:rPr>
  </w:style>
  <w:style w:type="paragraph" w:styleId="35">
    <w:name w:val="toc 9"/>
    <w:basedOn w:val="1"/>
    <w:next w:val="1"/>
    <w:autoRedefine/>
    <w:semiHidden/>
    <w:qFormat/>
    <w:uiPriority w:val="0"/>
    <w:pPr>
      <w:ind w:left="1680"/>
      <w:jc w:val="left"/>
    </w:pPr>
    <w:rPr>
      <w:szCs w:val="21"/>
    </w:rPr>
  </w:style>
  <w:style w:type="paragraph" w:styleId="36">
    <w:name w:val="Body Text 2"/>
    <w:basedOn w:val="1"/>
    <w:link w:val="97"/>
    <w:autoRedefine/>
    <w:qFormat/>
    <w:uiPriority w:val="0"/>
    <w:pPr>
      <w:spacing w:line="360" w:lineRule="auto"/>
    </w:pPr>
    <w:rPr>
      <w:sz w:val="24"/>
    </w:rPr>
  </w:style>
  <w:style w:type="paragraph" w:styleId="37">
    <w:name w:val="HTML Preformatted"/>
    <w:basedOn w:val="1"/>
    <w:link w:val="9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autoRedefine/>
    <w:qFormat/>
    <w:uiPriority w:val="99"/>
    <w:pPr>
      <w:spacing w:beforeAutospacing="1" w:afterAutospacing="1"/>
      <w:jc w:val="left"/>
    </w:pPr>
    <w:rPr>
      <w:kern w:val="0"/>
      <w:sz w:val="24"/>
    </w:rPr>
  </w:style>
  <w:style w:type="paragraph" w:styleId="39">
    <w:name w:val="index 1"/>
    <w:basedOn w:val="1"/>
    <w:next w:val="1"/>
    <w:autoRedefine/>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8"/>
    <w:autoRedefine/>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7"/>
    <w:next w:val="17"/>
    <w:link w:val="186"/>
    <w:autoRedefine/>
    <w:qFormat/>
    <w:uiPriority w:val="0"/>
    <w:pPr>
      <w:autoSpaceDE/>
      <w:autoSpaceDN/>
      <w:adjustRightInd/>
      <w:textAlignment w:val="auto"/>
    </w:pPr>
    <w:rPr>
      <w:rFonts w:ascii="Times New Roman"/>
      <w:b/>
      <w:bCs/>
      <w:kern w:val="2"/>
      <w:sz w:val="21"/>
      <w:szCs w:val="24"/>
    </w:rPr>
  </w:style>
  <w:style w:type="paragraph" w:styleId="42">
    <w:name w:val="Body Text First Indent"/>
    <w:basedOn w:val="3"/>
    <w:link w:val="131"/>
    <w:autoRedefine/>
    <w:qFormat/>
    <w:uiPriority w:val="0"/>
    <w:pPr>
      <w:spacing w:after="120" w:line="240" w:lineRule="auto"/>
      <w:ind w:firstLine="420" w:firstLineChars="100"/>
    </w:pPr>
    <w:rPr>
      <w:sz w:val="21"/>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Table Elegant"/>
    <w:basedOn w:val="43"/>
    <w:autoRedefine/>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autoRedefine/>
    <w:qFormat/>
    <w:uiPriority w:val="22"/>
    <w:rPr>
      <w:b/>
      <w:bCs/>
    </w:rPr>
  </w:style>
  <w:style w:type="character" w:styleId="48">
    <w:name w:val="page number"/>
    <w:basedOn w:val="46"/>
    <w:autoRedefine/>
    <w:qFormat/>
    <w:uiPriority w:val="0"/>
  </w:style>
  <w:style w:type="character" w:styleId="49">
    <w:name w:val="FollowedHyperlink"/>
    <w:autoRedefine/>
    <w:qFormat/>
    <w:uiPriority w:val="0"/>
    <w:rPr>
      <w:color w:val="800080"/>
      <w:u w:val="single"/>
    </w:rPr>
  </w:style>
  <w:style w:type="character" w:styleId="50">
    <w:name w:val="Emphasis"/>
    <w:basedOn w:val="46"/>
    <w:autoRedefine/>
    <w:qFormat/>
    <w:uiPriority w:val="0"/>
    <w:rPr>
      <w:sz w:val="20"/>
    </w:rPr>
  </w:style>
  <w:style w:type="character" w:styleId="51">
    <w:name w:val="Hyperlink"/>
    <w:autoRedefine/>
    <w:qFormat/>
    <w:uiPriority w:val="0"/>
    <w:rPr>
      <w:color w:val="0000FF"/>
      <w:u w:val="single"/>
    </w:rPr>
  </w:style>
  <w:style w:type="character" w:styleId="52">
    <w:name w:val="annotation reference"/>
    <w:basedOn w:val="46"/>
    <w:autoRedefine/>
    <w:qFormat/>
    <w:uiPriority w:val="0"/>
    <w:rPr>
      <w:sz w:val="21"/>
      <w:szCs w:val="21"/>
    </w:rPr>
  </w:style>
  <w:style w:type="paragraph" w:styleId="53">
    <w:name w:val="Quote"/>
    <w:basedOn w:val="1"/>
    <w:next w:val="1"/>
    <w:link w:val="439"/>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54">
    <w:name w:val="标题 4 Char"/>
    <w:link w:val="6"/>
    <w:autoRedefine/>
    <w:qFormat/>
    <w:uiPriority w:val="9"/>
    <w:rPr>
      <w:rFonts w:ascii="Arial" w:hAnsi="Arial" w:eastAsia="黑体"/>
      <w:b/>
      <w:bCs/>
      <w:kern w:val="2"/>
      <w:sz w:val="28"/>
      <w:szCs w:val="28"/>
      <w:lang w:val="en-US" w:eastAsia="zh-CN" w:bidi="ar-SA"/>
    </w:rPr>
  </w:style>
  <w:style w:type="paragraph" w:customStyle="1" w:styleId="55">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6">
    <w:name w:val="标题 3 Char1"/>
    <w:link w:val="5"/>
    <w:autoRedefine/>
    <w:qFormat/>
    <w:uiPriority w:val="0"/>
    <w:rPr>
      <w:rFonts w:ascii="宋体" w:hAnsi="宋体" w:eastAsia="宋体"/>
      <w:b/>
      <w:bCs/>
      <w:kern w:val="2"/>
      <w:sz w:val="28"/>
      <w:szCs w:val="32"/>
      <w:lang w:val="en-US" w:eastAsia="zh-CN" w:bidi="ar-SA"/>
    </w:rPr>
  </w:style>
  <w:style w:type="character" w:customStyle="1" w:styleId="57">
    <w:name w:val="标题 1 Char"/>
    <w:link w:val="4"/>
    <w:autoRedefine/>
    <w:qFormat/>
    <w:uiPriority w:val="0"/>
    <w:rPr>
      <w:rFonts w:ascii="宋体" w:hAnsi="宋体" w:eastAsia="黑体"/>
      <w:b/>
      <w:bCs/>
      <w:kern w:val="44"/>
      <w:sz w:val="28"/>
      <w:szCs w:val="44"/>
      <w:lang w:val="en-US" w:eastAsia="zh-CN" w:bidi="ar-SA"/>
    </w:rPr>
  </w:style>
  <w:style w:type="character" w:customStyle="1" w:styleId="58">
    <w:name w:val="正文缩进 Char"/>
    <w:link w:val="2"/>
    <w:autoRedefine/>
    <w:qFormat/>
    <w:uiPriority w:val="0"/>
    <w:rPr>
      <w:rFonts w:eastAsia="宋体"/>
      <w:kern w:val="2"/>
      <w:sz w:val="21"/>
      <w:lang w:val="en-US" w:eastAsia="zh-CN" w:bidi="ar-SA"/>
    </w:rPr>
  </w:style>
  <w:style w:type="character" w:customStyle="1" w:styleId="59">
    <w:name w:val="标题 3 Char"/>
    <w:autoRedefine/>
    <w:qFormat/>
    <w:uiPriority w:val="0"/>
    <w:rPr>
      <w:rFonts w:ascii="黑体" w:eastAsia="黑体"/>
      <w:bCs/>
      <w:sz w:val="30"/>
    </w:rPr>
  </w:style>
  <w:style w:type="paragraph" w:customStyle="1" w:styleId="60">
    <w:name w:val="样式41"/>
    <w:basedOn w:val="1"/>
    <w:autoRedefine/>
    <w:qFormat/>
    <w:uiPriority w:val="0"/>
    <w:pPr>
      <w:numPr>
        <w:ilvl w:val="0"/>
        <w:numId w:val="2"/>
      </w:numPr>
      <w:tabs>
        <w:tab w:val="left" w:pos="945"/>
      </w:tabs>
      <w:spacing w:line="360" w:lineRule="auto"/>
    </w:pPr>
    <w:rPr>
      <w:b/>
      <w:color w:val="000000"/>
      <w:sz w:val="24"/>
      <w:szCs w:val="20"/>
    </w:rPr>
  </w:style>
  <w:style w:type="paragraph" w:customStyle="1" w:styleId="61">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62">
    <w:name w:val="文档正文"/>
    <w:basedOn w:val="1"/>
    <w:autoRedefine/>
    <w:qFormat/>
    <w:uiPriority w:val="0"/>
    <w:pPr>
      <w:adjustRightInd w:val="0"/>
      <w:spacing w:line="480" w:lineRule="atLeast"/>
      <w:ind w:firstLine="567" w:firstLineChars="200"/>
      <w:textAlignment w:val="baseline"/>
    </w:pPr>
    <w:rPr>
      <w:rFonts w:ascii="长城仿宋"/>
      <w:kern w:val="0"/>
      <w:szCs w:val="20"/>
    </w:rPr>
  </w:style>
  <w:style w:type="paragraph" w:customStyle="1" w:styleId="6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Char Char Char 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autoRedefine/>
    <w:qFormat/>
    <w:uiPriority w:val="0"/>
    <w:pPr>
      <w:spacing w:afterLines="50"/>
      <w:ind w:left="600" w:leftChars="600"/>
    </w:pPr>
  </w:style>
  <w:style w:type="paragraph" w:customStyle="1" w:styleId="68">
    <w:name w:val="Char Char Char Char Char"/>
    <w:basedOn w:val="1"/>
    <w:autoRedefine/>
    <w:qFormat/>
    <w:uiPriority w:val="0"/>
    <w:rPr>
      <w:rFonts w:ascii="Tahoma" w:hAnsi="Tahoma"/>
      <w:sz w:val="24"/>
      <w:szCs w:val="20"/>
    </w:rPr>
  </w:style>
  <w:style w:type="paragraph" w:customStyle="1" w:styleId="69">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0">
    <w:name w:val="Char Char"/>
    <w:basedOn w:val="1"/>
    <w:autoRedefine/>
    <w:qFormat/>
    <w:uiPriority w:val="0"/>
    <w:rPr>
      <w:rFonts w:ascii="Tahoma" w:hAnsi="Tahoma"/>
      <w:sz w:val="24"/>
      <w:szCs w:val="20"/>
    </w:rPr>
  </w:style>
  <w:style w:type="paragraph" w:customStyle="1" w:styleId="71">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72">
    <w:name w:val="标题 2 Char"/>
    <w:link w:val="7"/>
    <w:autoRedefine/>
    <w:qFormat/>
    <w:uiPriority w:val="0"/>
    <w:rPr>
      <w:rFonts w:ascii="宋体" w:hAnsi="宋体" w:eastAsia="宋体"/>
      <w:b/>
      <w:bCs/>
      <w:sz w:val="24"/>
      <w:lang w:val="en-US" w:eastAsia="zh-CN" w:bidi="ar-SA"/>
    </w:rPr>
  </w:style>
  <w:style w:type="paragraph" w:customStyle="1" w:styleId="7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styleId="74">
    <w:name w:val="List Paragraph"/>
    <w:basedOn w:val="1"/>
    <w:autoRedefine/>
    <w:qFormat/>
    <w:uiPriority w:val="0"/>
    <w:pPr>
      <w:ind w:firstLine="420" w:firstLineChars="200"/>
    </w:pPr>
    <w:rPr>
      <w:rFonts w:ascii="Calibri" w:hAnsi="Calibri"/>
      <w:szCs w:val="22"/>
    </w:rPr>
  </w:style>
  <w:style w:type="paragraph" w:customStyle="1" w:styleId="75">
    <w:name w:val="USE 1"/>
    <w:basedOn w:val="1"/>
    <w:autoRedefine/>
    <w:qFormat/>
    <w:uiPriority w:val="0"/>
    <w:pPr>
      <w:spacing w:line="200" w:lineRule="atLeast"/>
      <w:jc w:val="left"/>
    </w:pPr>
    <w:rPr>
      <w:rFonts w:ascii="宋体" w:hAnsi="宋体"/>
      <w:b/>
      <w:sz w:val="24"/>
      <w:szCs w:val="28"/>
    </w:rPr>
  </w:style>
  <w:style w:type="paragraph" w:customStyle="1" w:styleId="76">
    <w:name w:val="RFI text from 3rd Level"/>
    <w:basedOn w:val="1"/>
    <w:autoRedefine/>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7">
    <w:name w:val="正文文字缩进项目"/>
    <w:basedOn w:val="19"/>
    <w:autoRedefine/>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8">
    <w:name w:val="样式 标题 2 + 段前: 13 磅 段后: 13 磅 行距: 单倍行距"/>
    <w:basedOn w:val="7"/>
    <w:autoRedefine/>
    <w:qFormat/>
    <w:uiPriority w:val="0"/>
    <w:pPr>
      <w:adjustRightInd/>
      <w:spacing w:before="0" w:after="0"/>
      <w:jc w:val="both"/>
      <w:textAlignment w:val="auto"/>
    </w:pPr>
    <w:rPr>
      <w:rFonts w:ascii="Cambria" w:hAnsi="Cambria" w:cs="宋体"/>
      <w:kern w:val="2"/>
      <w:sz w:val="32"/>
    </w:rPr>
  </w:style>
  <w:style w:type="character" w:customStyle="1" w:styleId="79">
    <w:name w:val="H4 Char2"/>
    <w:autoRedefine/>
    <w:qFormat/>
    <w:uiPriority w:val="0"/>
    <w:rPr>
      <w:rFonts w:ascii="Arial" w:hAnsi="Arial" w:eastAsia="黑体"/>
      <w:b/>
      <w:bCs/>
      <w:kern w:val="2"/>
      <w:sz w:val="28"/>
      <w:szCs w:val="28"/>
      <w:lang w:val="en-US" w:eastAsia="zh-CN" w:bidi="ar-SA"/>
    </w:rPr>
  </w:style>
  <w:style w:type="character" w:customStyle="1" w:styleId="80">
    <w:name w:val="正文文本缩进 Char"/>
    <w:link w:val="19"/>
    <w:autoRedefine/>
    <w:qFormat/>
    <w:uiPriority w:val="0"/>
    <w:rPr>
      <w:rFonts w:eastAsia="宋体"/>
      <w:kern w:val="2"/>
      <w:sz w:val="21"/>
      <w:szCs w:val="24"/>
      <w:lang w:val="en-US" w:eastAsia="zh-CN" w:bidi="ar-SA"/>
    </w:rPr>
  </w:style>
  <w:style w:type="character" w:customStyle="1" w:styleId="81">
    <w:name w:val="标题 5 Char"/>
    <w:link w:val="8"/>
    <w:autoRedefine/>
    <w:qFormat/>
    <w:uiPriority w:val="0"/>
    <w:rPr>
      <w:rFonts w:eastAsia="宋体"/>
      <w:b/>
      <w:kern w:val="2"/>
      <w:sz w:val="28"/>
      <w:lang w:val="en-US" w:eastAsia="zh-CN" w:bidi="ar-SA"/>
    </w:rPr>
  </w:style>
  <w:style w:type="character" w:customStyle="1" w:styleId="82">
    <w:name w:val="第*章 Char"/>
    <w:autoRedefine/>
    <w:qFormat/>
    <w:uiPriority w:val="0"/>
    <w:rPr>
      <w:rFonts w:ascii="Arial" w:hAnsi="Arial" w:eastAsia="黑体"/>
      <w:b/>
      <w:bCs/>
      <w:kern w:val="2"/>
      <w:sz w:val="32"/>
      <w:szCs w:val="32"/>
    </w:rPr>
  </w:style>
  <w:style w:type="character" w:customStyle="1" w:styleId="83">
    <w:name w:val="章标题1 Char"/>
    <w:autoRedefine/>
    <w:qFormat/>
    <w:uiPriority w:val="0"/>
    <w:rPr>
      <w:rFonts w:eastAsia="宋体"/>
      <w:b/>
      <w:bCs/>
      <w:kern w:val="2"/>
      <w:sz w:val="32"/>
      <w:szCs w:val="32"/>
      <w:lang w:val="en-US" w:eastAsia="zh-CN" w:bidi="ar-SA"/>
    </w:rPr>
  </w:style>
  <w:style w:type="character" w:customStyle="1" w:styleId="84">
    <w:name w:val="标题 6 Char"/>
    <w:link w:val="9"/>
    <w:autoRedefine/>
    <w:qFormat/>
    <w:uiPriority w:val="0"/>
    <w:rPr>
      <w:rFonts w:ascii="Arial" w:hAnsi="Arial" w:eastAsia="黑体"/>
      <w:b/>
      <w:kern w:val="2"/>
      <w:sz w:val="24"/>
      <w:lang w:val="en-US" w:eastAsia="zh-CN" w:bidi="ar-SA"/>
    </w:rPr>
  </w:style>
  <w:style w:type="character" w:customStyle="1" w:styleId="85">
    <w:name w:val="标题 7 Char"/>
    <w:link w:val="10"/>
    <w:autoRedefine/>
    <w:qFormat/>
    <w:uiPriority w:val="0"/>
    <w:rPr>
      <w:rFonts w:eastAsia="宋体"/>
      <w:b/>
      <w:kern w:val="2"/>
      <w:sz w:val="24"/>
      <w:lang w:val="en-US" w:eastAsia="zh-CN" w:bidi="ar-SA"/>
    </w:rPr>
  </w:style>
  <w:style w:type="character" w:customStyle="1" w:styleId="86">
    <w:name w:val="标题 8 Char"/>
    <w:link w:val="11"/>
    <w:autoRedefine/>
    <w:qFormat/>
    <w:uiPriority w:val="0"/>
    <w:rPr>
      <w:rFonts w:ascii="Arial" w:hAnsi="Arial" w:eastAsia="黑体"/>
      <w:kern w:val="2"/>
      <w:sz w:val="24"/>
      <w:lang w:val="en-US" w:eastAsia="zh-CN" w:bidi="ar-SA"/>
    </w:rPr>
  </w:style>
  <w:style w:type="character" w:customStyle="1" w:styleId="87">
    <w:name w:val="标题 9 Char"/>
    <w:link w:val="12"/>
    <w:autoRedefine/>
    <w:qFormat/>
    <w:uiPriority w:val="0"/>
    <w:rPr>
      <w:rFonts w:ascii="Arial" w:hAnsi="Arial" w:eastAsia="黑体"/>
      <w:kern w:val="2"/>
      <w:sz w:val="21"/>
      <w:lang w:val="en-US" w:eastAsia="zh-CN" w:bidi="ar-SA"/>
    </w:rPr>
  </w:style>
  <w:style w:type="character" w:customStyle="1" w:styleId="88">
    <w:name w:val="标题 Char"/>
    <w:link w:val="40"/>
    <w:autoRedefine/>
    <w:qFormat/>
    <w:uiPriority w:val="0"/>
    <w:rPr>
      <w:rFonts w:ascii="Arial" w:hAnsi="Arial" w:eastAsia="隶书" w:cs="Arial"/>
      <w:b/>
      <w:bCs/>
      <w:kern w:val="2"/>
      <w:sz w:val="32"/>
      <w:szCs w:val="32"/>
      <w:lang w:val="en-US" w:eastAsia="zh-CN" w:bidi="ar-SA"/>
    </w:rPr>
  </w:style>
  <w:style w:type="character" w:customStyle="1" w:styleId="89">
    <w:name w:val="日期 Char"/>
    <w:link w:val="24"/>
    <w:autoRedefine/>
    <w:qFormat/>
    <w:uiPriority w:val="0"/>
    <w:rPr>
      <w:rFonts w:ascii="宋体" w:hAnsi="Courier New" w:eastAsia="宋体"/>
      <w:kern w:val="2"/>
      <w:sz w:val="32"/>
      <w:lang w:val="en-US" w:eastAsia="zh-CN" w:bidi="ar-SA"/>
    </w:rPr>
  </w:style>
  <w:style w:type="character" w:customStyle="1" w:styleId="90">
    <w:name w:val="HTML 预设格式 Char"/>
    <w:link w:val="37"/>
    <w:autoRedefine/>
    <w:qFormat/>
    <w:uiPriority w:val="0"/>
    <w:rPr>
      <w:rFonts w:ascii="Arial Unicode MS" w:hAnsi="Arial Unicode MS" w:eastAsia="Arial Unicode MS"/>
      <w:color w:val="000000"/>
      <w:lang w:val="en-US" w:eastAsia="zh-CN" w:bidi="ar-SA"/>
    </w:rPr>
  </w:style>
  <w:style w:type="character" w:customStyle="1" w:styleId="91">
    <w:name w:val="纯文本 Char"/>
    <w:link w:val="22"/>
    <w:autoRedefine/>
    <w:qFormat/>
    <w:uiPriority w:val="0"/>
    <w:rPr>
      <w:rFonts w:ascii="宋体" w:hAnsi="Courier New" w:eastAsia="宋体"/>
      <w:kern w:val="2"/>
      <w:sz w:val="21"/>
      <w:lang w:val="en-US" w:eastAsia="zh-CN" w:bidi="ar-SA"/>
    </w:rPr>
  </w:style>
  <w:style w:type="character" w:customStyle="1" w:styleId="92">
    <w:name w:val="正文文字首行缩进 Char"/>
    <w:autoRedefine/>
    <w:qFormat/>
    <w:uiPriority w:val="0"/>
    <w:rPr>
      <w:kern w:val="2"/>
      <w:sz w:val="21"/>
      <w:szCs w:val="24"/>
    </w:rPr>
  </w:style>
  <w:style w:type="character" w:customStyle="1" w:styleId="93">
    <w:name w:val="正文文本 Char"/>
    <w:link w:val="3"/>
    <w:autoRedefine/>
    <w:qFormat/>
    <w:uiPriority w:val="0"/>
    <w:rPr>
      <w:rFonts w:eastAsia="宋体"/>
      <w:b/>
      <w:bCs/>
      <w:kern w:val="2"/>
      <w:sz w:val="24"/>
      <w:szCs w:val="24"/>
      <w:lang w:val="en-US" w:eastAsia="zh-CN" w:bidi="ar-SA"/>
    </w:rPr>
  </w:style>
  <w:style w:type="character" w:customStyle="1" w:styleId="94">
    <w:name w:val="正文文本缩进 2 Char"/>
    <w:link w:val="25"/>
    <w:autoRedefine/>
    <w:qFormat/>
    <w:uiPriority w:val="0"/>
    <w:rPr>
      <w:rFonts w:ascii="宋体" w:hAnsi="宋体" w:eastAsia="宋体"/>
      <w:kern w:val="2"/>
      <w:sz w:val="21"/>
      <w:szCs w:val="24"/>
      <w:lang w:val="en-US" w:eastAsia="zh-CN" w:bidi="ar-SA"/>
    </w:rPr>
  </w:style>
  <w:style w:type="character" w:customStyle="1" w:styleId="95">
    <w:name w:val="页眉 Char"/>
    <w:link w:val="28"/>
    <w:autoRedefine/>
    <w:qFormat/>
    <w:uiPriority w:val="99"/>
    <w:rPr>
      <w:rFonts w:eastAsia="宋体"/>
      <w:kern w:val="2"/>
      <w:sz w:val="18"/>
      <w:szCs w:val="18"/>
      <w:lang w:val="en-US" w:eastAsia="zh-CN" w:bidi="ar-SA"/>
    </w:rPr>
  </w:style>
  <w:style w:type="character" w:customStyle="1" w:styleId="96">
    <w:name w:val="正文文本缩进 3 Char"/>
    <w:link w:val="33"/>
    <w:autoRedefine/>
    <w:qFormat/>
    <w:uiPriority w:val="0"/>
    <w:rPr>
      <w:rFonts w:ascii="宋体" w:eastAsia="宋体"/>
      <w:b/>
      <w:bCs/>
      <w:kern w:val="2"/>
      <w:sz w:val="24"/>
      <w:szCs w:val="24"/>
      <w:lang w:val="en-US" w:eastAsia="zh-CN" w:bidi="ar-SA"/>
    </w:rPr>
  </w:style>
  <w:style w:type="character" w:customStyle="1" w:styleId="97">
    <w:name w:val="正文文本 2 Char"/>
    <w:link w:val="36"/>
    <w:autoRedefine/>
    <w:qFormat/>
    <w:uiPriority w:val="0"/>
    <w:rPr>
      <w:rFonts w:eastAsia="宋体"/>
      <w:kern w:val="2"/>
      <w:sz w:val="24"/>
      <w:szCs w:val="24"/>
      <w:lang w:val="en-US" w:eastAsia="zh-CN" w:bidi="ar-SA"/>
    </w:rPr>
  </w:style>
  <w:style w:type="character" w:customStyle="1" w:styleId="98">
    <w:name w:val="页脚 Char"/>
    <w:link w:val="27"/>
    <w:autoRedefine/>
    <w:qFormat/>
    <w:uiPriority w:val="0"/>
    <w:rPr>
      <w:rFonts w:eastAsia="宋体"/>
      <w:kern w:val="2"/>
      <w:sz w:val="18"/>
      <w:szCs w:val="18"/>
      <w:lang w:val="en-US" w:eastAsia="zh-CN" w:bidi="ar-SA"/>
    </w:rPr>
  </w:style>
  <w:style w:type="character" w:customStyle="1" w:styleId="99">
    <w:name w:val="正文文本 3 Char"/>
    <w:link w:val="18"/>
    <w:autoRedefine/>
    <w:qFormat/>
    <w:uiPriority w:val="0"/>
    <w:rPr>
      <w:rFonts w:eastAsia="宋体"/>
      <w:kern w:val="2"/>
      <w:sz w:val="16"/>
      <w:szCs w:val="16"/>
      <w:lang w:val="en-US" w:eastAsia="zh-CN" w:bidi="ar-SA"/>
    </w:rPr>
  </w:style>
  <w:style w:type="character" w:customStyle="1" w:styleId="100">
    <w:name w:val="批注框文本 Char"/>
    <w:link w:val="26"/>
    <w:autoRedefine/>
    <w:semiHidden/>
    <w:qFormat/>
    <w:uiPriority w:val="0"/>
    <w:rPr>
      <w:rFonts w:eastAsia="宋体"/>
      <w:kern w:val="2"/>
      <w:sz w:val="18"/>
      <w:szCs w:val="18"/>
      <w:lang w:val="en-US" w:eastAsia="zh-CN" w:bidi="ar-SA"/>
    </w:rPr>
  </w:style>
  <w:style w:type="paragraph" w:customStyle="1" w:styleId="101">
    <w:name w:val="样式1"/>
    <w:basedOn w:val="40"/>
    <w:autoRedefine/>
    <w:qFormat/>
    <w:uiPriority w:val="0"/>
    <w:pPr>
      <w:spacing w:before="120" w:after="120"/>
    </w:pPr>
    <w:rPr>
      <w:rFonts w:eastAsia="黑体"/>
      <w:b w:val="0"/>
      <w:sz w:val="30"/>
      <w:szCs w:val="21"/>
    </w:rPr>
  </w:style>
  <w:style w:type="paragraph" w:customStyle="1" w:styleId="102">
    <w:name w:val="样式2"/>
    <w:basedOn w:val="40"/>
    <w:next w:val="101"/>
    <w:autoRedefine/>
    <w:qFormat/>
    <w:uiPriority w:val="0"/>
    <w:pPr>
      <w:spacing w:before="120" w:after="120"/>
    </w:pPr>
    <w:rPr>
      <w:rFonts w:eastAsia="黑体"/>
      <w:b w:val="0"/>
      <w:sz w:val="30"/>
      <w:szCs w:val="30"/>
    </w:rPr>
  </w:style>
  <w:style w:type="character" w:customStyle="1" w:styleId="103">
    <w:name w:val="标题 3 Char Char"/>
    <w:autoRedefine/>
    <w:qFormat/>
    <w:uiPriority w:val="0"/>
    <w:rPr>
      <w:rFonts w:eastAsia="宋体"/>
      <w:b/>
      <w:bCs/>
      <w:kern w:val="2"/>
      <w:sz w:val="32"/>
      <w:szCs w:val="32"/>
      <w:lang w:val="en-US" w:eastAsia="zh-CN" w:bidi="ar-SA"/>
    </w:rPr>
  </w:style>
  <w:style w:type="paragraph" w:customStyle="1" w:styleId="104">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5">
    <w:name w:val="cont"/>
    <w:basedOn w:val="1"/>
    <w:autoRedefine/>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6">
    <w:name w:val="--规划正文"/>
    <w:basedOn w:val="1"/>
    <w:autoRedefine/>
    <w:qFormat/>
    <w:uiPriority w:val="0"/>
    <w:pPr>
      <w:spacing w:line="360" w:lineRule="auto"/>
      <w:ind w:firstLine="200" w:firstLineChars="200"/>
    </w:pPr>
    <w:rPr>
      <w:szCs w:val="20"/>
    </w:rPr>
  </w:style>
  <w:style w:type="paragraph" w:customStyle="1" w:styleId="107">
    <w:name w:val="设计依据"/>
    <w:basedOn w:val="3"/>
    <w:autoRedefine/>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8">
    <w:name w:val="方案要点"/>
    <w:basedOn w:val="1"/>
    <w:autoRedefine/>
    <w:qFormat/>
    <w:uiPriority w:val="0"/>
    <w:pPr>
      <w:numPr>
        <w:ilvl w:val="0"/>
        <w:numId w:val="4"/>
      </w:numPr>
      <w:spacing w:line="360" w:lineRule="auto"/>
    </w:pPr>
    <w:rPr>
      <w:rFonts w:ascii="仿宋_GB2312" w:hAnsi="宋体" w:eastAsia="仿宋_GB2312"/>
      <w:color w:val="000000"/>
      <w:sz w:val="28"/>
      <w:szCs w:val="28"/>
    </w:rPr>
  </w:style>
  <w:style w:type="paragraph" w:customStyle="1" w:styleId="109">
    <w:name w:val="样式4"/>
    <w:basedOn w:val="1"/>
    <w:autoRedefine/>
    <w:qFormat/>
    <w:uiPriority w:val="0"/>
    <w:pPr>
      <w:tabs>
        <w:tab w:val="left" w:pos="842"/>
      </w:tabs>
      <w:spacing w:line="360" w:lineRule="auto"/>
      <w:ind w:left="842" w:hanging="420"/>
    </w:pPr>
    <w:rPr>
      <w:sz w:val="24"/>
    </w:rPr>
  </w:style>
  <w:style w:type="paragraph" w:customStyle="1" w:styleId="110">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111">
    <w:name w:val="--规划-表格-居左"/>
    <w:basedOn w:val="106"/>
    <w:autoRedefine/>
    <w:qFormat/>
    <w:uiPriority w:val="0"/>
    <w:pPr>
      <w:spacing w:line="240" w:lineRule="auto"/>
      <w:ind w:firstLine="0" w:firstLineChars="0"/>
    </w:pPr>
    <w:rPr>
      <w:sz w:val="20"/>
    </w:rPr>
  </w:style>
  <w:style w:type="paragraph" w:customStyle="1" w:styleId="112">
    <w:name w:val="--规划-表格-居中"/>
    <w:basedOn w:val="106"/>
    <w:autoRedefine/>
    <w:qFormat/>
    <w:uiPriority w:val="0"/>
    <w:pPr>
      <w:spacing w:line="240" w:lineRule="auto"/>
      <w:ind w:firstLine="0" w:firstLineChars="0"/>
      <w:jc w:val="center"/>
    </w:pPr>
    <w:rPr>
      <w:sz w:val="20"/>
    </w:rPr>
  </w:style>
  <w:style w:type="paragraph" w:customStyle="1" w:styleId="113">
    <w:name w:val="--编号内缩进"/>
    <w:basedOn w:val="1"/>
    <w:autoRedefine/>
    <w:qFormat/>
    <w:uiPriority w:val="0"/>
    <w:pPr>
      <w:spacing w:line="360" w:lineRule="auto"/>
      <w:ind w:left="420" w:firstLine="200" w:firstLineChars="200"/>
    </w:pPr>
    <w:rPr>
      <w:szCs w:val="21"/>
    </w:rPr>
  </w:style>
  <w:style w:type="paragraph" w:customStyle="1" w:styleId="114">
    <w:name w:val="--规划-题注"/>
    <w:basedOn w:val="1"/>
    <w:next w:val="106"/>
    <w:autoRedefine/>
    <w:qFormat/>
    <w:uiPriority w:val="0"/>
    <w:pPr>
      <w:spacing w:line="360" w:lineRule="auto"/>
      <w:jc w:val="center"/>
    </w:pPr>
    <w:rPr>
      <w:rFonts w:eastAsia="黑体"/>
    </w:rPr>
  </w:style>
  <w:style w:type="paragraph" w:customStyle="1" w:styleId="115">
    <w:name w:val="--规划-图和表"/>
    <w:next w:val="106"/>
    <w:autoRedefine/>
    <w:qFormat/>
    <w:uiPriority w:val="0"/>
    <w:pPr>
      <w:jc w:val="center"/>
    </w:pPr>
    <w:rPr>
      <w:rFonts w:ascii="Times New Roman" w:hAnsi="Times New Roman" w:eastAsia="宋体" w:cs="Times New Roman"/>
      <w:kern w:val="2"/>
      <w:sz w:val="21"/>
      <w:lang w:val="en-US" w:eastAsia="zh-CN" w:bidi="ar-SA"/>
    </w:rPr>
  </w:style>
  <w:style w:type="paragraph" w:customStyle="1" w:styleId="116">
    <w:name w:val="--规划-小标题"/>
    <w:basedOn w:val="1"/>
    <w:next w:val="106"/>
    <w:autoRedefine/>
    <w:qFormat/>
    <w:uiPriority w:val="0"/>
    <w:pPr>
      <w:keepNext/>
      <w:keepLines/>
      <w:spacing w:line="360" w:lineRule="auto"/>
      <w:outlineLvl w:val="4"/>
    </w:pPr>
    <w:rPr>
      <w:rFonts w:eastAsia="黑体"/>
    </w:rPr>
  </w:style>
  <w:style w:type="paragraph" w:customStyle="1" w:styleId="117">
    <w:name w:val="--规划正文 Char"/>
    <w:basedOn w:val="1"/>
    <w:autoRedefine/>
    <w:qFormat/>
    <w:uiPriority w:val="0"/>
    <w:pPr>
      <w:spacing w:line="360" w:lineRule="auto"/>
      <w:ind w:firstLine="200" w:firstLineChars="200"/>
    </w:pPr>
    <w:rPr>
      <w:sz w:val="24"/>
    </w:rPr>
  </w:style>
  <w:style w:type="paragraph" w:customStyle="1" w:styleId="118">
    <w:name w:val="缺省文本"/>
    <w:basedOn w:val="1"/>
    <w:autoRedefine/>
    <w:qFormat/>
    <w:uiPriority w:val="0"/>
    <w:pPr>
      <w:autoSpaceDE w:val="0"/>
      <w:autoSpaceDN w:val="0"/>
      <w:adjustRightInd w:val="0"/>
      <w:jc w:val="left"/>
    </w:pPr>
    <w:rPr>
      <w:kern w:val="0"/>
    </w:rPr>
  </w:style>
  <w:style w:type="paragraph" w:customStyle="1" w:styleId="119">
    <w:name w:val="封面文档标题"/>
    <w:basedOn w:val="1"/>
    <w:autoRedefine/>
    <w:qFormat/>
    <w:uiPriority w:val="0"/>
    <w:pPr>
      <w:autoSpaceDE w:val="0"/>
      <w:autoSpaceDN w:val="0"/>
      <w:adjustRightInd w:val="0"/>
      <w:spacing w:line="360" w:lineRule="auto"/>
      <w:jc w:val="center"/>
    </w:pPr>
    <w:rPr>
      <w:rFonts w:ascii="Arial" w:hAnsi="Arial"/>
      <w:b/>
      <w:kern w:val="0"/>
      <w:sz w:val="56"/>
    </w:rPr>
  </w:style>
  <w:style w:type="character" w:customStyle="1" w:styleId="120">
    <w:name w:val="--规划正文 Char Char"/>
    <w:autoRedefine/>
    <w:qFormat/>
    <w:uiPriority w:val="0"/>
    <w:rPr>
      <w:rFonts w:eastAsia="宋体"/>
      <w:kern w:val="2"/>
      <w:sz w:val="24"/>
      <w:szCs w:val="24"/>
      <w:lang w:val="en-US" w:eastAsia="zh-CN" w:bidi="ar-SA"/>
    </w:rPr>
  </w:style>
  <w:style w:type="paragraph" w:customStyle="1" w:styleId="121">
    <w:name w:val="样式3"/>
    <w:basedOn w:val="4"/>
    <w:autoRedefine/>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2">
    <w:name w:val="--规划正文 Char1"/>
    <w:autoRedefine/>
    <w:qFormat/>
    <w:uiPriority w:val="0"/>
    <w:rPr>
      <w:rFonts w:eastAsia="宋体"/>
      <w:kern w:val="2"/>
      <w:sz w:val="21"/>
      <w:lang w:val="en-US" w:eastAsia="zh-CN" w:bidi="ar-SA"/>
    </w:rPr>
  </w:style>
  <w:style w:type="paragraph" w:customStyle="1" w:styleId="123">
    <w:name w:val="word"/>
    <w:basedOn w:val="1"/>
    <w:autoRedefine/>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4">
    <w:name w:val="列表项目"/>
    <w:basedOn w:val="1"/>
    <w:autoRedefine/>
    <w:qFormat/>
    <w:uiPriority w:val="0"/>
    <w:pPr>
      <w:tabs>
        <w:tab w:val="left" w:pos="420"/>
        <w:tab w:val="left" w:pos="1080"/>
      </w:tabs>
      <w:spacing w:line="288" w:lineRule="auto"/>
      <w:ind w:left="1080" w:hanging="360"/>
    </w:pPr>
    <w:rPr>
      <w:sz w:val="24"/>
      <w:szCs w:val="20"/>
    </w:rPr>
  </w:style>
  <w:style w:type="character" w:customStyle="1" w:styleId="125">
    <w:name w:val="content1"/>
    <w:autoRedefine/>
    <w:qFormat/>
    <w:uiPriority w:val="0"/>
    <w:rPr>
      <w:rFonts w:hint="default" w:ascii="??" w:hAnsi="??"/>
      <w:sz w:val="16"/>
      <w:szCs w:val="16"/>
      <w:u w:val="none"/>
    </w:rPr>
  </w:style>
  <w:style w:type="character" w:customStyle="1" w:styleId="126">
    <w:name w:val="unnamed4"/>
    <w:basedOn w:val="46"/>
    <w:autoRedefine/>
    <w:qFormat/>
    <w:uiPriority w:val="0"/>
  </w:style>
  <w:style w:type="character" w:customStyle="1" w:styleId="127">
    <w:name w:val="font2"/>
    <w:basedOn w:val="46"/>
    <w:autoRedefine/>
    <w:qFormat/>
    <w:uiPriority w:val="0"/>
  </w:style>
  <w:style w:type="character" w:customStyle="1" w:styleId="128">
    <w:name w:val="font41"/>
    <w:autoRedefine/>
    <w:qFormat/>
    <w:uiPriority w:val="0"/>
    <w:rPr>
      <w:color w:val="000000"/>
      <w:spacing w:val="260"/>
      <w:sz w:val="18"/>
      <w:szCs w:val="18"/>
      <w:u w:val="none"/>
    </w:rPr>
  </w:style>
  <w:style w:type="paragraph" w:customStyle="1" w:styleId="129">
    <w:name w:val="正文(首行缩进)"/>
    <w:autoRedefine/>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0">
    <w:name w:val="xl72"/>
    <w:basedOn w:val="1"/>
    <w:autoRedefine/>
    <w:qFormat/>
    <w:uiPriority w:val="0"/>
    <w:pPr>
      <w:widowControl/>
      <w:spacing w:before="100" w:beforeAutospacing="1" w:after="100" w:afterAutospacing="1"/>
      <w:jc w:val="left"/>
    </w:pPr>
    <w:rPr>
      <w:rFonts w:ascii="宋体" w:hAnsi="宋体"/>
      <w:b/>
      <w:bCs/>
      <w:kern w:val="0"/>
      <w:sz w:val="28"/>
      <w:szCs w:val="28"/>
    </w:rPr>
  </w:style>
  <w:style w:type="character" w:customStyle="1" w:styleId="131">
    <w:name w:val="正文首行缩进 Char"/>
    <w:link w:val="42"/>
    <w:autoRedefine/>
    <w:qFormat/>
    <w:uiPriority w:val="0"/>
    <w:rPr>
      <w:rFonts w:eastAsia="宋体"/>
      <w:b/>
      <w:bCs/>
      <w:kern w:val="2"/>
      <w:sz w:val="21"/>
      <w:szCs w:val="24"/>
      <w:lang w:val="en-US" w:eastAsia="zh-CN" w:bidi="ar-SA"/>
    </w:rPr>
  </w:style>
  <w:style w:type="paragraph" w:customStyle="1" w:styleId="132">
    <w:name w:val="正文(首行缩进) Char"/>
    <w:autoRedefine/>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3">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4">
    <w:name w:val="汉仪细等线简9BOLD"/>
    <w:basedOn w:val="1"/>
    <w:autoRedefine/>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5">
    <w:name w:val="mode"/>
    <w:basedOn w:val="46"/>
    <w:autoRedefine/>
    <w:qFormat/>
    <w:uiPriority w:val="0"/>
  </w:style>
  <w:style w:type="paragraph" w:customStyle="1" w:styleId="136">
    <w:name w:val="9"/>
    <w:basedOn w:val="1"/>
    <w:next w:val="2"/>
    <w:autoRedefine/>
    <w:qFormat/>
    <w:uiPriority w:val="0"/>
    <w:pPr>
      <w:autoSpaceDE w:val="0"/>
      <w:autoSpaceDN w:val="0"/>
      <w:adjustRightInd w:val="0"/>
      <w:ind w:firstLine="420"/>
      <w:jc w:val="left"/>
      <w:textAlignment w:val="baseline"/>
    </w:pPr>
    <w:rPr>
      <w:rFonts w:ascii="宋体"/>
      <w:kern w:val="0"/>
      <w:sz w:val="34"/>
      <w:szCs w:val="20"/>
    </w:rPr>
  </w:style>
  <w:style w:type="character" w:customStyle="1" w:styleId="137">
    <w:name w:val="unnamed3"/>
    <w:basedOn w:val="46"/>
    <w:autoRedefine/>
    <w:qFormat/>
    <w:uiPriority w:val="0"/>
  </w:style>
  <w:style w:type="paragraph" w:customStyle="1" w:styleId="138">
    <w:name w:val="8"/>
    <w:basedOn w:val="1"/>
    <w:next w:val="19"/>
    <w:autoRedefine/>
    <w:qFormat/>
    <w:uiPriority w:val="0"/>
    <w:pPr>
      <w:spacing w:after="120"/>
      <w:ind w:left="420" w:leftChars="200"/>
    </w:pPr>
  </w:style>
  <w:style w:type="paragraph" w:customStyle="1" w:styleId="139">
    <w:name w:val="7"/>
    <w:basedOn w:val="1"/>
    <w:autoRedefine/>
    <w:qFormat/>
    <w:uiPriority w:val="0"/>
    <w:pPr>
      <w:autoSpaceDE w:val="0"/>
      <w:autoSpaceDN w:val="0"/>
      <w:adjustRightInd w:val="0"/>
      <w:spacing w:line="270" w:lineRule="atLeast"/>
      <w:jc w:val="left"/>
    </w:pPr>
    <w:rPr>
      <w:rFonts w:ascii="宋体"/>
      <w:kern w:val="0"/>
      <w:sz w:val="18"/>
      <w:szCs w:val="18"/>
    </w:rPr>
  </w:style>
  <w:style w:type="paragraph" w:customStyle="1" w:styleId="140">
    <w:name w:val="00"/>
    <w:basedOn w:val="1"/>
    <w:autoRedefine/>
    <w:qFormat/>
    <w:uiPriority w:val="0"/>
    <w:pPr>
      <w:autoSpaceDE w:val="0"/>
      <w:autoSpaceDN w:val="0"/>
      <w:adjustRightInd w:val="0"/>
      <w:jc w:val="left"/>
    </w:pPr>
    <w:rPr>
      <w:rFonts w:ascii="黑体" w:eastAsia="黑体"/>
      <w:b/>
      <w:bCs/>
      <w:kern w:val="0"/>
      <w:sz w:val="20"/>
      <w:szCs w:val="20"/>
    </w:rPr>
  </w:style>
  <w:style w:type="paragraph" w:customStyle="1" w:styleId="141">
    <w:name w:val="5"/>
    <w:basedOn w:val="1"/>
    <w:autoRedefine/>
    <w:qFormat/>
    <w:uiPriority w:val="0"/>
    <w:pPr>
      <w:autoSpaceDE w:val="0"/>
      <w:autoSpaceDN w:val="0"/>
      <w:adjustRightInd w:val="0"/>
      <w:jc w:val="left"/>
    </w:pPr>
    <w:rPr>
      <w:rFonts w:ascii="宋体"/>
      <w:b/>
      <w:bCs/>
      <w:kern w:val="0"/>
      <w:sz w:val="18"/>
      <w:szCs w:val="18"/>
    </w:rPr>
  </w:style>
  <w:style w:type="paragraph" w:customStyle="1" w:styleId="142">
    <w:name w:val="6"/>
    <w:basedOn w:val="141"/>
    <w:autoRedefine/>
    <w:qFormat/>
    <w:uiPriority w:val="0"/>
    <w:pPr>
      <w:spacing w:line="270" w:lineRule="atLeast"/>
      <w:jc w:val="both"/>
    </w:pPr>
    <w:rPr>
      <w:b w:val="0"/>
      <w:bCs w:val="0"/>
    </w:rPr>
  </w:style>
  <w:style w:type="paragraph" w:customStyle="1" w:styleId="143">
    <w:name w:val="产品描述"/>
    <w:autoRedefine/>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4">
    <w:name w:val="姜文清定义的正文"/>
    <w:basedOn w:val="1"/>
    <w:autoRedefine/>
    <w:qFormat/>
    <w:uiPriority w:val="0"/>
    <w:pPr>
      <w:spacing w:line="240" w:lineRule="atLeast"/>
      <w:ind w:firstLine="567"/>
    </w:pPr>
    <w:rPr>
      <w:szCs w:val="20"/>
    </w:rPr>
  </w:style>
  <w:style w:type="paragraph" w:customStyle="1" w:styleId="145">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6">
    <w:name w:val="CM2"/>
    <w:basedOn w:val="145"/>
    <w:next w:val="145"/>
    <w:autoRedefine/>
    <w:qFormat/>
    <w:uiPriority w:val="0"/>
    <w:pPr>
      <w:spacing w:line="200" w:lineRule="atLeast"/>
    </w:pPr>
    <w:rPr>
      <w:rFonts w:ascii="Arial" w:hAnsi="Arial" w:eastAsia="宋体" w:cs="Times New Roman"/>
      <w:color w:val="auto"/>
    </w:rPr>
  </w:style>
  <w:style w:type="paragraph" w:customStyle="1" w:styleId="147">
    <w:name w:val="Normal Paragraph"/>
    <w:basedOn w:val="1"/>
    <w:autoRedefine/>
    <w:qFormat/>
    <w:uiPriority w:val="0"/>
    <w:pPr>
      <w:widowControl/>
      <w:spacing w:before="120" w:line="360" w:lineRule="auto"/>
      <w:ind w:firstLine="425"/>
    </w:pPr>
    <w:rPr>
      <w:kern w:val="0"/>
      <w:sz w:val="24"/>
    </w:rPr>
  </w:style>
  <w:style w:type="character" w:customStyle="1" w:styleId="148">
    <w:name w:val="blue"/>
    <w:basedOn w:val="46"/>
    <w:autoRedefine/>
    <w:qFormat/>
    <w:uiPriority w:val="0"/>
  </w:style>
  <w:style w:type="paragraph" w:customStyle="1" w:styleId="149">
    <w:name w:val="blue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50">
    <w:name w:val="font"/>
    <w:basedOn w:val="46"/>
    <w:autoRedefine/>
    <w:qFormat/>
    <w:uiPriority w:val="0"/>
  </w:style>
  <w:style w:type="character" w:customStyle="1" w:styleId="151">
    <w:name w:val="font11"/>
    <w:autoRedefine/>
    <w:qFormat/>
    <w:uiPriority w:val="0"/>
    <w:rPr>
      <w:rFonts w:hint="default" w:ascii="ˎ̥" w:hAnsi="ˎ̥"/>
    </w:rPr>
  </w:style>
  <w:style w:type="paragraph" w:customStyle="1" w:styleId="152">
    <w:name w:val="a14"/>
    <w:basedOn w:val="1"/>
    <w:autoRedefine/>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3">
    <w:name w:val="proddescription"/>
    <w:basedOn w:val="46"/>
    <w:autoRedefine/>
    <w:qFormat/>
    <w:uiPriority w:val="0"/>
  </w:style>
  <w:style w:type="character" w:customStyle="1" w:styleId="154">
    <w:name w:val="prodheadlines"/>
    <w:basedOn w:val="46"/>
    <w:autoRedefine/>
    <w:qFormat/>
    <w:uiPriority w:val="0"/>
  </w:style>
  <w:style w:type="character" w:customStyle="1" w:styleId="155">
    <w:name w:val="text"/>
    <w:basedOn w:val="46"/>
    <w:autoRedefine/>
    <w:qFormat/>
    <w:uiPriority w:val="0"/>
  </w:style>
  <w:style w:type="paragraph" w:customStyle="1" w:styleId="156">
    <w:name w:val="tex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7">
    <w:name w:val="z-窗体顶端1"/>
    <w:basedOn w:val="1"/>
    <w:next w:val="1"/>
    <w:autoRedefine/>
    <w:hidden/>
    <w:qFormat/>
    <w:uiPriority w:val="0"/>
    <w:pPr>
      <w:widowControl/>
      <w:pBdr>
        <w:bottom w:val="single" w:color="auto" w:sz="6" w:space="1"/>
      </w:pBdr>
      <w:jc w:val="center"/>
    </w:pPr>
    <w:rPr>
      <w:rFonts w:ascii="Arial" w:hAnsi="Arial" w:cs="Arial"/>
      <w:vanish/>
      <w:kern w:val="0"/>
      <w:sz w:val="16"/>
      <w:szCs w:val="16"/>
    </w:rPr>
  </w:style>
  <w:style w:type="paragraph" w:customStyle="1" w:styleId="158">
    <w:name w:val="z-窗体底端1"/>
    <w:basedOn w:val="1"/>
    <w:next w:val="1"/>
    <w:autoRedefine/>
    <w:hidden/>
    <w:qFormat/>
    <w:uiPriority w:val="0"/>
    <w:pPr>
      <w:widowControl/>
      <w:pBdr>
        <w:top w:val="single" w:color="auto" w:sz="6" w:space="1"/>
      </w:pBdr>
      <w:jc w:val="center"/>
    </w:pPr>
    <w:rPr>
      <w:rFonts w:ascii="Arial" w:hAnsi="Arial" w:cs="Arial"/>
      <w:vanish/>
      <w:kern w:val="0"/>
      <w:sz w:val="16"/>
      <w:szCs w:val="16"/>
    </w:rPr>
  </w:style>
  <w:style w:type="paragraph" w:customStyle="1" w:styleId="159">
    <w:name w:val="正文样式"/>
    <w:basedOn w:val="1"/>
    <w:autoRedefine/>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0">
    <w:name w:val="xl34"/>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1">
    <w:name w:val="段落正文"/>
    <w:basedOn w:val="22"/>
    <w:autoRedefine/>
    <w:qFormat/>
    <w:uiPriority w:val="0"/>
    <w:pPr>
      <w:ind w:firstLine="560" w:firstLineChars="200"/>
    </w:pPr>
    <w:rPr>
      <w:sz w:val="28"/>
    </w:rPr>
  </w:style>
  <w:style w:type="character" w:customStyle="1" w:styleId="162">
    <w:name w:val="gray6"/>
    <w:basedOn w:val="46"/>
    <w:autoRedefine/>
    <w:qFormat/>
    <w:uiPriority w:val="0"/>
  </w:style>
  <w:style w:type="character" w:customStyle="1" w:styleId="163">
    <w:name w:val="style9"/>
    <w:basedOn w:val="46"/>
    <w:autoRedefine/>
    <w:qFormat/>
    <w:uiPriority w:val="0"/>
  </w:style>
  <w:style w:type="paragraph" w:customStyle="1" w:styleId="164">
    <w:name w:val="2册标题4"/>
    <w:basedOn w:val="1"/>
    <w:next w:val="1"/>
    <w:autoRedefine/>
    <w:qFormat/>
    <w:uiPriority w:val="0"/>
    <w:pPr>
      <w:spacing w:beforeLines="50" w:afterLines="50" w:line="300" w:lineRule="auto"/>
      <w:ind w:left="420" w:leftChars="200"/>
      <w:outlineLvl w:val="3"/>
    </w:pPr>
    <w:rPr>
      <w:rFonts w:ascii="Arial" w:hAnsi="Arial" w:eastAsia="幼圆" w:cs="Arial"/>
      <w:b/>
      <w:sz w:val="24"/>
    </w:rPr>
  </w:style>
  <w:style w:type="character" w:customStyle="1" w:styleId="165">
    <w:name w:val="grame"/>
    <w:basedOn w:val="46"/>
    <w:autoRedefine/>
    <w:qFormat/>
    <w:uiPriority w:val="0"/>
  </w:style>
  <w:style w:type="paragraph" w:customStyle="1" w:styleId="166">
    <w:name w:val="style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7">
    <w:name w:val="Char1"/>
    <w:basedOn w:val="1"/>
    <w:autoRedefine/>
    <w:qFormat/>
    <w:uiPriority w:val="0"/>
    <w:pPr>
      <w:jc w:val="left"/>
    </w:pPr>
    <w:rPr>
      <w:rFonts w:ascii="Tahoma" w:hAnsi="Tahoma"/>
      <w:sz w:val="24"/>
      <w:szCs w:val="20"/>
    </w:rPr>
  </w:style>
  <w:style w:type="paragraph" w:customStyle="1" w:styleId="168">
    <w:name w:val="编号1"/>
    <w:basedOn w:val="1"/>
    <w:autoRedefine/>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9">
    <w:name w:val="Char Char Char Char Char Char Char 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70">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7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2">
    <w:name w:val="font6"/>
    <w:basedOn w:val="1"/>
    <w:autoRedefine/>
    <w:qFormat/>
    <w:uiPriority w:val="0"/>
    <w:pPr>
      <w:widowControl/>
      <w:spacing w:before="100" w:beforeAutospacing="1" w:after="100" w:afterAutospacing="1"/>
      <w:jc w:val="left"/>
    </w:pPr>
    <w:rPr>
      <w:kern w:val="0"/>
      <w:sz w:val="24"/>
    </w:rPr>
  </w:style>
  <w:style w:type="paragraph" w:customStyle="1" w:styleId="17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4">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5">
    <w:name w:val="表格字"/>
    <w:basedOn w:val="1"/>
    <w:autoRedefine/>
    <w:qFormat/>
    <w:uiPriority w:val="0"/>
    <w:pPr>
      <w:adjustRightInd w:val="0"/>
      <w:jc w:val="center"/>
    </w:pPr>
    <w:rPr>
      <w:rFonts w:ascii="宋体"/>
      <w:sz w:val="24"/>
      <w:szCs w:val="20"/>
    </w:rPr>
  </w:style>
  <w:style w:type="character" w:customStyle="1" w:styleId="176">
    <w:name w:val="样式 小三 加粗"/>
    <w:autoRedefine/>
    <w:qFormat/>
    <w:uiPriority w:val="0"/>
    <w:rPr>
      <w:rFonts w:eastAsia="宋体"/>
      <w:b/>
      <w:bCs/>
      <w:sz w:val="32"/>
    </w:rPr>
  </w:style>
  <w:style w:type="paragraph" w:customStyle="1" w:styleId="17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8">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9">
    <w:name w:val="Char Char Char"/>
    <w:basedOn w:val="1"/>
    <w:autoRedefine/>
    <w:qFormat/>
    <w:uiPriority w:val="0"/>
    <w:rPr>
      <w:rFonts w:ascii="Tahoma" w:hAnsi="Tahoma"/>
      <w:sz w:val="24"/>
      <w:szCs w:val="20"/>
    </w:rPr>
  </w:style>
  <w:style w:type="paragraph" w:customStyle="1" w:styleId="180">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1">
    <w:name w:val="info4"/>
    <w:basedOn w:val="46"/>
    <w:autoRedefine/>
    <w:qFormat/>
    <w:uiPriority w:val="0"/>
  </w:style>
  <w:style w:type="paragraph" w:customStyle="1" w:styleId="182">
    <w:name w:val="缩进正文"/>
    <w:basedOn w:val="1"/>
    <w:link w:val="183"/>
    <w:autoRedefine/>
    <w:qFormat/>
    <w:uiPriority w:val="0"/>
    <w:pPr>
      <w:ind w:firstLine="560" w:firstLineChars="200"/>
    </w:pPr>
    <w:rPr>
      <w:rFonts w:eastAsia="仿宋_GB2312" w:cs="宋体"/>
      <w:sz w:val="28"/>
      <w:szCs w:val="20"/>
    </w:rPr>
  </w:style>
  <w:style w:type="character" w:customStyle="1" w:styleId="183">
    <w:name w:val="缩进正文 Char"/>
    <w:link w:val="182"/>
    <w:autoRedefine/>
    <w:qFormat/>
    <w:uiPriority w:val="0"/>
    <w:rPr>
      <w:rFonts w:eastAsia="仿宋_GB2312" w:cs="宋体"/>
      <w:kern w:val="2"/>
      <w:sz w:val="28"/>
      <w:lang w:val="en-US" w:eastAsia="zh-CN" w:bidi="ar-SA"/>
    </w:rPr>
  </w:style>
  <w:style w:type="paragraph" w:customStyle="1" w:styleId="184">
    <w:name w:val="列出段落1"/>
    <w:basedOn w:val="1"/>
    <w:autoRedefine/>
    <w:qFormat/>
    <w:uiPriority w:val="0"/>
    <w:pPr>
      <w:ind w:firstLine="420" w:firstLineChars="200"/>
    </w:pPr>
    <w:rPr>
      <w:rFonts w:ascii="Calibri" w:hAnsi="Calibri" w:cs="Calibri"/>
      <w:szCs w:val="21"/>
    </w:rPr>
  </w:style>
  <w:style w:type="character" w:customStyle="1" w:styleId="185">
    <w:name w:val="批注文字 Char"/>
    <w:basedOn w:val="46"/>
    <w:link w:val="17"/>
    <w:autoRedefine/>
    <w:semiHidden/>
    <w:qFormat/>
    <w:uiPriority w:val="0"/>
    <w:rPr>
      <w:rFonts w:ascii="宋体"/>
      <w:sz w:val="34"/>
    </w:rPr>
  </w:style>
  <w:style w:type="character" w:customStyle="1" w:styleId="186">
    <w:name w:val="批注主题 Char"/>
    <w:basedOn w:val="185"/>
    <w:link w:val="41"/>
    <w:autoRedefine/>
    <w:qFormat/>
    <w:uiPriority w:val="0"/>
    <w:rPr>
      <w:rFonts w:ascii="宋体"/>
      <w:sz w:val="34"/>
    </w:rPr>
  </w:style>
  <w:style w:type="paragraph" w:customStyle="1" w:styleId="187">
    <w:name w:val="评价"/>
    <w:basedOn w:val="1"/>
    <w:autoRedefine/>
    <w:qFormat/>
    <w:uiPriority w:val="0"/>
    <w:pPr>
      <w:spacing w:afterLines="20"/>
      <w:ind w:firstLine="1446" w:firstLineChars="200"/>
    </w:pPr>
    <w:rPr>
      <w:rFonts w:ascii="Calibri" w:hAnsi="Calibri"/>
      <w:sz w:val="24"/>
    </w:rPr>
  </w:style>
  <w:style w:type="paragraph" w:customStyle="1" w:styleId="188">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89">
    <w:name w:val="alt-edited1"/>
    <w:autoRedefine/>
    <w:qFormat/>
    <w:uiPriority w:val="0"/>
    <w:rPr>
      <w:color w:val="4D90F0"/>
    </w:rPr>
  </w:style>
  <w:style w:type="paragraph" w:customStyle="1" w:styleId="190">
    <w:name w:val="toc 14"/>
    <w:next w:val="1"/>
    <w:autoRedefine/>
    <w:qFormat/>
    <w:uiPriority w:val="0"/>
    <w:pPr>
      <w:wordWrap w:val="0"/>
      <w:jc w:val="both"/>
    </w:pPr>
    <w:rPr>
      <w:rFonts w:ascii="Calibri" w:hAnsi="Calibri" w:eastAsia="宋体" w:cs="Times New Roman"/>
      <w:sz w:val="21"/>
      <w:lang w:val="en-US" w:eastAsia="zh-CN" w:bidi="ar-SA"/>
    </w:rPr>
  </w:style>
  <w:style w:type="character" w:customStyle="1" w:styleId="191">
    <w:name w:val="文档结构图 Char1"/>
    <w:autoRedefine/>
    <w:semiHidden/>
    <w:qFormat/>
    <w:uiPriority w:val="0"/>
    <w:rPr>
      <w:sz w:val="20"/>
    </w:rPr>
  </w:style>
  <w:style w:type="character" w:customStyle="1" w:styleId="192">
    <w:name w:val="文档结构图 Char"/>
    <w:autoRedefine/>
    <w:semiHidden/>
    <w:qFormat/>
    <w:uiPriority w:val="0"/>
    <w:rPr>
      <w:sz w:val="20"/>
    </w:rPr>
  </w:style>
  <w:style w:type="character" w:customStyle="1" w:styleId="193">
    <w:name w:val="short_text"/>
    <w:basedOn w:val="46"/>
    <w:autoRedefine/>
    <w:qFormat/>
    <w:uiPriority w:val="0"/>
    <w:rPr>
      <w:sz w:val="20"/>
    </w:rPr>
  </w:style>
  <w:style w:type="character" w:customStyle="1" w:styleId="194">
    <w:name w:val="标题 Char1"/>
    <w:autoRedefine/>
    <w:qFormat/>
    <w:uiPriority w:val="0"/>
    <w:rPr>
      <w:b/>
      <w:sz w:val="20"/>
    </w:rPr>
  </w:style>
  <w:style w:type="character" w:customStyle="1" w:styleId="195">
    <w:name w:val="正文文本缩进 3 Char1"/>
    <w:autoRedefine/>
    <w:semiHidden/>
    <w:qFormat/>
    <w:uiPriority w:val="0"/>
    <w:rPr>
      <w:sz w:val="20"/>
    </w:rPr>
  </w:style>
  <w:style w:type="character" w:customStyle="1" w:styleId="196">
    <w:name w:val="font21"/>
    <w:autoRedefine/>
    <w:qFormat/>
    <w:uiPriority w:val="0"/>
    <w:rPr>
      <w:color w:val="FF0000"/>
      <w:sz w:val="20"/>
      <w:u w:val="none"/>
    </w:rPr>
  </w:style>
  <w:style w:type="character" w:customStyle="1" w:styleId="197">
    <w:name w:val="不明显强调1"/>
    <w:autoRedefine/>
    <w:qFormat/>
    <w:uiPriority w:val="0"/>
    <w:rPr>
      <w:i/>
      <w:sz w:val="20"/>
    </w:rPr>
  </w:style>
  <w:style w:type="character" w:customStyle="1" w:styleId="198">
    <w:name w:val="font71"/>
    <w:autoRedefine/>
    <w:qFormat/>
    <w:uiPriority w:val="0"/>
    <w:rPr>
      <w:sz w:val="20"/>
      <w:u w:val="none"/>
    </w:rPr>
  </w:style>
  <w:style w:type="character" w:customStyle="1" w:styleId="199">
    <w:name w:val="页眉 Char1"/>
    <w:autoRedefine/>
    <w:semiHidden/>
    <w:qFormat/>
    <w:uiPriority w:val="0"/>
    <w:rPr>
      <w:sz w:val="20"/>
    </w:rPr>
  </w:style>
  <w:style w:type="character" w:customStyle="1" w:styleId="200">
    <w:name w:val="正文文本缩进 2 Char1"/>
    <w:autoRedefine/>
    <w:semiHidden/>
    <w:qFormat/>
    <w:uiPriority w:val="0"/>
    <w:rPr>
      <w:sz w:val="20"/>
    </w:rPr>
  </w:style>
  <w:style w:type="character" w:customStyle="1" w:styleId="201">
    <w:name w:val="font61"/>
    <w:autoRedefine/>
    <w:qFormat/>
    <w:uiPriority w:val="0"/>
    <w:rPr>
      <w:sz w:val="20"/>
      <w:u w:val="none"/>
    </w:rPr>
  </w:style>
  <w:style w:type="character" w:customStyle="1" w:styleId="202">
    <w:name w:val="纯文本 Char1"/>
    <w:autoRedefine/>
    <w:semiHidden/>
    <w:qFormat/>
    <w:uiPriority w:val="0"/>
    <w:rPr>
      <w:sz w:val="20"/>
    </w:rPr>
  </w:style>
  <w:style w:type="character" w:customStyle="1" w:styleId="203">
    <w:name w:val="正文文本 3 Char1"/>
    <w:autoRedefine/>
    <w:semiHidden/>
    <w:qFormat/>
    <w:uiPriority w:val="0"/>
    <w:rPr>
      <w:sz w:val="20"/>
    </w:rPr>
  </w:style>
  <w:style w:type="character" w:customStyle="1" w:styleId="204">
    <w:name w:val="正文文本缩进 Char1"/>
    <w:autoRedefine/>
    <w:semiHidden/>
    <w:qFormat/>
    <w:uiPriority w:val="0"/>
    <w:rPr>
      <w:sz w:val="20"/>
    </w:rPr>
  </w:style>
  <w:style w:type="character" w:customStyle="1" w:styleId="205">
    <w:name w:val="明显参考1"/>
    <w:autoRedefine/>
    <w:qFormat/>
    <w:uiPriority w:val="0"/>
    <w:rPr>
      <w:b/>
      <w:sz w:val="20"/>
    </w:rPr>
  </w:style>
  <w:style w:type="character" w:customStyle="1" w:styleId="206">
    <w:name w:val="apple-converted-space"/>
    <w:autoRedefine/>
    <w:qFormat/>
    <w:uiPriority w:val="0"/>
    <w:rPr>
      <w:sz w:val="20"/>
    </w:rPr>
  </w:style>
  <w:style w:type="character" w:customStyle="1" w:styleId="207">
    <w:name w:val="书籍标题1"/>
    <w:autoRedefine/>
    <w:qFormat/>
    <w:uiPriority w:val="0"/>
    <w:rPr>
      <w:b/>
      <w:i/>
      <w:sz w:val="20"/>
    </w:rPr>
  </w:style>
  <w:style w:type="character" w:customStyle="1" w:styleId="208">
    <w:name w:val="long_text"/>
    <w:autoRedefine/>
    <w:qFormat/>
    <w:uiPriority w:val="0"/>
    <w:rPr>
      <w:sz w:val="20"/>
    </w:rPr>
  </w:style>
  <w:style w:type="character" w:customStyle="1" w:styleId="209">
    <w:name w:val="日期 Char1"/>
    <w:autoRedefine/>
    <w:semiHidden/>
    <w:qFormat/>
    <w:uiPriority w:val="0"/>
    <w:rPr>
      <w:sz w:val="20"/>
    </w:rPr>
  </w:style>
  <w:style w:type="character" w:customStyle="1" w:styleId="210">
    <w:name w:val="批注文字 Char1"/>
    <w:autoRedefine/>
    <w:semiHidden/>
    <w:qFormat/>
    <w:uiPriority w:val="0"/>
    <w:rPr>
      <w:sz w:val="20"/>
    </w:rPr>
  </w:style>
  <w:style w:type="character" w:customStyle="1" w:styleId="211">
    <w:name w:val="明显强调1"/>
    <w:autoRedefine/>
    <w:qFormat/>
    <w:uiPriority w:val="0"/>
    <w:rPr>
      <w:i/>
      <w:sz w:val="20"/>
    </w:rPr>
  </w:style>
  <w:style w:type="character" w:customStyle="1" w:styleId="212">
    <w:name w:val="16"/>
    <w:autoRedefine/>
    <w:qFormat/>
    <w:uiPriority w:val="0"/>
    <w:rPr>
      <w:b/>
      <w:color w:val="FF0356"/>
      <w:sz w:val="20"/>
    </w:rPr>
  </w:style>
  <w:style w:type="character" w:customStyle="1" w:styleId="213">
    <w:name w:val="批注主题 Char1"/>
    <w:autoRedefine/>
    <w:semiHidden/>
    <w:qFormat/>
    <w:uiPriority w:val="0"/>
    <w:rPr>
      <w:b/>
      <w:sz w:val="20"/>
    </w:rPr>
  </w:style>
  <w:style w:type="character" w:customStyle="1" w:styleId="214">
    <w:name w:val="正文文本 2 Char1"/>
    <w:semiHidden/>
    <w:qFormat/>
    <w:uiPriority w:val="0"/>
    <w:rPr>
      <w:sz w:val="20"/>
    </w:rPr>
  </w:style>
  <w:style w:type="character" w:customStyle="1" w:styleId="215">
    <w:name w:val="font31"/>
    <w:autoRedefine/>
    <w:qFormat/>
    <w:uiPriority w:val="0"/>
    <w:rPr>
      <w:color w:val="FF0000"/>
      <w:sz w:val="20"/>
      <w:u w:val="none"/>
      <w:vertAlign w:val="superscript"/>
    </w:rPr>
  </w:style>
  <w:style w:type="character" w:customStyle="1" w:styleId="216">
    <w:name w:val="不明显参考1"/>
    <w:autoRedefine/>
    <w:qFormat/>
    <w:uiPriority w:val="0"/>
    <w:rPr>
      <w:sz w:val="20"/>
    </w:rPr>
  </w:style>
  <w:style w:type="character" w:customStyle="1" w:styleId="217">
    <w:name w:val="HTML 预设格式 Char1"/>
    <w:autoRedefine/>
    <w:semiHidden/>
    <w:qFormat/>
    <w:uiPriority w:val="0"/>
    <w:rPr>
      <w:sz w:val="20"/>
    </w:rPr>
  </w:style>
  <w:style w:type="character" w:customStyle="1" w:styleId="218">
    <w:name w:val="font01"/>
    <w:basedOn w:val="46"/>
    <w:autoRedefine/>
    <w:qFormat/>
    <w:uiPriority w:val="0"/>
    <w:rPr>
      <w:color w:val="FF0000"/>
      <w:sz w:val="20"/>
      <w:u w:val="none"/>
      <w:vertAlign w:val="superscript"/>
    </w:rPr>
  </w:style>
  <w:style w:type="character" w:customStyle="1" w:styleId="219">
    <w:name w:val="页脚 Char1"/>
    <w:autoRedefine/>
    <w:semiHidden/>
    <w:qFormat/>
    <w:uiPriority w:val="0"/>
    <w:rPr>
      <w:sz w:val="20"/>
    </w:rPr>
  </w:style>
  <w:style w:type="character" w:customStyle="1" w:styleId="220">
    <w:name w:val="批注框文本 Char1"/>
    <w:autoRedefine/>
    <w:semiHidden/>
    <w:qFormat/>
    <w:uiPriority w:val="0"/>
    <w:rPr>
      <w:sz w:val="20"/>
    </w:rPr>
  </w:style>
  <w:style w:type="paragraph" w:customStyle="1" w:styleId="221">
    <w:name w:val="列出段落2"/>
    <w:basedOn w:val="1"/>
    <w:next w:val="222"/>
    <w:qFormat/>
    <w:uiPriority w:val="0"/>
    <w:pPr>
      <w:ind w:firstLine="420"/>
    </w:pPr>
    <w:rPr>
      <w:rFonts w:hAnsi="Calibri"/>
      <w:kern w:val="0"/>
      <w:szCs w:val="20"/>
    </w:rPr>
  </w:style>
  <w:style w:type="paragraph" w:customStyle="1" w:styleId="222">
    <w:name w:val="toc 814"/>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223">
    <w:name w:val="toc 62"/>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224">
    <w:name w:val="toc 414"/>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25">
    <w:name w:val="toc 411"/>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26">
    <w:name w:val="xl86"/>
    <w:basedOn w:val="1"/>
    <w:next w:val="227"/>
    <w:qFormat/>
    <w:uiPriority w:val="0"/>
    <w:pPr>
      <w:widowControl/>
      <w:shd w:val="clear" w:color="000000" w:fill="FFFFFF"/>
      <w:spacing w:before="280" w:after="280"/>
      <w:jc w:val="center"/>
    </w:pPr>
    <w:rPr>
      <w:rFonts w:ascii="宋体" w:hAnsi="Calibri"/>
      <w:kern w:val="0"/>
      <w:sz w:val="20"/>
      <w:szCs w:val="20"/>
    </w:rPr>
  </w:style>
  <w:style w:type="paragraph" w:customStyle="1" w:styleId="227">
    <w:name w:val="toc 515"/>
    <w:next w:val="1"/>
    <w:qFormat/>
    <w:uiPriority w:val="0"/>
    <w:pPr>
      <w:wordWrap w:val="0"/>
      <w:ind w:left="1700"/>
      <w:jc w:val="both"/>
    </w:pPr>
    <w:rPr>
      <w:rFonts w:ascii="Calibri" w:hAnsi="Calibri" w:eastAsia="宋体" w:cs="Times New Roman"/>
      <w:sz w:val="21"/>
      <w:lang w:val="en-US" w:eastAsia="zh-CN" w:bidi="ar-SA"/>
    </w:rPr>
  </w:style>
  <w:style w:type="paragraph" w:customStyle="1" w:styleId="228">
    <w:name w:val="TOC Heading4"/>
    <w:next w:val="1"/>
    <w:autoRedefine/>
    <w:qFormat/>
    <w:uiPriority w:val="0"/>
    <w:pPr>
      <w:wordWrap w:val="0"/>
    </w:pPr>
    <w:rPr>
      <w:rFonts w:ascii="Calibri" w:hAnsi="Calibri" w:eastAsia="宋体" w:cs="Times New Roman"/>
      <w:sz w:val="32"/>
      <w:lang w:val="en-US" w:eastAsia="zh-CN" w:bidi="ar-SA"/>
    </w:rPr>
  </w:style>
  <w:style w:type="paragraph" w:customStyle="1" w:styleId="229">
    <w:name w:val="toc 15"/>
    <w:next w:val="1"/>
    <w:autoRedefine/>
    <w:qFormat/>
    <w:uiPriority w:val="0"/>
    <w:pPr>
      <w:wordWrap w:val="0"/>
      <w:jc w:val="both"/>
    </w:pPr>
    <w:rPr>
      <w:rFonts w:ascii="Calibri" w:hAnsi="Calibri" w:eastAsia="宋体" w:cs="Times New Roman"/>
      <w:sz w:val="21"/>
      <w:lang w:val="en-US" w:eastAsia="zh-CN" w:bidi="ar-SA"/>
    </w:rPr>
  </w:style>
  <w:style w:type="paragraph" w:customStyle="1" w:styleId="230">
    <w:name w:val="TOC Heading2"/>
    <w:next w:val="1"/>
    <w:autoRedefine/>
    <w:qFormat/>
    <w:uiPriority w:val="0"/>
    <w:pPr>
      <w:wordWrap w:val="0"/>
    </w:pPr>
    <w:rPr>
      <w:rFonts w:ascii="Calibri" w:hAnsi="Calibri" w:eastAsia="宋体" w:cs="Times New Roman"/>
      <w:sz w:val="32"/>
      <w:lang w:val="en-US" w:eastAsia="zh-CN" w:bidi="ar-SA"/>
    </w:rPr>
  </w:style>
  <w:style w:type="paragraph" w:customStyle="1" w:styleId="231">
    <w:name w:val="TOC Heading1"/>
    <w:next w:val="1"/>
    <w:qFormat/>
    <w:uiPriority w:val="0"/>
    <w:pPr>
      <w:wordWrap w:val="0"/>
    </w:pPr>
    <w:rPr>
      <w:rFonts w:ascii="Calibri" w:hAnsi="Calibri" w:eastAsia="宋体" w:cs="Times New Roman"/>
      <w:sz w:val="32"/>
      <w:lang w:val="en-US" w:eastAsia="zh-CN" w:bidi="ar-SA"/>
    </w:rPr>
  </w:style>
  <w:style w:type="paragraph" w:customStyle="1" w:styleId="232">
    <w:name w:val="toc 73"/>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233">
    <w:name w:val="font7"/>
    <w:basedOn w:val="1"/>
    <w:next w:val="234"/>
    <w:autoRedefine/>
    <w:qFormat/>
    <w:uiPriority w:val="0"/>
    <w:pPr>
      <w:widowControl/>
      <w:spacing w:before="280" w:after="280"/>
    </w:pPr>
    <w:rPr>
      <w:rFonts w:ascii="Arial" w:hAnsi="Calibri"/>
      <w:kern w:val="0"/>
      <w:sz w:val="18"/>
      <w:szCs w:val="20"/>
    </w:rPr>
  </w:style>
  <w:style w:type="paragraph" w:customStyle="1" w:styleId="234">
    <w:name w:val="toc 810"/>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235">
    <w:name w:val="xl113"/>
    <w:basedOn w:val="1"/>
    <w:next w:val="236"/>
    <w:autoRedefine/>
    <w:qFormat/>
    <w:uiPriority w:val="0"/>
    <w:pPr>
      <w:widowControl/>
      <w:shd w:val="clear" w:color="000000" w:fill="FFFFFF"/>
      <w:spacing w:before="280" w:after="280"/>
      <w:jc w:val="center"/>
    </w:pPr>
    <w:rPr>
      <w:rFonts w:ascii="宋体" w:hAnsi="Calibri"/>
      <w:b/>
      <w:kern w:val="0"/>
      <w:sz w:val="20"/>
      <w:szCs w:val="20"/>
    </w:rPr>
  </w:style>
  <w:style w:type="paragraph" w:customStyle="1" w:styleId="236">
    <w:name w:val="TOC Heading10"/>
    <w:next w:val="1"/>
    <w:autoRedefine/>
    <w:qFormat/>
    <w:uiPriority w:val="0"/>
    <w:pPr>
      <w:wordWrap w:val="0"/>
    </w:pPr>
    <w:rPr>
      <w:rFonts w:ascii="Calibri" w:hAnsi="Calibri" w:eastAsia="宋体" w:cs="Times New Roman"/>
      <w:sz w:val="32"/>
      <w:lang w:val="en-US" w:eastAsia="zh-CN" w:bidi="ar-SA"/>
    </w:rPr>
  </w:style>
  <w:style w:type="paragraph" w:customStyle="1" w:styleId="237">
    <w:name w:val="toc 89"/>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238">
    <w:name w:val="xl73"/>
    <w:basedOn w:val="1"/>
    <w:next w:val="239"/>
    <w:autoRedefine/>
    <w:qFormat/>
    <w:uiPriority w:val="0"/>
    <w:pPr>
      <w:widowControl/>
      <w:shd w:val="clear" w:color="000000" w:fill="FFFFFF"/>
      <w:spacing w:before="280" w:after="280"/>
      <w:jc w:val="center"/>
    </w:pPr>
    <w:rPr>
      <w:rFonts w:ascii="宋体" w:hAnsi="Calibri"/>
      <w:kern w:val="0"/>
      <w:sz w:val="20"/>
      <w:szCs w:val="20"/>
    </w:rPr>
  </w:style>
  <w:style w:type="paragraph" w:customStyle="1" w:styleId="239">
    <w:name w:val="toc 613"/>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240">
    <w:name w:val="xl79"/>
    <w:basedOn w:val="1"/>
    <w:next w:val="241"/>
    <w:autoRedefine/>
    <w:qFormat/>
    <w:uiPriority w:val="0"/>
    <w:pPr>
      <w:widowControl/>
      <w:shd w:val="clear" w:color="000000" w:fill="FFFFFF"/>
      <w:spacing w:before="280" w:after="280"/>
    </w:pPr>
    <w:rPr>
      <w:rFonts w:ascii="宋体" w:hAnsi="Calibri"/>
      <w:b/>
      <w:kern w:val="0"/>
      <w:sz w:val="20"/>
      <w:szCs w:val="20"/>
    </w:rPr>
  </w:style>
  <w:style w:type="paragraph" w:customStyle="1" w:styleId="241">
    <w:name w:val="toc 87"/>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242">
    <w:name w:val="toc 11"/>
    <w:next w:val="1"/>
    <w:autoRedefine/>
    <w:qFormat/>
    <w:uiPriority w:val="0"/>
    <w:pPr>
      <w:wordWrap w:val="0"/>
      <w:jc w:val="both"/>
    </w:pPr>
    <w:rPr>
      <w:rFonts w:ascii="Calibri" w:hAnsi="Calibri" w:eastAsia="宋体" w:cs="Times New Roman"/>
      <w:sz w:val="21"/>
      <w:lang w:val="en-US" w:eastAsia="zh-CN" w:bidi="ar-SA"/>
    </w:rPr>
  </w:style>
  <w:style w:type="paragraph" w:customStyle="1" w:styleId="243">
    <w:name w:val="toc 410"/>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44">
    <w:name w:val="toc 611"/>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245">
    <w:name w:val="xl112"/>
    <w:basedOn w:val="1"/>
    <w:next w:val="244"/>
    <w:autoRedefine/>
    <w:qFormat/>
    <w:uiPriority w:val="0"/>
    <w:pPr>
      <w:widowControl/>
      <w:shd w:val="clear" w:color="000000" w:fill="FFFFFF"/>
      <w:spacing w:before="280" w:after="280"/>
      <w:jc w:val="center"/>
    </w:pPr>
    <w:rPr>
      <w:rFonts w:ascii="宋体" w:hAnsi="Calibri"/>
      <w:b/>
      <w:kern w:val="0"/>
      <w:sz w:val="20"/>
      <w:szCs w:val="20"/>
    </w:rPr>
  </w:style>
  <w:style w:type="paragraph" w:customStyle="1" w:styleId="246">
    <w:name w:val="toc 514"/>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247">
    <w:name w:val="toc 44"/>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48">
    <w:name w:val="toc 412"/>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49">
    <w:name w:val="xl74"/>
    <w:basedOn w:val="1"/>
    <w:next w:val="250"/>
    <w:autoRedefine/>
    <w:qFormat/>
    <w:uiPriority w:val="0"/>
    <w:pPr>
      <w:widowControl/>
      <w:shd w:val="clear" w:color="000000" w:fill="FFFFFF"/>
      <w:spacing w:before="280" w:after="280"/>
    </w:pPr>
    <w:rPr>
      <w:rFonts w:ascii="宋体" w:hAnsi="Calibri"/>
      <w:kern w:val="0"/>
      <w:sz w:val="20"/>
      <w:szCs w:val="20"/>
    </w:rPr>
  </w:style>
  <w:style w:type="paragraph" w:customStyle="1" w:styleId="250">
    <w:name w:val="toc 57"/>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251">
    <w:name w:val="toc 912"/>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252">
    <w:name w:val="toc 91"/>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253">
    <w:name w:val="toc 38"/>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254">
    <w:name w:val="toc 95"/>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255">
    <w:name w:val="列出段落5"/>
    <w:basedOn w:val="1"/>
    <w:next w:val="256"/>
    <w:autoRedefine/>
    <w:qFormat/>
    <w:uiPriority w:val="0"/>
    <w:pPr>
      <w:ind w:firstLine="420"/>
    </w:pPr>
    <w:rPr>
      <w:rFonts w:hAnsi="Calibri"/>
      <w:kern w:val="0"/>
      <w:szCs w:val="20"/>
    </w:rPr>
  </w:style>
  <w:style w:type="paragraph" w:customStyle="1" w:styleId="256">
    <w:name w:val="toc 312"/>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257">
    <w:name w:val="xl66"/>
    <w:basedOn w:val="1"/>
    <w:next w:val="258"/>
    <w:autoRedefine/>
    <w:qFormat/>
    <w:uiPriority w:val="0"/>
    <w:pPr>
      <w:widowControl/>
      <w:shd w:val="clear" w:color="000000" w:fill="FFFFFF"/>
      <w:spacing w:before="280" w:after="280"/>
    </w:pPr>
    <w:rPr>
      <w:rFonts w:ascii="宋体" w:hAnsi="Calibri"/>
      <w:kern w:val="0"/>
      <w:sz w:val="20"/>
      <w:szCs w:val="20"/>
    </w:rPr>
  </w:style>
  <w:style w:type="paragraph" w:customStyle="1" w:styleId="258">
    <w:name w:val="toc 56"/>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259">
    <w:name w:val="TOC Heading3"/>
    <w:next w:val="1"/>
    <w:autoRedefine/>
    <w:qFormat/>
    <w:uiPriority w:val="0"/>
    <w:pPr>
      <w:wordWrap w:val="0"/>
    </w:pPr>
    <w:rPr>
      <w:rFonts w:ascii="Calibri" w:hAnsi="Calibri" w:eastAsia="宋体" w:cs="Times New Roman"/>
      <w:sz w:val="32"/>
      <w:lang w:val="en-US" w:eastAsia="zh-CN" w:bidi="ar-SA"/>
    </w:rPr>
  </w:style>
  <w:style w:type="paragraph" w:customStyle="1" w:styleId="260">
    <w:name w:val="toc 65"/>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261">
    <w:name w:val="toc 25"/>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262">
    <w:name w:val="xl84"/>
    <w:basedOn w:val="1"/>
    <w:next w:val="263"/>
    <w:autoRedefine/>
    <w:qFormat/>
    <w:uiPriority w:val="0"/>
    <w:pPr>
      <w:widowControl/>
      <w:shd w:val="clear" w:color="000000" w:fill="FFFFFF"/>
      <w:spacing w:before="280" w:after="280"/>
      <w:jc w:val="center"/>
    </w:pPr>
    <w:rPr>
      <w:rFonts w:ascii="宋体" w:hAnsi="Calibri"/>
      <w:kern w:val="0"/>
      <w:sz w:val="20"/>
      <w:szCs w:val="20"/>
    </w:rPr>
  </w:style>
  <w:style w:type="paragraph" w:customStyle="1" w:styleId="263">
    <w:name w:val="toc 99"/>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264">
    <w:name w:val="xl81"/>
    <w:basedOn w:val="1"/>
    <w:next w:val="265"/>
    <w:autoRedefine/>
    <w:qFormat/>
    <w:uiPriority w:val="0"/>
    <w:pPr>
      <w:widowControl/>
      <w:shd w:val="clear" w:color="000000" w:fill="FFFFFF"/>
      <w:spacing w:before="280" w:after="280"/>
    </w:pPr>
    <w:rPr>
      <w:rFonts w:ascii="宋体" w:hAnsi="Calibri"/>
      <w:kern w:val="0"/>
      <w:sz w:val="20"/>
      <w:szCs w:val="20"/>
    </w:rPr>
  </w:style>
  <w:style w:type="paragraph" w:customStyle="1" w:styleId="265">
    <w:name w:val="toc 59"/>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266">
    <w:name w:val="目录 11"/>
    <w:next w:val="1"/>
    <w:autoRedefine/>
    <w:qFormat/>
    <w:uiPriority w:val="0"/>
    <w:pPr>
      <w:wordWrap w:val="0"/>
      <w:jc w:val="both"/>
    </w:pPr>
    <w:rPr>
      <w:rFonts w:ascii="Calibri" w:hAnsi="Calibri" w:eastAsia="宋体" w:cs="Times New Roman"/>
      <w:sz w:val="21"/>
      <w:lang w:val="en-US" w:eastAsia="zh-CN" w:bidi="ar-SA"/>
    </w:rPr>
  </w:style>
  <w:style w:type="paragraph" w:customStyle="1" w:styleId="267">
    <w:name w:val="toc 513"/>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268">
    <w:name w:val="TOC Heading12"/>
    <w:next w:val="1"/>
    <w:autoRedefine/>
    <w:qFormat/>
    <w:uiPriority w:val="0"/>
    <w:pPr>
      <w:wordWrap w:val="0"/>
    </w:pPr>
    <w:rPr>
      <w:rFonts w:ascii="Calibri" w:hAnsi="Calibri" w:eastAsia="宋体" w:cs="Times New Roman"/>
      <w:sz w:val="32"/>
      <w:lang w:val="en-US" w:eastAsia="zh-CN" w:bidi="ar-SA"/>
    </w:rPr>
  </w:style>
  <w:style w:type="paragraph" w:customStyle="1" w:styleId="269">
    <w:name w:val="TOC Heading8"/>
    <w:next w:val="1"/>
    <w:autoRedefine/>
    <w:qFormat/>
    <w:uiPriority w:val="0"/>
    <w:pPr>
      <w:wordWrap w:val="0"/>
    </w:pPr>
    <w:rPr>
      <w:rFonts w:ascii="Calibri" w:hAnsi="Calibri" w:eastAsia="宋体" w:cs="Times New Roman"/>
      <w:sz w:val="32"/>
      <w:lang w:val="en-US" w:eastAsia="zh-CN" w:bidi="ar-SA"/>
    </w:rPr>
  </w:style>
  <w:style w:type="paragraph" w:customStyle="1" w:styleId="270">
    <w:name w:val="toc 71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271">
    <w:name w:val="toc 212"/>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272">
    <w:name w:val="目录 21"/>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273">
    <w:name w:val="toc 45"/>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74">
    <w:name w:val="xl116"/>
    <w:basedOn w:val="1"/>
    <w:next w:val="275"/>
    <w:autoRedefine/>
    <w:qFormat/>
    <w:uiPriority w:val="0"/>
    <w:pPr>
      <w:widowControl/>
      <w:shd w:val="clear" w:color="000000" w:fill="FFFFFF"/>
      <w:spacing w:before="280" w:after="280"/>
      <w:jc w:val="center"/>
    </w:pPr>
    <w:rPr>
      <w:rFonts w:ascii="Arial Narrow" w:hAnsi="Calibri"/>
      <w:kern w:val="0"/>
      <w:sz w:val="20"/>
      <w:szCs w:val="20"/>
    </w:rPr>
  </w:style>
  <w:style w:type="paragraph" w:customStyle="1" w:styleId="275">
    <w:name w:val="toc 78"/>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276">
    <w:name w:val="font8"/>
    <w:basedOn w:val="1"/>
    <w:next w:val="277"/>
    <w:autoRedefine/>
    <w:qFormat/>
    <w:uiPriority w:val="0"/>
    <w:pPr>
      <w:widowControl/>
      <w:spacing w:before="280" w:after="280"/>
    </w:pPr>
    <w:rPr>
      <w:rFonts w:ascii="Arial" w:hAnsi="Calibri"/>
      <w:kern w:val="0"/>
      <w:sz w:val="20"/>
      <w:szCs w:val="20"/>
    </w:rPr>
  </w:style>
  <w:style w:type="paragraph" w:customStyle="1" w:styleId="277">
    <w:name w:val="TOC Heading11"/>
    <w:next w:val="1"/>
    <w:autoRedefine/>
    <w:qFormat/>
    <w:uiPriority w:val="0"/>
    <w:pPr>
      <w:wordWrap w:val="0"/>
    </w:pPr>
    <w:rPr>
      <w:rFonts w:ascii="Calibri" w:hAnsi="Calibri" w:eastAsia="宋体" w:cs="Times New Roman"/>
      <w:sz w:val="32"/>
      <w:lang w:val="en-US" w:eastAsia="zh-CN" w:bidi="ar-SA"/>
    </w:rPr>
  </w:style>
  <w:style w:type="paragraph" w:customStyle="1" w:styleId="278">
    <w:name w:val="xl69"/>
    <w:basedOn w:val="1"/>
    <w:next w:val="279"/>
    <w:autoRedefine/>
    <w:qFormat/>
    <w:uiPriority w:val="0"/>
    <w:pPr>
      <w:widowControl/>
      <w:shd w:val="clear" w:color="000000" w:fill="FFFFFF"/>
      <w:spacing w:before="280" w:after="280"/>
    </w:pPr>
    <w:rPr>
      <w:rFonts w:ascii="宋体" w:hAnsi="Calibri"/>
      <w:b/>
      <w:kern w:val="0"/>
      <w:sz w:val="20"/>
      <w:szCs w:val="20"/>
    </w:rPr>
  </w:style>
  <w:style w:type="paragraph" w:customStyle="1" w:styleId="279">
    <w:name w:val="toc 48"/>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80">
    <w:name w:val="toc 813"/>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281">
    <w:name w:val="目录 91"/>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282">
    <w:name w:val="列出段落3"/>
    <w:basedOn w:val="1"/>
    <w:next w:val="283"/>
    <w:autoRedefine/>
    <w:qFormat/>
    <w:uiPriority w:val="0"/>
    <w:pPr>
      <w:ind w:firstLine="420"/>
    </w:pPr>
    <w:rPr>
      <w:rFonts w:hAnsi="Calibri"/>
      <w:kern w:val="0"/>
      <w:szCs w:val="20"/>
    </w:rPr>
  </w:style>
  <w:style w:type="paragraph" w:customStyle="1" w:styleId="283">
    <w:name w:val="toc 213"/>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284">
    <w:name w:val="TOC 标题1"/>
    <w:next w:val="1"/>
    <w:autoRedefine/>
    <w:qFormat/>
    <w:uiPriority w:val="0"/>
    <w:pPr>
      <w:wordWrap w:val="0"/>
    </w:pPr>
    <w:rPr>
      <w:rFonts w:ascii="Calibri" w:hAnsi="Calibri" w:eastAsia="宋体" w:cs="Times New Roman"/>
      <w:sz w:val="32"/>
      <w:lang w:val="en-US" w:eastAsia="zh-CN" w:bidi="ar-SA"/>
    </w:rPr>
  </w:style>
  <w:style w:type="paragraph" w:customStyle="1" w:styleId="285">
    <w:name w:val="TOC Heading5"/>
    <w:next w:val="1"/>
    <w:autoRedefine/>
    <w:qFormat/>
    <w:uiPriority w:val="0"/>
    <w:pPr>
      <w:wordWrap w:val="0"/>
    </w:pPr>
    <w:rPr>
      <w:rFonts w:ascii="Calibri" w:hAnsi="Calibri" w:eastAsia="宋体" w:cs="Times New Roman"/>
      <w:sz w:val="32"/>
      <w:lang w:val="en-US" w:eastAsia="zh-CN" w:bidi="ar-SA"/>
    </w:rPr>
  </w:style>
  <w:style w:type="paragraph" w:customStyle="1" w:styleId="286">
    <w:name w:val="toc 313"/>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287">
    <w:name w:val="toc 716"/>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288">
    <w:name w:val="xl115"/>
    <w:basedOn w:val="1"/>
    <w:next w:val="289"/>
    <w:autoRedefine/>
    <w:qFormat/>
    <w:uiPriority w:val="0"/>
    <w:pPr>
      <w:widowControl/>
      <w:shd w:val="clear" w:color="000000" w:fill="FFFFFF"/>
      <w:spacing w:before="280" w:after="280"/>
      <w:jc w:val="center"/>
    </w:pPr>
    <w:rPr>
      <w:rFonts w:ascii="宋体" w:hAnsi="Calibri"/>
      <w:b/>
      <w:kern w:val="0"/>
      <w:sz w:val="20"/>
      <w:szCs w:val="20"/>
    </w:rPr>
  </w:style>
  <w:style w:type="paragraph" w:customStyle="1" w:styleId="289">
    <w:name w:val="toc 712"/>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290">
    <w:name w:val="toc 64"/>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291">
    <w:name w:val="toc 24"/>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292">
    <w:name w:val="toc 54"/>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293">
    <w:name w:val="xl93"/>
    <w:basedOn w:val="1"/>
    <w:next w:val="294"/>
    <w:autoRedefine/>
    <w:qFormat/>
    <w:uiPriority w:val="0"/>
    <w:pPr>
      <w:widowControl/>
      <w:shd w:val="clear" w:color="000000" w:fill="FFFFFF"/>
      <w:spacing w:before="280" w:after="280"/>
      <w:jc w:val="center"/>
    </w:pPr>
    <w:rPr>
      <w:rFonts w:ascii="宋体" w:hAnsi="Calibri"/>
      <w:kern w:val="0"/>
      <w:sz w:val="20"/>
      <w:szCs w:val="20"/>
    </w:rPr>
  </w:style>
  <w:style w:type="paragraph" w:customStyle="1" w:styleId="294">
    <w:name w:val="toc 112"/>
    <w:next w:val="1"/>
    <w:autoRedefine/>
    <w:qFormat/>
    <w:uiPriority w:val="0"/>
    <w:pPr>
      <w:wordWrap w:val="0"/>
      <w:jc w:val="both"/>
    </w:pPr>
    <w:rPr>
      <w:rFonts w:ascii="Calibri" w:hAnsi="Calibri" w:eastAsia="宋体" w:cs="Times New Roman"/>
      <w:sz w:val="21"/>
      <w:lang w:val="en-US" w:eastAsia="zh-CN" w:bidi="ar-SA"/>
    </w:rPr>
  </w:style>
  <w:style w:type="paragraph" w:customStyle="1" w:styleId="295">
    <w:name w:val="xl96"/>
    <w:basedOn w:val="1"/>
    <w:next w:val="246"/>
    <w:autoRedefine/>
    <w:qFormat/>
    <w:uiPriority w:val="0"/>
    <w:pPr>
      <w:widowControl/>
      <w:shd w:val="clear" w:color="000000" w:fill="FFFFFF"/>
      <w:spacing w:before="280" w:after="280"/>
      <w:jc w:val="center"/>
    </w:pPr>
    <w:rPr>
      <w:rFonts w:ascii="宋体" w:hAnsi="Calibri"/>
      <w:kern w:val="0"/>
      <w:sz w:val="20"/>
      <w:szCs w:val="20"/>
    </w:rPr>
  </w:style>
  <w:style w:type="paragraph" w:customStyle="1" w:styleId="296">
    <w:name w:val="xl106"/>
    <w:basedOn w:val="1"/>
    <w:next w:val="280"/>
    <w:autoRedefine/>
    <w:qFormat/>
    <w:uiPriority w:val="0"/>
    <w:pPr>
      <w:widowControl/>
      <w:shd w:val="clear" w:color="000000" w:fill="FFFFFF"/>
      <w:spacing w:before="280" w:after="280"/>
    </w:pPr>
    <w:rPr>
      <w:rFonts w:ascii="宋体" w:hAnsi="Calibri"/>
      <w:kern w:val="0"/>
      <w:sz w:val="20"/>
      <w:szCs w:val="20"/>
    </w:rPr>
  </w:style>
  <w:style w:type="paragraph" w:customStyle="1" w:styleId="297">
    <w:name w:val="toc 35"/>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298">
    <w:name w:val="TOC Heading14"/>
    <w:next w:val="1"/>
    <w:autoRedefine/>
    <w:qFormat/>
    <w:uiPriority w:val="0"/>
    <w:pPr>
      <w:wordWrap w:val="0"/>
    </w:pPr>
    <w:rPr>
      <w:rFonts w:ascii="Calibri" w:hAnsi="Calibri" w:eastAsia="宋体" w:cs="Times New Roman"/>
      <w:sz w:val="32"/>
      <w:lang w:val="en-US" w:eastAsia="zh-CN" w:bidi="ar-SA"/>
    </w:rPr>
  </w:style>
  <w:style w:type="paragraph" w:customStyle="1" w:styleId="299">
    <w:name w:val="Char Char Char Char Char Char Char1"/>
    <w:basedOn w:val="1"/>
    <w:next w:val="300"/>
    <w:autoRedefine/>
    <w:qFormat/>
    <w:uiPriority w:val="0"/>
    <w:pPr>
      <w:widowControl/>
      <w:spacing w:after="160" w:line="240" w:lineRule="exact"/>
    </w:pPr>
    <w:rPr>
      <w:rFonts w:hAnsi="Calibri"/>
      <w:kern w:val="0"/>
      <w:szCs w:val="20"/>
    </w:rPr>
  </w:style>
  <w:style w:type="paragraph" w:customStyle="1" w:styleId="300">
    <w:name w:val="toc 67"/>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301">
    <w:name w:val="列出段落4"/>
    <w:basedOn w:val="1"/>
    <w:next w:val="302"/>
    <w:autoRedefine/>
    <w:qFormat/>
    <w:uiPriority w:val="0"/>
    <w:pPr>
      <w:ind w:firstLine="420"/>
    </w:pPr>
    <w:rPr>
      <w:rFonts w:hAnsi="Calibri"/>
      <w:kern w:val="0"/>
      <w:szCs w:val="20"/>
    </w:rPr>
  </w:style>
  <w:style w:type="paragraph" w:customStyle="1" w:styleId="302">
    <w:name w:val="TOC Heading9"/>
    <w:next w:val="1"/>
    <w:autoRedefine/>
    <w:qFormat/>
    <w:uiPriority w:val="0"/>
    <w:pPr>
      <w:wordWrap w:val="0"/>
    </w:pPr>
    <w:rPr>
      <w:rFonts w:ascii="Calibri" w:hAnsi="Calibri" w:eastAsia="宋体" w:cs="Times New Roman"/>
      <w:sz w:val="32"/>
      <w:lang w:val="en-US" w:eastAsia="zh-CN" w:bidi="ar-SA"/>
    </w:rPr>
  </w:style>
  <w:style w:type="paragraph" w:customStyle="1" w:styleId="303">
    <w:name w:val="xl71"/>
    <w:basedOn w:val="1"/>
    <w:next w:val="304"/>
    <w:autoRedefine/>
    <w:qFormat/>
    <w:uiPriority w:val="0"/>
    <w:pPr>
      <w:widowControl/>
      <w:shd w:val="clear" w:color="000000" w:fill="FFFFFF"/>
      <w:spacing w:before="280" w:after="280"/>
    </w:pPr>
    <w:rPr>
      <w:rFonts w:ascii="宋体" w:hAnsi="Calibri"/>
      <w:kern w:val="0"/>
      <w:sz w:val="24"/>
      <w:szCs w:val="20"/>
    </w:rPr>
  </w:style>
  <w:style w:type="paragraph" w:customStyle="1" w:styleId="304">
    <w:name w:val="toc 115"/>
    <w:next w:val="1"/>
    <w:autoRedefine/>
    <w:qFormat/>
    <w:uiPriority w:val="0"/>
    <w:pPr>
      <w:wordWrap w:val="0"/>
      <w:jc w:val="both"/>
    </w:pPr>
    <w:rPr>
      <w:rFonts w:ascii="Calibri" w:hAnsi="Calibri" w:eastAsia="宋体" w:cs="Times New Roman"/>
      <w:sz w:val="21"/>
      <w:lang w:val="en-US" w:eastAsia="zh-CN" w:bidi="ar-SA"/>
    </w:rPr>
  </w:style>
  <w:style w:type="paragraph" w:customStyle="1" w:styleId="305">
    <w:name w:val="toc 51"/>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306">
    <w:name w:val="toc 47"/>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307">
    <w:name w:val="xl108"/>
    <w:basedOn w:val="1"/>
    <w:next w:val="308"/>
    <w:autoRedefine/>
    <w:qFormat/>
    <w:uiPriority w:val="0"/>
    <w:pPr>
      <w:widowControl/>
      <w:shd w:val="clear" w:color="000000" w:fill="FFFFFF"/>
      <w:spacing w:before="280" w:after="280"/>
    </w:pPr>
    <w:rPr>
      <w:rFonts w:ascii="宋体" w:hAnsi="Calibri"/>
      <w:kern w:val="0"/>
      <w:sz w:val="18"/>
      <w:szCs w:val="20"/>
    </w:rPr>
  </w:style>
  <w:style w:type="paragraph" w:customStyle="1" w:styleId="308">
    <w:name w:val="toc 18"/>
    <w:next w:val="1"/>
    <w:autoRedefine/>
    <w:qFormat/>
    <w:uiPriority w:val="0"/>
    <w:pPr>
      <w:wordWrap w:val="0"/>
      <w:jc w:val="both"/>
    </w:pPr>
    <w:rPr>
      <w:rFonts w:ascii="Calibri" w:hAnsi="Calibri" w:eastAsia="宋体" w:cs="Times New Roman"/>
      <w:sz w:val="21"/>
      <w:lang w:val="en-US" w:eastAsia="zh-CN" w:bidi="ar-SA"/>
    </w:rPr>
  </w:style>
  <w:style w:type="paragraph" w:customStyle="1" w:styleId="309">
    <w:name w:val="TOC Heading7"/>
    <w:next w:val="1"/>
    <w:autoRedefine/>
    <w:qFormat/>
    <w:uiPriority w:val="0"/>
    <w:pPr>
      <w:wordWrap w:val="0"/>
    </w:pPr>
    <w:rPr>
      <w:rFonts w:ascii="Calibri" w:hAnsi="Calibri" w:eastAsia="宋体" w:cs="Times New Roman"/>
      <w:sz w:val="32"/>
      <w:lang w:val="en-US" w:eastAsia="zh-CN" w:bidi="ar-SA"/>
    </w:rPr>
  </w:style>
  <w:style w:type="character" w:customStyle="1" w:styleId="310">
    <w:name w:val="副标题 Char"/>
    <w:basedOn w:val="46"/>
    <w:link w:val="31"/>
    <w:autoRedefine/>
    <w:qFormat/>
    <w:uiPriority w:val="0"/>
    <w:rPr>
      <w:rFonts w:ascii="Calibri" w:hAnsi="Calibri"/>
      <w:sz w:val="24"/>
    </w:rPr>
  </w:style>
  <w:style w:type="paragraph" w:customStyle="1" w:styleId="311">
    <w:name w:val="目录 7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312">
    <w:name w:val="toc 41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313">
    <w:name w:val="toc 85"/>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314">
    <w:name w:val="列出段落6"/>
    <w:basedOn w:val="1"/>
    <w:next w:val="315"/>
    <w:autoRedefine/>
    <w:qFormat/>
    <w:uiPriority w:val="0"/>
    <w:pPr>
      <w:ind w:firstLine="420"/>
    </w:pPr>
    <w:rPr>
      <w:rFonts w:hAnsi="Calibri"/>
      <w:kern w:val="0"/>
      <w:szCs w:val="20"/>
    </w:rPr>
  </w:style>
  <w:style w:type="paragraph" w:customStyle="1" w:styleId="315">
    <w:name w:val="toc 86"/>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316">
    <w:name w:val="xl80"/>
    <w:basedOn w:val="1"/>
    <w:next w:val="317"/>
    <w:autoRedefine/>
    <w:qFormat/>
    <w:uiPriority w:val="0"/>
    <w:pPr>
      <w:widowControl/>
      <w:shd w:val="clear" w:color="000000" w:fill="FFFFFF"/>
      <w:spacing w:before="280" w:after="280"/>
      <w:jc w:val="center"/>
    </w:pPr>
    <w:rPr>
      <w:rFonts w:ascii="宋体" w:hAnsi="Calibri"/>
      <w:b/>
      <w:kern w:val="0"/>
      <w:sz w:val="20"/>
      <w:szCs w:val="20"/>
    </w:rPr>
  </w:style>
  <w:style w:type="paragraph" w:customStyle="1" w:styleId="317">
    <w:name w:val="toc 49"/>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318">
    <w:name w:val="Char Char Char Char1"/>
    <w:basedOn w:val="1"/>
    <w:next w:val="319"/>
    <w:autoRedefine/>
    <w:qFormat/>
    <w:uiPriority w:val="0"/>
    <w:pPr>
      <w:widowControl/>
      <w:spacing w:after="160" w:line="240" w:lineRule="exact"/>
    </w:pPr>
    <w:rPr>
      <w:rFonts w:ascii="Verdana" w:hAnsi="Calibri" w:eastAsia="仿宋_GB2312"/>
      <w:kern w:val="0"/>
      <w:sz w:val="24"/>
      <w:szCs w:val="20"/>
    </w:rPr>
  </w:style>
  <w:style w:type="paragraph" w:customStyle="1" w:styleId="319">
    <w:name w:val="toc 713"/>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320">
    <w:name w:val="xl102"/>
    <w:basedOn w:val="1"/>
    <w:next w:val="321"/>
    <w:autoRedefine/>
    <w:qFormat/>
    <w:uiPriority w:val="0"/>
    <w:pPr>
      <w:widowControl/>
      <w:shd w:val="clear" w:color="000000" w:fill="FFFFFF"/>
      <w:spacing w:before="280" w:after="280"/>
      <w:jc w:val="right"/>
    </w:pPr>
    <w:rPr>
      <w:rFonts w:ascii="宋体" w:hAnsi="Calibri"/>
      <w:kern w:val="0"/>
      <w:sz w:val="20"/>
      <w:szCs w:val="20"/>
    </w:rPr>
  </w:style>
  <w:style w:type="paragraph" w:customStyle="1" w:styleId="321">
    <w:name w:val="toc 17"/>
    <w:next w:val="1"/>
    <w:autoRedefine/>
    <w:qFormat/>
    <w:uiPriority w:val="0"/>
    <w:pPr>
      <w:wordWrap w:val="0"/>
      <w:jc w:val="both"/>
    </w:pPr>
    <w:rPr>
      <w:rFonts w:ascii="Calibri" w:hAnsi="Calibri" w:eastAsia="宋体" w:cs="Times New Roman"/>
      <w:sz w:val="21"/>
      <w:lang w:val="en-US" w:eastAsia="zh-CN" w:bidi="ar-SA"/>
    </w:rPr>
  </w:style>
  <w:style w:type="paragraph" w:customStyle="1" w:styleId="322">
    <w:name w:val="toc 46"/>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323">
    <w:name w:val="toc 311"/>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324">
    <w:name w:val="xl65"/>
    <w:basedOn w:val="1"/>
    <w:next w:val="225"/>
    <w:autoRedefine/>
    <w:qFormat/>
    <w:uiPriority w:val="0"/>
    <w:pPr>
      <w:widowControl/>
      <w:shd w:val="clear" w:color="000000" w:fill="FFFFFF"/>
      <w:spacing w:before="280" w:after="280"/>
      <w:jc w:val="center"/>
    </w:pPr>
    <w:rPr>
      <w:rFonts w:ascii="宋体" w:hAnsi="Calibri"/>
      <w:kern w:val="0"/>
      <w:sz w:val="20"/>
      <w:szCs w:val="20"/>
    </w:rPr>
  </w:style>
  <w:style w:type="paragraph" w:customStyle="1" w:styleId="325">
    <w:name w:val="toc 94"/>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326">
    <w:name w:val="toc 55"/>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327">
    <w:name w:val="toc 812"/>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328">
    <w:name w:val="xl75"/>
    <w:basedOn w:val="1"/>
    <w:next w:val="329"/>
    <w:autoRedefine/>
    <w:qFormat/>
    <w:uiPriority w:val="0"/>
    <w:pPr>
      <w:widowControl/>
      <w:shd w:val="clear" w:color="000000" w:fill="FFFFFF"/>
      <w:spacing w:before="280" w:after="280"/>
    </w:pPr>
    <w:rPr>
      <w:rFonts w:ascii="宋体" w:hAnsi="Calibri"/>
      <w:kern w:val="0"/>
      <w:sz w:val="20"/>
      <w:szCs w:val="20"/>
    </w:rPr>
  </w:style>
  <w:style w:type="paragraph" w:customStyle="1" w:styleId="329">
    <w:name w:val="toc 914"/>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330">
    <w:name w:val="toc 19"/>
    <w:next w:val="1"/>
    <w:autoRedefine/>
    <w:qFormat/>
    <w:uiPriority w:val="0"/>
    <w:pPr>
      <w:wordWrap w:val="0"/>
      <w:jc w:val="both"/>
    </w:pPr>
    <w:rPr>
      <w:rFonts w:ascii="Calibri" w:hAnsi="Calibri" w:eastAsia="宋体" w:cs="Times New Roman"/>
      <w:sz w:val="21"/>
      <w:lang w:val="en-US" w:eastAsia="zh-CN" w:bidi="ar-SA"/>
    </w:rPr>
  </w:style>
  <w:style w:type="paragraph" w:customStyle="1" w:styleId="331">
    <w:name w:val="TOC Heading6"/>
    <w:next w:val="1"/>
    <w:autoRedefine/>
    <w:qFormat/>
    <w:uiPriority w:val="0"/>
    <w:pPr>
      <w:wordWrap w:val="0"/>
    </w:pPr>
    <w:rPr>
      <w:rFonts w:ascii="Calibri" w:hAnsi="Calibri" w:eastAsia="宋体" w:cs="Times New Roman"/>
      <w:sz w:val="32"/>
      <w:lang w:val="en-US" w:eastAsia="zh-CN" w:bidi="ar-SA"/>
    </w:rPr>
  </w:style>
  <w:style w:type="paragraph" w:customStyle="1" w:styleId="332">
    <w:name w:val="toc 52"/>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333">
    <w:name w:val="toc 36"/>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334">
    <w:name w:val="toc 82"/>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335">
    <w:name w:val="xl104"/>
    <w:basedOn w:val="1"/>
    <w:next w:val="336"/>
    <w:autoRedefine/>
    <w:qFormat/>
    <w:uiPriority w:val="0"/>
    <w:pPr>
      <w:widowControl/>
      <w:shd w:val="clear" w:color="000000" w:fill="FFFFFF"/>
      <w:spacing w:before="280" w:after="280"/>
      <w:jc w:val="center"/>
    </w:pPr>
    <w:rPr>
      <w:rFonts w:ascii="宋体" w:hAnsi="Calibri"/>
      <w:kern w:val="0"/>
      <w:sz w:val="20"/>
      <w:szCs w:val="20"/>
    </w:rPr>
  </w:style>
  <w:style w:type="paragraph" w:customStyle="1" w:styleId="336">
    <w:name w:val="toc 210"/>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337">
    <w:name w:val="toc 110"/>
    <w:next w:val="1"/>
    <w:autoRedefine/>
    <w:qFormat/>
    <w:uiPriority w:val="0"/>
    <w:pPr>
      <w:wordWrap w:val="0"/>
      <w:jc w:val="both"/>
    </w:pPr>
    <w:rPr>
      <w:rFonts w:ascii="Calibri" w:hAnsi="Calibri" w:eastAsia="宋体" w:cs="Times New Roman"/>
      <w:sz w:val="21"/>
      <w:lang w:val="en-US" w:eastAsia="zh-CN" w:bidi="ar-SA"/>
    </w:rPr>
  </w:style>
  <w:style w:type="paragraph" w:customStyle="1" w:styleId="338">
    <w:name w:val="toc 66"/>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339">
    <w:name w:val="toc 31"/>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340">
    <w:name w:val="toc 93"/>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341">
    <w:name w:val="toc 614"/>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342">
    <w:name w:val="无间隔1"/>
    <w:next w:val="337"/>
    <w:autoRedefine/>
    <w:qFormat/>
    <w:uiPriority w:val="0"/>
    <w:pPr>
      <w:widowControl w:val="0"/>
      <w:jc w:val="both"/>
    </w:pPr>
    <w:rPr>
      <w:rFonts w:ascii="Calibri" w:hAnsi="Calibri" w:eastAsia="宋体" w:cs="Times New Roman"/>
      <w:sz w:val="22"/>
      <w:lang w:val="en-US" w:eastAsia="zh-CN" w:bidi="ar-SA"/>
    </w:rPr>
  </w:style>
  <w:style w:type="paragraph" w:customStyle="1" w:styleId="343">
    <w:name w:val="目录 41"/>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344">
    <w:name w:val="xl105"/>
    <w:basedOn w:val="1"/>
    <w:next w:val="345"/>
    <w:autoRedefine/>
    <w:qFormat/>
    <w:uiPriority w:val="0"/>
    <w:pPr>
      <w:widowControl/>
      <w:shd w:val="clear" w:color="000000" w:fill="FFFFFF"/>
      <w:spacing w:before="280" w:after="280"/>
    </w:pPr>
    <w:rPr>
      <w:rFonts w:ascii="宋体" w:hAnsi="Calibri"/>
      <w:kern w:val="0"/>
      <w:sz w:val="18"/>
      <w:szCs w:val="20"/>
    </w:rPr>
  </w:style>
  <w:style w:type="paragraph" w:customStyle="1" w:styleId="345">
    <w:name w:val="toc 615"/>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346">
    <w:name w:val="toc 41"/>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347">
    <w:name w:val="toc 81"/>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348">
    <w:name w:val="xl111"/>
    <w:basedOn w:val="1"/>
    <w:next w:val="349"/>
    <w:autoRedefine/>
    <w:qFormat/>
    <w:uiPriority w:val="0"/>
    <w:pPr>
      <w:widowControl/>
      <w:shd w:val="clear" w:color="000000" w:fill="FFFFFF"/>
      <w:spacing w:before="280" w:after="280"/>
      <w:jc w:val="center"/>
    </w:pPr>
    <w:rPr>
      <w:rFonts w:ascii="宋体" w:hAnsi="Calibri"/>
      <w:b/>
      <w:kern w:val="0"/>
      <w:sz w:val="20"/>
      <w:szCs w:val="20"/>
    </w:rPr>
  </w:style>
  <w:style w:type="paragraph" w:customStyle="1" w:styleId="349">
    <w:name w:val="toc 88"/>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350">
    <w:name w:val="toc 84"/>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351">
    <w:name w:val="p0"/>
    <w:basedOn w:val="1"/>
    <w:next w:val="352"/>
    <w:autoRedefine/>
    <w:qFormat/>
    <w:uiPriority w:val="0"/>
    <w:pPr>
      <w:widowControl/>
      <w:spacing w:before="280" w:after="280"/>
    </w:pPr>
    <w:rPr>
      <w:rFonts w:ascii="宋体" w:hAnsi="Calibri"/>
      <w:kern w:val="0"/>
      <w:sz w:val="24"/>
      <w:szCs w:val="20"/>
    </w:rPr>
  </w:style>
  <w:style w:type="paragraph" w:customStyle="1" w:styleId="352">
    <w:name w:val="toc 69"/>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353">
    <w:name w:val="列出段落11"/>
    <w:basedOn w:val="1"/>
    <w:next w:val="354"/>
    <w:autoRedefine/>
    <w:qFormat/>
    <w:uiPriority w:val="0"/>
    <w:pPr>
      <w:widowControl/>
      <w:spacing w:line="360" w:lineRule="auto"/>
      <w:ind w:firstLine="420"/>
    </w:pPr>
    <w:rPr>
      <w:rFonts w:hAnsi="Calibri" w:eastAsia="微软雅黑"/>
      <w:kern w:val="0"/>
      <w:sz w:val="24"/>
      <w:szCs w:val="20"/>
    </w:rPr>
  </w:style>
  <w:style w:type="paragraph" w:customStyle="1" w:styleId="354">
    <w:name w:val="toc 214"/>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355">
    <w:name w:val="toc 63"/>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356">
    <w:name w:val="xl91"/>
    <w:basedOn w:val="1"/>
    <w:next w:val="253"/>
    <w:autoRedefine/>
    <w:qFormat/>
    <w:uiPriority w:val="0"/>
    <w:pPr>
      <w:widowControl/>
      <w:shd w:val="clear" w:color="000000" w:fill="FFFFFF"/>
      <w:spacing w:before="280" w:after="280"/>
    </w:pPr>
    <w:rPr>
      <w:rFonts w:ascii="宋体" w:hAnsi="Calibri"/>
      <w:kern w:val="0"/>
      <w:sz w:val="20"/>
      <w:szCs w:val="20"/>
    </w:rPr>
  </w:style>
  <w:style w:type="paragraph" w:customStyle="1" w:styleId="357">
    <w:name w:val="toc 316"/>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358">
    <w:name w:val="_Style 1"/>
    <w:basedOn w:val="1"/>
    <w:next w:val="359"/>
    <w:autoRedefine/>
    <w:qFormat/>
    <w:uiPriority w:val="0"/>
    <w:pPr>
      <w:ind w:firstLine="420"/>
    </w:pPr>
    <w:rPr>
      <w:rFonts w:hAnsi="Calibri"/>
      <w:kern w:val="0"/>
      <w:szCs w:val="20"/>
    </w:rPr>
  </w:style>
  <w:style w:type="paragraph" w:customStyle="1" w:styleId="359">
    <w:name w:val="TOC Heading13"/>
    <w:next w:val="1"/>
    <w:qFormat/>
    <w:uiPriority w:val="0"/>
    <w:pPr>
      <w:wordWrap w:val="0"/>
    </w:pPr>
    <w:rPr>
      <w:rFonts w:ascii="Calibri" w:hAnsi="Calibri" w:eastAsia="宋体" w:cs="Times New Roman"/>
      <w:sz w:val="32"/>
      <w:lang w:val="en-US" w:eastAsia="zh-CN" w:bidi="ar-SA"/>
    </w:rPr>
  </w:style>
  <w:style w:type="paragraph" w:customStyle="1" w:styleId="360">
    <w:name w:val="toc 116"/>
    <w:next w:val="1"/>
    <w:autoRedefine/>
    <w:qFormat/>
    <w:uiPriority w:val="0"/>
    <w:pPr>
      <w:wordWrap w:val="0"/>
      <w:jc w:val="both"/>
    </w:pPr>
    <w:rPr>
      <w:rFonts w:ascii="Calibri" w:hAnsi="Calibri" w:eastAsia="宋体" w:cs="Times New Roman"/>
      <w:sz w:val="21"/>
      <w:lang w:val="en-US" w:eastAsia="zh-CN" w:bidi="ar-SA"/>
    </w:rPr>
  </w:style>
  <w:style w:type="paragraph" w:customStyle="1" w:styleId="361">
    <w:name w:val="toc 72"/>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362">
    <w:name w:val="x_msonormal"/>
    <w:basedOn w:val="1"/>
    <w:next w:val="312"/>
    <w:autoRedefine/>
    <w:qFormat/>
    <w:uiPriority w:val="0"/>
    <w:pPr>
      <w:widowControl/>
      <w:spacing w:before="280" w:after="280"/>
    </w:pPr>
    <w:rPr>
      <w:rFonts w:ascii="PMingLiU" w:hAnsi="Calibri" w:eastAsia="PMingLiU"/>
      <w:kern w:val="0"/>
      <w:sz w:val="24"/>
      <w:szCs w:val="20"/>
    </w:rPr>
  </w:style>
  <w:style w:type="paragraph" w:customStyle="1" w:styleId="363">
    <w:name w:val="toc 310"/>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364">
    <w:name w:val="toc 83"/>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365">
    <w:name w:val="TOC Heading17"/>
    <w:next w:val="1"/>
    <w:autoRedefine/>
    <w:qFormat/>
    <w:uiPriority w:val="0"/>
    <w:pPr>
      <w:wordWrap w:val="0"/>
    </w:pPr>
    <w:rPr>
      <w:rFonts w:ascii="Calibri" w:hAnsi="Calibri" w:eastAsia="宋体" w:cs="Times New Roman"/>
      <w:sz w:val="32"/>
      <w:lang w:val="en-US" w:eastAsia="zh-CN" w:bidi="ar-SA"/>
    </w:rPr>
  </w:style>
  <w:style w:type="paragraph" w:customStyle="1" w:styleId="366">
    <w:name w:val="toc 911"/>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367">
    <w:name w:val="toc 811"/>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368">
    <w:name w:val="目录 31"/>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369">
    <w:name w:val="xl118"/>
    <w:basedOn w:val="1"/>
    <w:next w:val="243"/>
    <w:autoRedefine/>
    <w:qFormat/>
    <w:uiPriority w:val="0"/>
    <w:pPr>
      <w:widowControl/>
      <w:shd w:val="clear" w:color="000000" w:fill="FFFFFF"/>
      <w:spacing w:before="280" w:after="280"/>
      <w:jc w:val="center"/>
    </w:pPr>
    <w:rPr>
      <w:rFonts w:ascii="宋体" w:hAnsi="Calibri"/>
      <w:b/>
      <w:kern w:val="0"/>
      <w:sz w:val="20"/>
      <w:szCs w:val="20"/>
    </w:rPr>
  </w:style>
  <w:style w:type="paragraph" w:customStyle="1" w:styleId="370">
    <w:name w:val="xl83"/>
    <w:basedOn w:val="1"/>
    <w:next w:val="298"/>
    <w:autoRedefine/>
    <w:qFormat/>
    <w:uiPriority w:val="0"/>
    <w:pPr>
      <w:widowControl/>
      <w:shd w:val="clear" w:color="000000" w:fill="FFFFFF"/>
      <w:spacing w:before="280" w:after="280"/>
    </w:pPr>
    <w:rPr>
      <w:rFonts w:ascii="宋体" w:hAnsi="Calibri"/>
      <w:kern w:val="0"/>
      <w:sz w:val="20"/>
      <w:szCs w:val="20"/>
    </w:rPr>
  </w:style>
  <w:style w:type="paragraph" w:customStyle="1" w:styleId="371">
    <w:name w:val="xl103"/>
    <w:basedOn w:val="1"/>
    <w:next w:val="372"/>
    <w:autoRedefine/>
    <w:qFormat/>
    <w:uiPriority w:val="0"/>
    <w:pPr>
      <w:widowControl/>
      <w:shd w:val="clear" w:color="000000" w:fill="FFFFFF"/>
      <w:spacing w:before="280" w:after="280"/>
    </w:pPr>
    <w:rPr>
      <w:rFonts w:ascii="宋体" w:hAnsi="Calibri"/>
      <w:kern w:val="0"/>
      <w:sz w:val="20"/>
      <w:szCs w:val="20"/>
    </w:rPr>
  </w:style>
  <w:style w:type="paragraph" w:customStyle="1" w:styleId="372">
    <w:name w:val="toc 111"/>
    <w:next w:val="1"/>
    <w:autoRedefine/>
    <w:qFormat/>
    <w:uiPriority w:val="0"/>
    <w:pPr>
      <w:wordWrap w:val="0"/>
      <w:jc w:val="both"/>
    </w:pPr>
    <w:rPr>
      <w:rFonts w:ascii="Calibri" w:hAnsi="Calibri" w:eastAsia="宋体" w:cs="Times New Roman"/>
      <w:sz w:val="21"/>
      <w:lang w:val="en-US" w:eastAsia="zh-CN" w:bidi="ar-SA"/>
    </w:rPr>
  </w:style>
  <w:style w:type="paragraph" w:customStyle="1" w:styleId="373">
    <w:name w:val="xl68"/>
    <w:basedOn w:val="1"/>
    <w:next w:val="374"/>
    <w:autoRedefine/>
    <w:qFormat/>
    <w:uiPriority w:val="0"/>
    <w:pPr>
      <w:widowControl/>
      <w:shd w:val="clear" w:color="000000" w:fill="FFFFFF"/>
      <w:spacing w:before="280" w:after="280"/>
    </w:pPr>
    <w:rPr>
      <w:rFonts w:ascii="宋体" w:hAnsi="Calibri"/>
      <w:b/>
      <w:kern w:val="0"/>
      <w:sz w:val="20"/>
      <w:szCs w:val="20"/>
    </w:rPr>
  </w:style>
  <w:style w:type="paragraph" w:customStyle="1" w:styleId="374">
    <w:name w:val="TOC Heading16"/>
    <w:next w:val="1"/>
    <w:autoRedefine/>
    <w:qFormat/>
    <w:uiPriority w:val="0"/>
    <w:pPr>
      <w:wordWrap w:val="0"/>
    </w:pPr>
    <w:rPr>
      <w:rFonts w:ascii="Calibri" w:hAnsi="Calibri" w:eastAsia="宋体" w:cs="Times New Roman"/>
      <w:sz w:val="32"/>
      <w:lang w:val="en-US" w:eastAsia="zh-CN" w:bidi="ar-SA"/>
    </w:rPr>
  </w:style>
  <w:style w:type="paragraph" w:customStyle="1" w:styleId="375">
    <w:name w:val="toc 113"/>
    <w:next w:val="1"/>
    <w:autoRedefine/>
    <w:qFormat/>
    <w:uiPriority w:val="0"/>
    <w:pPr>
      <w:wordWrap w:val="0"/>
      <w:jc w:val="both"/>
    </w:pPr>
    <w:rPr>
      <w:rFonts w:ascii="Calibri" w:hAnsi="Calibri" w:eastAsia="宋体" w:cs="Times New Roman"/>
      <w:sz w:val="21"/>
      <w:lang w:val="en-US" w:eastAsia="zh-CN" w:bidi="ar-SA"/>
    </w:rPr>
  </w:style>
  <w:style w:type="paragraph" w:customStyle="1" w:styleId="376">
    <w:name w:val="xl94"/>
    <w:basedOn w:val="1"/>
    <w:next w:val="267"/>
    <w:autoRedefine/>
    <w:qFormat/>
    <w:uiPriority w:val="0"/>
    <w:pPr>
      <w:widowControl/>
      <w:shd w:val="clear" w:color="000000" w:fill="FFFFFF"/>
      <w:spacing w:before="280" w:after="280"/>
      <w:jc w:val="center"/>
    </w:pPr>
    <w:rPr>
      <w:rFonts w:ascii="宋体" w:hAnsi="Calibri"/>
      <w:kern w:val="0"/>
      <w:sz w:val="20"/>
      <w:szCs w:val="20"/>
    </w:rPr>
  </w:style>
  <w:style w:type="paragraph" w:customStyle="1" w:styleId="377">
    <w:name w:val="toc 53"/>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378">
    <w:name w:val="xl92"/>
    <w:basedOn w:val="1"/>
    <w:next w:val="379"/>
    <w:autoRedefine/>
    <w:qFormat/>
    <w:uiPriority w:val="0"/>
    <w:pPr>
      <w:widowControl/>
      <w:shd w:val="clear" w:color="000000" w:fill="FFFFFF"/>
      <w:spacing w:before="280" w:after="280"/>
    </w:pPr>
    <w:rPr>
      <w:rFonts w:ascii="宋体" w:hAnsi="Calibri"/>
      <w:kern w:val="0"/>
      <w:sz w:val="20"/>
      <w:szCs w:val="20"/>
    </w:rPr>
  </w:style>
  <w:style w:type="paragraph" w:customStyle="1" w:styleId="379">
    <w:name w:val="toc 913"/>
    <w:next w:val="1"/>
    <w:qFormat/>
    <w:uiPriority w:val="0"/>
    <w:pPr>
      <w:wordWrap w:val="0"/>
      <w:ind w:left="3400"/>
      <w:jc w:val="both"/>
    </w:pPr>
    <w:rPr>
      <w:rFonts w:ascii="Calibri" w:hAnsi="Calibri" w:eastAsia="宋体" w:cs="Times New Roman"/>
      <w:sz w:val="21"/>
      <w:lang w:val="en-US" w:eastAsia="zh-CN" w:bidi="ar-SA"/>
    </w:rPr>
  </w:style>
  <w:style w:type="paragraph" w:customStyle="1" w:styleId="380">
    <w:name w:val="toc 512"/>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381">
    <w:name w:val="目录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82">
    <w:name w:val="正文表标题"/>
    <w:next w:val="1"/>
    <w:autoRedefine/>
    <w:qFormat/>
    <w:uiPriority w:val="0"/>
    <w:pPr>
      <w:ind w:left="630"/>
      <w:jc w:val="center"/>
    </w:pPr>
    <w:rPr>
      <w:rFonts w:ascii="黑体" w:hAnsi="Calibri" w:eastAsia="黑体" w:cs="Times New Roman"/>
      <w:sz w:val="21"/>
      <w:lang w:val="en-US" w:eastAsia="zh-CN" w:bidi="ar-SA"/>
    </w:rPr>
  </w:style>
  <w:style w:type="paragraph" w:customStyle="1" w:styleId="383">
    <w:name w:val="toc 28"/>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384">
    <w:name w:val="toc 79"/>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385">
    <w:name w:val="xl110"/>
    <w:basedOn w:val="1"/>
    <w:next w:val="341"/>
    <w:autoRedefine/>
    <w:qFormat/>
    <w:uiPriority w:val="0"/>
    <w:pPr>
      <w:widowControl/>
      <w:shd w:val="clear" w:color="000000" w:fill="FFFFFF"/>
      <w:spacing w:before="280" w:after="280"/>
      <w:jc w:val="center"/>
    </w:pPr>
    <w:rPr>
      <w:rFonts w:ascii="宋体" w:hAnsi="Calibri"/>
      <w:kern w:val="0"/>
      <w:sz w:val="20"/>
      <w:szCs w:val="20"/>
    </w:rPr>
  </w:style>
  <w:style w:type="paragraph" w:customStyle="1" w:styleId="386">
    <w:name w:val="toc 511"/>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387">
    <w:name w:val="toc 416"/>
    <w:next w:val="1"/>
    <w:qFormat/>
    <w:uiPriority w:val="0"/>
    <w:pPr>
      <w:wordWrap w:val="0"/>
      <w:ind w:left="1275"/>
      <w:jc w:val="both"/>
    </w:pPr>
    <w:rPr>
      <w:rFonts w:ascii="Calibri" w:hAnsi="Calibri" w:eastAsia="宋体" w:cs="Times New Roman"/>
      <w:sz w:val="21"/>
      <w:lang w:val="en-US" w:eastAsia="zh-CN" w:bidi="ar-SA"/>
    </w:rPr>
  </w:style>
  <w:style w:type="paragraph" w:customStyle="1" w:styleId="388">
    <w:name w:val="xl85"/>
    <w:basedOn w:val="1"/>
    <w:next w:val="389"/>
    <w:autoRedefine/>
    <w:qFormat/>
    <w:uiPriority w:val="0"/>
    <w:pPr>
      <w:widowControl/>
      <w:shd w:val="clear" w:color="000000" w:fill="FFFFFF"/>
      <w:spacing w:before="280" w:after="280"/>
      <w:jc w:val="center"/>
    </w:pPr>
    <w:rPr>
      <w:rFonts w:ascii="宋体" w:hAnsi="Calibri"/>
      <w:kern w:val="0"/>
      <w:sz w:val="20"/>
      <w:szCs w:val="20"/>
    </w:rPr>
  </w:style>
  <w:style w:type="paragraph" w:customStyle="1" w:styleId="389">
    <w:name w:val="toc 76"/>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390">
    <w:name w:val="toc 27"/>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391">
    <w:name w:val="toc 916"/>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392">
    <w:name w:val="toc 77"/>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393">
    <w:name w:val="toc 211"/>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394">
    <w:name w:val="toc 815"/>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395">
    <w:name w:val="xl99"/>
    <w:basedOn w:val="1"/>
    <w:next w:val="380"/>
    <w:qFormat/>
    <w:uiPriority w:val="0"/>
    <w:pPr>
      <w:widowControl/>
      <w:shd w:val="clear" w:color="000000" w:fill="FFFFFF"/>
      <w:spacing w:before="280" w:after="280"/>
    </w:pPr>
    <w:rPr>
      <w:rFonts w:ascii="宋体" w:hAnsi="Calibri"/>
      <w:kern w:val="0"/>
      <w:sz w:val="18"/>
      <w:szCs w:val="20"/>
    </w:rPr>
  </w:style>
  <w:style w:type="paragraph" w:customStyle="1" w:styleId="396">
    <w:name w:val="xl97"/>
    <w:basedOn w:val="1"/>
    <w:next w:val="268"/>
    <w:autoRedefine/>
    <w:qFormat/>
    <w:uiPriority w:val="0"/>
    <w:pPr>
      <w:widowControl/>
      <w:shd w:val="clear" w:color="000000" w:fill="FFFFFF"/>
      <w:spacing w:before="280" w:after="280"/>
      <w:jc w:val="center"/>
    </w:pPr>
    <w:rPr>
      <w:rFonts w:ascii="宋体" w:hAnsi="Calibri"/>
      <w:kern w:val="0"/>
      <w:sz w:val="20"/>
      <w:szCs w:val="20"/>
    </w:rPr>
  </w:style>
  <w:style w:type="paragraph" w:customStyle="1" w:styleId="397">
    <w:name w:val="toc 612"/>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398">
    <w:name w:val="toc 315"/>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399">
    <w:name w:val="TOC Heading15"/>
    <w:next w:val="1"/>
    <w:autoRedefine/>
    <w:qFormat/>
    <w:uiPriority w:val="0"/>
    <w:pPr>
      <w:wordWrap w:val="0"/>
    </w:pPr>
    <w:rPr>
      <w:rFonts w:ascii="Calibri" w:hAnsi="Calibri" w:eastAsia="宋体" w:cs="Times New Roman"/>
      <w:sz w:val="32"/>
      <w:lang w:val="en-US" w:eastAsia="zh-CN" w:bidi="ar-SA"/>
    </w:rPr>
  </w:style>
  <w:style w:type="paragraph" w:customStyle="1" w:styleId="400">
    <w:name w:val="toc 915"/>
    <w:next w:val="1"/>
    <w:qFormat/>
    <w:uiPriority w:val="0"/>
    <w:pPr>
      <w:wordWrap w:val="0"/>
      <w:ind w:left="3400"/>
      <w:jc w:val="both"/>
    </w:pPr>
    <w:rPr>
      <w:rFonts w:ascii="Calibri" w:hAnsi="Calibri" w:eastAsia="宋体" w:cs="Times New Roman"/>
      <w:sz w:val="21"/>
      <w:lang w:val="en-US" w:eastAsia="zh-CN" w:bidi="ar-SA"/>
    </w:rPr>
  </w:style>
  <w:style w:type="paragraph" w:customStyle="1" w:styleId="401">
    <w:name w:val="toc 39"/>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402">
    <w:name w:val="toc 710"/>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403">
    <w:name w:val="toc 12"/>
    <w:next w:val="1"/>
    <w:autoRedefine/>
    <w:qFormat/>
    <w:uiPriority w:val="0"/>
    <w:pPr>
      <w:wordWrap w:val="0"/>
      <w:jc w:val="both"/>
    </w:pPr>
    <w:rPr>
      <w:rFonts w:ascii="Calibri" w:hAnsi="Calibri" w:eastAsia="宋体" w:cs="Times New Roman"/>
      <w:sz w:val="21"/>
      <w:lang w:val="en-US" w:eastAsia="zh-CN" w:bidi="ar-SA"/>
    </w:rPr>
  </w:style>
  <w:style w:type="paragraph" w:customStyle="1" w:styleId="404">
    <w:name w:val="xl95"/>
    <w:basedOn w:val="1"/>
    <w:next w:val="405"/>
    <w:autoRedefine/>
    <w:qFormat/>
    <w:uiPriority w:val="0"/>
    <w:pPr>
      <w:widowControl/>
      <w:shd w:val="clear" w:color="000000" w:fill="FFFFFF"/>
      <w:spacing w:before="280" w:after="280"/>
    </w:pPr>
    <w:rPr>
      <w:rFonts w:ascii="宋体" w:hAnsi="Calibri"/>
      <w:kern w:val="0"/>
      <w:sz w:val="20"/>
      <w:szCs w:val="20"/>
    </w:rPr>
  </w:style>
  <w:style w:type="paragraph" w:customStyle="1" w:styleId="405">
    <w:name w:val="toc 415"/>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406">
    <w:name w:val="toc 29"/>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407">
    <w:name w:val="xl67"/>
    <w:basedOn w:val="1"/>
    <w:next w:val="408"/>
    <w:autoRedefine/>
    <w:qFormat/>
    <w:uiPriority w:val="0"/>
    <w:pPr>
      <w:widowControl/>
      <w:shd w:val="clear" w:color="000000" w:fill="FFFFFF"/>
      <w:spacing w:before="280" w:after="280"/>
      <w:jc w:val="center"/>
    </w:pPr>
    <w:rPr>
      <w:rFonts w:ascii="宋体" w:hAnsi="Calibri"/>
      <w:b/>
      <w:kern w:val="0"/>
      <w:sz w:val="20"/>
      <w:szCs w:val="20"/>
    </w:rPr>
  </w:style>
  <w:style w:type="paragraph" w:customStyle="1" w:styleId="408">
    <w:name w:val="toc 714"/>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409">
    <w:name w:val="toc 21"/>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410">
    <w:name w:val="正文 A"/>
    <w:next w:val="327"/>
    <w:autoRedefine/>
    <w:qFormat/>
    <w:uiPriority w:val="0"/>
    <w:rPr>
      <w:rFonts w:ascii="Arial" w:hAnsi="Calibri" w:eastAsia="Arial Unicode MS" w:cs="Times New Roman"/>
      <w:color w:val="000000"/>
      <w:sz w:val="21"/>
      <w:lang w:val="en-US" w:eastAsia="zh-CN" w:bidi="ar-SA"/>
    </w:rPr>
  </w:style>
  <w:style w:type="paragraph" w:customStyle="1" w:styleId="411">
    <w:name w:val="toc 68"/>
    <w:next w:val="1"/>
    <w:qFormat/>
    <w:uiPriority w:val="0"/>
    <w:pPr>
      <w:wordWrap w:val="0"/>
      <w:ind w:left="2125"/>
      <w:jc w:val="both"/>
    </w:pPr>
    <w:rPr>
      <w:rFonts w:ascii="Calibri" w:hAnsi="Calibri" w:eastAsia="宋体" w:cs="Times New Roman"/>
      <w:sz w:val="21"/>
      <w:lang w:val="en-US" w:eastAsia="zh-CN" w:bidi="ar-SA"/>
    </w:rPr>
  </w:style>
  <w:style w:type="paragraph" w:customStyle="1" w:styleId="412">
    <w:name w:val="toc 58"/>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413">
    <w:name w:val="xl88"/>
    <w:basedOn w:val="1"/>
    <w:next w:val="399"/>
    <w:qFormat/>
    <w:uiPriority w:val="0"/>
    <w:pPr>
      <w:widowControl/>
      <w:shd w:val="clear" w:color="000000" w:fill="FFFFFF"/>
      <w:spacing w:before="280" w:after="280"/>
      <w:jc w:val="center"/>
    </w:pPr>
    <w:rPr>
      <w:rFonts w:ascii="宋体" w:hAnsi="Calibri"/>
      <w:kern w:val="0"/>
      <w:sz w:val="20"/>
      <w:szCs w:val="20"/>
    </w:rPr>
  </w:style>
  <w:style w:type="paragraph" w:customStyle="1" w:styleId="414">
    <w:name w:val="toc 7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415">
    <w:name w:val="xl100"/>
    <w:basedOn w:val="1"/>
    <w:next w:val="416"/>
    <w:autoRedefine/>
    <w:qFormat/>
    <w:uiPriority w:val="0"/>
    <w:pPr>
      <w:widowControl/>
      <w:shd w:val="clear" w:color="000000" w:fill="FFFFFF"/>
      <w:spacing w:before="280" w:after="280"/>
    </w:pPr>
    <w:rPr>
      <w:rFonts w:ascii="宋体" w:hAnsi="Calibri"/>
      <w:kern w:val="0"/>
      <w:sz w:val="20"/>
      <w:szCs w:val="20"/>
    </w:rPr>
  </w:style>
  <w:style w:type="paragraph" w:customStyle="1" w:styleId="416">
    <w:name w:val="toc 510"/>
    <w:next w:val="1"/>
    <w:qFormat/>
    <w:uiPriority w:val="0"/>
    <w:pPr>
      <w:wordWrap w:val="0"/>
      <w:ind w:left="1700"/>
      <w:jc w:val="both"/>
    </w:pPr>
    <w:rPr>
      <w:rFonts w:ascii="Calibri" w:hAnsi="Calibri" w:eastAsia="宋体" w:cs="Times New Roman"/>
      <w:sz w:val="21"/>
      <w:lang w:val="en-US" w:eastAsia="zh-CN" w:bidi="ar-SA"/>
    </w:rPr>
  </w:style>
  <w:style w:type="paragraph" w:customStyle="1" w:styleId="417">
    <w:name w:val="toc 314"/>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418">
    <w:name w:val="xl114"/>
    <w:basedOn w:val="1"/>
    <w:next w:val="270"/>
    <w:qFormat/>
    <w:uiPriority w:val="0"/>
    <w:pPr>
      <w:widowControl/>
      <w:shd w:val="clear" w:color="000000" w:fill="FFFFFF"/>
      <w:spacing w:before="280" w:after="280"/>
      <w:jc w:val="center"/>
    </w:pPr>
    <w:rPr>
      <w:rFonts w:ascii="宋体" w:hAnsi="Calibri"/>
      <w:b/>
      <w:kern w:val="0"/>
      <w:sz w:val="20"/>
      <w:szCs w:val="20"/>
    </w:rPr>
  </w:style>
  <w:style w:type="paragraph" w:customStyle="1" w:styleId="419">
    <w:name w:val="xl107"/>
    <w:basedOn w:val="1"/>
    <w:next w:val="420"/>
    <w:autoRedefine/>
    <w:qFormat/>
    <w:uiPriority w:val="0"/>
    <w:pPr>
      <w:widowControl/>
      <w:shd w:val="clear" w:color="000000" w:fill="FFFFFF"/>
      <w:spacing w:before="280" w:after="280"/>
    </w:pPr>
    <w:rPr>
      <w:rFonts w:ascii="宋体" w:hAnsi="Calibri"/>
      <w:kern w:val="0"/>
      <w:sz w:val="20"/>
      <w:szCs w:val="20"/>
    </w:rPr>
  </w:style>
  <w:style w:type="paragraph" w:customStyle="1" w:styleId="420">
    <w:name w:val="toc 610"/>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421">
    <w:name w:val="toc 22"/>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422">
    <w:name w:val="xl90"/>
    <w:basedOn w:val="1"/>
    <w:next w:val="224"/>
    <w:autoRedefine/>
    <w:qFormat/>
    <w:uiPriority w:val="0"/>
    <w:pPr>
      <w:widowControl/>
      <w:shd w:val="clear" w:color="000000" w:fill="FFFFFF"/>
      <w:spacing w:before="280" w:after="280"/>
    </w:pPr>
    <w:rPr>
      <w:rFonts w:ascii="宋体" w:hAnsi="Calibri"/>
      <w:kern w:val="0"/>
      <w:sz w:val="18"/>
      <w:szCs w:val="20"/>
    </w:rPr>
  </w:style>
  <w:style w:type="paragraph" w:customStyle="1" w:styleId="423">
    <w:name w:val="toc 616"/>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424">
    <w:name w:val="toc 96"/>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425">
    <w:name w:val="toc 42"/>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426">
    <w:name w:val="xl117"/>
    <w:basedOn w:val="1"/>
    <w:next w:val="323"/>
    <w:autoRedefine/>
    <w:qFormat/>
    <w:uiPriority w:val="0"/>
    <w:pPr>
      <w:widowControl/>
      <w:shd w:val="clear" w:color="000000" w:fill="FFFFFF"/>
      <w:spacing w:before="280" w:after="280"/>
      <w:jc w:val="center"/>
    </w:pPr>
    <w:rPr>
      <w:rFonts w:ascii="Arial Narrow" w:hAnsi="Calibri"/>
      <w:kern w:val="0"/>
      <w:sz w:val="24"/>
      <w:szCs w:val="20"/>
    </w:rPr>
  </w:style>
  <w:style w:type="paragraph" w:customStyle="1" w:styleId="427">
    <w:name w:val="p15"/>
    <w:basedOn w:val="1"/>
    <w:next w:val="248"/>
    <w:qFormat/>
    <w:uiPriority w:val="0"/>
    <w:pPr>
      <w:widowControl/>
      <w:ind w:firstLine="420"/>
    </w:pPr>
    <w:rPr>
      <w:rFonts w:hAnsi="Calibri"/>
      <w:kern w:val="0"/>
      <w:szCs w:val="20"/>
    </w:rPr>
  </w:style>
  <w:style w:type="paragraph" w:customStyle="1" w:styleId="428">
    <w:name w:val="xl87"/>
    <w:basedOn w:val="1"/>
    <w:next w:val="429"/>
    <w:autoRedefine/>
    <w:qFormat/>
    <w:uiPriority w:val="0"/>
    <w:pPr>
      <w:widowControl/>
      <w:shd w:val="clear" w:color="000000" w:fill="FFFFFF"/>
      <w:spacing w:before="280" w:after="280"/>
    </w:pPr>
    <w:rPr>
      <w:rFonts w:ascii="Arial" w:hAnsi="Calibri"/>
      <w:kern w:val="0"/>
      <w:sz w:val="18"/>
      <w:szCs w:val="20"/>
    </w:rPr>
  </w:style>
  <w:style w:type="paragraph" w:customStyle="1" w:styleId="429">
    <w:name w:val="toc 98"/>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430">
    <w:name w:val="列出段落7"/>
    <w:basedOn w:val="1"/>
    <w:next w:val="412"/>
    <w:autoRedefine/>
    <w:qFormat/>
    <w:uiPriority w:val="0"/>
    <w:pPr>
      <w:ind w:firstLine="420"/>
    </w:pPr>
    <w:rPr>
      <w:rFonts w:hAnsi="Calibri"/>
      <w:kern w:val="0"/>
      <w:szCs w:val="20"/>
    </w:rPr>
  </w:style>
  <w:style w:type="paragraph" w:customStyle="1" w:styleId="431">
    <w:name w:val="xl78"/>
    <w:basedOn w:val="1"/>
    <w:next w:val="402"/>
    <w:autoRedefine/>
    <w:qFormat/>
    <w:uiPriority w:val="0"/>
    <w:pPr>
      <w:widowControl/>
      <w:shd w:val="clear" w:color="000000" w:fill="FFFFFF"/>
      <w:spacing w:before="280" w:after="280"/>
    </w:pPr>
    <w:rPr>
      <w:rFonts w:ascii="宋体" w:hAnsi="Calibri"/>
      <w:b/>
      <w:kern w:val="0"/>
      <w:sz w:val="20"/>
      <w:szCs w:val="20"/>
    </w:rPr>
  </w:style>
  <w:style w:type="paragraph" w:customStyle="1" w:styleId="432">
    <w:name w:val="toc 516"/>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433">
    <w:name w:val="xl89"/>
    <w:basedOn w:val="1"/>
    <w:next w:val="367"/>
    <w:autoRedefine/>
    <w:qFormat/>
    <w:uiPriority w:val="0"/>
    <w:pPr>
      <w:widowControl/>
      <w:shd w:val="clear" w:color="000000" w:fill="FFFFFF"/>
      <w:spacing w:before="280" w:after="280"/>
    </w:pPr>
    <w:rPr>
      <w:rFonts w:ascii="宋体" w:hAnsi="Calibri"/>
      <w:kern w:val="0"/>
      <w:sz w:val="20"/>
      <w:szCs w:val="20"/>
    </w:rPr>
  </w:style>
  <w:style w:type="paragraph" w:customStyle="1" w:styleId="434">
    <w:name w:val="toc 910"/>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435">
    <w:name w:val="toc 34"/>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436">
    <w:name w:val="toc 816"/>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437">
    <w:name w:val="toc 4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438">
    <w:name w:val="toc 16"/>
    <w:next w:val="1"/>
    <w:autoRedefine/>
    <w:qFormat/>
    <w:uiPriority w:val="0"/>
    <w:pPr>
      <w:wordWrap w:val="0"/>
      <w:jc w:val="both"/>
    </w:pPr>
    <w:rPr>
      <w:rFonts w:ascii="Calibri" w:hAnsi="Calibri" w:eastAsia="宋体" w:cs="Times New Roman"/>
      <w:sz w:val="21"/>
      <w:lang w:val="en-US" w:eastAsia="zh-CN" w:bidi="ar-SA"/>
    </w:rPr>
  </w:style>
  <w:style w:type="character" w:customStyle="1" w:styleId="439">
    <w:name w:val="引用 Char"/>
    <w:basedOn w:val="46"/>
    <w:link w:val="53"/>
    <w:autoRedefine/>
    <w:qFormat/>
    <w:uiPriority w:val="0"/>
    <w:rPr>
      <w:rFonts w:ascii="Calibri" w:hAnsi="Calibri"/>
      <w:i/>
      <w:sz w:val="21"/>
    </w:rPr>
  </w:style>
  <w:style w:type="paragraph" w:customStyle="1" w:styleId="440">
    <w:name w:val="toc 114"/>
    <w:next w:val="1"/>
    <w:qFormat/>
    <w:uiPriority w:val="0"/>
    <w:pPr>
      <w:wordWrap w:val="0"/>
      <w:jc w:val="both"/>
    </w:pPr>
    <w:rPr>
      <w:rFonts w:ascii="Calibri" w:hAnsi="Calibri" w:eastAsia="宋体" w:cs="Times New Roman"/>
      <w:sz w:val="21"/>
      <w:lang w:val="en-US" w:eastAsia="zh-CN" w:bidi="ar-SA"/>
    </w:rPr>
  </w:style>
  <w:style w:type="paragraph" w:customStyle="1" w:styleId="441">
    <w:name w:val="xl119"/>
    <w:basedOn w:val="1"/>
    <w:next w:val="417"/>
    <w:qFormat/>
    <w:uiPriority w:val="0"/>
    <w:pPr>
      <w:widowControl/>
      <w:shd w:val="clear" w:color="000000" w:fill="FFFFFF"/>
      <w:spacing w:before="280" w:after="280"/>
      <w:jc w:val="center"/>
    </w:pPr>
    <w:rPr>
      <w:rFonts w:ascii="宋体" w:hAnsi="Calibri"/>
      <w:b/>
      <w:kern w:val="0"/>
      <w:sz w:val="20"/>
      <w:szCs w:val="20"/>
    </w:rPr>
  </w:style>
  <w:style w:type="paragraph" w:customStyle="1" w:styleId="442">
    <w:name w:val="toc 37"/>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443">
    <w:name w:val="xl109"/>
    <w:basedOn w:val="1"/>
    <w:next w:val="390"/>
    <w:autoRedefine/>
    <w:qFormat/>
    <w:uiPriority w:val="0"/>
    <w:pPr>
      <w:widowControl/>
      <w:shd w:val="clear" w:color="000000" w:fill="FFFFFF"/>
      <w:spacing w:before="280" w:after="280"/>
    </w:pPr>
    <w:rPr>
      <w:rFonts w:ascii="宋体" w:hAnsi="Calibri"/>
      <w:kern w:val="0"/>
      <w:sz w:val="20"/>
      <w:szCs w:val="20"/>
    </w:rPr>
  </w:style>
  <w:style w:type="paragraph" w:customStyle="1" w:styleId="444">
    <w:name w:val="toc 215"/>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445">
    <w:name w:val="xl76"/>
    <w:basedOn w:val="1"/>
    <w:next w:val="398"/>
    <w:autoRedefine/>
    <w:qFormat/>
    <w:uiPriority w:val="0"/>
    <w:pPr>
      <w:widowControl/>
      <w:shd w:val="clear" w:color="000000" w:fill="FFFFFF"/>
      <w:spacing w:before="280" w:after="280"/>
      <w:jc w:val="center"/>
    </w:pPr>
    <w:rPr>
      <w:rFonts w:ascii="宋体" w:hAnsi="Calibri"/>
      <w:b/>
      <w:kern w:val="0"/>
      <w:sz w:val="20"/>
      <w:szCs w:val="20"/>
    </w:rPr>
  </w:style>
  <w:style w:type="paragraph" w:customStyle="1" w:styleId="446">
    <w:name w:val="toc 92"/>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447">
    <w:name w:val="toc 216"/>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448">
    <w:name w:val="xl70"/>
    <w:basedOn w:val="1"/>
    <w:next w:val="375"/>
    <w:qFormat/>
    <w:uiPriority w:val="0"/>
    <w:pPr>
      <w:widowControl/>
      <w:shd w:val="clear" w:color="000000" w:fill="FFFFFF"/>
      <w:spacing w:before="280" w:after="280"/>
    </w:pPr>
    <w:rPr>
      <w:rFonts w:ascii="宋体" w:hAnsi="Calibri"/>
      <w:kern w:val="0"/>
      <w:sz w:val="20"/>
      <w:szCs w:val="20"/>
    </w:rPr>
  </w:style>
  <w:style w:type="paragraph" w:customStyle="1" w:styleId="449">
    <w:name w:val="toc 33"/>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450">
    <w:name w:val="toc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51">
    <w:name w:val="xl98"/>
    <w:basedOn w:val="1"/>
    <w:next w:val="393"/>
    <w:autoRedefine/>
    <w:qFormat/>
    <w:uiPriority w:val="0"/>
    <w:pPr>
      <w:widowControl/>
      <w:shd w:val="clear" w:color="000000" w:fill="FFFFFF"/>
      <w:spacing w:before="280" w:after="280"/>
      <w:jc w:val="center"/>
    </w:pPr>
    <w:rPr>
      <w:rFonts w:ascii="宋体" w:hAnsi="Calibri"/>
      <w:kern w:val="0"/>
      <w:sz w:val="20"/>
      <w:szCs w:val="20"/>
    </w:rPr>
  </w:style>
  <w:style w:type="paragraph" w:customStyle="1" w:styleId="452">
    <w:name w:val="toc 26"/>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453">
    <w:name w:val="toc 13"/>
    <w:next w:val="1"/>
    <w:qFormat/>
    <w:uiPriority w:val="0"/>
    <w:pPr>
      <w:wordWrap w:val="0"/>
      <w:jc w:val="both"/>
    </w:pPr>
    <w:rPr>
      <w:rFonts w:ascii="Calibri" w:hAnsi="Calibri" w:eastAsia="宋体" w:cs="Times New Roman"/>
      <w:sz w:val="21"/>
      <w:lang w:val="en-US" w:eastAsia="zh-CN" w:bidi="ar-SA"/>
    </w:rPr>
  </w:style>
  <w:style w:type="paragraph" w:customStyle="1" w:styleId="454">
    <w:name w:val="目录 51"/>
    <w:next w:val="1"/>
    <w:qFormat/>
    <w:uiPriority w:val="0"/>
    <w:pPr>
      <w:wordWrap w:val="0"/>
      <w:ind w:left="1700"/>
      <w:jc w:val="both"/>
    </w:pPr>
    <w:rPr>
      <w:rFonts w:ascii="Calibri" w:hAnsi="Calibri" w:eastAsia="宋体" w:cs="Times New Roman"/>
      <w:sz w:val="21"/>
      <w:lang w:val="en-US" w:eastAsia="zh-CN" w:bidi="ar-SA"/>
    </w:rPr>
  </w:style>
  <w:style w:type="paragraph" w:customStyle="1" w:styleId="455">
    <w:name w:val="xl101"/>
    <w:basedOn w:val="1"/>
    <w:next w:val="424"/>
    <w:autoRedefine/>
    <w:qFormat/>
    <w:uiPriority w:val="0"/>
    <w:pPr>
      <w:widowControl/>
      <w:spacing w:before="280" w:after="280"/>
    </w:pPr>
    <w:rPr>
      <w:rFonts w:ascii="宋体" w:hAnsi="Calibri"/>
      <w:kern w:val="0"/>
      <w:sz w:val="20"/>
      <w:szCs w:val="20"/>
    </w:rPr>
  </w:style>
  <w:style w:type="paragraph" w:customStyle="1" w:styleId="456">
    <w:name w:val="toc 75"/>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457">
    <w:name w:val="toc 715"/>
    <w:next w:val="1"/>
    <w:qFormat/>
    <w:uiPriority w:val="0"/>
    <w:pPr>
      <w:wordWrap w:val="0"/>
      <w:ind w:left="2550"/>
      <w:jc w:val="both"/>
    </w:pPr>
    <w:rPr>
      <w:rFonts w:ascii="Calibri" w:hAnsi="Calibri" w:eastAsia="宋体" w:cs="Times New Roman"/>
      <w:sz w:val="21"/>
      <w:lang w:val="en-US" w:eastAsia="zh-CN" w:bidi="ar-SA"/>
    </w:rPr>
  </w:style>
  <w:style w:type="paragraph" w:styleId="458">
    <w:name w:val="Intense Quote"/>
    <w:next w:val="1"/>
    <w:link w:val="459"/>
    <w:autoRedefine/>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59">
    <w:name w:val="明显引用 Char"/>
    <w:basedOn w:val="46"/>
    <w:link w:val="458"/>
    <w:autoRedefine/>
    <w:qFormat/>
    <w:uiPriority w:val="0"/>
    <w:rPr>
      <w:rFonts w:ascii="Calibri" w:hAnsi="Calibri"/>
      <w:i/>
      <w:sz w:val="21"/>
    </w:rPr>
  </w:style>
  <w:style w:type="paragraph" w:customStyle="1" w:styleId="460">
    <w:name w:val="Char Char Char Char Char Char Char"/>
    <w:basedOn w:val="1"/>
    <w:next w:val="444"/>
    <w:autoRedefine/>
    <w:qFormat/>
    <w:uiPriority w:val="0"/>
    <w:pPr>
      <w:widowControl/>
      <w:spacing w:after="160" w:line="240" w:lineRule="exact"/>
    </w:pPr>
    <w:rPr>
      <w:rFonts w:hAnsi="Calibri"/>
      <w:kern w:val="0"/>
      <w:szCs w:val="20"/>
    </w:rPr>
  </w:style>
  <w:style w:type="paragraph" w:customStyle="1" w:styleId="461">
    <w:name w:val="toc 23"/>
    <w:next w:val="1"/>
    <w:qFormat/>
    <w:uiPriority w:val="0"/>
    <w:pPr>
      <w:wordWrap w:val="0"/>
      <w:ind w:left="425"/>
      <w:jc w:val="both"/>
    </w:pPr>
    <w:rPr>
      <w:rFonts w:ascii="Calibri" w:hAnsi="Calibri" w:eastAsia="宋体" w:cs="Times New Roman"/>
      <w:sz w:val="21"/>
      <w:lang w:val="en-US" w:eastAsia="zh-CN" w:bidi="ar-SA"/>
    </w:rPr>
  </w:style>
  <w:style w:type="paragraph" w:customStyle="1" w:styleId="462">
    <w:name w:val="目录 61"/>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463">
    <w:name w:val="toc 97"/>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464">
    <w:name w:val="toc 74"/>
    <w:next w:val="1"/>
    <w:qFormat/>
    <w:uiPriority w:val="0"/>
    <w:pPr>
      <w:wordWrap w:val="0"/>
      <w:ind w:left="2550"/>
      <w:jc w:val="both"/>
    </w:pPr>
    <w:rPr>
      <w:rFonts w:ascii="Calibri" w:hAnsi="Calibri" w:eastAsia="宋体" w:cs="Times New Roman"/>
      <w:sz w:val="21"/>
      <w:lang w:val="en-US" w:eastAsia="zh-CN" w:bidi="ar-SA"/>
    </w:rPr>
  </w:style>
  <w:style w:type="paragraph" w:customStyle="1" w:styleId="465">
    <w:name w:val="xl64"/>
    <w:basedOn w:val="1"/>
    <w:next w:val="440"/>
    <w:autoRedefine/>
    <w:qFormat/>
    <w:uiPriority w:val="0"/>
    <w:pPr>
      <w:widowControl/>
      <w:shd w:val="clear" w:color="000000" w:fill="FFFFFF"/>
      <w:spacing w:before="280" w:after="280"/>
    </w:pPr>
    <w:rPr>
      <w:rFonts w:ascii="宋体" w:hAnsi="Calibri"/>
      <w:kern w:val="0"/>
      <w:sz w:val="20"/>
      <w:szCs w:val="20"/>
    </w:rPr>
  </w:style>
  <w:style w:type="paragraph" w:customStyle="1" w:styleId="466">
    <w:name w:val="xl82"/>
    <w:basedOn w:val="1"/>
    <w:next w:val="286"/>
    <w:qFormat/>
    <w:uiPriority w:val="0"/>
    <w:pPr>
      <w:widowControl/>
      <w:shd w:val="clear" w:color="000000" w:fill="FFFFFF"/>
      <w:spacing w:before="280" w:after="280"/>
    </w:pPr>
    <w:rPr>
      <w:rFonts w:ascii="宋体" w:hAnsi="Calibri"/>
      <w:kern w:val="0"/>
      <w:sz w:val="20"/>
      <w:szCs w:val="20"/>
    </w:rPr>
  </w:style>
  <w:style w:type="paragraph" w:customStyle="1" w:styleId="467">
    <w:name w:val="toc 32"/>
    <w:next w:val="1"/>
    <w:qFormat/>
    <w:uiPriority w:val="0"/>
    <w:pPr>
      <w:wordWrap w:val="0"/>
      <w:ind w:left="850"/>
      <w:jc w:val="both"/>
    </w:pPr>
    <w:rPr>
      <w:rFonts w:ascii="Calibri" w:hAnsi="Calibri" w:eastAsia="宋体" w:cs="Times New Roman"/>
      <w:sz w:val="21"/>
      <w:lang w:val="en-US" w:eastAsia="zh-CN" w:bidi="ar-SA"/>
    </w:rPr>
  </w:style>
  <w:style w:type="paragraph" w:customStyle="1" w:styleId="468">
    <w:name w:val="xl77"/>
    <w:basedOn w:val="1"/>
    <w:next w:val="434"/>
    <w:autoRedefine/>
    <w:qFormat/>
    <w:uiPriority w:val="0"/>
    <w:pPr>
      <w:widowControl/>
      <w:shd w:val="clear" w:color="000000" w:fill="FFFFFF"/>
      <w:spacing w:before="280" w:after="280"/>
      <w:jc w:val="center"/>
    </w:pPr>
    <w:rPr>
      <w:rFonts w:ascii="宋体" w:hAnsi="Calibri"/>
      <w:kern w:val="0"/>
      <w:sz w:val="20"/>
      <w:szCs w:val="20"/>
    </w:rPr>
  </w:style>
  <w:style w:type="character" w:customStyle="1" w:styleId="469">
    <w:name w:val="正文缩进 Char1"/>
    <w:autoRedefine/>
    <w:qFormat/>
    <w:uiPriority w:val="0"/>
    <w:rPr>
      <w:rFonts w:eastAsia="宋体"/>
      <w:kern w:val="2"/>
      <w:sz w:val="21"/>
      <w:lang w:val="en-US" w:eastAsia="zh-CN" w:bidi="ar-SA"/>
    </w:rPr>
  </w:style>
  <w:style w:type="character" w:customStyle="1" w:styleId="470">
    <w:name w:val="fielderror"/>
    <w:basedOn w:val="46"/>
    <w:autoRedefine/>
    <w:qFormat/>
    <w:uiPriority w:val="0"/>
    <w:rPr>
      <w:color w:val="800000"/>
    </w:rPr>
  </w:style>
  <w:style w:type="character" w:customStyle="1" w:styleId="471">
    <w:name w:val="hilite6"/>
    <w:basedOn w:val="46"/>
    <w:qFormat/>
    <w:uiPriority w:val="0"/>
    <w:rPr>
      <w:color w:val="000000"/>
    </w:rPr>
  </w:style>
  <w:style w:type="character" w:customStyle="1" w:styleId="472">
    <w:name w:val="active6"/>
    <w:basedOn w:val="46"/>
    <w:qFormat/>
    <w:uiPriority w:val="0"/>
    <w:rPr>
      <w:color w:val="FFFFFF"/>
    </w:rPr>
  </w:style>
  <w:style w:type="character" w:customStyle="1" w:styleId="473">
    <w:name w:val="inline-help"/>
    <w:basedOn w:val="46"/>
    <w:autoRedefine/>
    <w:qFormat/>
    <w:uiPriority w:val="0"/>
  </w:style>
  <w:style w:type="character" w:customStyle="1" w:styleId="474">
    <w:name w:val="active"/>
    <w:basedOn w:val="46"/>
    <w:autoRedefine/>
    <w:qFormat/>
    <w:uiPriority w:val="0"/>
    <w:rPr>
      <w:color w:val="FFFFFF"/>
    </w:rPr>
  </w:style>
  <w:style w:type="table" w:customStyle="1" w:styleId="475">
    <w:name w:val="网格型1"/>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6">
    <w:name w:val="count"/>
    <w:basedOn w:val="46"/>
    <w:autoRedefine/>
    <w:qFormat/>
    <w:uiPriority w:val="0"/>
  </w:style>
  <w:style w:type="paragraph" w:customStyle="1" w:styleId="477">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478">
    <w:name w:val="Unresolved Mention"/>
    <w:basedOn w:val="4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31854</Words>
  <Characters>33524</Characters>
  <Lines>326</Lines>
  <Paragraphs>91</Paragraphs>
  <TotalTime>0</TotalTime>
  <ScaleCrop>false</ScaleCrop>
  <LinksUpToDate>false</LinksUpToDate>
  <CharactersWithSpaces>35069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2021-05-22T09:11:00Z</dcterms:created>
  <dc:creator>thsware</dc:creator>
  <cp:lastModifiedBy>lan</cp:lastModifiedBy>
  <cp:lastPrinted>2021-05-16T11:04:00Z</cp:lastPrinted>
  <dcterms:modified xsi:type="dcterms:W3CDTF">2025-01-10T10:25:12Z</dcterms:modified>
  <dc:title>招  标　文　件</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BD150541DBAC4D33A6E39771903A8F9B_13</vt:lpwstr>
  </property>
</Properties>
</file>