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7A25C">
      <w:pPr>
        <w:widowControl/>
        <w:outlineLvl w:val="1"/>
        <w:rPr>
          <w:rFonts w:ascii="黑体" w:hAnsi="宋体" w:eastAsia="黑体" w:cs="黑体"/>
          <w:kern w:val="0"/>
          <w:sz w:val="40"/>
          <w:szCs w:val="40"/>
        </w:rPr>
      </w:pPr>
    </w:p>
    <w:p w14:paraId="758B1287">
      <w:pPr>
        <w:widowControl/>
        <w:jc w:val="center"/>
        <w:outlineLvl w:val="1"/>
        <w:rPr>
          <w:rFonts w:ascii="黑体" w:hAnsi="宋体" w:eastAsia="黑体" w:cs="黑体"/>
          <w:kern w:val="0"/>
          <w:sz w:val="40"/>
          <w:szCs w:val="40"/>
        </w:rPr>
      </w:pPr>
      <w:r>
        <w:rPr>
          <w:rFonts w:hint="eastAsia" w:ascii="黑体" w:hAnsi="宋体" w:eastAsia="黑体" w:cs="黑体"/>
          <w:kern w:val="0"/>
          <w:sz w:val="40"/>
          <w:szCs w:val="40"/>
        </w:rPr>
        <w:t>招标文件信息</w:t>
      </w:r>
    </w:p>
    <w:p w14:paraId="009466DD">
      <w:pPr>
        <w:widowControl/>
        <w:jc w:val="center"/>
        <w:outlineLvl w:val="1"/>
        <w:rPr>
          <w:rFonts w:ascii="黑体" w:hAnsi="宋体" w:eastAsia="黑体" w:cs="黑体"/>
          <w:kern w:val="0"/>
          <w:sz w:val="40"/>
          <w:szCs w:val="40"/>
        </w:rPr>
      </w:pPr>
    </w:p>
    <w:tbl>
      <w:tblPr>
        <w:tblStyle w:val="44"/>
        <w:tblW w:w="8347" w:type="dxa"/>
        <w:jc w:val="center"/>
        <w:tblCellSpacing w:w="0" w:type="dxa"/>
        <w:tblLayout w:type="fixed"/>
        <w:tblCellMar>
          <w:top w:w="45" w:type="dxa"/>
          <w:left w:w="45" w:type="dxa"/>
          <w:bottom w:w="45" w:type="dxa"/>
          <w:right w:w="45" w:type="dxa"/>
        </w:tblCellMar>
      </w:tblPr>
      <w:tblGrid>
        <w:gridCol w:w="2723"/>
        <w:gridCol w:w="5624"/>
      </w:tblGrid>
      <w:tr w14:paraId="77B07E1A">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24FF8A4D">
            <w:pPr>
              <w:widowControl/>
              <w:jc w:val="right"/>
              <w:rPr>
                <w:sz w:val="30"/>
                <w:szCs w:val="30"/>
              </w:rPr>
            </w:pPr>
            <w:r>
              <w:rPr>
                <w:rFonts w:ascii="宋体" w:hAnsi="宋体" w:cs="宋体"/>
                <w:kern w:val="0"/>
                <w:sz w:val="30"/>
                <w:szCs w:val="30"/>
              </w:rPr>
              <w:t>项目编号：</w:t>
            </w:r>
          </w:p>
        </w:tc>
        <w:tc>
          <w:tcPr>
            <w:tcW w:w="5624" w:type="dxa"/>
            <w:shd w:val="clear" w:color="auto" w:fill="auto"/>
            <w:vAlign w:val="center"/>
          </w:tcPr>
          <w:p w14:paraId="7C3CD285">
            <w:pPr>
              <w:widowControl/>
              <w:jc w:val="left"/>
              <w:rPr>
                <w:sz w:val="30"/>
                <w:szCs w:val="30"/>
              </w:rPr>
            </w:pPr>
            <w:r>
              <w:rPr>
                <w:rFonts w:hint="eastAsia" w:ascii="Times New Roman" w:hAnsi="Times New Roman" w:eastAsia="宋体" w:cs="Times New Roman"/>
                <w:kern w:val="2"/>
                <w:sz w:val="30"/>
                <w:szCs w:val="30"/>
                <w:lang w:val="en-US" w:eastAsia="zh-CN" w:bidi="ar-SA"/>
              </w:rPr>
              <w:t>LGZXCG-2024-00053</w:t>
            </w:r>
          </w:p>
        </w:tc>
      </w:tr>
      <w:tr w14:paraId="31B55922">
        <w:tblPrEx>
          <w:tblCellMar>
            <w:top w:w="45" w:type="dxa"/>
            <w:left w:w="45" w:type="dxa"/>
            <w:bottom w:w="45" w:type="dxa"/>
            <w:right w:w="45" w:type="dxa"/>
          </w:tblCellMar>
        </w:tblPrEx>
        <w:trPr>
          <w:trHeight w:val="1160" w:hRule="atLeast"/>
          <w:tblCellSpacing w:w="0" w:type="dxa"/>
          <w:jc w:val="center"/>
        </w:trPr>
        <w:tc>
          <w:tcPr>
            <w:tcW w:w="2723" w:type="dxa"/>
            <w:shd w:val="clear" w:color="auto" w:fill="auto"/>
            <w:vAlign w:val="center"/>
          </w:tcPr>
          <w:p w14:paraId="12FDCFA8">
            <w:pPr>
              <w:widowControl/>
              <w:jc w:val="right"/>
              <w:rPr>
                <w:sz w:val="30"/>
                <w:szCs w:val="30"/>
              </w:rPr>
            </w:pPr>
            <w:r>
              <w:rPr>
                <w:rFonts w:ascii="宋体" w:hAnsi="宋体" w:cs="宋体"/>
                <w:kern w:val="0"/>
                <w:sz w:val="30"/>
                <w:szCs w:val="30"/>
              </w:rPr>
              <w:t>项目名称：</w:t>
            </w:r>
          </w:p>
        </w:tc>
        <w:tc>
          <w:tcPr>
            <w:tcW w:w="5624" w:type="dxa"/>
            <w:shd w:val="clear" w:color="auto" w:fill="auto"/>
            <w:vAlign w:val="center"/>
          </w:tcPr>
          <w:p w14:paraId="53C23633">
            <w:pPr>
              <w:pStyle w:val="210"/>
              <w:snapToGrid w:val="0"/>
              <w:spacing w:before="0" w:beforeAutospacing="0" w:after="0" w:afterAutospacing="0"/>
              <w:ind w:right="454"/>
              <w:rPr>
                <w:sz w:val="30"/>
                <w:szCs w:val="30"/>
              </w:rPr>
            </w:pPr>
            <w:r>
              <w:rPr>
                <w:rFonts w:hint="eastAsia"/>
                <w:sz w:val="30"/>
                <w:szCs w:val="30"/>
              </w:rPr>
              <w:t>龙岗区社康机构移动支付系统服务项目</w:t>
            </w:r>
          </w:p>
        </w:tc>
      </w:tr>
      <w:tr w14:paraId="1E59D403">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7FB372D5">
            <w:pPr>
              <w:widowControl/>
              <w:jc w:val="right"/>
              <w:rPr>
                <w:sz w:val="30"/>
                <w:szCs w:val="30"/>
              </w:rPr>
            </w:pPr>
            <w:r>
              <w:rPr>
                <w:rFonts w:ascii="宋体" w:hAnsi="宋体" w:cs="宋体"/>
                <w:kern w:val="0"/>
                <w:sz w:val="30"/>
                <w:szCs w:val="30"/>
              </w:rPr>
              <w:t>包号：</w:t>
            </w:r>
          </w:p>
        </w:tc>
        <w:tc>
          <w:tcPr>
            <w:tcW w:w="5624" w:type="dxa"/>
            <w:shd w:val="clear" w:color="auto" w:fill="auto"/>
            <w:vAlign w:val="center"/>
          </w:tcPr>
          <w:p w14:paraId="6EEA1C64">
            <w:pPr>
              <w:widowControl/>
              <w:jc w:val="left"/>
              <w:rPr>
                <w:sz w:val="30"/>
                <w:szCs w:val="30"/>
              </w:rPr>
            </w:pPr>
            <w:r>
              <w:rPr>
                <w:rFonts w:ascii="宋体" w:hAnsi="宋体" w:cs="宋体"/>
                <w:kern w:val="0"/>
                <w:sz w:val="30"/>
                <w:szCs w:val="30"/>
              </w:rPr>
              <w:t>A</w:t>
            </w:r>
          </w:p>
        </w:tc>
      </w:tr>
      <w:tr w14:paraId="11330F6E">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0826A8BB">
            <w:pPr>
              <w:widowControl/>
              <w:jc w:val="right"/>
              <w:rPr>
                <w:sz w:val="30"/>
                <w:szCs w:val="30"/>
              </w:rPr>
            </w:pPr>
            <w:r>
              <w:rPr>
                <w:rFonts w:ascii="宋体" w:hAnsi="宋体" w:cs="宋体"/>
                <w:kern w:val="0"/>
                <w:sz w:val="30"/>
                <w:szCs w:val="30"/>
              </w:rPr>
              <w:t>项目类型：</w:t>
            </w:r>
          </w:p>
        </w:tc>
        <w:tc>
          <w:tcPr>
            <w:tcW w:w="5624" w:type="dxa"/>
            <w:shd w:val="clear" w:color="auto" w:fill="auto"/>
            <w:vAlign w:val="center"/>
          </w:tcPr>
          <w:p w14:paraId="57E6DDF3">
            <w:pPr>
              <w:widowControl/>
              <w:jc w:val="left"/>
              <w:rPr>
                <w:sz w:val="30"/>
                <w:szCs w:val="30"/>
              </w:rPr>
            </w:pPr>
            <w:r>
              <w:rPr>
                <w:rFonts w:hint="eastAsia" w:ascii="宋体" w:hAnsi="宋体" w:cs="宋体"/>
                <w:kern w:val="0"/>
                <w:sz w:val="30"/>
                <w:szCs w:val="30"/>
              </w:rPr>
              <w:t>服务</w:t>
            </w:r>
            <w:r>
              <w:rPr>
                <w:rFonts w:ascii="宋体" w:hAnsi="宋体" w:cs="宋体"/>
                <w:kern w:val="0"/>
                <w:sz w:val="30"/>
                <w:szCs w:val="30"/>
              </w:rPr>
              <w:t>类</w:t>
            </w:r>
          </w:p>
        </w:tc>
      </w:tr>
      <w:tr w14:paraId="376A76BC">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42672DAA">
            <w:pPr>
              <w:widowControl/>
              <w:jc w:val="right"/>
              <w:rPr>
                <w:sz w:val="30"/>
                <w:szCs w:val="30"/>
              </w:rPr>
            </w:pPr>
            <w:r>
              <w:rPr>
                <w:rFonts w:ascii="宋体" w:hAnsi="宋体" w:cs="宋体"/>
                <w:kern w:val="0"/>
                <w:sz w:val="30"/>
                <w:szCs w:val="30"/>
              </w:rPr>
              <w:t>采购方式：</w:t>
            </w:r>
          </w:p>
        </w:tc>
        <w:tc>
          <w:tcPr>
            <w:tcW w:w="5624" w:type="dxa"/>
            <w:shd w:val="clear" w:color="auto" w:fill="auto"/>
            <w:vAlign w:val="center"/>
          </w:tcPr>
          <w:p w14:paraId="7D389600">
            <w:pPr>
              <w:widowControl/>
              <w:jc w:val="left"/>
              <w:rPr>
                <w:sz w:val="30"/>
                <w:szCs w:val="30"/>
              </w:rPr>
            </w:pPr>
            <w:r>
              <w:rPr>
                <w:rFonts w:ascii="宋体" w:hAnsi="宋体" w:cs="宋体"/>
                <w:kern w:val="0"/>
                <w:sz w:val="30"/>
                <w:szCs w:val="30"/>
              </w:rPr>
              <w:t>公开招标</w:t>
            </w:r>
          </w:p>
        </w:tc>
      </w:tr>
      <w:tr w14:paraId="243BF86C">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4D55F3F3">
            <w:pPr>
              <w:widowControl/>
              <w:jc w:val="right"/>
              <w:rPr>
                <w:sz w:val="30"/>
                <w:szCs w:val="30"/>
              </w:rPr>
            </w:pPr>
            <w:r>
              <w:rPr>
                <w:rFonts w:ascii="宋体" w:hAnsi="宋体" w:cs="宋体"/>
                <w:kern w:val="0"/>
                <w:sz w:val="30"/>
                <w:szCs w:val="30"/>
              </w:rPr>
              <w:t>货币类型：</w:t>
            </w:r>
          </w:p>
        </w:tc>
        <w:tc>
          <w:tcPr>
            <w:tcW w:w="5624" w:type="dxa"/>
            <w:shd w:val="clear" w:color="auto" w:fill="auto"/>
            <w:vAlign w:val="center"/>
          </w:tcPr>
          <w:p w14:paraId="13A096B7">
            <w:pPr>
              <w:widowControl/>
              <w:jc w:val="left"/>
              <w:rPr>
                <w:sz w:val="30"/>
                <w:szCs w:val="30"/>
              </w:rPr>
            </w:pPr>
            <w:r>
              <w:rPr>
                <w:rFonts w:ascii="宋体" w:hAnsi="宋体" w:cs="宋体"/>
                <w:kern w:val="0"/>
                <w:sz w:val="30"/>
                <w:szCs w:val="30"/>
              </w:rPr>
              <w:t>人民币</w:t>
            </w:r>
          </w:p>
        </w:tc>
      </w:tr>
      <w:tr w14:paraId="5FAB6708">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26F2173D">
            <w:pPr>
              <w:widowControl/>
              <w:jc w:val="right"/>
              <w:rPr>
                <w:sz w:val="30"/>
                <w:szCs w:val="30"/>
              </w:rPr>
            </w:pPr>
            <w:r>
              <w:rPr>
                <w:rFonts w:ascii="宋体" w:hAnsi="宋体" w:cs="宋体"/>
                <w:kern w:val="0"/>
                <w:sz w:val="30"/>
                <w:szCs w:val="30"/>
              </w:rPr>
              <w:t>评标方法：</w:t>
            </w:r>
          </w:p>
        </w:tc>
        <w:tc>
          <w:tcPr>
            <w:tcW w:w="5624" w:type="dxa"/>
            <w:shd w:val="clear" w:color="auto" w:fill="auto"/>
            <w:vAlign w:val="center"/>
          </w:tcPr>
          <w:p w14:paraId="58438A76">
            <w:pPr>
              <w:widowControl/>
              <w:jc w:val="left"/>
              <w:rPr>
                <w:sz w:val="30"/>
                <w:szCs w:val="30"/>
              </w:rPr>
            </w:pPr>
            <w:r>
              <w:rPr>
                <w:rFonts w:ascii="宋体" w:hAnsi="宋体" w:cs="宋体"/>
                <w:kern w:val="0"/>
                <w:sz w:val="30"/>
                <w:szCs w:val="30"/>
              </w:rPr>
              <w:t>综合评分法</w:t>
            </w:r>
          </w:p>
        </w:tc>
      </w:tr>
    </w:tbl>
    <w:p w14:paraId="4C95615E">
      <w:pPr>
        <w:pStyle w:val="38"/>
        <w:jc w:val="center"/>
        <w:outlineLvl w:val="1"/>
        <w:rPr>
          <w:rFonts w:ascii="黑体" w:hAnsi="黑体" w:eastAsia="黑体"/>
          <w:sz w:val="40"/>
          <w:szCs w:val="40"/>
        </w:rPr>
      </w:pPr>
    </w:p>
    <w:p w14:paraId="6A493DF4">
      <w:pPr>
        <w:pStyle w:val="38"/>
        <w:jc w:val="center"/>
        <w:outlineLvl w:val="1"/>
        <w:rPr>
          <w:rFonts w:ascii="黑体" w:hAnsi="黑体" w:eastAsia="黑体"/>
          <w:sz w:val="40"/>
          <w:szCs w:val="40"/>
        </w:rPr>
      </w:pPr>
    </w:p>
    <w:p w14:paraId="61E99364">
      <w:pPr>
        <w:pStyle w:val="38"/>
        <w:jc w:val="center"/>
        <w:outlineLvl w:val="1"/>
        <w:rPr>
          <w:rFonts w:ascii="黑体" w:hAnsi="黑体" w:eastAsia="黑体"/>
          <w:sz w:val="40"/>
          <w:szCs w:val="40"/>
        </w:rPr>
      </w:pPr>
    </w:p>
    <w:p w14:paraId="17EF57F8">
      <w:pPr>
        <w:pStyle w:val="38"/>
        <w:jc w:val="center"/>
        <w:outlineLvl w:val="1"/>
        <w:rPr>
          <w:rFonts w:ascii="黑体" w:hAnsi="黑体" w:eastAsia="黑体"/>
          <w:sz w:val="40"/>
          <w:szCs w:val="40"/>
        </w:rPr>
      </w:pPr>
    </w:p>
    <w:p w14:paraId="18E724B9">
      <w:pPr>
        <w:pStyle w:val="38"/>
        <w:jc w:val="center"/>
        <w:outlineLvl w:val="1"/>
        <w:rPr>
          <w:rFonts w:ascii="黑体" w:hAnsi="黑体" w:eastAsia="黑体"/>
          <w:sz w:val="40"/>
          <w:szCs w:val="40"/>
        </w:rPr>
      </w:pPr>
    </w:p>
    <w:p w14:paraId="75DEAC78">
      <w:pPr>
        <w:pStyle w:val="38"/>
        <w:jc w:val="center"/>
        <w:outlineLvl w:val="1"/>
        <w:rPr>
          <w:rFonts w:ascii="黑体" w:hAnsi="黑体" w:eastAsia="黑体"/>
          <w:sz w:val="40"/>
          <w:szCs w:val="40"/>
        </w:rPr>
      </w:pPr>
    </w:p>
    <w:p w14:paraId="2B915326">
      <w:pPr>
        <w:pStyle w:val="38"/>
        <w:jc w:val="center"/>
        <w:outlineLvl w:val="1"/>
        <w:rPr>
          <w:rFonts w:ascii="黑体" w:hAnsi="黑体" w:eastAsia="黑体"/>
          <w:sz w:val="40"/>
          <w:szCs w:val="40"/>
        </w:rPr>
      </w:pPr>
    </w:p>
    <w:p w14:paraId="1413EEFF">
      <w:pPr>
        <w:pStyle w:val="38"/>
        <w:jc w:val="center"/>
        <w:outlineLvl w:val="1"/>
        <w:rPr>
          <w:rFonts w:ascii="黑体" w:hAnsi="黑体" w:eastAsia="黑体"/>
          <w:sz w:val="40"/>
          <w:szCs w:val="40"/>
        </w:rPr>
      </w:pPr>
    </w:p>
    <w:p w14:paraId="5460D5B7">
      <w:pPr>
        <w:pStyle w:val="38"/>
        <w:jc w:val="center"/>
        <w:outlineLvl w:val="1"/>
        <w:rPr>
          <w:rFonts w:ascii="黑体" w:hAnsi="黑体" w:eastAsia="黑体"/>
          <w:sz w:val="40"/>
          <w:szCs w:val="40"/>
        </w:rPr>
      </w:pPr>
    </w:p>
    <w:p w14:paraId="3BFAC38D">
      <w:pPr>
        <w:pStyle w:val="38"/>
        <w:jc w:val="center"/>
        <w:outlineLvl w:val="1"/>
        <w:rPr>
          <w:rFonts w:ascii="黑体" w:hAnsi="黑体" w:eastAsia="黑体"/>
          <w:sz w:val="40"/>
          <w:szCs w:val="40"/>
        </w:rPr>
      </w:pPr>
    </w:p>
    <w:p w14:paraId="73011F0D">
      <w:pPr>
        <w:pStyle w:val="38"/>
        <w:jc w:val="center"/>
        <w:outlineLvl w:val="1"/>
        <w:rPr>
          <w:rFonts w:ascii="黑体" w:hAnsi="黑体" w:eastAsia="黑体"/>
          <w:sz w:val="40"/>
          <w:szCs w:val="40"/>
        </w:rPr>
      </w:pPr>
    </w:p>
    <w:p w14:paraId="155980CF">
      <w:pPr>
        <w:pStyle w:val="38"/>
        <w:jc w:val="center"/>
        <w:outlineLvl w:val="1"/>
        <w:rPr>
          <w:rFonts w:ascii="黑体" w:hAnsi="黑体" w:eastAsia="黑体"/>
          <w:sz w:val="40"/>
          <w:szCs w:val="40"/>
        </w:rPr>
      </w:pPr>
      <w:r>
        <w:rPr>
          <w:rFonts w:hint="eastAsia" w:ascii="黑体" w:hAnsi="黑体" w:eastAsia="黑体"/>
          <w:sz w:val="40"/>
          <w:szCs w:val="40"/>
        </w:rPr>
        <w:t>资格性审查表</w:t>
      </w:r>
    </w:p>
    <w:tbl>
      <w:tblPr>
        <w:tblStyle w:val="4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534F3A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10E0284D">
            <w:pPr>
              <w:jc w:val="center"/>
              <w:rPr>
                <w:rFonts w:ascii="宋体" w:hAnsi="宋体" w:cs="宋体"/>
                <w:sz w:val="24"/>
              </w:rPr>
            </w:pPr>
            <w:r>
              <w:rPr>
                <w:rFonts w:hint="eastAsia" w:ascii="宋体" w:hAnsi="宋体" w:cs="宋体"/>
                <w:sz w:val="24"/>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1ABF9FC9">
            <w:pPr>
              <w:jc w:val="center"/>
              <w:rPr>
                <w:rFonts w:ascii="宋体" w:hAnsi="宋体" w:cs="宋体"/>
                <w:sz w:val="24"/>
              </w:rPr>
            </w:pPr>
            <w:r>
              <w:rPr>
                <w:rFonts w:hint="eastAsia" w:ascii="宋体" w:hAnsi="宋体" w:cs="宋体"/>
                <w:sz w:val="24"/>
              </w:rPr>
              <w:t>内容</w:t>
            </w:r>
          </w:p>
        </w:tc>
      </w:tr>
      <w:tr w14:paraId="01E792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0269E77">
            <w:pPr>
              <w:jc w:val="center"/>
              <w:rPr>
                <w:rFonts w:ascii="宋体" w:hAnsi="宋体" w:cs="宋体"/>
                <w:sz w:val="24"/>
              </w:rPr>
            </w:pPr>
            <w:r>
              <w:rPr>
                <w:rFonts w:hint="eastAsia" w:ascii="宋体" w:hAnsi="宋体" w:cs="宋体"/>
                <w:sz w:val="24"/>
              </w:rPr>
              <w:t>1</w:t>
            </w:r>
          </w:p>
        </w:tc>
        <w:tc>
          <w:tcPr>
            <w:tcW w:w="8278" w:type="dxa"/>
            <w:tcBorders>
              <w:top w:val="single" w:color="000000" w:sz="8" w:space="0"/>
              <w:left w:val="single" w:color="000000" w:sz="8" w:space="0"/>
              <w:bottom w:val="single" w:color="000000" w:sz="8" w:space="0"/>
              <w:right w:val="single" w:color="000000" w:sz="8" w:space="0"/>
            </w:tcBorders>
          </w:tcPr>
          <w:p w14:paraId="3201C87F">
            <w:pPr>
              <w:rPr>
                <w:rFonts w:ascii="宋体" w:hAnsi="宋体" w:cs="宋体"/>
                <w:sz w:val="24"/>
              </w:rPr>
            </w:pPr>
            <w:r>
              <w:rPr>
                <w:rFonts w:hint="eastAsia" w:ascii="宋体" w:hAnsi="宋体" w:cs="宋体"/>
                <w:kern w:val="0"/>
                <w:sz w:val="24"/>
              </w:rPr>
              <w:t>投标人不符合资格要求，或未提交相应的资格证明资料（详见招标公告</w:t>
            </w:r>
            <w:r>
              <w:rPr>
                <w:rFonts w:hint="eastAsia" w:ascii="宋体" w:hAnsi="宋体" w:cs="宋体"/>
                <w:sz w:val="24"/>
              </w:rPr>
              <w:t>投标人资格要求，即申请人的资格要求</w:t>
            </w:r>
            <w:r>
              <w:rPr>
                <w:rFonts w:hint="eastAsia" w:ascii="宋体" w:hAnsi="宋体" w:cs="宋体"/>
                <w:kern w:val="0"/>
                <w:sz w:val="24"/>
              </w:rPr>
              <w:t>）</w:t>
            </w:r>
          </w:p>
        </w:tc>
      </w:tr>
    </w:tbl>
    <w:p w14:paraId="0FE296C3">
      <w:pPr>
        <w:pStyle w:val="38"/>
        <w:spacing w:before="280"/>
        <w:jc w:val="center"/>
        <w:outlineLvl w:val="1"/>
        <w:rPr>
          <w:rFonts w:ascii="黑体" w:hAnsi="黑体" w:eastAsia="黑体"/>
          <w:sz w:val="40"/>
          <w:szCs w:val="40"/>
        </w:rPr>
      </w:pPr>
      <w:r>
        <w:rPr>
          <w:rFonts w:hint="eastAsia" w:ascii="黑体" w:hAnsi="黑体" w:eastAsia="黑体"/>
          <w:sz w:val="40"/>
          <w:szCs w:val="40"/>
        </w:rPr>
        <w:t>符合性审查表</w:t>
      </w:r>
    </w:p>
    <w:tbl>
      <w:tblPr>
        <w:tblStyle w:val="4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675396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1ABC0395">
            <w:pPr>
              <w:jc w:val="center"/>
              <w:rPr>
                <w:rFonts w:ascii="宋体" w:hAnsi="宋体" w:cs="宋体"/>
                <w:sz w:val="24"/>
              </w:rPr>
            </w:pPr>
            <w:r>
              <w:rPr>
                <w:rFonts w:hint="eastAsia" w:ascii="宋体" w:hAnsi="宋体" w:cs="宋体"/>
                <w:sz w:val="24"/>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12A1E866">
            <w:pPr>
              <w:jc w:val="center"/>
              <w:rPr>
                <w:rFonts w:ascii="宋体" w:hAnsi="宋体" w:cs="宋体"/>
                <w:sz w:val="24"/>
              </w:rPr>
            </w:pPr>
            <w:r>
              <w:rPr>
                <w:rFonts w:hint="eastAsia" w:ascii="宋体" w:hAnsi="宋体" w:cs="宋体"/>
                <w:sz w:val="24"/>
              </w:rPr>
              <w:t>内容</w:t>
            </w:r>
          </w:p>
        </w:tc>
      </w:tr>
      <w:tr w14:paraId="46C116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07320AC">
            <w:pPr>
              <w:jc w:val="center"/>
              <w:rPr>
                <w:rFonts w:ascii="宋体" w:hAnsi="宋体" w:cs="宋体"/>
                <w:sz w:val="24"/>
              </w:rPr>
            </w:pPr>
            <w:r>
              <w:rPr>
                <w:rFonts w:hint="eastAsia" w:ascii="宋体" w:hAnsi="宋体" w:cs="宋体"/>
                <w:sz w:val="24"/>
              </w:rPr>
              <w:t>1</w:t>
            </w:r>
          </w:p>
        </w:tc>
        <w:tc>
          <w:tcPr>
            <w:tcW w:w="8278" w:type="dxa"/>
            <w:tcBorders>
              <w:top w:val="single" w:color="000000" w:sz="8" w:space="0"/>
              <w:left w:val="single" w:color="000000" w:sz="8" w:space="0"/>
              <w:bottom w:val="single" w:color="000000" w:sz="8" w:space="0"/>
              <w:right w:val="single" w:color="000000" w:sz="8" w:space="0"/>
            </w:tcBorders>
          </w:tcPr>
          <w:p w14:paraId="514D5066">
            <w:pPr>
              <w:rPr>
                <w:rFonts w:ascii="宋体" w:hAnsi="宋体" w:cs="宋体"/>
                <w:sz w:val="24"/>
              </w:rPr>
            </w:pPr>
            <w:r>
              <w:rPr>
                <w:rFonts w:hint="eastAsia" w:ascii="宋体" w:hAnsi="宋体" w:cs="宋体"/>
                <w:sz w:val="24"/>
              </w:rPr>
              <w:t>不得将一个包的内容拆开投标；</w:t>
            </w:r>
          </w:p>
        </w:tc>
      </w:tr>
      <w:tr w14:paraId="25B67D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00A45EA5">
            <w:pPr>
              <w:jc w:val="center"/>
              <w:rPr>
                <w:rFonts w:ascii="宋体" w:hAnsi="宋体" w:cs="宋体"/>
                <w:sz w:val="24"/>
              </w:rPr>
            </w:pPr>
            <w:r>
              <w:rPr>
                <w:rFonts w:hint="eastAsia" w:ascii="宋体" w:hAnsi="宋体" w:cs="宋体"/>
                <w:sz w:val="24"/>
              </w:rPr>
              <w:t>2</w:t>
            </w:r>
          </w:p>
        </w:tc>
        <w:tc>
          <w:tcPr>
            <w:tcW w:w="8278" w:type="dxa"/>
            <w:tcBorders>
              <w:top w:val="single" w:color="000000" w:sz="8" w:space="0"/>
              <w:left w:val="single" w:color="000000" w:sz="8" w:space="0"/>
              <w:bottom w:val="single" w:color="000000" w:sz="8" w:space="0"/>
              <w:right w:val="single" w:color="000000" w:sz="8" w:space="0"/>
            </w:tcBorders>
          </w:tcPr>
          <w:p w14:paraId="22C1115B">
            <w:pPr>
              <w:rPr>
                <w:rFonts w:ascii="宋体" w:hAnsi="宋体" w:cs="宋体"/>
                <w:sz w:val="24"/>
              </w:rPr>
            </w:pPr>
            <w:r>
              <w:rPr>
                <w:rFonts w:hint="eastAsia" w:ascii="宋体" w:hAnsi="宋体" w:cs="宋体"/>
                <w:sz w:val="24"/>
              </w:rPr>
              <w:t>对同一项目投标时，不得提供两套以上的投标方案（招标文件另有规定的除外）；</w:t>
            </w:r>
          </w:p>
        </w:tc>
      </w:tr>
      <w:tr w14:paraId="6BB027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58EBF44D">
            <w:pPr>
              <w:jc w:val="center"/>
              <w:rPr>
                <w:rFonts w:ascii="宋体" w:hAnsi="宋体" w:cs="宋体"/>
                <w:sz w:val="24"/>
              </w:rPr>
            </w:pPr>
            <w:r>
              <w:rPr>
                <w:rFonts w:hint="eastAsia" w:ascii="宋体" w:hAnsi="宋体" w:cs="宋体"/>
                <w:sz w:val="24"/>
              </w:rPr>
              <w:t>3</w:t>
            </w:r>
          </w:p>
        </w:tc>
        <w:tc>
          <w:tcPr>
            <w:tcW w:w="8278" w:type="dxa"/>
            <w:tcBorders>
              <w:top w:val="single" w:color="000000" w:sz="8" w:space="0"/>
              <w:left w:val="single" w:color="000000" w:sz="8" w:space="0"/>
              <w:bottom w:val="single" w:color="000000" w:sz="8" w:space="0"/>
              <w:right w:val="single" w:color="000000" w:sz="8" w:space="0"/>
            </w:tcBorders>
          </w:tcPr>
          <w:p w14:paraId="7A5FC40D">
            <w:pPr>
              <w:rPr>
                <w:rFonts w:ascii="宋体" w:hAnsi="宋体" w:cs="宋体"/>
                <w:sz w:val="24"/>
              </w:rPr>
            </w:pPr>
            <w:r>
              <w:rPr>
                <w:rFonts w:hint="eastAsia" w:ascii="宋体" w:hAnsi="宋体" w:cs="宋体"/>
                <w:sz w:val="24"/>
              </w:rPr>
              <w:t>分项报价或投标总价不得高于相应预算金额（或设定的预算金额下的最高限价）；</w:t>
            </w:r>
          </w:p>
        </w:tc>
      </w:tr>
      <w:tr w14:paraId="487271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CAB91C4">
            <w:pPr>
              <w:jc w:val="center"/>
              <w:rPr>
                <w:rFonts w:ascii="宋体" w:hAnsi="宋体" w:cs="宋体"/>
                <w:sz w:val="24"/>
              </w:rPr>
            </w:pPr>
            <w:r>
              <w:rPr>
                <w:rFonts w:hint="eastAsia" w:ascii="宋体" w:hAnsi="宋体" w:cs="宋体"/>
                <w:sz w:val="24"/>
              </w:rPr>
              <w:t>4</w:t>
            </w:r>
          </w:p>
        </w:tc>
        <w:tc>
          <w:tcPr>
            <w:tcW w:w="8278" w:type="dxa"/>
            <w:tcBorders>
              <w:top w:val="single" w:color="000000" w:sz="8" w:space="0"/>
              <w:left w:val="single" w:color="000000" w:sz="8" w:space="0"/>
              <w:bottom w:val="single" w:color="000000" w:sz="8" w:space="0"/>
              <w:right w:val="single" w:color="000000" w:sz="8" w:space="0"/>
            </w:tcBorders>
          </w:tcPr>
          <w:p w14:paraId="018740BB">
            <w:pPr>
              <w:rPr>
                <w:rFonts w:ascii="宋体" w:hAnsi="宋体" w:cs="宋体"/>
                <w:sz w:val="24"/>
              </w:rPr>
            </w:pPr>
            <w:r>
              <w:rPr>
                <w:rFonts w:hint="eastAsia" w:ascii="宋体" w:hAnsi="宋体" w:cs="宋体"/>
                <w:sz w:val="24"/>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6B5407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1EDA2A88">
            <w:pPr>
              <w:jc w:val="center"/>
              <w:rPr>
                <w:rFonts w:ascii="宋体" w:hAnsi="宋体" w:cs="宋体"/>
                <w:sz w:val="24"/>
              </w:rPr>
            </w:pPr>
            <w:r>
              <w:rPr>
                <w:rFonts w:hint="eastAsia" w:ascii="宋体" w:hAnsi="宋体" w:cs="宋体"/>
                <w:sz w:val="24"/>
              </w:rPr>
              <w:t>5</w:t>
            </w:r>
          </w:p>
        </w:tc>
        <w:tc>
          <w:tcPr>
            <w:tcW w:w="8278" w:type="dxa"/>
            <w:tcBorders>
              <w:top w:val="single" w:color="000000" w:sz="8" w:space="0"/>
              <w:left w:val="single" w:color="000000" w:sz="8" w:space="0"/>
              <w:bottom w:val="single" w:color="000000" w:sz="8" w:space="0"/>
              <w:right w:val="single" w:color="000000" w:sz="8" w:space="0"/>
            </w:tcBorders>
          </w:tcPr>
          <w:p w14:paraId="7E21A260">
            <w:pPr>
              <w:rPr>
                <w:rFonts w:ascii="宋体" w:hAnsi="宋体" w:cs="宋体"/>
                <w:sz w:val="24"/>
              </w:rPr>
            </w:pPr>
            <w:r>
              <w:rPr>
                <w:rFonts w:hint="eastAsia" w:ascii="宋体" w:hAnsi="宋体" w:cs="宋体"/>
                <w:sz w:val="24"/>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14:paraId="4D6BF0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5523542B">
            <w:pPr>
              <w:jc w:val="center"/>
              <w:rPr>
                <w:rFonts w:ascii="宋体" w:hAnsi="宋体" w:cs="宋体"/>
                <w:sz w:val="24"/>
              </w:rPr>
            </w:pPr>
            <w:r>
              <w:rPr>
                <w:rFonts w:hint="eastAsia" w:ascii="宋体" w:hAnsi="宋体" w:cs="宋体"/>
                <w:sz w:val="24"/>
              </w:rPr>
              <w:t>6</w:t>
            </w:r>
          </w:p>
        </w:tc>
        <w:tc>
          <w:tcPr>
            <w:tcW w:w="8278" w:type="dxa"/>
            <w:tcBorders>
              <w:top w:val="single" w:color="000000" w:sz="8" w:space="0"/>
              <w:left w:val="single" w:color="000000" w:sz="8" w:space="0"/>
              <w:bottom w:val="single" w:color="000000" w:sz="8" w:space="0"/>
              <w:right w:val="single" w:color="000000" w:sz="8" w:space="0"/>
            </w:tcBorders>
          </w:tcPr>
          <w:p w14:paraId="27B8D1AE">
            <w:pPr>
              <w:rPr>
                <w:rFonts w:ascii="宋体" w:hAnsi="宋体" w:cs="宋体"/>
                <w:sz w:val="24"/>
              </w:rPr>
            </w:pPr>
            <w:r>
              <w:rPr>
                <w:rFonts w:hint="eastAsia" w:ascii="宋体" w:hAnsi="宋体" w:cs="宋体"/>
                <w:sz w:val="24"/>
              </w:rPr>
              <w:t>未按招标文件所提供的样式填写《投标函》；未按招标文件所提供的《政府采购投标及履约承诺函》进行承诺；未按招标文件对投标文件组成的要求提供投标文件；</w:t>
            </w:r>
          </w:p>
        </w:tc>
      </w:tr>
      <w:tr w14:paraId="73BB0F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39442B94">
            <w:pPr>
              <w:jc w:val="center"/>
              <w:rPr>
                <w:rFonts w:ascii="宋体" w:hAnsi="宋体" w:cs="宋体"/>
                <w:sz w:val="24"/>
              </w:rPr>
            </w:pPr>
            <w:r>
              <w:rPr>
                <w:rFonts w:hint="eastAsia" w:ascii="宋体" w:hAnsi="宋体" w:cs="宋体"/>
                <w:sz w:val="24"/>
              </w:rPr>
              <w:t>7</w:t>
            </w:r>
          </w:p>
        </w:tc>
        <w:tc>
          <w:tcPr>
            <w:tcW w:w="8278" w:type="dxa"/>
            <w:tcBorders>
              <w:top w:val="single" w:color="000000" w:sz="8" w:space="0"/>
              <w:left w:val="single" w:color="000000" w:sz="8" w:space="0"/>
              <w:bottom w:val="single" w:color="000000" w:sz="8" w:space="0"/>
              <w:right w:val="single" w:color="000000" w:sz="8" w:space="0"/>
            </w:tcBorders>
          </w:tcPr>
          <w:p w14:paraId="61CDAA7D">
            <w:pPr>
              <w:rPr>
                <w:rFonts w:ascii="宋体" w:hAnsi="宋体" w:cs="宋体"/>
                <w:sz w:val="24"/>
              </w:rPr>
            </w:pPr>
            <w:r>
              <w:rPr>
                <w:rFonts w:hint="eastAsia" w:ascii="宋体" w:hAnsi="宋体" w:cs="宋体"/>
                <w:sz w:val="24"/>
              </w:rPr>
              <w:t>采购标的/服务清单/报价等任意一类有缺漏项或响应不全，或者对招标文件规定的项目需求内容或者需求数量进行修改，评审委员会判定投标响应不满足采购需求；</w:t>
            </w:r>
          </w:p>
        </w:tc>
      </w:tr>
      <w:tr w14:paraId="30B20F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37B4DCC4">
            <w:pPr>
              <w:jc w:val="center"/>
              <w:rPr>
                <w:rFonts w:ascii="宋体" w:hAnsi="宋体" w:cs="宋体"/>
                <w:sz w:val="24"/>
              </w:rPr>
            </w:pPr>
            <w:r>
              <w:rPr>
                <w:rFonts w:hint="eastAsia" w:ascii="宋体" w:hAnsi="宋体" w:cs="宋体"/>
                <w:sz w:val="24"/>
              </w:rPr>
              <w:t>8</w:t>
            </w:r>
          </w:p>
        </w:tc>
        <w:tc>
          <w:tcPr>
            <w:tcW w:w="8278" w:type="dxa"/>
            <w:tcBorders>
              <w:top w:val="single" w:color="000000" w:sz="8" w:space="0"/>
              <w:left w:val="single" w:color="000000" w:sz="8" w:space="0"/>
              <w:bottom w:val="single" w:color="000000" w:sz="8" w:space="0"/>
              <w:right w:val="single" w:color="000000" w:sz="8" w:space="0"/>
            </w:tcBorders>
          </w:tcPr>
          <w:p w14:paraId="04CF556E">
            <w:pPr>
              <w:rPr>
                <w:rFonts w:ascii="宋体" w:hAnsi="宋体" w:cs="宋体"/>
                <w:sz w:val="24"/>
              </w:rPr>
            </w:pPr>
            <w:r>
              <w:rPr>
                <w:rFonts w:hint="eastAsia" w:ascii="宋体" w:hAnsi="宋体" w:cs="宋体"/>
                <w:sz w:val="24"/>
              </w:rPr>
              <w:t>投标文件存在列放位置错误，导致属于信息公开情形的没有被公开；</w:t>
            </w:r>
          </w:p>
        </w:tc>
      </w:tr>
      <w:tr w14:paraId="14A089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1A938D9">
            <w:pPr>
              <w:jc w:val="center"/>
              <w:rPr>
                <w:rFonts w:ascii="宋体" w:hAnsi="宋体" w:cs="宋体"/>
                <w:sz w:val="24"/>
              </w:rPr>
            </w:pPr>
            <w:r>
              <w:rPr>
                <w:rFonts w:hint="eastAsia" w:ascii="宋体" w:hAnsi="宋体" w:cs="宋体"/>
                <w:sz w:val="24"/>
              </w:rPr>
              <w:t>9</w:t>
            </w:r>
          </w:p>
        </w:tc>
        <w:tc>
          <w:tcPr>
            <w:tcW w:w="8278" w:type="dxa"/>
            <w:tcBorders>
              <w:top w:val="single" w:color="000000" w:sz="8" w:space="0"/>
              <w:left w:val="single" w:color="000000" w:sz="8" w:space="0"/>
              <w:bottom w:val="single" w:color="000000" w:sz="8" w:space="0"/>
              <w:right w:val="single" w:color="000000" w:sz="8" w:space="0"/>
            </w:tcBorders>
          </w:tcPr>
          <w:p w14:paraId="22335BF2">
            <w:pPr>
              <w:rPr>
                <w:rFonts w:ascii="宋体" w:hAnsi="宋体" w:cs="宋体"/>
                <w:sz w:val="24"/>
              </w:rPr>
            </w:pPr>
            <w:r>
              <w:rPr>
                <w:rFonts w:hint="eastAsia" w:ascii="宋体" w:hAnsi="宋体" w:cs="宋体"/>
                <w:sz w:val="24"/>
              </w:rPr>
              <w:t>投标文件电子文档不得带病毒；</w:t>
            </w:r>
          </w:p>
        </w:tc>
      </w:tr>
      <w:tr w14:paraId="5C3BEC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30DF6C65">
            <w:pPr>
              <w:jc w:val="center"/>
              <w:rPr>
                <w:rFonts w:ascii="宋体" w:hAnsi="宋体" w:cs="宋体"/>
                <w:sz w:val="24"/>
              </w:rPr>
            </w:pPr>
            <w:r>
              <w:rPr>
                <w:rFonts w:hint="eastAsia" w:ascii="宋体" w:hAnsi="宋体" w:cs="宋体"/>
                <w:sz w:val="24"/>
              </w:rPr>
              <w:t>10</w:t>
            </w:r>
          </w:p>
        </w:tc>
        <w:tc>
          <w:tcPr>
            <w:tcW w:w="8278" w:type="dxa"/>
            <w:tcBorders>
              <w:top w:val="single" w:color="000000" w:sz="8" w:space="0"/>
              <w:left w:val="single" w:color="000000" w:sz="8" w:space="0"/>
              <w:bottom w:val="single" w:color="000000" w:sz="8" w:space="0"/>
              <w:right w:val="single" w:color="000000" w:sz="8" w:space="0"/>
            </w:tcBorders>
          </w:tcPr>
          <w:p w14:paraId="18447FAB">
            <w:pPr>
              <w:rPr>
                <w:rFonts w:ascii="宋体" w:hAnsi="宋体" w:cs="宋体"/>
                <w:sz w:val="24"/>
              </w:rPr>
            </w:pPr>
            <w:r>
              <w:rPr>
                <w:rFonts w:hint="eastAsia" w:ascii="宋体" w:hAnsi="宋体" w:cs="宋体"/>
                <w:sz w:val="24"/>
              </w:rPr>
              <w:t>投标文件用不属于本公司的电子密钥或电子营业执照进行加密的；</w:t>
            </w:r>
          </w:p>
        </w:tc>
      </w:tr>
      <w:tr w14:paraId="7C7545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377B6A7">
            <w:pPr>
              <w:widowControl/>
              <w:jc w:val="center"/>
              <w:textAlignment w:val="top"/>
              <w:rPr>
                <w:rFonts w:ascii="宋体" w:hAnsi="宋体" w:cs="宋体"/>
                <w:sz w:val="24"/>
              </w:rPr>
            </w:pPr>
            <w:r>
              <w:rPr>
                <w:rFonts w:hint="eastAsia" w:ascii="宋体" w:hAnsi="宋体" w:cs="宋体"/>
                <w:sz w:val="24"/>
              </w:rPr>
              <w:t>11</w:t>
            </w:r>
          </w:p>
        </w:tc>
        <w:tc>
          <w:tcPr>
            <w:tcW w:w="8278" w:type="dxa"/>
            <w:tcBorders>
              <w:top w:val="single" w:color="000000" w:sz="8" w:space="0"/>
              <w:left w:val="single" w:color="000000" w:sz="8" w:space="0"/>
              <w:bottom w:val="single" w:color="000000" w:sz="8" w:space="0"/>
              <w:right w:val="single" w:color="000000" w:sz="8" w:space="0"/>
            </w:tcBorders>
          </w:tcPr>
          <w:p w14:paraId="5F5C7DE3">
            <w:pPr>
              <w:widowControl/>
              <w:jc w:val="left"/>
              <w:textAlignment w:val="top"/>
              <w:rPr>
                <w:rFonts w:ascii="宋体" w:hAnsi="宋体" w:cs="宋体"/>
                <w:sz w:val="24"/>
              </w:rPr>
            </w:pPr>
            <w:r>
              <w:rPr>
                <w:rFonts w:hint="eastAsia" w:ascii="宋体" w:hAnsi="宋体" w:cs="宋体"/>
                <w:sz w:val="24"/>
              </w:rPr>
              <w:t>不同投标供应商投标文件“文件制作机器码”一致；</w:t>
            </w:r>
          </w:p>
        </w:tc>
      </w:tr>
      <w:tr w14:paraId="007478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390FA558">
            <w:pPr>
              <w:widowControl/>
              <w:jc w:val="center"/>
              <w:textAlignment w:val="top"/>
              <w:rPr>
                <w:rFonts w:ascii="宋体" w:hAnsi="宋体" w:cs="宋体"/>
                <w:sz w:val="24"/>
              </w:rPr>
            </w:pPr>
            <w:r>
              <w:rPr>
                <w:rFonts w:hint="eastAsia" w:ascii="宋体" w:hAnsi="宋体" w:cs="宋体"/>
                <w:sz w:val="24"/>
              </w:rPr>
              <w:t>12</w:t>
            </w:r>
          </w:p>
        </w:tc>
        <w:tc>
          <w:tcPr>
            <w:tcW w:w="8278" w:type="dxa"/>
            <w:tcBorders>
              <w:top w:val="single" w:color="000000" w:sz="8" w:space="0"/>
              <w:left w:val="single" w:color="000000" w:sz="8" w:space="0"/>
              <w:bottom w:val="single" w:color="000000" w:sz="8" w:space="0"/>
              <w:right w:val="single" w:color="000000" w:sz="8" w:space="0"/>
            </w:tcBorders>
          </w:tcPr>
          <w:p w14:paraId="212C39F4">
            <w:pPr>
              <w:widowControl/>
              <w:jc w:val="left"/>
              <w:textAlignment w:val="top"/>
              <w:rPr>
                <w:rFonts w:ascii="宋体" w:hAnsi="宋体" w:cs="宋体"/>
                <w:sz w:val="24"/>
              </w:rPr>
            </w:pPr>
            <w:r>
              <w:rPr>
                <w:rFonts w:hint="eastAsia" w:ascii="宋体" w:hAnsi="宋体" w:cs="宋体"/>
                <w:sz w:val="24"/>
              </w:rPr>
              <w:t>不同投标供应商投标文件“文件创建标识码”一致；</w:t>
            </w:r>
          </w:p>
        </w:tc>
      </w:tr>
      <w:tr w14:paraId="7F937E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13B5D8BF">
            <w:pPr>
              <w:jc w:val="center"/>
              <w:rPr>
                <w:rFonts w:ascii="宋体" w:hAnsi="宋体" w:cs="宋体"/>
                <w:sz w:val="24"/>
              </w:rPr>
            </w:pPr>
            <w:r>
              <w:rPr>
                <w:rFonts w:hint="eastAsia" w:ascii="宋体" w:hAnsi="宋体" w:cs="宋体"/>
                <w:sz w:val="24"/>
              </w:rPr>
              <w:t>13</w:t>
            </w:r>
          </w:p>
        </w:tc>
        <w:tc>
          <w:tcPr>
            <w:tcW w:w="8278" w:type="dxa"/>
            <w:tcBorders>
              <w:top w:val="single" w:color="000000" w:sz="8" w:space="0"/>
              <w:left w:val="single" w:color="000000" w:sz="8" w:space="0"/>
              <w:bottom w:val="single" w:color="000000" w:sz="8" w:space="0"/>
              <w:right w:val="single" w:color="000000" w:sz="8" w:space="0"/>
            </w:tcBorders>
          </w:tcPr>
          <w:p w14:paraId="0420C41D">
            <w:pPr>
              <w:rPr>
                <w:rFonts w:ascii="宋体" w:hAnsi="宋体" w:cs="宋体"/>
                <w:sz w:val="24"/>
              </w:rPr>
            </w:pPr>
            <w:r>
              <w:rPr>
                <w:rFonts w:hint="eastAsia" w:ascii="宋体" w:hAnsi="宋体" w:cs="宋体"/>
                <w:sz w:val="24"/>
              </w:rPr>
              <w:t>法律、法规、规章、规范性文件规定的其他情形。</w:t>
            </w:r>
          </w:p>
        </w:tc>
      </w:tr>
    </w:tbl>
    <w:p w14:paraId="5FBEC230">
      <w:pPr>
        <w:pStyle w:val="38"/>
        <w:outlineLvl w:val="1"/>
        <w:rPr>
          <w:rFonts w:ascii="黑体" w:hAnsi="黑体" w:eastAsia="黑体"/>
          <w:sz w:val="40"/>
          <w:szCs w:val="40"/>
        </w:rPr>
      </w:pPr>
    </w:p>
    <w:p w14:paraId="1677ADDE">
      <w:pPr>
        <w:pStyle w:val="38"/>
        <w:jc w:val="center"/>
        <w:outlineLvl w:val="1"/>
        <w:rPr>
          <w:rFonts w:ascii="黑体" w:hAnsi="黑体" w:eastAsia="黑体"/>
          <w:sz w:val="40"/>
          <w:szCs w:val="40"/>
        </w:rPr>
      </w:pPr>
    </w:p>
    <w:p w14:paraId="36894B06">
      <w:pPr>
        <w:pStyle w:val="38"/>
        <w:jc w:val="center"/>
        <w:outlineLvl w:val="1"/>
        <w:rPr>
          <w:rFonts w:ascii="黑体" w:hAnsi="黑体" w:eastAsia="黑体"/>
          <w:sz w:val="40"/>
          <w:szCs w:val="40"/>
        </w:rPr>
      </w:pPr>
    </w:p>
    <w:p w14:paraId="1BFC43B4">
      <w:pPr>
        <w:pStyle w:val="38"/>
        <w:jc w:val="center"/>
        <w:outlineLvl w:val="1"/>
        <w:rPr>
          <w:rFonts w:ascii="黑体" w:hAnsi="黑体" w:eastAsia="黑体"/>
          <w:sz w:val="40"/>
          <w:szCs w:val="40"/>
        </w:rPr>
      </w:pPr>
    </w:p>
    <w:p w14:paraId="770D6C14">
      <w:pPr>
        <w:pStyle w:val="38"/>
        <w:jc w:val="center"/>
        <w:outlineLvl w:val="1"/>
        <w:rPr>
          <w:rFonts w:ascii="黑体" w:hAnsi="黑体" w:eastAsia="黑体"/>
          <w:sz w:val="40"/>
          <w:szCs w:val="40"/>
        </w:rPr>
      </w:pPr>
    </w:p>
    <w:p w14:paraId="7B881DF3">
      <w:pPr>
        <w:pStyle w:val="38"/>
        <w:jc w:val="center"/>
        <w:outlineLvl w:val="1"/>
        <w:rPr>
          <w:rFonts w:ascii="黑体" w:hAnsi="黑体" w:eastAsia="黑体"/>
          <w:sz w:val="40"/>
          <w:szCs w:val="40"/>
        </w:rPr>
      </w:pPr>
      <w:r>
        <w:rPr>
          <w:rFonts w:hint="eastAsia" w:ascii="黑体" w:hAnsi="黑体" w:eastAsia="黑体"/>
          <w:sz w:val="40"/>
          <w:szCs w:val="40"/>
        </w:rPr>
        <w:t>评标信息</w:t>
      </w:r>
    </w:p>
    <w:tbl>
      <w:tblPr>
        <w:tblStyle w:val="44"/>
        <w:tblW w:w="9072" w:type="dxa"/>
        <w:jc w:val="center"/>
        <w:tblCellSpacing w:w="0" w:type="dxa"/>
        <w:tblLayout w:type="fixed"/>
        <w:tblCellMar>
          <w:top w:w="45" w:type="dxa"/>
          <w:left w:w="45" w:type="dxa"/>
          <w:bottom w:w="45" w:type="dxa"/>
          <w:right w:w="45" w:type="dxa"/>
        </w:tblCellMar>
      </w:tblPr>
      <w:tblGrid>
        <w:gridCol w:w="8867"/>
        <w:gridCol w:w="205"/>
      </w:tblGrid>
      <w:tr w14:paraId="091E4B82">
        <w:trPr>
          <w:tblCellSpacing w:w="0" w:type="dxa"/>
          <w:jc w:val="center"/>
        </w:trPr>
        <w:tc>
          <w:tcPr>
            <w:tcW w:w="8867" w:type="dxa"/>
            <w:tcBorders>
              <w:top w:val="nil"/>
              <w:left w:val="nil"/>
              <w:bottom w:val="nil"/>
              <w:right w:val="nil"/>
            </w:tcBorders>
            <w:vAlign w:val="center"/>
          </w:tcPr>
          <w:p w14:paraId="4DDAEB40">
            <w:pPr>
              <w:rPr>
                <w:rFonts w:ascii="宋体" w:hAnsi="宋体" w:cs="宋体"/>
                <w:b/>
                <w:bCs/>
                <w:sz w:val="24"/>
              </w:rPr>
            </w:pPr>
            <w:r>
              <w:rPr>
                <w:rFonts w:hint="eastAsia" w:ascii="宋体" w:hAnsi="宋体" w:cs="宋体"/>
                <w:b/>
                <w:bCs/>
                <w:sz w:val="24"/>
              </w:rPr>
              <w:t>评标方法：综合评分法</w:t>
            </w:r>
          </w:p>
        </w:tc>
        <w:tc>
          <w:tcPr>
            <w:tcW w:w="205" w:type="dxa"/>
            <w:tcBorders>
              <w:top w:val="nil"/>
              <w:left w:val="nil"/>
              <w:bottom w:val="nil"/>
              <w:right w:val="nil"/>
            </w:tcBorders>
            <w:vAlign w:val="center"/>
          </w:tcPr>
          <w:p w14:paraId="2070CABF">
            <w:pPr>
              <w:jc w:val="right"/>
              <w:rPr>
                <w:rFonts w:ascii="宋体" w:hAnsi="宋体" w:cs="宋体"/>
                <w:b/>
                <w:bCs/>
                <w:sz w:val="24"/>
              </w:rPr>
            </w:pPr>
          </w:p>
        </w:tc>
      </w:tr>
      <w:tr w14:paraId="6F259538">
        <w:tblPrEx>
          <w:tblCellMar>
            <w:top w:w="45" w:type="dxa"/>
            <w:left w:w="45" w:type="dxa"/>
            <w:bottom w:w="45" w:type="dxa"/>
            <w:right w:w="45" w:type="dxa"/>
          </w:tblCellMar>
        </w:tblPrEx>
        <w:trPr>
          <w:tblCellSpacing w:w="0" w:type="dxa"/>
          <w:jc w:val="center"/>
        </w:trPr>
        <w:tc>
          <w:tcPr>
            <w:tcW w:w="9072" w:type="dxa"/>
            <w:gridSpan w:val="2"/>
            <w:tcBorders>
              <w:top w:val="nil"/>
              <w:left w:val="nil"/>
              <w:bottom w:val="nil"/>
              <w:right w:val="nil"/>
            </w:tcBorders>
            <w:vAlign w:val="center"/>
          </w:tcPr>
          <w:p w14:paraId="65BD72CD">
            <w:pPr>
              <w:pStyle w:val="38"/>
              <w:spacing w:line="324" w:lineRule="auto"/>
              <w:ind w:firstLine="420"/>
              <w:rPr>
                <w:rFonts w:ascii="宋体" w:hAnsi="宋体" w:cs="宋体"/>
              </w:rPr>
            </w:pPr>
            <w:r>
              <w:rPr>
                <w:rFonts w:hint="eastAsia" w:ascii="宋体" w:hAnsi="宋体" w:cs="宋体"/>
              </w:rPr>
              <w:t>综合评分法，是指投标文件满足招标文件全部实质性要求，且按照招标文件规定的各项因素进行综合评审，评标总得分排名前列的投标人为中标候选人的评标方法。</w:t>
            </w:r>
          </w:p>
          <w:p w14:paraId="31F9DB3E">
            <w:pPr>
              <w:pStyle w:val="38"/>
              <w:ind w:firstLine="420"/>
              <w:rPr>
                <w:rFonts w:ascii="宋体" w:hAnsi="宋体" w:cs="宋体"/>
              </w:rPr>
            </w:pPr>
            <w:r>
              <w:rPr>
                <w:rFonts w:hint="eastAsia" w:ascii="宋体" w:hAnsi="宋体" w:cs="宋体"/>
              </w:rPr>
              <w:t>价格分计算方法：</w:t>
            </w:r>
          </w:p>
          <w:p w14:paraId="6DB1FBA2">
            <w:pPr>
              <w:widowControl/>
              <w:ind w:left="420"/>
              <w:jc w:val="left"/>
              <w:rPr>
                <w:rFonts w:ascii="宋体" w:hAnsi="宋体" w:cs="宋体"/>
                <w:sz w:val="24"/>
              </w:rPr>
            </w:pPr>
            <w:r>
              <w:rPr>
                <w:rFonts w:hint="eastAsia" w:ascii="宋体" w:hAnsi="宋体" w:cs="宋体"/>
                <w:sz w:val="24"/>
              </w:rPr>
              <w:t>采用低价优先法计算，即满足招标文件要求且投标价格最低的投标报价为评标基准价，其价格分为满分。其他投标人的价格分统一按照下列公式计算：</w:t>
            </w:r>
            <w:r>
              <w:rPr>
                <w:rFonts w:hint="eastAsia" w:ascii="宋体" w:hAnsi="宋体" w:cs="宋体"/>
                <w:sz w:val="24"/>
              </w:rPr>
              <w:br w:type="textWrapping"/>
            </w:r>
            <w:r>
              <w:rPr>
                <w:rFonts w:hint="eastAsia" w:ascii="宋体" w:hAnsi="宋体" w:cs="宋体"/>
                <w:sz w:val="24"/>
              </w:rPr>
              <w:t>投标报价得分=（评标基准价／投标报价)×100</w:t>
            </w:r>
            <w:r>
              <w:rPr>
                <w:rFonts w:hint="eastAsia" w:ascii="宋体" w:hAnsi="宋体" w:cs="宋体"/>
                <w:sz w:val="24"/>
              </w:rPr>
              <w:br w:type="textWrapping"/>
            </w:r>
            <w:r>
              <w:rPr>
                <w:rFonts w:hint="eastAsia" w:ascii="宋体" w:hAnsi="宋体" w:cs="宋体"/>
                <w:sz w:val="24"/>
              </w:rPr>
              <w:t>评标总得分＝F1×A1＋F2×A2＋……＋Fn×An</w:t>
            </w:r>
            <w:r>
              <w:rPr>
                <w:rFonts w:hint="eastAsia" w:ascii="宋体" w:hAnsi="宋体" w:cs="宋体"/>
                <w:sz w:val="24"/>
              </w:rPr>
              <w:br w:type="textWrapping"/>
            </w:r>
            <w:r>
              <w:rPr>
                <w:rFonts w:hint="eastAsia" w:ascii="宋体" w:hAnsi="宋体" w:cs="宋体"/>
                <w:sz w:val="24"/>
              </w:rPr>
              <w:t>F1、F2……Fn分别为各项评审因素的得分；</w:t>
            </w:r>
            <w:r>
              <w:rPr>
                <w:rFonts w:hint="eastAsia" w:ascii="宋体" w:hAnsi="宋体" w:cs="宋体"/>
                <w:sz w:val="24"/>
              </w:rPr>
              <w:br w:type="textWrapping"/>
            </w:r>
            <w:r>
              <w:rPr>
                <w:rFonts w:hint="eastAsia" w:ascii="宋体" w:hAnsi="宋体" w:cs="宋体"/>
                <w:sz w:val="24"/>
              </w:rPr>
              <w:t>A1、A2、……An分别为各项评审因素所占的权重（A1＋A2＋……＋An＝1)。</w:t>
            </w:r>
            <w:r>
              <w:rPr>
                <w:rFonts w:hint="eastAsia" w:ascii="宋体" w:hAnsi="宋体" w:cs="宋体"/>
                <w:sz w:val="24"/>
              </w:rPr>
              <w:br w:type="textWrapping"/>
            </w:r>
            <w:r>
              <w:rPr>
                <w:rFonts w:hint="eastAsia" w:ascii="宋体" w:hAnsi="宋体" w:cs="宋体"/>
                <w:sz w:val="24"/>
              </w:rPr>
              <w:t>评标过程中，不得去掉报价中的最高报价和最低报价。</w:t>
            </w:r>
            <w:r>
              <w:rPr>
                <w:rFonts w:hint="eastAsia" w:ascii="宋体" w:hAnsi="宋体" w:cs="宋体"/>
                <w:sz w:val="24"/>
              </w:rPr>
              <w:br w:type="textWrapping"/>
            </w:r>
            <w:r>
              <w:rPr>
                <w:rFonts w:hint="eastAsia" w:ascii="宋体" w:hAnsi="宋体" w:cs="宋体"/>
                <w:sz w:val="24"/>
              </w:rPr>
              <w:t>因落实政府采购政策进行价格调整的，以调整后的价格计算评标基准价和投标报价。</w:t>
            </w:r>
          </w:p>
          <w:p w14:paraId="01C07FEF">
            <w:pPr>
              <w:pStyle w:val="38"/>
              <w:spacing w:line="324" w:lineRule="auto"/>
              <w:ind w:left="420"/>
              <w:rPr>
                <w:sz w:val="21"/>
                <w:szCs w:val="21"/>
              </w:rPr>
            </w:pPr>
          </w:p>
        </w:tc>
      </w:tr>
    </w:tbl>
    <w:p w14:paraId="2F79F169">
      <w:pPr>
        <w:rPr>
          <w:vanish/>
        </w:rPr>
      </w:pPr>
    </w:p>
    <w:p w14:paraId="2C75BC8C"/>
    <w:tbl>
      <w:tblPr>
        <w:tblStyle w:val="44"/>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0" w:type="dxa"/>
          <w:left w:w="108" w:type="dxa"/>
          <w:bottom w:w="20" w:type="dxa"/>
          <w:right w:w="108" w:type="dxa"/>
        </w:tblCellMar>
      </w:tblPr>
      <w:tblGrid>
        <w:gridCol w:w="681"/>
        <w:gridCol w:w="681"/>
        <w:gridCol w:w="1398"/>
        <w:gridCol w:w="785"/>
        <w:gridCol w:w="5381"/>
      </w:tblGrid>
      <w:tr w14:paraId="2FE7F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90" w:hRule="atLeast"/>
          <w:jc w:val="center"/>
        </w:trPr>
        <w:tc>
          <w:tcPr>
            <w:tcW w:w="681" w:type="dxa"/>
            <w:shd w:val="clear" w:color="auto" w:fill="E6EFFA"/>
            <w:vAlign w:val="center"/>
          </w:tcPr>
          <w:p w14:paraId="571BB1FF">
            <w:pPr>
              <w:widowControl/>
              <w:wordWrap w:val="0"/>
              <w:jc w:val="center"/>
              <w:rPr>
                <w:rFonts w:ascii="宋体" w:hAnsi="宋体" w:cs="宋体"/>
                <w:b/>
                <w:bCs/>
                <w:sz w:val="24"/>
              </w:rPr>
            </w:pPr>
            <w:bookmarkStart w:id="0" w:name="_Hlk72360569"/>
            <w:r>
              <w:rPr>
                <w:rFonts w:hint="eastAsia" w:ascii="宋体" w:hAnsi="宋体" w:cs="宋体"/>
                <w:b/>
                <w:bCs/>
                <w:kern w:val="0"/>
                <w:sz w:val="24"/>
              </w:rPr>
              <w:t>序号</w:t>
            </w:r>
          </w:p>
        </w:tc>
        <w:tc>
          <w:tcPr>
            <w:tcW w:w="2864" w:type="dxa"/>
            <w:gridSpan w:val="3"/>
            <w:shd w:val="clear" w:color="auto" w:fill="E6EFFA"/>
            <w:vAlign w:val="center"/>
          </w:tcPr>
          <w:p w14:paraId="06744824">
            <w:pPr>
              <w:widowControl/>
              <w:wordWrap w:val="0"/>
              <w:jc w:val="center"/>
              <w:rPr>
                <w:rFonts w:ascii="宋体" w:hAnsi="宋体" w:cs="宋体"/>
                <w:b/>
                <w:bCs/>
                <w:sz w:val="24"/>
              </w:rPr>
            </w:pPr>
            <w:r>
              <w:rPr>
                <w:rFonts w:hint="eastAsia" w:ascii="宋体" w:hAnsi="宋体" w:cs="宋体"/>
                <w:b/>
                <w:bCs/>
                <w:kern w:val="0"/>
                <w:sz w:val="24"/>
              </w:rPr>
              <w:t>评分项</w:t>
            </w:r>
          </w:p>
        </w:tc>
        <w:tc>
          <w:tcPr>
            <w:tcW w:w="5381" w:type="dxa"/>
            <w:shd w:val="clear" w:color="auto" w:fill="E6EFFA"/>
            <w:vAlign w:val="center"/>
          </w:tcPr>
          <w:p w14:paraId="1F6FDDFF">
            <w:pPr>
              <w:widowControl/>
              <w:wordWrap w:val="0"/>
              <w:jc w:val="center"/>
              <w:rPr>
                <w:rFonts w:ascii="宋体" w:hAnsi="宋体" w:cs="宋体"/>
                <w:b/>
                <w:bCs/>
                <w:sz w:val="24"/>
              </w:rPr>
            </w:pPr>
            <w:r>
              <w:rPr>
                <w:rFonts w:hint="eastAsia" w:ascii="宋体" w:hAnsi="宋体" w:cs="宋体"/>
                <w:b/>
                <w:bCs/>
                <w:kern w:val="0"/>
                <w:sz w:val="24"/>
              </w:rPr>
              <w:t>权重（%)</w:t>
            </w:r>
          </w:p>
        </w:tc>
      </w:tr>
      <w:tr w14:paraId="5101B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jc w:val="center"/>
        </w:trPr>
        <w:tc>
          <w:tcPr>
            <w:tcW w:w="681" w:type="dxa"/>
            <w:vAlign w:val="center"/>
          </w:tcPr>
          <w:p w14:paraId="3D6BB804">
            <w:pPr>
              <w:widowControl/>
              <w:wordWrap w:val="0"/>
              <w:jc w:val="center"/>
              <w:rPr>
                <w:rFonts w:ascii="宋体" w:hAnsi="宋体" w:cs="宋体"/>
                <w:b/>
                <w:bCs/>
                <w:color w:val="0000FF"/>
                <w:sz w:val="24"/>
              </w:rPr>
            </w:pPr>
            <w:r>
              <w:rPr>
                <w:rFonts w:hint="eastAsia" w:ascii="宋体" w:hAnsi="宋体" w:cs="宋体"/>
                <w:b/>
                <w:bCs/>
                <w:color w:val="0000FF"/>
                <w:kern w:val="0"/>
                <w:sz w:val="24"/>
              </w:rPr>
              <w:t>1</w:t>
            </w:r>
          </w:p>
        </w:tc>
        <w:tc>
          <w:tcPr>
            <w:tcW w:w="2864" w:type="dxa"/>
            <w:gridSpan w:val="3"/>
            <w:vAlign w:val="center"/>
          </w:tcPr>
          <w:p w14:paraId="1C539E1A">
            <w:pPr>
              <w:widowControl/>
              <w:wordWrap w:val="0"/>
              <w:jc w:val="center"/>
              <w:rPr>
                <w:rFonts w:ascii="宋体" w:hAnsi="宋体" w:cs="宋体"/>
                <w:b/>
                <w:bCs/>
                <w:color w:val="0000FF"/>
                <w:sz w:val="24"/>
              </w:rPr>
            </w:pPr>
            <w:r>
              <w:rPr>
                <w:rFonts w:hint="eastAsia" w:ascii="宋体" w:hAnsi="宋体" w:cs="宋体"/>
                <w:b/>
                <w:bCs/>
                <w:color w:val="0000FF"/>
                <w:kern w:val="0"/>
                <w:sz w:val="24"/>
              </w:rPr>
              <w:t>价格</w:t>
            </w:r>
          </w:p>
        </w:tc>
        <w:tc>
          <w:tcPr>
            <w:tcW w:w="5381" w:type="dxa"/>
            <w:vAlign w:val="center"/>
          </w:tcPr>
          <w:p w14:paraId="328E4517">
            <w:pPr>
              <w:widowControl/>
              <w:wordWrap w:val="0"/>
              <w:jc w:val="center"/>
              <w:rPr>
                <w:rFonts w:ascii="宋体" w:hAnsi="宋体" w:cs="宋体"/>
                <w:b/>
                <w:bCs/>
                <w:color w:val="0000FF"/>
                <w:sz w:val="24"/>
              </w:rPr>
            </w:pPr>
            <w:r>
              <w:rPr>
                <w:rFonts w:hint="eastAsia" w:ascii="宋体" w:hAnsi="宋体" w:cs="宋体"/>
                <w:b/>
                <w:bCs/>
                <w:color w:val="0000FF"/>
                <w:kern w:val="0"/>
                <w:sz w:val="24"/>
              </w:rPr>
              <w:t>10</w:t>
            </w:r>
          </w:p>
        </w:tc>
      </w:tr>
      <w:tr w14:paraId="76B00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jc w:val="center"/>
        </w:trPr>
        <w:tc>
          <w:tcPr>
            <w:tcW w:w="681" w:type="dxa"/>
            <w:vMerge w:val="restart"/>
            <w:vAlign w:val="center"/>
          </w:tcPr>
          <w:p w14:paraId="2E00DC17">
            <w:pPr>
              <w:widowControl/>
              <w:wordWrap w:val="0"/>
              <w:jc w:val="center"/>
              <w:rPr>
                <w:rFonts w:ascii="宋体" w:hAnsi="宋体" w:cs="宋体"/>
                <w:b/>
                <w:bCs/>
                <w:color w:val="0000FF"/>
                <w:sz w:val="24"/>
              </w:rPr>
            </w:pPr>
            <w:r>
              <w:rPr>
                <w:rFonts w:hint="eastAsia" w:ascii="宋体" w:hAnsi="宋体" w:cs="宋体"/>
                <w:b/>
                <w:bCs/>
                <w:color w:val="0000FF"/>
                <w:kern w:val="0"/>
                <w:sz w:val="24"/>
              </w:rPr>
              <w:t>2</w:t>
            </w:r>
          </w:p>
        </w:tc>
        <w:tc>
          <w:tcPr>
            <w:tcW w:w="2864" w:type="dxa"/>
            <w:gridSpan w:val="3"/>
            <w:vAlign w:val="center"/>
          </w:tcPr>
          <w:p w14:paraId="7E1FF428">
            <w:pPr>
              <w:widowControl/>
              <w:wordWrap w:val="0"/>
              <w:jc w:val="center"/>
              <w:rPr>
                <w:rFonts w:ascii="宋体" w:hAnsi="宋体" w:cs="宋体"/>
                <w:b/>
                <w:bCs/>
                <w:color w:val="0000FF"/>
                <w:sz w:val="24"/>
              </w:rPr>
            </w:pPr>
            <w:r>
              <w:rPr>
                <w:rFonts w:hint="eastAsia" w:ascii="宋体" w:hAnsi="宋体" w:cs="宋体"/>
                <w:b/>
                <w:bCs/>
                <w:color w:val="0000FF"/>
                <w:kern w:val="0"/>
                <w:sz w:val="24"/>
              </w:rPr>
              <w:t>技术部分</w:t>
            </w:r>
          </w:p>
        </w:tc>
        <w:tc>
          <w:tcPr>
            <w:tcW w:w="5381" w:type="dxa"/>
            <w:vAlign w:val="center"/>
          </w:tcPr>
          <w:p w14:paraId="40099994">
            <w:pPr>
              <w:widowControl/>
              <w:wordWrap w:val="0"/>
              <w:jc w:val="center"/>
              <w:rPr>
                <w:rFonts w:ascii="宋体" w:hAnsi="宋体" w:cs="宋体"/>
                <w:b/>
                <w:bCs/>
                <w:color w:val="0000FF"/>
                <w:sz w:val="24"/>
              </w:rPr>
            </w:pPr>
            <w:r>
              <w:rPr>
                <w:rFonts w:hint="eastAsia" w:ascii="宋体" w:hAnsi="宋体" w:cs="宋体"/>
                <w:b/>
                <w:bCs/>
                <w:color w:val="0000FF"/>
                <w:kern w:val="0"/>
                <w:sz w:val="24"/>
              </w:rPr>
              <w:t>40</w:t>
            </w:r>
          </w:p>
        </w:tc>
      </w:tr>
      <w:tr w14:paraId="29AB1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jc w:val="center"/>
        </w:trPr>
        <w:tc>
          <w:tcPr>
            <w:tcW w:w="681" w:type="dxa"/>
            <w:vMerge w:val="continue"/>
            <w:shd w:val="clear" w:color="auto" w:fill="E6EFFA"/>
            <w:vAlign w:val="center"/>
          </w:tcPr>
          <w:p w14:paraId="742AAC11">
            <w:pPr>
              <w:jc w:val="center"/>
              <w:rPr>
                <w:rFonts w:ascii="宋体" w:hAnsi="宋体" w:cs="宋体"/>
                <w:b/>
                <w:bCs/>
                <w:color w:val="0000FF"/>
                <w:sz w:val="24"/>
              </w:rPr>
            </w:pPr>
          </w:p>
        </w:tc>
        <w:tc>
          <w:tcPr>
            <w:tcW w:w="681" w:type="dxa"/>
            <w:shd w:val="clear" w:color="auto" w:fill="E6EFFA"/>
            <w:vAlign w:val="center"/>
          </w:tcPr>
          <w:p w14:paraId="4FE2D4D6">
            <w:pPr>
              <w:widowControl/>
              <w:wordWrap w:val="0"/>
              <w:jc w:val="center"/>
              <w:rPr>
                <w:rFonts w:ascii="宋体" w:hAnsi="宋体" w:cs="宋体"/>
                <w:sz w:val="24"/>
              </w:rPr>
            </w:pPr>
            <w:r>
              <w:rPr>
                <w:rFonts w:hint="eastAsia" w:ascii="宋体" w:hAnsi="宋体" w:cs="宋体"/>
                <w:kern w:val="0"/>
                <w:sz w:val="24"/>
              </w:rPr>
              <w:t>序号</w:t>
            </w:r>
          </w:p>
        </w:tc>
        <w:tc>
          <w:tcPr>
            <w:tcW w:w="1398" w:type="dxa"/>
            <w:shd w:val="clear" w:color="auto" w:fill="E6EFFA"/>
            <w:vAlign w:val="center"/>
          </w:tcPr>
          <w:p w14:paraId="2A3B5019">
            <w:pPr>
              <w:widowControl/>
              <w:wordWrap w:val="0"/>
              <w:jc w:val="center"/>
              <w:rPr>
                <w:rFonts w:ascii="宋体" w:hAnsi="宋体" w:cs="宋体"/>
                <w:sz w:val="24"/>
              </w:rPr>
            </w:pPr>
            <w:r>
              <w:rPr>
                <w:rFonts w:hint="eastAsia" w:ascii="宋体" w:hAnsi="宋体" w:cs="宋体"/>
                <w:kern w:val="0"/>
                <w:sz w:val="24"/>
              </w:rPr>
              <w:t>评分因素</w:t>
            </w:r>
          </w:p>
        </w:tc>
        <w:tc>
          <w:tcPr>
            <w:tcW w:w="785" w:type="dxa"/>
            <w:shd w:val="clear" w:color="auto" w:fill="E6EFFA"/>
            <w:vAlign w:val="center"/>
          </w:tcPr>
          <w:p w14:paraId="6E158243">
            <w:pPr>
              <w:widowControl/>
              <w:wordWrap w:val="0"/>
              <w:jc w:val="center"/>
              <w:rPr>
                <w:rFonts w:ascii="宋体" w:hAnsi="宋体" w:cs="宋体"/>
                <w:sz w:val="24"/>
              </w:rPr>
            </w:pPr>
            <w:r>
              <w:rPr>
                <w:rFonts w:hint="eastAsia" w:ascii="宋体" w:hAnsi="宋体" w:cs="宋体"/>
                <w:kern w:val="0"/>
                <w:sz w:val="24"/>
              </w:rPr>
              <w:t>权重（%)</w:t>
            </w:r>
          </w:p>
        </w:tc>
        <w:tc>
          <w:tcPr>
            <w:tcW w:w="5381" w:type="dxa"/>
            <w:shd w:val="clear" w:color="auto" w:fill="E6EFFA"/>
            <w:vAlign w:val="center"/>
          </w:tcPr>
          <w:p w14:paraId="240E46F4">
            <w:pPr>
              <w:widowControl/>
              <w:wordWrap w:val="0"/>
              <w:jc w:val="center"/>
              <w:rPr>
                <w:rFonts w:ascii="宋体" w:hAnsi="宋体" w:cs="宋体"/>
                <w:sz w:val="24"/>
              </w:rPr>
            </w:pPr>
            <w:r>
              <w:rPr>
                <w:rFonts w:hint="eastAsia" w:ascii="宋体" w:hAnsi="宋体" w:cs="宋体"/>
                <w:kern w:val="0"/>
                <w:sz w:val="24"/>
              </w:rPr>
              <w:t>评分准则</w:t>
            </w:r>
          </w:p>
        </w:tc>
      </w:tr>
      <w:tr w14:paraId="1BF33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jc w:val="center"/>
        </w:trPr>
        <w:tc>
          <w:tcPr>
            <w:tcW w:w="681" w:type="dxa"/>
            <w:vMerge w:val="continue"/>
            <w:vAlign w:val="center"/>
          </w:tcPr>
          <w:p w14:paraId="06348487">
            <w:pPr>
              <w:jc w:val="center"/>
              <w:rPr>
                <w:rFonts w:ascii="宋体" w:hAnsi="宋体" w:cs="宋体"/>
                <w:b/>
                <w:bCs/>
                <w:color w:val="0000FF"/>
                <w:sz w:val="24"/>
              </w:rPr>
            </w:pPr>
          </w:p>
        </w:tc>
        <w:tc>
          <w:tcPr>
            <w:tcW w:w="681" w:type="dxa"/>
            <w:vAlign w:val="center"/>
          </w:tcPr>
          <w:p w14:paraId="08A003A1">
            <w:pPr>
              <w:jc w:val="center"/>
              <w:rPr>
                <w:rFonts w:ascii="宋体" w:hAnsi="宋体" w:cs="宋体"/>
                <w:kern w:val="0"/>
                <w:sz w:val="24"/>
              </w:rPr>
            </w:pPr>
            <w:r>
              <w:rPr>
                <w:rFonts w:hint="eastAsia" w:ascii="宋体" w:hAnsi="宋体" w:cs="宋体"/>
                <w:sz w:val="24"/>
              </w:rPr>
              <w:t>1</w:t>
            </w:r>
          </w:p>
        </w:tc>
        <w:tc>
          <w:tcPr>
            <w:tcW w:w="1398" w:type="dxa"/>
            <w:vAlign w:val="center"/>
          </w:tcPr>
          <w:p w14:paraId="32D72BC6">
            <w:pPr>
              <w:jc w:val="center"/>
              <w:rPr>
                <w:rFonts w:ascii="宋体" w:hAnsi="宋体" w:cs="宋体"/>
                <w:sz w:val="24"/>
              </w:rPr>
            </w:pPr>
            <w:r>
              <w:rPr>
                <w:rFonts w:hint="eastAsia" w:ascii="宋体" w:hAnsi="宋体" w:cs="宋体"/>
                <w:sz w:val="24"/>
              </w:rPr>
              <w:t>实施方案</w:t>
            </w:r>
          </w:p>
        </w:tc>
        <w:tc>
          <w:tcPr>
            <w:tcW w:w="785" w:type="dxa"/>
            <w:vAlign w:val="center"/>
          </w:tcPr>
          <w:p w14:paraId="26A55213">
            <w:pPr>
              <w:jc w:val="center"/>
              <w:rPr>
                <w:rFonts w:ascii="宋体" w:hAnsi="宋体" w:cs="宋体"/>
                <w:sz w:val="24"/>
                <w:highlight w:val="yellow"/>
              </w:rPr>
            </w:pPr>
            <w:r>
              <w:rPr>
                <w:rFonts w:hint="eastAsia" w:ascii="宋体" w:hAnsi="宋体" w:cs="宋体"/>
                <w:sz w:val="24"/>
              </w:rPr>
              <w:t>15</w:t>
            </w:r>
          </w:p>
        </w:tc>
        <w:tc>
          <w:tcPr>
            <w:tcW w:w="5381" w:type="dxa"/>
            <w:vAlign w:val="center"/>
          </w:tcPr>
          <w:p w14:paraId="73C0F988">
            <w:pPr>
              <w:rPr>
                <w:rFonts w:ascii="宋体" w:hAnsi="宋体" w:cs="宋体"/>
                <w:b/>
                <w:bCs/>
                <w:sz w:val="24"/>
              </w:rPr>
            </w:pPr>
            <w:r>
              <w:rPr>
                <w:rFonts w:hint="eastAsia" w:ascii="宋体" w:hAnsi="宋体" w:cs="宋体"/>
                <w:b/>
                <w:bCs/>
                <w:sz w:val="24"/>
              </w:rPr>
              <w:t>（一）评分内容：</w:t>
            </w:r>
          </w:p>
          <w:p w14:paraId="31EC8F4E">
            <w:pPr>
              <w:rPr>
                <w:rFonts w:ascii="宋体" w:hAnsi="宋体" w:cs="宋体"/>
                <w:sz w:val="24"/>
              </w:rPr>
            </w:pPr>
            <w:r>
              <w:rPr>
                <w:rFonts w:hint="eastAsia" w:ascii="宋体" w:hAnsi="宋体" w:cs="宋体"/>
                <w:sz w:val="24"/>
              </w:rPr>
              <w:t>投标人针对本项目情况，提供项目实施整体方案，包含以下三项：</w:t>
            </w:r>
          </w:p>
          <w:p w14:paraId="49B98382">
            <w:pPr>
              <w:rPr>
                <w:rFonts w:ascii="宋体" w:hAnsi="宋体" w:cs="宋体"/>
                <w:sz w:val="24"/>
              </w:rPr>
            </w:pPr>
            <w:r>
              <w:rPr>
                <w:rFonts w:hint="eastAsia" w:ascii="宋体" w:hAnsi="宋体" w:cs="宋体"/>
                <w:sz w:val="24"/>
              </w:rPr>
              <w:t>1.对本项目建设背景、项目现状、需求分析、建设目标、建设内容的理解程度；</w:t>
            </w:r>
          </w:p>
          <w:p w14:paraId="59151A37">
            <w:pPr>
              <w:rPr>
                <w:rFonts w:ascii="宋体" w:hAnsi="宋体" w:cs="宋体"/>
                <w:sz w:val="24"/>
              </w:rPr>
            </w:pPr>
            <w:r>
              <w:rPr>
                <w:rFonts w:hint="eastAsia" w:ascii="宋体" w:hAnsi="宋体" w:cs="宋体"/>
                <w:sz w:val="24"/>
              </w:rPr>
              <w:t>2.对本项目总体框架要求和分项建设要求的响应情况；</w:t>
            </w:r>
          </w:p>
          <w:p w14:paraId="30614FDA">
            <w:pPr>
              <w:rPr>
                <w:rFonts w:ascii="宋体" w:hAnsi="宋体" w:cs="宋体"/>
                <w:sz w:val="24"/>
              </w:rPr>
            </w:pPr>
            <w:r>
              <w:rPr>
                <w:rFonts w:hint="eastAsia" w:ascii="宋体" w:hAnsi="宋体" w:cs="宋体"/>
                <w:sz w:val="24"/>
              </w:rPr>
              <w:t>3.对项目管理及服务（包括项目服务期、项目实施、项目培训、售后服务等）要求的响应情况。</w:t>
            </w:r>
          </w:p>
          <w:p w14:paraId="40DCE19F">
            <w:pPr>
              <w:rPr>
                <w:rFonts w:ascii="宋体" w:hAnsi="宋体" w:cs="宋体"/>
                <w:b/>
                <w:bCs/>
                <w:sz w:val="24"/>
              </w:rPr>
            </w:pPr>
            <w:r>
              <w:rPr>
                <w:rFonts w:hint="eastAsia" w:ascii="宋体" w:hAnsi="宋体" w:cs="宋体"/>
                <w:b/>
                <w:bCs/>
                <w:sz w:val="24"/>
              </w:rPr>
              <w:t>（二）评分依据：</w:t>
            </w:r>
          </w:p>
          <w:p w14:paraId="0746DCBA">
            <w:pPr>
              <w:rPr>
                <w:rFonts w:ascii="宋体" w:hAnsi="宋体" w:cs="宋体"/>
                <w:sz w:val="24"/>
              </w:rPr>
            </w:pPr>
            <w:r>
              <w:rPr>
                <w:rFonts w:hint="eastAsia" w:ascii="宋体" w:hAnsi="宋体" w:cs="宋体"/>
                <w:sz w:val="24"/>
              </w:rPr>
              <w:t>1.每满足任意一项得20分，最高得60分。</w:t>
            </w:r>
          </w:p>
          <w:p w14:paraId="58908BF8">
            <w:pPr>
              <w:wordWrap w:val="0"/>
              <w:rPr>
                <w:rFonts w:ascii="宋体" w:hAnsi="宋体" w:cs="宋体"/>
                <w:sz w:val="24"/>
              </w:rPr>
            </w:pPr>
            <w:r>
              <w:rPr>
                <w:rFonts w:hint="eastAsia" w:ascii="宋体" w:hAnsi="宋体" w:cs="宋体"/>
                <w:sz w:val="24"/>
              </w:rPr>
              <w:t>2.在此基础上，专家根据各供应商的具体响应内容按照量化的评审因素指标进一步评审：</w:t>
            </w:r>
          </w:p>
          <w:p w14:paraId="1C4B0D5A">
            <w:pPr>
              <w:wordWrap w:val="0"/>
              <w:rPr>
                <w:rFonts w:ascii="宋体" w:hAnsi="宋体" w:cs="宋体"/>
                <w:sz w:val="24"/>
              </w:rPr>
            </w:pPr>
            <w:r>
              <w:rPr>
                <w:rFonts w:hint="eastAsia" w:ascii="宋体" w:hAnsi="宋体" w:cs="宋体"/>
                <w:sz w:val="24"/>
              </w:rPr>
              <w:t>（1）评审为优：实施方案合理、有针对性、可操作性强，加40分；</w:t>
            </w:r>
          </w:p>
          <w:p w14:paraId="396A1105">
            <w:pPr>
              <w:wordWrap w:val="0"/>
              <w:rPr>
                <w:rFonts w:ascii="宋体" w:hAnsi="宋体" w:cs="宋体"/>
                <w:sz w:val="24"/>
              </w:rPr>
            </w:pPr>
            <w:r>
              <w:rPr>
                <w:rFonts w:hint="eastAsia" w:ascii="宋体" w:hAnsi="宋体" w:cs="宋体"/>
                <w:sz w:val="24"/>
              </w:rPr>
              <w:t>（2）评审为良：实施方案较合理、有一定针对性、一定可操作性，加20分；</w:t>
            </w:r>
          </w:p>
          <w:p w14:paraId="53E10443">
            <w:pPr>
              <w:wordWrap w:val="0"/>
              <w:rPr>
                <w:rFonts w:ascii="宋体" w:hAnsi="宋体" w:cs="宋体"/>
                <w:sz w:val="24"/>
              </w:rPr>
            </w:pPr>
            <w:r>
              <w:rPr>
                <w:rFonts w:hint="eastAsia" w:ascii="宋体" w:hAnsi="宋体" w:cs="宋体"/>
                <w:sz w:val="24"/>
              </w:rPr>
              <w:t>（3）评审为中：实施方案不尽合理、针对性一般、可操作性一般，评审为中的加10分；</w:t>
            </w:r>
          </w:p>
          <w:p w14:paraId="35718DE4">
            <w:pPr>
              <w:jc w:val="left"/>
              <w:rPr>
                <w:rFonts w:ascii="宋体" w:hAnsi="宋体" w:cs="宋体"/>
                <w:sz w:val="24"/>
              </w:rPr>
            </w:pPr>
            <w:r>
              <w:rPr>
                <w:rFonts w:hint="eastAsia" w:ascii="宋体" w:hAnsi="宋体" w:cs="宋体"/>
                <w:sz w:val="24"/>
              </w:rPr>
              <w:t>（4）评审为差：实施方案不合理、无针对性、无可操作性，不加分。</w:t>
            </w:r>
          </w:p>
        </w:tc>
      </w:tr>
      <w:tr w14:paraId="6FBF4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jc w:val="center"/>
        </w:trPr>
        <w:tc>
          <w:tcPr>
            <w:tcW w:w="681" w:type="dxa"/>
            <w:vMerge w:val="continue"/>
            <w:vAlign w:val="center"/>
          </w:tcPr>
          <w:p w14:paraId="6E152142">
            <w:pPr>
              <w:jc w:val="center"/>
              <w:rPr>
                <w:rFonts w:ascii="宋体" w:hAnsi="宋体" w:cs="宋体"/>
                <w:b/>
                <w:bCs/>
                <w:color w:val="0000FF"/>
                <w:sz w:val="24"/>
              </w:rPr>
            </w:pPr>
          </w:p>
        </w:tc>
        <w:tc>
          <w:tcPr>
            <w:tcW w:w="681" w:type="dxa"/>
            <w:vAlign w:val="center"/>
          </w:tcPr>
          <w:p w14:paraId="25985A16">
            <w:pPr>
              <w:jc w:val="center"/>
              <w:rPr>
                <w:rFonts w:ascii="宋体" w:hAnsi="宋体" w:cs="宋体"/>
                <w:kern w:val="0"/>
                <w:sz w:val="24"/>
              </w:rPr>
            </w:pPr>
            <w:r>
              <w:rPr>
                <w:rFonts w:hint="eastAsia" w:ascii="宋体" w:hAnsi="宋体" w:cs="宋体"/>
                <w:sz w:val="24"/>
              </w:rPr>
              <w:t>2</w:t>
            </w:r>
          </w:p>
        </w:tc>
        <w:tc>
          <w:tcPr>
            <w:tcW w:w="1398" w:type="dxa"/>
            <w:vAlign w:val="center"/>
          </w:tcPr>
          <w:p w14:paraId="6387A03D">
            <w:pPr>
              <w:jc w:val="center"/>
              <w:rPr>
                <w:rFonts w:ascii="宋体" w:hAnsi="宋体" w:cs="宋体"/>
                <w:sz w:val="24"/>
              </w:rPr>
            </w:pPr>
            <w:bookmarkStart w:id="1" w:name="_Hlk171444038"/>
            <w:r>
              <w:rPr>
                <w:rFonts w:hint="eastAsia" w:ascii="宋体" w:hAnsi="宋体" w:cs="宋体"/>
                <w:sz w:val="24"/>
              </w:rPr>
              <w:t>项目重点难点分析、应对措施及相关的合理化建议</w:t>
            </w:r>
            <w:bookmarkEnd w:id="1"/>
          </w:p>
        </w:tc>
        <w:tc>
          <w:tcPr>
            <w:tcW w:w="785" w:type="dxa"/>
            <w:vAlign w:val="center"/>
          </w:tcPr>
          <w:p w14:paraId="4D795203">
            <w:pPr>
              <w:jc w:val="center"/>
              <w:rPr>
                <w:rFonts w:ascii="宋体" w:hAnsi="宋体" w:cs="宋体"/>
                <w:sz w:val="24"/>
              </w:rPr>
            </w:pPr>
            <w:r>
              <w:rPr>
                <w:rFonts w:hint="eastAsia" w:ascii="宋体" w:hAnsi="宋体" w:cs="宋体"/>
                <w:sz w:val="24"/>
              </w:rPr>
              <w:t>15</w:t>
            </w:r>
          </w:p>
        </w:tc>
        <w:tc>
          <w:tcPr>
            <w:tcW w:w="5381" w:type="dxa"/>
            <w:vAlign w:val="center"/>
          </w:tcPr>
          <w:p w14:paraId="5993726B">
            <w:pPr>
              <w:rPr>
                <w:rFonts w:ascii="宋体" w:hAnsi="宋体" w:cs="宋体"/>
                <w:b/>
                <w:bCs/>
                <w:sz w:val="24"/>
              </w:rPr>
            </w:pPr>
            <w:r>
              <w:rPr>
                <w:rFonts w:hint="eastAsia" w:ascii="宋体" w:hAnsi="宋体" w:cs="宋体"/>
                <w:b/>
                <w:bCs/>
                <w:sz w:val="24"/>
              </w:rPr>
              <w:t>（一）评分内容：</w:t>
            </w:r>
          </w:p>
          <w:p w14:paraId="137E172F">
            <w:pPr>
              <w:rPr>
                <w:rFonts w:ascii="宋体" w:hAnsi="宋体" w:cs="宋体"/>
                <w:sz w:val="24"/>
              </w:rPr>
            </w:pPr>
            <w:r>
              <w:rPr>
                <w:rFonts w:hint="eastAsia" w:ascii="宋体" w:hAnsi="宋体" w:cs="宋体"/>
                <w:sz w:val="24"/>
              </w:rPr>
              <w:t>投标人需对以下重点难点进行分析，并提出应对措施及相关的合理化建议，包含但不局限于以下几个方面：</w:t>
            </w:r>
          </w:p>
          <w:p w14:paraId="3AA82DC0">
            <w:pPr>
              <w:rPr>
                <w:rFonts w:ascii="宋体" w:hAnsi="宋体" w:cs="宋体"/>
                <w:sz w:val="24"/>
              </w:rPr>
            </w:pPr>
            <w:r>
              <w:rPr>
                <w:rFonts w:hint="eastAsia" w:ascii="宋体" w:hAnsi="宋体" w:cs="宋体"/>
                <w:sz w:val="24"/>
              </w:rPr>
              <w:t>1.实现龙岗区社康机构移动支付系统与龙岗区现有医院区域移动支付体系的一致性，方便统一管理。</w:t>
            </w:r>
          </w:p>
          <w:p w14:paraId="05828811">
            <w:pPr>
              <w:rPr>
                <w:rFonts w:ascii="宋体" w:hAnsi="宋体" w:cs="宋体"/>
                <w:sz w:val="24"/>
              </w:rPr>
            </w:pPr>
            <w:r>
              <w:rPr>
                <w:rFonts w:hint="eastAsia" w:ascii="宋体" w:hAnsi="宋体" w:cs="宋体"/>
                <w:sz w:val="24"/>
              </w:rPr>
              <w:t>2.深入理解社康机构现有支付模式和支付渠道保障居民进行社康移动支付时的无感切换。</w:t>
            </w:r>
          </w:p>
          <w:p w14:paraId="4331B4D3">
            <w:pPr>
              <w:rPr>
                <w:rFonts w:ascii="宋体" w:hAnsi="宋体" w:cs="宋体"/>
                <w:b/>
                <w:bCs/>
                <w:sz w:val="24"/>
              </w:rPr>
            </w:pPr>
            <w:r>
              <w:rPr>
                <w:rFonts w:hint="eastAsia" w:ascii="宋体" w:hAnsi="宋体" w:cs="宋体"/>
                <w:b/>
                <w:bCs/>
                <w:sz w:val="24"/>
              </w:rPr>
              <w:t>（二）评分依据：</w:t>
            </w:r>
          </w:p>
          <w:p w14:paraId="50EB880B">
            <w:pPr>
              <w:rPr>
                <w:rFonts w:ascii="宋体" w:hAnsi="宋体" w:cs="宋体"/>
                <w:sz w:val="24"/>
              </w:rPr>
            </w:pPr>
            <w:r>
              <w:rPr>
                <w:rFonts w:hint="eastAsia" w:ascii="宋体" w:hAnsi="宋体" w:cs="宋体"/>
                <w:sz w:val="24"/>
              </w:rPr>
              <w:t>1.每满足任意一项得30分，最高得60分。</w:t>
            </w:r>
          </w:p>
          <w:p w14:paraId="28068A31">
            <w:pPr>
              <w:rPr>
                <w:rFonts w:ascii="宋体" w:hAnsi="宋体" w:cs="宋体"/>
                <w:sz w:val="24"/>
              </w:rPr>
            </w:pPr>
            <w:r>
              <w:rPr>
                <w:rFonts w:hint="eastAsia" w:ascii="宋体" w:hAnsi="宋体" w:cs="宋体"/>
                <w:sz w:val="24"/>
              </w:rPr>
              <w:t>2.在此基础上，专家根据各供应商的具体响应内容按照量化的评审因素指标进一步评审：</w:t>
            </w:r>
          </w:p>
          <w:p w14:paraId="7448DBE0">
            <w:pPr>
              <w:rPr>
                <w:rFonts w:ascii="宋体" w:hAnsi="宋体" w:cs="宋体"/>
                <w:sz w:val="24"/>
              </w:rPr>
            </w:pPr>
            <w:r>
              <w:rPr>
                <w:rFonts w:hint="eastAsia" w:ascii="宋体" w:hAnsi="宋体" w:cs="宋体"/>
                <w:sz w:val="24"/>
              </w:rPr>
              <w:t>（1）评审为优：应对措施及相关的合理化建议合理、有针对性、可操作性强，加40分；</w:t>
            </w:r>
          </w:p>
          <w:p w14:paraId="2E907883">
            <w:pPr>
              <w:rPr>
                <w:rFonts w:ascii="宋体" w:hAnsi="宋体" w:cs="宋体"/>
                <w:sz w:val="24"/>
              </w:rPr>
            </w:pPr>
            <w:r>
              <w:rPr>
                <w:rFonts w:hint="eastAsia" w:ascii="宋体" w:hAnsi="宋体" w:cs="宋体"/>
                <w:sz w:val="24"/>
              </w:rPr>
              <w:t>（2）评审为良：应对措施及相关的合理化建议较合理、有一定针对性、一定可操作性，加20分；</w:t>
            </w:r>
          </w:p>
          <w:p w14:paraId="3601D829">
            <w:pPr>
              <w:rPr>
                <w:rFonts w:ascii="宋体" w:hAnsi="宋体" w:cs="宋体"/>
                <w:sz w:val="24"/>
              </w:rPr>
            </w:pPr>
            <w:r>
              <w:rPr>
                <w:rFonts w:hint="eastAsia" w:ascii="宋体" w:hAnsi="宋体" w:cs="宋体"/>
                <w:sz w:val="24"/>
              </w:rPr>
              <w:t>（3）评审为中：应对措施及相关的合理化建议不尽合理、针对性一般、可操作性一般，加10分；</w:t>
            </w:r>
          </w:p>
          <w:p w14:paraId="438D5484">
            <w:pPr>
              <w:jc w:val="left"/>
              <w:rPr>
                <w:rFonts w:ascii="宋体" w:hAnsi="宋体" w:cs="宋体"/>
                <w:sz w:val="24"/>
              </w:rPr>
            </w:pPr>
            <w:r>
              <w:rPr>
                <w:rFonts w:hint="eastAsia" w:ascii="宋体" w:hAnsi="宋体" w:cs="宋体"/>
                <w:sz w:val="24"/>
              </w:rPr>
              <w:t>（4）评审为差：应对措施及相关的合理化建议不合理、无针对性、无可操作性，不加分。</w:t>
            </w:r>
          </w:p>
        </w:tc>
      </w:tr>
      <w:tr w14:paraId="6DAEE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98" w:hRule="atLeast"/>
          <w:jc w:val="center"/>
        </w:trPr>
        <w:tc>
          <w:tcPr>
            <w:tcW w:w="681" w:type="dxa"/>
            <w:vMerge w:val="continue"/>
            <w:vAlign w:val="center"/>
          </w:tcPr>
          <w:p w14:paraId="62F58EF2">
            <w:pPr>
              <w:jc w:val="center"/>
              <w:rPr>
                <w:rFonts w:ascii="宋体" w:hAnsi="宋体" w:cs="宋体"/>
                <w:b/>
                <w:bCs/>
                <w:color w:val="0000FF"/>
                <w:sz w:val="24"/>
              </w:rPr>
            </w:pPr>
          </w:p>
        </w:tc>
        <w:tc>
          <w:tcPr>
            <w:tcW w:w="681" w:type="dxa"/>
            <w:vAlign w:val="center"/>
          </w:tcPr>
          <w:p w14:paraId="16B41738">
            <w:pPr>
              <w:jc w:val="center"/>
              <w:rPr>
                <w:rFonts w:ascii="宋体" w:hAnsi="宋体" w:cs="宋体"/>
                <w:kern w:val="0"/>
                <w:sz w:val="24"/>
              </w:rPr>
            </w:pPr>
            <w:r>
              <w:rPr>
                <w:rFonts w:hint="eastAsia" w:ascii="宋体" w:hAnsi="宋体" w:cs="宋体"/>
                <w:sz w:val="24"/>
              </w:rPr>
              <w:t>3</w:t>
            </w:r>
          </w:p>
        </w:tc>
        <w:tc>
          <w:tcPr>
            <w:tcW w:w="1398" w:type="dxa"/>
            <w:vAlign w:val="center"/>
          </w:tcPr>
          <w:p w14:paraId="0F21D53F">
            <w:pPr>
              <w:jc w:val="center"/>
              <w:rPr>
                <w:rFonts w:ascii="宋体" w:hAnsi="宋体" w:cs="宋体"/>
                <w:sz w:val="24"/>
              </w:rPr>
            </w:pPr>
            <w:r>
              <w:rPr>
                <w:rFonts w:hint="eastAsia" w:ascii="宋体" w:hAnsi="宋体" w:cs="宋体"/>
                <w:sz w:val="24"/>
              </w:rPr>
              <w:t>质量保障措施及方案</w:t>
            </w:r>
          </w:p>
        </w:tc>
        <w:tc>
          <w:tcPr>
            <w:tcW w:w="785" w:type="dxa"/>
            <w:vAlign w:val="center"/>
          </w:tcPr>
          <w:p w14:paraId="4F030451">
            <w:pPr>
              <w:jc w:val="center"/>
              <w:rPr>
                <w:rFonts w:ascii="宋体" w:hAnsi="宋体" w:cs="宋体"/>
                <w:sz w:val="24"/>
              </w:rPr>
            </w:pPr>
            <w:r>
              <w:rPr>
                <w:rFonts w:hint="eastAsia" w:ascii="宋体" w:hAnsi="宋体" w:cs="宋体"/>
                <w:sz w:val="24"/>
              </w:rPr>
              <w:t>8</w:t>
            </w:r>
          </w:p>
        </w:tc>
        <w:tc>
          <w:tcPr>
            <w:tcW w:w="5381" w:type="dxa"/>
            <w:vAlign w:val="center"/>
          </w:tcPr>
          <w:p w14:paraId="7943C0A3">
            <w:pPr>
              <w:rPr>
                <w:rFonts w:ascii="宋体" w:hAnsi="宋体" w:cs="宋体"/>
                <w:b/>
                <w:bCs/>
                <w:sz w:val="24"/>
              </w:rPr>
            </w:pPr>
            <w:r>
              <w:rPr>
                <w:rFonts w:hint="eastAsia" w:ascii="宋体" w:hAnsi="宋体" w:cs="宋体"/>
                <w:b/>
                <w:bCs/>
                <w:sz w:val="24"/>
              </w:rPr>
              <w:t>（一）评分内容：</w:t>
            </w:r>
          </w:p>
          <w:p w14:paraId="00728CAA">
            <w:pPr>
              <w:rPr>
                <w:rFonts w:ascii="宋体" w:hAnsi="宋体" w:cs="宋体"/>
                <w:sz w:val="24"/>
              </w:rPr>
            </w:pPr>
            <w:r>
              <w:rPr>
                <w:rFonts w:hint="eastAsia" w:ascii="宋体" w:hAnsi="宋体" w:cs="宋体"/>
                <w:sz w:val="24"/>
              </w:rPr>
              <w:t>投标人提供质量保障措施及方案，包括但不限于如下内容：</w:t>
            </w:r>
          </w:p>
          <w:p w14:paraId="4D912694">
            <w:pPr>
              <w:rPr>
                <w:rFonts w:ascii="宋体" w:hAnsi="宋体" w:cs="宋体"/>
                <w:sz w:val="24"/>
              </w:rPr>
            </w:pPr>
            <w:r>
              <w:rPr>
                <w:rFonts w:hint="eastAsia" w:ascii="宋体" w:hAnsi="宋体" w:cs="宋体"/>
                <w:sz w:val="24"/>
              </w:rPr>
              <w:t>1.项目交付进度管控；</w:t>
            </w:r>
          </w:p>
          <w:p w14:paraId="5D6B8066">
            <w:pPr>
              <w:rPr>
                <w:rFonts w:ascii="宋体" w:hAnsi="宋体" w:cs="宋体"/>
                <w:sz w:val="24"/>
              </w:rPr>
            </w:pPr>
            <w:r>
              <w:rPr>
                <w:rFonts w:hint="eastAsia" w:ascii="宋体" w:hAnsi="宋体" w:cs="宋体"/>
                <w:sz w:val="24"/>
              </w:rPr>
              <w:t>2.项目交付质量管控；</w:t>
            </w:r>
          </w:p>
          <w:p w14:paraId="765A8552">
            <w:pPr>
              <w:rPr>
                <w:rFonts w:ascii="宋体" w:hAnsi="宋体" w:cs="宋体"/>
                <w:color w:val="000000"/>
                <w:sz w:val="24"/>
              </w:rPr>
            </w:pPr>
            <w:r>
              <w:rPr>
                <w:rFonts w:hint="eastAsia" w:ascii="宋体" w:hAnsi="宋体" w:cs="宋体"/>
                <w:color w:val="000000"/>
                <w:sz w:val="24"/>
              </w:rPr>
              <w:t>3.项目过程风险管控；</w:t>
            </w:r>
          </w:p>
          <w:p w14:paraId="033C1412">
            <w:pPr>
              <w:rPr>
                <w:rFonts w:ascii="宋体" w:hAnsi="宋体" w:cs="宋体"/>
                <w:color w:val="000000"/>
                <w:sz w:val="24"/>
              </w:rPr>
            </w:pPr>
            <w:r>
              <w:rPr>
                <w:rFonts w:hint="eastAsia" w:ascii="宋体" w:hAnsi="宋体" w:cs="宋体"/>
                <w:color w:val="000000"/>
                <w:sz w:val="24"/>
              </w:rPr>
              <w:t>4.项目质量保障体系。</w:t>
            </w:r>
          </w:p>
          <w:p w14:paraId="69FD7EF1">
            <w:pPr>
              <w:rPr>
                <w:rFonts w:ascii="宋体" w:hAnsi="宋体" w:cs="宋体"/>
                <w:b/>
                <w:bCs/>
                <w:color w:val="000000"/>
                <w:sz w:val="24"/>
              </w:rPr>
            </w:pPr>
            <w:r>
              <w:rPr>
                <w:rFonts w:hint="eastAsia" w:ascii="宋体" w:hAnsi="宋体" w:cs="宋体"/>
                <w:b/>
                <w:bCs/>
                <w:color w:val="000000"/>
                <w:sz w:val="24"/>
              </w:rPr>
              <w:t>（二）评分依据：</w:t>
            </w:r>
          </w:p>
          <w:p w14:paraId="1FF2091A">
            <w:pPr>
              <w:rPr>
                <w:rFonts w:ascii="宋体" w:hAnsi="宋体" w:cs="宋体"/>
                <w:color w:val="000000"/>
                <w:sz w:val="24"/>
              </w:rPr>
            </w:pPr>
            <w:r>
              <w:rPr>
                <w:rFonts w:hint="eastAsia" w:ascii="宋体" w:hAnsi="宋体" w:cs="宋体"/>
                <w:color w:val="000000"/>
                <w:sz w:val="24"/>
              </w:rPr>
              <w:t>1.满足以上任意一项得15分，最高得60分。</w:t>
            </w:r>
          </w:p>
          <w:p w14:paraId="01CB4CA7">
            <w:pPr>
              <w:wordWrap w:val="0"/>
              <w:rPr>
                <w:rFonts w:ascii="宋体" w:hAnsi="宋体" w:cs="宋体"/>
                <w:sz w:val="24"/>
              </w:rPr>
            </w:pPr>
            <w:r>
              <w:rPr>
                <w:rFonts w:hint="eastAsia" w:ascii="宋体" w:hAnsi="宋体" w:cs="宋体"/>
                <w:sz w:val="24"/>
              </w:rPr>
              <w:t>2.在此基础上，专家根据各供应商的具体响应内容按照量化的评审因素指标进一步评审：</w:t>
            </w:r>
          </w:p>
          <w:p w14:paraId="1F11C94E">
            <w:pPr>
              <w:jc w:val="left"/>
              <w:rPr>
                <w:rFonts w:ascii="宋体" w:hAnsi="宋体" w:cs="宋体"/>
                <w:sz w:val="24"/>
              </w:rPr>
            </w:pPr>
            <w:r>
              <w:rPr>
                <w:rFonts w:hint="eastAsia" w:ascii="宋体" w:hAnsi="宋体" w:cs="宋体"/>
                <w:sz w:val="24"/>
              </w:rPr>
              <w:t>（1）评审为优：措施及方案合理、有针对性、可操作性强，加40分；</w:t>
            </w:r>
          </w:p>
          <w:p w14:paraId="51C1D83C">
            <w:pPr>
              <w:jc w:val="left"/>
              <w:rPr>
                <w:rFonts w:ascii="宋体" w:hAnsi="宋体" w:cs="宋体"/>
                <w:sz w:val="24"/>
              </w:rPr>
            </w:pPr>
            <w:r>
              <w:rPr>
                <w:rFonts w:hint="eastAsia" w:ascii="宋体" w:hAnsi="宋体" w:cs="宋体"/>
                <w:sz w:val="24"/>
              </w:rPr>
              <w:t>（2）评审为良：措施及方案较合理、有一定针对性、一定可操作性，加20分；</w:t>
            </w:r>
          </w:p>
          <w:p w14:paraId="03B7C54B">
            <w:pPr>
              <w:jc w:val="left"/>
              <w:rPr>
                <w:rFonts w:ascii="宋体" w:hAnsi="宋体" w:cs="宋体"/>
                <w:sz w:val="24"/>
              </w:rPr>
            </w:pPr>
            <w:r>
              <w:rPr>
                <w:rFonts w:hint="eastAsia" w:ascii="宋体" w:hAnsi="宋体" w:cs="宋体"/>
                <w:sz w:val="24"/>
              </w:rPr>
              <w:t>（3）评审为中：措施及方案不尽合理、针对性一般、可操作性一般，加10分；</w:t>
            </w:r>
          </w:p>
          <w:p w14:paraId="15F60E4A">
            <w:pPr>
              <w:jc w:val="left"/>
              <w:rPr>
                <w:rFonts w:ascii="宋体" w:hAnsi="宋体" w:cs="宋体"/>
                <w:sz w:val="24"/>
              </w:rPr>
            </w:pPr>
            <w:r>
              <w:rPr>
                <w:rFonts w:hint="eastAsia" w:ascii="宋体" w:hAnsi="宋体" w:cs="宋体"/>
                <w:sz w:val="24"/>
              </w:rPr>
              <w:t>（4）评审为差：措施及方案不合理、无针对性、无可操作性，不加分。</w:t>
            </w:r>
          </w:p>
        </w:tc>
      </w:tr>
      <w:tr w14:paraId="7A83F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90" w:hRule="atLeast"/>
          <w:jc w:val="center"/>
        </w:trPr>
        <w:tc>
          <w:tcPr>
            <w:tcW w:w="681" w:type="dxa"/>
            <w:vMerge w:val="continue"/>
            <w:vAlign w:val="center"/>
          </w:tcPr>
          <w:p w14:paraId="1C0DE7D7">
            <w:pPr>
              <w:jc w:val="center"/>
              <w:rPr>
                <w:rFonts w:ascii="宋体" w:hAnsi="宋体" w:cs="宋体"/>
                <w:b/>
                <w:bCs/>
                <w:color w:val="0000FF"/>
                <w:sz w:val="24"/>
              </w:rPr>
            </w:pPr>
          </w:p>
        </w:tc>
        <w:tc>
          <w:tcPr>
            <w:tcW w:w="681" w:type="dxa"/>
            <w:vAlign w:val="center"/>
          </w:tcPr>
          <w:p w14:paraId="4AD11305">
            <w:pPr>
              <w:jc w:val="center"/>
              <w:rPr>
                <w:rFonts w:ascii="宋体" w:hAnsi="宋体" w:cs="宋体"/>
                <w:kern w:val="0"/>
                <w:sz w:val="24"/>
              </w:rPr>
            </w:pPr>
            <w:r>
              <w:rPr>
                <w:rFonts w:hint="eastAsia" w:ascii="宋体" w:hAnsi="宋体" w:cs="宋体"/>
                <w:sz w:val="24"/>
              </w:rPr>
              <w:t>4</w:t>
            </w:r>
          </w:p>
        </w:tc>
        <w:tc>
          <w:tcPr>
            <w:tcW w:w="1398" w:type="dxa"/>
            <w:vAlign w:val="center"/>
          </w:tcPr>
          <w:p w14:paraId="324B1E20">
            <w:pPr>
              <w:jc w:val="center"/>
              <w:rPr>
                <w:rFonts w:ascii="宋体" w:hAnsi="宋体" w:cs="宋体"/>
                <w:sz w:val="24"/>
              </w:rPr>
            </w:pPr>
            <w:r>
              <w:rPr>
                <w:rFonts w:hint="eastAsia" w:ascii="宋体" w:hAnsi="宋体" w:cs="宋体"/>
                <w:sz w:val="24"/>
              </w:rPr>
              <w:t>项目完成（服务期满）后的服务承诺</w:t>
            </w:r>
          </w:p>
        </w:tc>
        <w:tc>
          <w:tcPr>
            <w:tcW w:w="785" w:type="dxa"/>
            <w:vAlign w:val="center"/>
          </w:tcPr>
          <w:p w14:paraId="341F6162">
            <w:pPr>
              <w:jc w:val="center"/>
              <w:rPr>
                <w:rFonts w:ascii="宋体" w:hAnsi="宋体" w:cs="宋体"/>
                <w:sz w:val="24"/>
              </w:rPr>
            </w:pPr>
            <w:r>
              <w:rPr>
                <w:rFonts w:hint="eastAsia" w:ascii="宋体" w:hAnsi="宋体" w:cs="宋体"/>
                <w:sz w:val="24"/>
              </w:rPr>
              <w:t>2</w:t>
            </w:r>
          </w:p>
        </w:tc>
        <w:tc>
          <w:tcPr>
            <w:tcW w:w="5381" w:type="dxa"/>
            <w:vAlign w:val="center"/>
          </w:tcPr>
          <w:p w14:paraId="2E6BA91B">
            <w:pPr>
              <w:jc w:val="left"/>
              <w:rPr>
                <w:rFonts w:ascii="宋体" w:hAnsi="宋体" w:cs="宋体"/>
                <w:b/>
                <w:bCs/>
                <w:sz w:val="24"/>
              </w:rPr>
            </w:pPr>
            <w:r>
              <w:rPr>
                <w:rFonts w:hint="eastAsia" w:ascii="宋体" w:hAnsi="宋体" w:cs="宋体"/>
                <w:b/>
                <w:bCs/>
                <w:sz w:val="24"/>
              </w:rPr>
              <w:t>（一）评分内容：</w:t>
            </w:r>
          </w:p>
          <w:p w14:paraId="2A7AB8B2">
            <w:pPr>
              <w:jc w:val="left"/>
              <w:rPr>
                <w:rFonts w:ascii="宋体" w:hAnsi="宋体" w:cs="宋体"/>
                <w:sz w:val="24"/>
              </w:rPr>
            </w:pPr>
            <w:r>
              <w:rPr>
                <w:rFonts w:hint="eastAsia" w:ascii="宋体" w:hAnsi="宋体" w:cs="宋体"/>
                <w:sz w:val="24"/>
              </w:rPr>
              <w:t>提供本项目完成（服务期满）后的服务承诺响应情况。承诺包含但不限于：</w:t>
            </w:r>
          </w:p>
          <w:p w14:paraId="31CC1ED8">
            <w:pPr>
              <w:jc w:val="left"/>
              <w:rPr>
                <w:rFonts w:ascii="宋体" w:hAnsi="宋体" w:cs="宋体"/>
                <w:sz w:val="24"/>
              </w:rPr>
            </w:pPr>
            <w:r>
              <w:rPr>
                <w:rFonts w:hint="eastAsia" w:ascii="宋体" w:hAnsi="宋体" w:cs="宋体"/>
                <w:sz w:val="24"/>
              </w:rPr>
              <w:t xml:space="preserve">1.在项目验收后，针对本项目提供两年免费维保服务 </w:t>
            </w:r>
          </w:p>
          <w:p w14:paraId="6DEFE4FE">
            <w:pPr>
              <w:jc w:val="left"/>
              <w:rPr>
                <w:rFonts w:ascii="宋体" w:hAnsi="宋体" w:cs="宋体"/>
                <w:sz w:val="24"/>
              </w:rPr>
            </w:pPr>
            <w:r>
              <w:rPr>
                <w:rFonts w:hint="eastAsia" w:ascii="宋体" w:hAnsi="宋体" w:cs="宋体"/>
                <w:sz w:val="24"/>
              </w:rPr>
              <w:t>2.免费服务期满后，在后续运维服务单位未到岗前仍按原合同服务要求，继续为采购人提供维护服务，服务费用另行约定。</w:t>
            </w:r>
          </w:p>
          <w:p w14:paraId="3B1C1013">
            <w:pPr>
              <w:pStyle w:val="2"/>
              <w:spacing w:line="240" w:lineRule="auto"/>
              <w:rPr>
                <w:rFonts w:ascii="宋体" w:hAnsi="宋体" w:cs="宋体"/>
                <w:b w:val="0"/>
                <w:bCs w:val="0"/>
              </w:rPr>
            </w:pPr>
            <w:r>
              <w:rPr>
                <w:rFonts w:hint="eastAsia" w:ascii="宋体" w:hAnsi="宋体" w:cs="宋体"/>
                <w:b w:val="0"/>
                <w:bCs w:val="0"/>
              </w:rPr>
              <w:t>提供的承诺函满足以上要求的得100分。</w:t>
            </w:r>
          </w:p>
          <w:p w14:paraId="456FEB5F">
            <w:pPr>
              <w:jc w:val="left"/>
              <w:rPr>
                <w:rFonts w:ascii="宋体" w:hAnsi="宋体" w:cs="宋体"/>
                <w:b/>
                <w:bCs/>
                <w:sz w:val="24"/>
              </w:rPr>
            </w:pPr>
            <w:r>
              <w:rPr>
                <w:rFonts w:hint="eastAsia" w:ascii="宋体" w:hAnsi="宋体" w:cs="宋体"/>
                <w:b/>
                <w:bCs/>
                <w:sz w:val="24"/>
              </w:rPr>
              <w:t>（二）评分依据：</w:t>
            </w:r>
          </w:p>
          <w:p w14:paraId="71387C45">
            <w:pPr>
              <w:jc w:val="left"/>
              <w:rPr>
                <w:rFonts w:ascii="宋体" w:hAnsi="宋体" w:cs="宋体"/>
                <w:sz w:val="24"/>
              </w:rPr>
            </w:pPr>
            <w:r>
              <w:rPr>
                <w:rFonts w:hint="eastAsia" w:ascii="宋体" w:hAnsi="宋体" w:cs="宋体"/>
                <w:sz w:val="24"/>
              </w:rPr>
              <w:t>1.提供上述所有服务承诺（格式自拟），未提供承诺或承诺内容不满足要求不得分。</w:t>
            </w:r>
          </w:p>
          <w:p w14:paraId="50A9AB87">
            <w:pPr>
              <w:jc w:val="left"/>
              <w:rPr>
                <w:rFonts w:ascii="宋体" w:hAnsi="宋体" w:cs="宋体"/>
                <w:sz w:val="24"/>
              </w:rPr>
            </w:pPr>
            <w:r>
              <w:rPr>
                <w:rFonts w:hint="eastAsia" w:ascii="宋体" w:hAnsi="宋体" w:cs="宋体"/>
                <w:sz w:val="24"/>
              </w:rPr>
              <w:t>2.原件备查，评分中出现无证明资料或者专家无法凭所提供资料判断是否得分的情况，一律做不得分处理。</w:t>
            </w:r>
          </w:p>
        </w:tc>
      </w:tr>
      <w:tr w14:paraId="31D67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90" w:hRule="atLeast"/>
          <w:jc w:val="center"/>
        </w:trPr>
        <w:tc>
          <w:tcPr>
            <w:tcW w:w="681" w:type="dxa"/>
            <w:vMerge w:val="restart"/>
            <w:vAlign w:val="center"/>
          </w:tcPr>
          <w:p w14:paraId="16E41C42">
            <w:pPr>
              <w:widowControl/>
              <w:wordWrap w:val="0"/>
              <w:jc w:val="center"/>
              <w:rPr>
                <w:rFonts w:ascii="宋体" w:hAnsi="宋体" w:cs="宋体"/>
                <w:b/>
                <w:bCs/>
                <w:color w:val="0000FF"/>
                <w:sz w:val="24"/>
              </w:rPr>
            </w:pPr>
            <w:r>
              <w:rPr>
                <w:rFonts w:hint="eastAsia" w:ascii="宋体" w:hAnsi="宋体" w:cs="宋体"/>
                <w:b/>
                <w:bCs/>
                <w:color w:val="0000FF"/>
                <w:kern w:val="0"/>
                <w:sz w:val="24"/>
              </w:rPr>
              <w:t>3</w:t>
            </w:r>
          </w:p>
        </w:tc>
        <w:tc>
          <w:tcPr>
            <w:tcW w:w="2864" w:type="dxa"/>
            <w:gridSpan w:val="3"/>
            <w:vAlign w:val="center"/>
          </w:tcPr>
          <w:p w14:paraId="5CD2B592">
            <w:pPr>
              <w:widowControl/>
              <w:wordWrap w:val="0"/>
              <w:jc w:val="center"/>
              <w:rPr>
                <w:rFonts w:ascii="宋体" w:hAnsi="宋体" w:cs="宋体"/>
                <w:b/>
                <w:bCs/>
                <w:color w:val="0000FF"/>
                <w:sz w:val="24"/>
              </w:rPr>
            </w:pPr>
            <w:r>
              <w:rPr>
                <w:rFonts w:hint="eastAsia" w:ascii="宋体" w:hAnsi="宋体" w:cs="宋体"/>
                <w:b/>
                <w:bCs/>
                <w:color w:val="0000FF"/>
                <w:sz w:val="24"/>
              </w:rPr>
              <w:t>综合实力</w:t>
            </w:r>
          </w:p>
        </w:tc>
        <w:tc>
          <w:tcPr>
            <w:tcW w:w="5381" w:type="dxa"/>
            <w:vAlign w:val="center"/>
          </w:tcPr>
          <w:p w14:paraId="0CF8A83D">
            <w:pPr>
              <w:widowControl/>
              <w:wordWrap w:val="0"/>
              <w:jc w:val="center"/>
              <w:rPr>
                <w:rFonts w:ascii="宋体" w:hAnsi="宋体" w:cs="宋体"/>
                <w:b/>
                <w:bCs/>
                <w:color w:val="0000FF"/>
                <w:sz w:val="24"/>
              </w:rPr>
            </w:pPr>
            <w:r>
              <w:rPr>
                <w:rFonts w:hint="eastAsia" w:ascii="宋体" w:hAnsi="宋体" w:cs="宋体"/>
                <w:b/>
                <w:bCs/>
                <w:color w:val="0000FF"/>
                <w:kern w:val="0"/>
                <w:sz w:val="24"/>
              </w:rPr>
              <w:t>45</w:t>
            </w:r>
          </w:p>
        </w:tc>
      </w:tr>
      <w:tr w14:paraId="3B6A6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jc w:val="center"/>
        </w:trPr>
        <w:tc>
          <w:tcPr>
            <w:tcW w:w="681" w:type="dxa"/>
            <w:vMerge w:val="continue"/>
            <w:shd w:val="clear" w:color="auto" w:fill="E6EFFA"/>
            <w:vAlign w:val="center"/>
          </w:tcPr>
          <w:p w14:paraId="460B8271">
            <w:pPr>
              <w:jc w:val="center"/>
              <w:rPr>
                <w:rFonts w:ascii="宋体" w:hAnsi="宋体" w:cs="宋体"/>
                <w:b/>
                <w:bCs/>
                <w:color w:val="0000FF"/>
                <w:sz w:val="24"/>
              </w:rPr>
            </w:pPr>
          </w:p>
        </w:tc>
        <w:tc>
          <w:tcPr>
            <w:tcW w:w="681" w:type="dxa"/>
            <w:shd w:val="clear" w:color="auto" w:fill="E6EFFA"/>
            <w:vAlign w:val="center"/>
          </w:tcPr>
          <w:p w14:paraId="0F30B4DC">
            <w:pPr>
              <w:widowControl/>
              <w:wordWrap w:val="0"/>
              <w:jc w:val="center"/>
              <w:rPr>
                <w:rFonts w:ascii="宋体" w:hAnsi="宋体" w:cs="宋体"/>
                <w:sz w:val="24"/>
              </w:rPr>
            </w:pPr>
            <w:r>
              <w:rPr>
                <w:rFonts w:hint="eastAsia" w:ascii="宋体" w:hAnsi="宋体" w:cs="宋体"/>
                <w:kern w:val="0"/>
                <w:sz w:val="24"/>
              </w:rPr>
              <w:t>序号</w:t>
            </w:r>
          </w:p>
        </w:tc>
        <w:tc>
          <w:tcPr>
            <w:tcW w:w="1398" w:type="dxa"/>
            <w:shd w:val="clear" w:color="auto" w:fill="E6EFFA"/>
            <w:vAlign w:val="center"/>
          </w:tcPr>
          <w:p w14:paraId="32A4DD5C">
            <w:pPr>
              <w:widowControl/>
              <w:wordWrap w:val="0"/>
              <w:jc w:val="center"/>
              <w:rPr>
                <w:rFonts w:ascii="宋体" w:hAnsi="宋体" w:cs="宋体"/>
                <w:sz w:val="24"/>
              </w:rPr>
            </w:pPr>
            <w:r>
              <w:rPr>
                <w:rFonts w:hint="eastAsia" w:ascii="宋体" w:hAnsi="宋体" w:cs="宋体"/>
                <w:kern w:val="0"/>
                <w:sz w:val="24"/>
              </w:rPr>
              <w:t>评分因素</w:t>
            </w:r>
          </w:p>
        </w:tc>
        <w:tc>
          <w:tcPr>
            <w:tcW w:w="785" w:type="dxa"/>
            <w:shd w:val="clear" w:color="auto" w:fill="E6EFFA"/>
            <w:vAlign w:val="center"/>
          </w:tcPr>
          <w:p w14:paraId="1A9B54F5">
            <w:pPr>
              <w:widowControl/>
              <w:wordWrap w:val="0"/>
              <w:jc w:val="center"/>
              <w:rPr>
                <w:rFonts w:ascii="宋体" w:hAnsi="宋体" w:cs="宋体"/>
                <w:sz w:val="24"/>
              </w:rPr>
            </w:pPr>
            <w:r>
              <w:rPr>
                <w:rFonts w:hint="eastAsia" w:ascii="宋体" w:hAnsi="宋体" w:cs="宋体"/>
                <w:kern w:val="0"/>
                <w:sz w:val="24"/>
              </w:rPr>
              <w:t>权重（%)</w:t>
            </w:r>
          </w:p>
        </w:tc>
        <w:tc>
          <w:tcPr>
            <w:tcW w:w="5381" w:type="dxa"/>
            <w:shd w:val="clear" w:color="auto" w:fill="E6EFFA"/>
            <w:vAlign w:val="center"/>
          </w:tcPr>
          <w:p w14:paraId="7C2C7C5B">
            <w:pPr>
              <w:widowControl/>
              <w:wordWrap w:val="0"/>
              <w:jc w:val="center"/>
              <w:rPr>
                <w:rFonts w:ascii="宋体" w:hAnsi="宋体" w:cs="宋体"/>
                <w:sz w:val="24"/>
              </w:rPr>
            </w:pPr>
            <w:r>
              <w:rPr>
                <w:rFonts w:hint="eastAsia" w:ascii="宋体" w:hAnsi="宋体" w:cs="宋体"/>
                <w:kern w:val="0"/>
                <w:sz w:val="24"/>
              </w:rPr>
              <w:t>评分准则</w:t>
            </w:r>
          </w:p>
        </w:tc>
      </w:tr>
      <w:tr w14:paraId="31560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jc w:val="center"/>
        </w:trPr>
        <w:tc>
          <w:tcPr>
            <w:tcW w:w="681" w:type="dxa"/>
            <w:vMerge w:val="continue"/>
            <w:vAlign w:val="center"/>
          </w:tcPr>
          <w:p w14:paraId="6738B99C">
            <w:pPr>
              <w:jc w:val="center"/>
              <w:rPr>
                <w:rFonts w:ascii="宋体" w:hAnsi="宋体" w:cs="宋体"/>
                <w:b/>
                <w:bCs/>
                <w:color w:val="0000FF"/>
                <w:sz w:val="24"/>
              </w:rPr>
            </w:pPr>
          </w:p>
        </w:tc>
        <w:tc>
          <w:tcPr>
            <w:tcW w:w="681" w:type="dxa"/>
            <w:vAlign w:val="center"/>
          </w:tcPr>
          <w:p w14:paraId="6A1CDAA3">
            <w:pPr>
              <w:jc w:val="center"/>
              <w:rPr>
                <w:rFonts w:ascii="宋体" w:hAnsi="宋体" w:cs="宋体"/>
                <w:sz w:val="24"/>
              </w:rPr>
            </w:pPr>
            <w:r>
              <w:rPr>
                <w:rFonts w:hint="eastAsia" w:ascii="宋体" w:hAnsi="宋体" w:cs="宋体"/>
                <w:sz w:val="24"/>
              </w:rPr>
              <w:t>1</w:t>
            </w:r>
          </w:p>
        </w:tc>
        <w:tc>
          <w:tcPr>
            <w:tcW w:w="1398" w:type="dxa"/>
            <w:vAlign w:val="center"/>
          </w:tcPr>
          <w:p w14:paraId="5BA97CA6">
            <w:pPr>
              <w:jc w:val="center"/>
              <w:rPr>
                <w:rFonts w:ascii="宋体" w:hAnsi="宋体" w:cs="宋体"/>
                <w:sz w:val="24"/>
              </w:rPr>
            </w:pPr>
            <w:r>
              <w:rPr>
                <w:rFonts w:hint="eastAsia" w:ascii="宋体" w:hAnsi="宋体" w:cs="宋体"/>
                <w:sz w:val="24"/>
              </w:rPr>
              <w:t>投标人通过相关认证情况</w:t>
            </w:r>
          </w:p>
        </w:tc>
        <w:tc>
          <w:tcPr>
            <w:tcW w:w="785" w:type="dxa"/>
            <w:vAlign w:val="center"/>
          </w:tcPr>
          <w:p w14:paraId="1893B913">
            <w:pPr>
              <w:jc w:val="center"/>
              <w:rPr>
                <w:rFonts w:ascii="宋体" w:hAnsi="宋体" w:cs="宋体"/>
                <w:sz w:val="24"/>
              </w:rPr>
            </w:pPr>
            <w:r>
              <w:rPr>
                <w:rFonts w:hint="eastAsia" w:ascii="宋体" w:hAnsi="宋体" w:cs="宋体"/>
                <w:sz w:val="24"/>
              </w:rPr>
              <w:t>5</w:t>
            </w:r>
          </w:p>
        </w:tc>
        <w:tc>
          <w:tcPr>
            <w:tcW w:w="5381" w:type="dxa"/>
            <w:vAlign w:val="center"/>
          </w:tcPr>
          <w:p w14:paraId="263B72D3">
            <w:pPr>
              <w:rPr>
                <w:rFonts w:ascii="宋体" w:hAnsi="宋体" w:cs="宋体"/>
                <w:b/>
                <w:bCs/>
                <w:sz w:val="24"/>
              </w:rPr>
            </w:pPr>
            <w:r>
              <w:rPr>
                <w:rFonts w:hint="eastAsia" w:ascii="宋体" w:hAnsi="宋体" w:cs="宋体"/>
                <w:b/>
                <w:bCs/>
                <w:sz w:val="24"/>
              </w:rPr>
              <w:t>（一）评分内容：</w:t>
            </w:r>
          </w:p>
          <w:p w14:paraId="73775A0B">
            <w:pPr>
              <w:wordWrap w:val="0"/>
              <w:rPr>
                <w:rFonts w:ascii="宋体" w:hAnsi="宋体" w:cs="宋体"/>
                <w:sz w:val="24"/>
              </w:rPr>
            </w:pPr>
            <w:r>
              <w:rPr>
                <w:rFonts w:hint="eastAsia" w:ascii="宋体" w:hAnsi="宋体" w:cs="宋体"/>
                <w:sz w:val="24"/>
              </w:rPr>
              <w:t>1.具有</w:t>
            </w:r>
            <w:bookmarkStart w:id="2" w:name="OLE_LINK1"/>
            <w:r>
              <w:rPr>
                <w:rFonts w:hint="eastAsia" w:ascii="宋体" w:hAnsi="宋体" w:cs="宋体"/>
                <w:sz w:val="24"/>
              </w:rPr>
              <w:t>售后服务类认证证书</w:t>
            </w:r>
            <w:bookmarkEnd w:id="2"/>
            <w:r>
              <w:rPr>
                <w:rFonts w:hint="eastAsia" w:ascii="宋体" w:hAnsi="宋体" w:cs="宋体"/>
                <w:sz w:val="24"/>
              </w:rPr>
              <w:t>的，得100分。</w:t>
            </w:r>
          </w:p>
          <w:p w14:paraId="17868734">
            <w:pPr>
              <w:wordWrap w:val="0"/>
              <w:rPr>
                <w:rFonts w:ascii="宋体" w:hAnsi="宋体" w:cs="宋体"/>
                <w:b/>
                <w:bCs/>
                <w:sz w:val="24"/>
              </w:rPr>
            </w:pPr>
            <w:r>
              <w:rPr>
                <w:rFonts w:hint="eastAsia" w:ascii="宋体" w:hAnsi="宋体" w:cs="宋体"/>
                <w:b/>
                <w:bCs/>
                <w:sz w:val="24"/>
              </w:rPr>
              <w:t>（二）评分依据：</w:t>
            </w:r>
          </w:p>
          <w:p w14:paraId="4572044B">
            <w:pPr>
              <w:wordWrap w:val="0"/>
              <w:rPr>
                <w:rFonts w:ascii="宋体" w:hAnsi="宋体" w:cs="宋体"/>
                <w:sz w:val="24"/>
              </w:rPr>
            </w:pPr>
            <w:r>
              <w:rPr>
                <w:rFonts w:hint="eastAsia" w:ascii="宋体" w:hAnsi="宋体" w:cs="宋体"/>
                <w:sz w:val="24"/>
              </w:rPr>
              <w:t>1.提供有效的相关证书及“国家认证认可信息统一查询平台”（http://cx.cnca.cn/）中查询的有效证书信息截图且编号一致；</w:t>
            </w:r>
          </w:p>
          <w:p w14:paraId="7279ACE0">
            <w:pPr>
              <w:wordWrap w:val="0"/>
              <w:rPr>
                <w:rFonts w:ascii="宋体" w:hAnsi="宋体" w:cs="宋体"/>
                <w:sz w:val="24"/>
              </w:rPr>
            </w:pPr>
            <w:r>
              <w:rPr>
                <w:rFonts w:hint="eastAsia" w:ascii="宋体" w:hAnsi="宋体" w:cs="宋体"/>
                <w:sz w:val="24"/>
              </w:rPr>
              <w:t>2.以上文件原件备查，评分中出现无证明资料或者专家无法凭所提供资料判断是否得分的情况，一律做不得分处理。</w:t>
            </w:r>
          </w:p>
        </w:tc>
      </w:tr>
      <w:tr w14:paraId="1B2CB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623" w:hRule="atLeast"/>
          <w:jc w:val="center"/>
        </w:trPr>
        <w:tc>
          <w:tcPr>
            <w:tcW w:w="681" w:type="dxa"/>
            <w:vMerge w:val="continue"/>
            <w:vAlign w:val="center"/>
          </w:tcPr>
          <w:p w14:paraId="2C78C6C8">
            <w:pPr>
              <w:jc w:val="center"/>
              <w:rPr>
                <w:rFonts w:ascii="宋体" w:hAnsi="宋体" w:cs="宋体"/>
                <w:b/>
                <w:bCs/>
                <w:color w:val="0000FF"/>
                <w:sz w:val="24"/>
              </w:rPr>
            </w:pPr>
          </w:p>
        </w:tc>
        <w:tc>
          <w:tcPr>
            <w:tcW w:w="681" w:type="dxa"/>
            <w:vAlign w:val="center"/>
          </w:tcPr>
          <w:p w14:paraId="0C4788B7">
            <w:pPr>
              <w:jc w:val="center"/>
              <w:rPr>
                <w:rFonts w:ascii="宋体" w:hAnsi="宋体" w:cs="宋体"/>
                <w:sz w:val="24"/>
              </w:rPr>
            </w:pPr>
            <w:r>
              <w:rPr>
                <w:rFonts w:hint="eastAsia" w:ascii="宋体" w:hAnsi="宋体" w:cs="宋体"/>
                <w:sz w:val="24"/>
              </w:rPr>
              <w:t>2</w:t>
            </w:r>
          </w:p>
        </w:tc>
        <w:tc>
          <w:tcPr>
            <w:tcW w:w="1398" w:type="dxa"/>
            <w:vAlign w:val="center"/>
          </w:tcPr>
          <w:p w14:paraId="0EA555A8">
            <w:pPr>
              <w:jc w:val="center"/>
              <w:rPr>
                <w:rFonts w:ascii="宋体" w:hAnsi="宋体" w:cs="宋体"/>
                <w:sz w:val="24"/>
              </w:rPr>
            </w:pPr>
            <w:r>
              <w:rPr>
                <w:rFonts w:hint="eastAsia" w:ascii="宋体" w:hAnsi="宋体" w:cs="宋体"/>
                <w:sz w:val="24"/>
              </w:rPr>
              <w:t>投标人同类项目业绩情况</w:t>
            </w:r>
          </w:p>
        </w:tc>
        <w:tc>
          <w:tcPr>
            <w:tcW w:w="785" w:type="dxa"/>
            <w:vAlign w:val="center"/>
          </w:tcPr>
          <w:p w14:paraId="6A8D93D6">
            <w:pPr>
              <w:jc w:val="center"/>
              <w:rPr>
                <w:rFonts w:ascii="宋体" w:hAnsi="宋体" w:cs="宋体"/>
                <w:sz w:val="24"/>
              </w:rPr>
            </w:pPr>
            <w:r>
              <w:rPr>
                <w:rFonts w:hint="eastAsia" w:ascii="宋体" w:hAnsi="宋体" w:cs="宋体"/>
                <w:sz w:val="24"/>
              </w:rPr>
              <w:t>8</w:t>
            </w:r>
          </w:p>
        </w:tc>
        <w:tc>
          <w:tcPr>
            <w:tcW w:w="5381" w:type="dxa"/>
            <w:vAlign w:val="center"/>
          </w:tcPr>
          <w:p w14:paraId="663BF2B7">
            <w:pPr>
              <w:wordWrap w:val="0"/>
              <w:rPr>
                <w:rFonts w:ascii="宋体" w:hAnsi="宋体" w:cs="宋体"/>
                <w:b/>
                <w:bCs/>
                <w:sz w:val="24"/>
              </w:rPr>
            </w:pPr>
            <w:r>
              <w:rPr>
                <w:rFonts w:hint="eastAsia" w:ascii="宋体" w:hAnsi="宋体" w:cs="宋体"/>
                <w:b/>
                <w:bCs/>
                <w:sz w:val="24"/>
              </w:rPr>
              <w:t>（一）评分内容：</w:t>
            </w:r>
          </w:p>
          <w:p w14:paraId="4D475067">
            <w:pPr>
              <w:wordWrap w:val="0"/>
              <w:rPr>
                <w:rFonts w:ascii="宋体" w:hAnsi="宋体" w:cs="宋体"/>
                <w:sz w:val="24"/>
              </w:rPr>
            </w:pPr>
            <w:r>
              <w:rPr>
                <w:rFonts w:hint="eastAsia" w:ascii="宋体" w:hAnsi="宋体" w:cs="宋体"/>
                <w:sz w:val="24"/>
              </w:rPr>
              <w:t>1.投标人提供2021年1月1日至本项目投标截止日前，以合同签订日期为准：</w:t>
            </w:r>
          </w:p>
          <w:p w14:paraId="0B7375C1">
            <w:pPr>
              <w:wordWrap w:val="0"/>
              <w:rPr>
                <w:rFonts w:ascii="宋体" w:hAnsi="宋体" w:cs="宋体"/>
                <w:color w:val="000000"/>
                <w:sz w:val="24"/>
              </w:rPr>
            </w:pPr>
            <w:r>
              <w:rPr>
                <w:rFonts w:hint="eastAsia" w:ascii="宋体" w:hAnsi="宋体" w:cs="宋体"/>
                <w:sz w:val="24"/>
              </w:rPr>
              <w:t>（1）</w:t>
            </w:r>
            <w:r>
              <w:rPr>
                <w:rFonts w:hint="eastAsia" w:ascii="宋体" w:hAnsi="宋体" w:cs="宋体"/>
                <w:color w:val="000000"/>
                <w:sz w:val="24"/>
              </w:rPr>
              <w:t>具有一项</w:t>
            </w:r>
            <w:r>
              <w:rPr>
                <w:rFonts w:hint="eastAsia" w:ascii="宋体" w:hAnsi="宋体" w:cs="宋体"/>
                <w:b/>
                <w:bCs/>
                <w:color w:val="000000"/>
                <w:sz w:val="24"/>
              </w:rPr>
              <w:t>区域信息化类</w:t>
            </w:r>
            <w:r>
              <w:rPr>
                <w:rFonts w:hint="eastAsia" w:ascii="宋体" w:hAnsi="宋体" w:cs="宋体"/>
                <w:color w:val="000000"/>
                <w:sz w:val="24"/>
              </w:rPr>
              <w:t>项目的得20分，最高得40分；</w:t>
            </w:r>
          </w:p>
          <w:p w14:paraId="0CCC7DF6">
            <w:pPr>
              <w:wordWrap w:val="0"/>
              <w:rPr>
                <w:rFonts w:ascii="宋体" w:hAnsi="宋体" w:cs="宋体"/>
                <w:color w:val="000000"/>
                <w:sz w:val="24"/>
              </w:rPr>
            </w:pPr>
            <w:r>
              <w:rPr>
                <w:rFonts w:hint="eastAsia" w:ascii="宋体" w:hAnsi="宋体" w:cs="宋体"/>
                <w:sz w:val="24"/>
              </w:rPr>
              <w:t>（2）</w:t>
            </w:r>
            <w:r>
              <w:rPr>
                <w:rFonts w:hint="eastAsia" w:ascii="宋体" w:hAnsi="宋体" w:cs="宋体"/>
                <w:color w:val="000000"/>
                <w:sz w:val="24"/>
              </w:rPr>
              <w:t>具有一项</w:t>
            </w:r>
            <w:r>
              <w:rPr>
                <w:rFonts w:hint="eastAsia" w:ascii="宋体" w:hAnsi="宋体" w:cs="宋体"/>
                <w:b/>
                <w:bCs/>
                <w:color w:val="000000"/>
                <w:sz w:val="24"/>
              </w:rPr>
              <w:t>移动便民类</w:t>
            </w:r>
            <w:r>
              <w:rPr>
                <w:rFonts w:hint="eastAsia" w:ascii="宋体" w:hAnsi="宋体" w:cs="宋体"/>
                <w:color w:val="000000"/>
                <w:sz w:val="24"/>
              </w:rPr>
              <w:t>项目的得15分，最高得30分。</w:t>
            </w:r>
          </w:p>
          <w:p w14:paraId="5BEA8C6F">
            <w:pPr>
              <w:pStyle w:val="22"/>
              <w:rPr>
                <w:rFonts w:hAnsi="宋体" w:cs="宋体"/>
                <w:sz w:val="24"/>
                <w:szCs w:val="24"/>
              </w:rPr>
            </w:pPr>
            <w:r>
              <w:rPr>
                <w:rFonts w:hint="eastAsia" w:hAnsi="宋体" w:cs="宋体"/>
                <w:sz w:val="24"/>
                <w:szCs w:val="24"/>
              </w:rPr>
              <w:t>同一项目符合（1）和（2）要求，不可累计得分，以上最高得70分。</w:t>
            </w:r>
          </w:p>
          <w:p w14:paraId="179786F0">
            <w:pPr>
              <w:wordWrap w:val="0"/>
              <w:rPr>
                <w:rFonts w:ascii="宋体" w:hAnsi="宋体" w:cs="宋体"/>
                <w:sz w:val="24"/>
              </w:rPr>
            </w:pPr>
            <w:r>
              <w:rPr>
                <w:rFonts w:hint="eastAsia" w:ascii="宋体" w:hAnsi="宋体" w:cs="宋体"/>
                <w:sz w:val="24"/>
              </w:rPr>
              <w:t>2.在此基础上，投标人提供的以上同类项目业绩中一项具有</w:t>
            </w:r>
            <w:r>
              <w:rPr>
                <w:rFonts w:hint="eastAsia" w:ascii="宋体" w:hAnsi="宋体" w:cs="宋体"/>
                <w:color w:val="auto"/>
                <w:sz w:val="24"/>
              </w:rPr>
              <w:t>政府部门或事业单位对</w:t>
            </w:r>
            <w:r>
              <w:rPr>
                <w:rFonts w:hint="eastAsia" w:ascii="宋体" w:hAnsi="宋体" w:cs="宋体"/>
                <w:sz w:val="24"/>
              </w:rPr>
              <w:t>合同履约情况进行抽检和评价且评价等级为良或以上（同等级别）的加30分。</w:t>
            </w:r>
          </w:p>
          <w:p w14:paraId="42BB4F8B">
            <w:pPr>
              <w:wordWrap w:val="0"/>
              <w:rPr>
                <w:rFonts w:ascii="宋体" w:hAnsi="宋体" w:cs="宋体"/>
                <w:color w:val="000000"/>
                <w:sz w:val="24"/>
              </w:rPr>
            </w:pPr>
            <w:r>
              <w:rPr>
                <w:rFonts w:hint="eastAsia" w:ascii="宋体" w:hAnsi="宋体" w:cs="宋体"/>
                <w:color w:val="000000"/>
                <w:sz w:val="24"/>
              </w:rPr>
              <w:t>以上两项累计最高得100分。</w:t>
            </w:r>
          </w:p>
          <w:p w14:paraId="6EA551F1">
            <w:pPr>
              <w:numPr>
                <w:ilvl w:val="0"/>
                <w:numId w:val="7"/>
              </w:numPr>
              <w:wordWrap w:val="0"/>
              <w:rPr>
                <w:rFonts w:ascii="宋体" w:hAnsi="宋体" w:cs="宋体"/>
                <w:b/>
                <w:bCs/>
                <w:sz w:val="24"/>
              </w:rPr>
            </w:pPr>
            <w:r>
              <w:rPr>
                <w:rFonts w:hint="eastAsia" w:ascii="宋体" w:hAnsi="宋体" w:cs="宋体"/>
                <w:b/>
                <w:bCs/>
                <w:sz w:val="24"/>
              </w:rPr>
              <w:t>评分依据：</w:t>
            </w:r>
          </w:p>
          <w:p w14:paraId="702E52A4">
            <w:pPr>
              <w:pStyle w:val="22"/>
              <w:rPr>
                <w:rFonts w:hAnsi="宋体" w:cs="宋体"/>
                <w:sz w:val="24"/>
                <w:szCs w:val="24"/>
              </w:rPr>
            </w:pPr>
            <w:r>
              <w:rPr>
                <w:rFonts w:hint="eastAsia" w:hAnsi="宋体" w:cs="宋体"/>
                <w:sz w:val="24"/>
                <w:szCs w:val="24"/>
              </w:rPr>
              <w:t>同时提供以下证明材料（有缺项不得分，且一年一签的长期服务续签合同只计算一个业绩）</w:t>
            </w:r>
          </w:p>
          <w:p w14:paraId="6D6B2EAC">
            <w:pPr>
              <w:wordWrap w:val="0"/>
              <w:rPr>
                <w:rFonts w:ascii="宋体" w:hAnsi="宋体" w:cs="宋体"/>
                <w:sz w:val="24"/>
              </w:rPr>
            </w:pPr>
            <w:r>
              <w:rPr>
                <w:rFonts w:hint="eastAsia" w:ascii="宋体" w:hAnsi="宋体" w:cs="宋体"/>
                <w:sz w:val="24"/>
              </w:rPr>
              <w:t>1.中标通知书；</w:t>
            </w:r>
          </w:p>
          <w:p w14:paraId="5E289C41">
            <w:pPr>
              <w:wordWrap w:val="0"/>
              <w:rPr>
                <w:rFonts w:ascii="宋体" w:hAnsi="宋体" w:cs="宋体"/>
                <w:sz w:val="24"/>
              </w:rPr>
            </w:pPr>
            <w:r>
              <w:rPr>
                <w:rFonts w:hint="eastAsia" w:ascii="宋体" w:hAnsi="宋体" w:cs="宋体"/>
                <w:sz w:val="24"/>
              </w:rPr>
              <w:t>2.合同关键页合同内容包含但不限于：签订合同双方的单位名称、合同项目名称、服务期限、</w:t>
            </w:r>
            <w:r>
              <w:rPr>
                <w:rFonts w:hint="eastAsia" w:ascii="宋体" w:hAnsi="宋体" w:cs="宋体"/>
                <w:b/>
                <w:bCs/>
                <w:sz w:val="24"/>
              </w:rPr>
              <w:t>服务内容（服务内容须体现上述业绩内容，从名称无法直接判断的还需增加其他佐证（包含但不限于甲方出具的证明等）</w:t>
            </w:r>
            <w:r>
              <w:rPr>
                <w:rFonts w:hint="eastAsia" w:ascii="宋体" w:hAnsi="宋体" w:cs="宋体"/>
                <w:sz w:val="24"/>
              </w:rPr>
              <w:t>、签订合同双方的落款盖章、签订日期的关键页）；</w:t>
            </w:r>
          </w:p>
          <w:p w14:paraId="18D22215">
            <w:pPr>
              <w:pStyle w:val="22"/>
              <w:rPr>
                <w:rFonts w:hAnsi="宋体" w:cs="宋体"/>
                <w:sz w:val="24"/>
                <w:szCs w:val="24"/>
              </w:rPr>
            </w:pPr>
            <w:r>
              <w:rPr>
                <w:rFonts w:hint="eastAsia" w:hAnsi="宋体" w:cs="宋体"/>
                <w:sz w:val="24"/>
                <w:szCs w:val="24"/>
              </w:rPr>
              <w:t>3.项目验收报告，需加盖合同采购方或被服务方公章（或业务章）。</w:t>
            </w:r>
          </w:p>
          <w:p w14:paraId="68AD0D22">
            <w:pPr>
              <w:pStyle w:val="22"/>
              <w:rPr>
                <w:rFonts w:hAnsi="宋体" w:cs="宋体"/>
                <w:sz w:val="24"/>
                <w:szCs w:val="24"/>
              </w:rPr>
            </w:pPr>
            <w:r>
              <w:rPr>
                <w:rFonts w:hint="eastAsia" w:hAnsi="宋体" w:cs="宋体"/>
                <w:sz w:val="24"/>
                <w:szCs w:val="24"/>
              </w:rPr>
              <w:t>4.项目合同履约情况需提供带</w:t>
            </w:r>
            <w:r>
              <w:rPr>
                <w:rFonts w:hint="eastAsia" w:hAnsi="宋体" w:cs="宋体"/>
                <w:color w:val="auto"/>
                <w:sz w:val="24"/>
              </w:rPr>
              <w:t>政府部门或事业单位</w:t>
            </w:r>
            <w:r>
              <w:rPr>
                <w:rFonts w:hint="eastAsia" w:hAnsi="宋体" w:cs="宋体"/>
                <w:color w:val="auto"/>
                <w:sz w:val="24"/>
                <w:szCs w:val="24"/>
              </w:rPr>
              <w:t>公章的合同履约抽检评价证明</w:t>
            </w:r>
            <w:r>
              <w:rPr>
                <w:rFonts w:hint="eastAsia" w:hAnsi="宋体" w:cs="宋体"/>
                <w:sz w:val="24"/>
                <w:szCs w:val="24"/>
              </w:rPr>
              <w:t>材料关键页（内容包含但不</w:t>
            </w:r>
            <w:r>
              <w:rPr>
                <w:rFonts w:hint="eastAsia" w:hAnsi="宋体" w:cs="宋体"/>
                <w:sz w:val="24"/>
                <w:szCs w:val="24"/>
                <w:lang w:eastAsia="zh-CN"/>
              </w:rPr>
              <w:t>限于</w:t>
            </w:r>
            <w:r>
              <w:rPr>
                <w:rFonts w:hint="eastAsia" w:hAnsi="宋体" w:cs="宋体"/>
                <w:sz w:val="24"/>
                <w:szCs w:val="24"/>
              </w:rPr>
              <w:t>项目名称、履约供应商、评价等级），如提交的证明文件其评价结果没有结论而仅是打分的（比如打100分、98分、95分、85分等的）不计分。</w:t>
            </w:r>
          </w:p>
          <w:p w14:paraId="2C6BAC56">
            <w:pPr>
              <w:pStyle w:val="22"/>
              <w:rPr>
                <w:rFonts w:hAnsi="宋体" w:cs="宋体"/>
                <w:sz w:val="24"/>
                <w:szCs w:val="24"/>
              </w:rPr>
            </w:pPr>
            <w:r>
              <w:rPr>
                <w:rFonts w:hint="eastAsia" w:hAnsi="宋体" w:cs="宋体"/>
                <w:sz w:val="24"/>
                <w:szCs w:val="24"/>
              </w:rPr>
              <w:t>5.以上文件原件备查，评分中出现无证明资料或者专家无法凭所提供资料判断是否得分的情况，一律做不得分处理。</w:t>
            </w:r>
          </w:p>
        </w:tc>
      </w:tr>
      <w:tr w14:paraId="0CC3D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90" w:hRule="atLeast"/>
          <w:jc w:val="center"/>
        </w:trPr>
        <w:tc>
          <w:tcPr>
            <w:tcW w:w="681" w:type="dxa"/>
            <w:vMerge w:val="continue"/>
            <w:vAlign w:val="center"/>
          </w:tcPr>
          <w:p w14:paraId="3DFC9427">
            <w:pPr>
              <w:jc w:val="center"/>
              <w:rPr>
                <w:rFonts w:ascii="宋体" w:hAnsi="宋体" w:cs="宋体"/>
                <w:b/>
                <w:bCs/>
                <w:color w:val="0000FF"/>
                <w:sz w:val="24"/>
              </w:rPr>
            </w:pPr>
          </w:p>
        </w:tc>
        <w:tc>
          <w:tcPr>
            <w:tcW w:w="681" w:type="dxa"/>
            <w:vAlign w:val="center"/>
          </w:tcPr>
          <w:p w14:paraId="5321258C">
            <w:pPr>
              <w:jc w:val="center"/>
              <w:rPr>
                <w:rFonts w:ascii="宋体" w:hAnsi="宋体" w:cs="宋体"/>
                <w:sz w:val="24"/>
              </w:rPr>
            </w:pPr>
            <w:r>
              <w:rPr>
                <w:rFonts w:hint="eastAsia" w:ascii="宋体" w:hAnsi="宋体" w:cs="宋体"/>
                <w:sz w:val="24"/>
              </w:rPr>
              <w:t>3</w:t>
            </w:r>
          </w:p>
        </w:tc>
        <w:tc>
          <w:tcPr>
            <w:tcW w:w="1398" w:type="dxa"/>
            <w:vAlign w:val="center"/>
          </w:tcPr>
          <w:p w14:paraId="4A9682CE">
            <w:pPr>
              <w:jc w:val="center"/>
              <w:rPr>
                <w:rFonts w:ascii="宋体" w:hAnsi="宋体" w:cs="宋体"/>
                <w:sz w:val="24"/>
              </w:rPr>
            </w:pPr>
            <w:r>
              <w:rPr>
                <w:rFonts w:hint="eastAsia" w:ascii="宋体" w:hAnsi="宋体" w:cs="宋体"/>
                <w:sz w:val="24"/>
              </w:rPr>
              <w:t>投标人获奖情况</w:t>
            </w:r>
          </w:p>
        </w:tc>
        <w:tc>
          <w:tcPr>
            <w:tcW w:w="785" w:type="dxa"/>
            <w:vAlign w:val="center"/>
          </w:tcPr>
          <w:p w14:paraId="1868E82C">
            <w:pPr>
              <w:jc w:val="center"/>
              <w:rPr>
                <w:rFonts w:ascii="宋体" w:hAnsi="宋体" w:cs="宋体"/>
                <w:sz w:val="24"/>
              </w:rPr>
            </w:pPr>
            <w:r>
              <w:rPr>
                <w:rFonts w:hint="eastAsia" w:ascii="宋体" w:hAnsi="宋体" w:cs="宋体"/>
                <w:sz w:val="24"/>
              </w:rPr>
              <w:t>2</w:t>
            </w:r>
          </w:p>
        </w:tc>
        <w:tc>
          <w:tcPr>
            <w:tcW w:w="5381" w:type="dxa"/>
            <w:vAlign w:val="center"/>
          </w:tcPr>
          <w:p w14:paraId="20C0BCD1">
            <w:pPr>
              <w:wordWrap w:val="0"/>
              <w:rPr>
                <w:rFonts w:ascii="宋体" w:hAnsi="宋体" w:cs="宋体"/>
                <w:b/>
                <w:bCs/>
                <w:color w:val="000000"/>
                <w:sz w:val="24"/>
              </w:rPr>
            </w:pPr>
            <w:r>
              <w:rPr>
                <w:rFonts w:hint="eastAsia" w:ascii="宋体" w:hAnsi="宋体" w:cs="宋体"/>
                <w:b/>
                <w:bCs/>
                <w:color w:val="000000"/>
                <w:sz w:val="24"/>
              </w:rPr>
              <w:t>（一）评分内容：</w:t>
            </w:r>
          </w:p>
          <w:p w14:paraId="470FA165">
            <w:pPr>
              <w:wordWrap w:val="0"/>
              <w:rPr>
                <w:rFonts w:ascii="宋体" w:hAnsi="宋体" w:cs="宋体"/>
                <w:color w:val="000000"/>
                <w:sz w:val="24"/>
              </w:rPr>
            </w:pPr>
            <w:r>
              <w:rPr>
                <w:rFonts w:hint="eastAsia" w:ascii="宋体" w:hAnsi="宋体" w:cs="宋体"/>
                <w:color w:val="000000"/>
                <w:sz w:val="24"/>
              </w:rPr>
              <w:t>投标人或投标人项目获得医疗卫生信息化类相关获奖情况：</w:t>
            </w:r>
          </w:p>
          <w:p w14:paraId="15CBE205">
            <w:pPr>
              <w:wordWrap w:val="0"/>
              <w:rPr>
                <w:rFonts w:ascii="宋体" w:hAnsi="宋体" w:cs="宋体"/>
                <w:color w:val="000000"/>
                <w:sz w:val="24"/>
              </w:rPr>
            </w:pPr>
            <w:r>
              <w:rPr>
                <w:rFonts w:hint="eastAsia" w:ascii="宋体" w:hAnsi="宋体" w:cs="宋体"/>
                <w:color w:val="000000"/>
                <w:sz w:val="24"/>
              </w:rPr>
              <w:t>1.具有省级（含副省级）或以上奖项得100分；</w:t>
            </w:r>
          </w:p>
          <w:p w14:paraId="6E9AEC7D">
            <w:pPr>
              <w:wordWrap w:val="0"/>
              <w:rPr>
                <w:rFonts w:ascii="宋体" w:hAnsi="宋体" w:cs="宋体"/>
                <w:color w:val="000000"/>
                <w:sz w:val="24"/>
              </w:rPr>
            </w:pPr>
            <w:r>
              <w:rPr>
                <w:rFonts w:hint="eastAsia" w:ascii="宋体" w:hAnsi="宋体" w:cs="宋体"/>
                <w:color w:val="000000"/>
                <w:sz w:val="24"/>
              </w:rPr>
              <w:t>2.具有市级奖项得60分；</w:t>
            </w:r>
          </w:p>
          <w:p w14:paraId="42FABEB1">
            <w:pPr>
              <w:wordWrap w:val="0"/>
              <w:rPr>
                <w:rFonts w:ascii="宋体" w:hAnsi="宋体" w:cs="宋体"/>
                <w:color w:val="000000"/>
                <w:sz w:val="24"/>
              </w:rPr>
            </w:pPr>
            <w:r>
              <w:rPr>
                <w:rFonts w:hint="eastAsia" w:ascii="宋体" w:hAnsi="宋体" w:cs="宋体"/>
                <w:color w:val="000000"/>
                <w:sz w:val="24"/>
              </w:rPr>
              <w:t>3.具有区（县）级奖项得20分。</w:t>
            </w:r>
          </w:p>
          <w:p w14:paraId="40D0DF61">
            <w:pPr>
              <w:wordWrap w:val="0"/>
              <w:rPr>
                <w:rFonts w:ascii="宋体" w:hAnsi="宋体" w:cs="宋体"/>
                <w:color w:val="000000"/>
                <w:sz w:val="24"/>
              </w:rPr>
            </w:pPr>
            <w:r>
              <w:rPr>
                <w:rFonts w:hint="eastAsia" w:ascii="宋体" w:hAnsi="宋体" w:cs="宋体"/>
                <w:color w:val="000000"/>
                <w:sz w:val="24"/>
              </w:rPr>
              <w:t>所提供的荣誉按照最高荣誉计分且只计算一次，以上三项不可累计得分，最高得100分。</w:t>
            </w:r>
          </w:p>
          <w:p w14:paraId="48BD891A">
            <w:pPr>
              <w:wordWrap w:val="0"/>
              <w:rPr>
                <w:rFonts w:ascii="宋体" w:hAnsi="宋体" w:cs="宋体"/>
                <w:b/>
                <w:bCs/>
                <w:color w:val="000000"/>
                <w:sz w:val="24"/>
              </w:rPr>
            </w:pPr>
            <w:r>
              <w:rPr>
                <w:rFonts w:hint="eastAsia" w:ascii="宋体" w:hAnsi="宋体" w:cs="宋体"/>
                <w:b/>
                <w:bCs/>
                <w:color w:val="000000"/>
                <w:sz w:val="24"/>
              </w:rPr>
              <w:t>（二）评分依据：</w:t>
            </w:r>
          </w:p>
          <w:p w14:paraId="49D7DD43">
            <w:pPr>
              <w:wordWrap w:val="0"/>
              <w:rPr>
                <w:rFonts w:ascii="宋体" w:hAnsi="宋体" w:cs="宋体"/>
                <w:color w:val="000000"/>
                <w:sz w:val="24"/>
              </w:rPr>
            </w:pPr>
            <w:r>
              <w:rPr>
                <w:rFonts w:hint="eastAsia" w:ascii="宋体" w:hAnsi="宋体" w:cs="宋体"/>
                <w:color w:val="000000"/>
                <w:sz w:val="24"/>
              </w:rPr>
              <w:t>1.提供奖项照片或获奖（荣誉）证书扫描件（获奖证书不包含书面表扬或感谢信等），原件备查。奖项需体现投标人或投标人项目名称，如不能体现的需提供其他证明资料。</w:t>
            </w:r>
          </w:p>
          <w:p w14:paraId="4E205917">
            <w:pPr>
              <w:pStyle w:val="221"/>
              <w:wordWrap w:val="0"/>
              <w:ind w:firstLine="0" w:firstLineChars="0"/>
              <w:rPr>
                <w:rFonts w:ascii="宋体" w:hAnsi="宋体" w:eastAsia="宋体" w:cs="宋体"/>
                <w:sz w:val="24"/>
                <w:szCs w:val="24"/>
              </w:rPr>
            </w:pPr>
            <w:r>
              <w:rPr>
                <w:rFonts w:hint="eastAsia" w:ascii="宋体" w:hAnsi="宋体" w:eastAsia="宋体" w:cs="宋体"/>
                <w:sz w:val="24"/>
                <w:szCs w:val="24"/>
              </w:rPr>
              <w:t>2.①省级（含副省级）或以上荣誉要求颁发单位为：省级（自治区、直辖市、副省级城市）（或以上）政府部门；</w:t>
            </w:r>
          </w:p>
          <w:p w14:paraId="445880E7">
            <w:pPr>
              <w:pStyle w:val="221"/>
              <w:wordWrap w:val="0"/>
              <w:ind w:firstLine="0" w:firstLineChars="0"/>
              <w:rPr>
                <w:rFonts w:ascii="宋体" w:hAnsi="宋体" w:eastAsia="宋体" w:cs="宋体"/>
                <w:sz w:val="24"/>
                <w:szCs w:val="24"/>
              </w:rPr>
            </w:pPr>
            <w:r>
              <w:rPr>
                <w:rFonts w:hint="eastAsia" w:ascii="宋体" w:hAnsi="宋体" w:eastAsia="宋体" w:cs="宋体"/>
                <w:sz w:val="24"/>
                <w:szCs w:val="24"/>
              </w:rPr>
              <w:t>②市级荣誉要求颁发单位为市政府部门；</w:t>
            </w:r>
          </w:p>
          <w:p w14:paraId="2823032E">
            <w:pPr>
              <w:pStyle w:val="221"/>
              <w:wordWrap w:val="0"/>
              <w:ind w:firstLine="0" w:firstLineChars="0"/>
              <w:rPr>
                <w:rFonts w:ascii="宋体" w:hAnsi="宋体" w:eastAsia="宋体" w:cs="宋体"/>
                <w:color w:val="000000"/>
                <w:sz w:val="24"/>
                <w:szCs w:val="24"/>
              </w:rPr>
            </w:pPr>
            <w:r>
              <w:rPr>
                <w:rFonts w:hint="eastAsia" w:ascii="宋体" w:hAnsi="宋体" w:eastAsia="宋体" w:cs="宋体"/>
                <w:sz w:val="24"/>
                <w:szCs w:val="24"/>
              </w:rPr>
              <w:t>③区（县）级荣誉要求颁发单位为区（县）政府部门。</w:t>
            </w:r>
          </w:p>
          <w:p w14:paraId="5E7CD52D">
            <w:pPr>
              <w:wordWrap w:val="0"/>
              <w:rPr>
                <w:rFonts w:ascii="宋体" w:hAnsi="宋体" w:cs="宋体"/>
                <w:sz w:val="24"/>
              </w:rPr>
            </w:pPr>
            <w:r>
              <w:rPr>
                <w:rFonts w:hint="eastAsia" w:ascii="宋体" w:hAnsi="宋体" w:cs="宋体"/>
                <w:color w:val="000000"/>
                <w:sz w:val="24"/>
              </w:rPr>
              <w:t>3.</w:t>
            </w:r>
            <w:r>
              <w:rPr>
                <w:rFonts w:hint="eastAsia" w:ascii="宋体" w:hAnsi="宋体" w:cs="宋体"/>
                <w:sz w:val="24"/>
              </w:rPr>
              <w:t>以上文件原件备查，</w:t>
            </w:r>
            <w:r>
              <w:rPr>
                <w:rFonts w:hint="eastAsia" w:ascii="宋体" w:hAnsi="宋体" w:cs="宋体"/>
                <w:color w:val="000000"/>
                <w:sz w:val="24"/>
              </w:rPr>
              <w:t>评分中出现无证明资料或专家无法凭所提供资料判断是否得分的情况，一律作不得分处理。</w:t>
            </w:r>
          </w:p>
        </w:tc>
      </w:tr>
      <w:tr w14:paraId="2D70E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90" w:hRule="atLeast"/>
          <w:jc w:val="center"/>
        </w:trPr>
        <w:tc>
          <w:tcPr>
            <w:tcW w:w="681" w:type="dxa"/>
            <w:vMerge w:val="continue"/>
            <w:vAlign w:val="center"/>
          </w:tcPr>
          <w:p w14:paraId="55EA5280">
            <w:pPr>
              <w:jc w:val="center"/>
              <w:rPr>
                <w:rFonts w:ascii="宋体" w:hAnsi="宋体" w:cs="宋体"/>
                <w:b/>
                <w:bCs/>
                <w:color w:val="0000FF"/>
                <w:sz w:val="24"/>
              </w:rPr>
            </w:pPr>
          </w:p>
        </w:tc>
        <w:tc>
          <w:tcPr>
            <w:tcW w:w="681" w:type="dxa"/>
            <w:vAlign w:val="center"/>
          </w:tcPr>
          <w:p w14:paraId="4CE40003">
            <w:pPr>
              <w:jc w:val="center"/>
              <w:rPr>
                <w:rFonts w:ascii="宋体" w:hAnsi="宋体" w:cs="宋体"/>
                <w:sz w:val="24"/>
              </w:rPr>
            </w:pPr>
            <w:r>
              <w:rPr>
                <w:rFonts w:hint="eastAsia" w:ascii="宋体" w:hAnsi="宋体" w:cs="宋体"/>
                <w:sz w:val="24"/>
              </w:rPr>
              <w:t>4</w:t>
            </w:r>
          </w:p>
        </w:tc>
        <w:tc>
          <w:tcPr>
            <w:tcW w:w="1398" w:type="dxa"/>
            <w:vAlign w:val="center"/>
          </w:tcPr>
          <w:p w14:paraId="48879A89">
            <w:pPr>
              <w:jc w:val="center"/>
              <w:rPr>
                <w:rFonts w:ascii="宋体" w:hAnsi="宋体" w:cs="宋体"/>
                <w:sz w:val="24"/>
              </w:rPr>
            </w:pPr>
            <w:r>
              <w:rPr>
                <w:rFonts w:hint="eastAsia" w:ascii="宋体" w:hAnsi="宋体" w:cs="宋体"/>
                <w:sz w:val="24"/>
              </w:rPr>
              <w:t>拟安排的项目负责人情况（仅限一人）</w:t>
            </w:r>
          </w:p>
        </w:tc>
        <w:tc>
          <w:tcPr>
            <w:tcW w:w="785" w:type="dxa"/>
            <w:vAlign w:val="center"/>
          </w:tcPr>
          <w:p w14:paraId="657150FA">
            <w:pPr>
              <w:jc w:val="center"/>
              <w:rPr>
                <w:rFonts w:ascii="宋体" w:hAnsi="宋体" w:cs="宋体"/>
                <w:sz w:val="24"/>
              </w:rPr>
            </w:pPr>
            <w:r>
              <w:rPr>
                <w:rFonts w:hint="eastAsia" w:ascii="宋体" w:hAnsi="宋体" w:cs="宋体"/>
                <w:sz w:val="24"/>
              </w:rPr>
              <w:t>9</w:t>
            </w:r>
          </w:p>
        </w:tc>
        <w:tc>
          <w:tcPr>
            <w:tcW w:w="5381" w:type="dxa"/>
            <w:vAlign w:val="center"/>
          </w:tcPr>
          <w:p w14:paraId="37FF94B8">
            <w:pPr>
              <w:wordWrap w:val="0"/>
              <w:rPr>
                <w:rFonts w:ascii="宋体" w:hAnsi="宋体" w:cs="宋体"/>
                <w:b/>
                <w:bCs/>
                <w:color w:val="000000"/>
                <w:sz w:val="24"/>
              </w:rPr>
            </w:pPr>
            <w:r>
              <w:rPr>
                <w:rFonts w:hint="eastAsia" w:ascii="宋体" w:hAnsi="宋体" w:cs="宋体"/>
                <w:b/>
                <w:bCs/>
                <w:color w:val="000000"/>
                <w:sz w:val="24"/>
              </w:rPr>
              <w:t>（一）评分内容：</w:t>
            </w:r>
          </w:p>
          <w:p w14:paraId="25932DC2">
            <w:pPr>
              <w:rPr>
                <w:rFonts w:ascii="宋体" w:hAnsi="宋体" w:cs="宋体"/>
                <w:sz w:val="24"/>
              </w:rPr>
            </w:pPr>
            <w:r>
              <w:rPr>
                <w:rFonts w:hint="eastAsia" w:ascii="宋体" w:hAnsi="宋体" w:cs="宋体"/>
                <w:sz w:val="24"/>
              </w:rPr>
              <w:t>项目负责人为投标人自有员工，否则本评分内容不得分：</w:t>
            </w:r>
          </w:p>
          <w:p w14:paraId="7CCAF3FE">
            <w:pPr>
              <w:wordWrap w:val="0"/>
              <w:rPr>
                <w:rFonts w:ascii="宋体" w:hAnsi="宋体" w:cs="宋体"/>
                <w:sz w:val="24"/>
              </w:rPr>
            </w:pPr>
            <w:r>
              <w:rPr>
                <w:rFonts w:hint="eastAsia" w:ascii="宋体" w:hAnsi="宋体" w:cs="宋体"/>
                <w:color w:val="000000"/>
                <w:sz w:val="24"/>
              </w:rPr>
              <w:t>1.具有软件工</w:t>
            </w:r>
            <w:r>
              <w:rPr>
                <w:rFonts w:hint="eastAsia" w:ascii="宋体" w:hAnsi="宋体" w:cs="宋体"/>
                <w:sz w:val="24"/>
              </w:rPr>
              <w:t>程类专业学历</w:t>
            </w:r>
            <w:r>
              <w:rPr>
                <w:rFonts w:hint="eastAsia" w:ascii="宋体" w:hAnsi="宋体" w:cs="宋体"/>
                <w:color w:val="000000"/>
                <w:sz w:val="24"/>
              </w:rPr>
              <w:t>：研究生学历的得50分；本科学历的得</w:t>
            </w:r>
            <w:r>
              <w:rPr>
                <w:rFonts w:hint="eastAsia" w:ascii="宋体" w:hAnsi="宋体" w:cs="宋体"/>
                <w:sz w:val="24"/>
              </w:rPr>
              <w:t>20分，本项最高得50分；</w:t>
            </w:r>
          </w:p>
          <w:p w14:paraId="1C9376DB">
            <w:pPr>
              <w:wordWrap w:val="0"/>
              <w:rPr>
                <w:rFonts w:ascii="宋体" w:hAnsi="宋体" w:cs="宋体"/>
                <w:color w:val="auto"/>
                <w:sz w:val="24"/>
              </w:rPr>
            </w:pPr>
            <w:r>
              <w:rPr>
                <w:rFonts w:hint="eastAsia" w:ascii="宋体" w:hAnsi="宋体" w:cs="宋体"/>
                <w:sz w:val="24"/>
              </w:rPr>
              <w:t>2.</w:t>
            </w:r>
            <w:r>
              <w:rPr>
                <w:rFonts w:hint="eastAsia" w:ascii="宋体" w:hAnsi="宋体" w:cs="宋体"/>
                <w:color w:val="auto"/>
                <w:sz w:val="24"/>
              </w:rPr>
              <w:t>具有信息系统项目管理师证书（计算机技术与软件（高级）专业技术资格）得30分，具有系统集成项目管理工程师证书（计算机技术与软件（中级）专业技术资格）得20分，本项最高得30分；</w:t>
            </w:r>
          </w:p>
          <w:p w14:paraId="4D66C82C">
            <w:pPr>
              <w:wordWrap w:val="0"/>
              <w:rPr>
                <w:rFonts w:ascii="宋体" w:hAnsi="宋体" w:cs="宋体"/>
                <w:color w:val="000000"/>
                <w:sz w:val="24"/>
              </w:rPr>
            </w:pPr>
            <w:r>
              <w:rPr>
                <w:rFonts w:hint="eastAsia" w:ascii="宋体" w:hAnsi="宋体" w:cs="宋体"/>
                <w:color w:val="000000"/>
                <w:sz w:val="24"/>
              </w:rPr>
              <w:t>3.具有同类医疗信息化项目管理经验的得20分，本项最高得20分。</w:t>
            </w:r>
          </w:p>
          <w:p w14:paraId="5326522C">
            <w:pPr>
              <w:wordWrap w:val="0"/>
              <w:rPr>
                <w:rFonts w:ascii="宋体" w:hAnsi="宋体" w:cs="宋体"/>
                <w:color w:val="000000"/>
                <w:sz w:val="24"/>
              </w:rPr>
            </w:pPr>
            <w:r>
              <w:rPr>
                <w:rFonts w:hint="eastAsia" w:ascii="宋体" w:hAnsi="宋体" w:cs="宋体"/>
                <w:color w:val="000000"/>
                <w:sz w:val="24"/>
              </w:rPr>
              <w:t>以上三项累计最高得100分。</w:t>
            </w:r>
          </w:p>
          <w:p w14:paraId="0DA9EB9F">
            <w:pPr>
              <w:wordWrap w:val="0"/>
              <w:rPr>
                <w:rFonts w:ascii="宋体" w:hAnsi="宋体" w:cs="宋体"/>
                <w:b/>
                <w:bCs/>
                <w:color w:val="000000"/>
                <w:sz w:val="24"/>
              </w:rPr>
            </w:pPr>
            <w:r>
              <w:rPr>
                <w:rFonts w:hint="eastAsia" w:ascii="宋体" w:hAnsi="宋体" w:cs="宋体"/>
                <w:b/>
                <w:bCs/>
                <w:color w:val="000000"/>
                <w:sz w:val="24"/>
              </w:rPr>
              <w:t>（二）评分依据：</w:t>
            </w:r>
          </w:p>
          <w:p w14:paraId="70ADADAC">
            <w:pPr>
              <w:wordWrap w:val="0"/>
              <w:rPr>
                <w:rFonts w:ascii="宋体" w:hAnsi="宋体" w:cs="宋体"/>
                <w:color w:val="000000"/>
                <w:sz w:val="24"/>
              </w:rPr>
            </w:pPr>
            <w:r>
              <w:rPr>
                <w:rFonts w:hint="eastAsia" w:ascii="宋体" w:hAnsi="宋体" w:cs="宋体"/>
                <w:color w:val="000000"/>
                <w:sz w:val="24"/>
              </w:rPr>
              <w:t>投标人需提供：</w:t>
            </w:r>
          </w:p>
          <w:p w14:paraId="5B6C61FA">
            <w:pPr>
              <w:wordWrap w:val="0"/>
              <w:rPr>
                <w:rFonts w:ascii="宋体" w:hAnsi="宋体" w:cs="宋体"/>
                <w:color w:val="000000"/>
                <w:sz w:val="24"/>
              </w:rPr>
            </w:pPr>
            <w:r>
              <w:rPr>
                <w:rFonts w:hint="eastAsia" w:ascii="宋体" w:hAnsi="宋体" w:cs="宋体"/>
                <w:b/>
                <w:bCs/>
                <w:color w:val="000000"/>
                <w:sz w:val="24"/>
              </w:rPr>
              <w:t>1.学历或学位证明：</w:t>
            </w:r>
            <w:r>
              <w:rPr>
                <w:rFonts w:hint="eastAsia" w:ascii="宋体" w:hAnsi="宋体" w:cs="宋体"/>
                <w:color w:val="000000"/>
                <w:sz w:val="24"/>
              </w:rPr>
              <w:t>提供学历或学位证书扫描件，还需同时提供学信网查询记录，对于较早颁发的学历学位证书，学信网无法查询的，除提供证书扫描件、注明原件备查外，可提供其他佐证材料（如毕业院校、人社部门等颁发机构或监管机构等单位出具的证明）作为得分依据；留学归国人员如无法提供学信网查询记录截图，提供国（境）外学历证书扫描件（以及中文翻译件）和教育部留学服务中心出具的国外学历认证书扫描件【或教育部留学服务中心网站（http://zwfw.cscse.edu.cn）在线查询截图】也予以认可。</w:t>
            </w:r>
          </w:p>
          <w:p w14:paraId="431DF7EA">
            <w:pPr>
              <w:wordWrap w:val="0"/>
              <w:rPr>
                <w:rFonts w:ascii="宋体" w:hAnsi="宋体" w:cs="宋体"/>
                <w:color w:val="000000"/>
                <w:sz w:val="24"/>
              </w:rPr>
            </w:pPr>
            <w:r>
              <w:rPr>
                <w:rFonts w:hint="eastAsia" w:ascii="宋体" w:hAnsi="宋体" w:cs="宋体"/>
                <w:b/>
                <w:bCs/>
                <w:color w:val="000000"/>
                <w:sz w:val="24"/>
              </w:rPr>
              <w:t>2.评分内容2：</w:t>
            </w:r>
            <w:r>
              <w:rPr>
                <w:rFonts w:hint="eastAsia" w:ascii="宋体" w:hAnsi="宋体" w:cs="宋体"/>
                <w:color w:val="000000"/>
                <w:sz w:val="24"/>
              </w:rPr>
              <w:t>提供相关证书；</w:t>
            </w:r>
          </w:p>
          <w:p w14:paraId="482FA9F0">
            <w:pPr>
              <w:wordWrap w:val="0"/>
              <w:rPr>
                <w:rFonts w:ascii="宋体" w:hAnsi="宋体" w:cs="宋体"/>
                <w:color w:val="000000"/>
                <w:sz w:val="24"/>
              </w:rPr>
            </w:pPr>
            <w:r>
              <w:rPr>
                <w:rFonts w:hint="eastAsia" w:ascii="宋体" w:hAnsi="宋体" w:cs="宋体"/>
                <w:b/>
                <w:bCs/>
                <w:color w:val="000000"/>
                <w:sz w:val="24"/>
              </w:rPr>
              <w:t>3.评分内容3：</w:t>
            </w:r>
            <w:r>
              <w:rPr>
                <w:rFonts w:hint="eastAsia" w:ascii="宋体" w:hAnsi="宋体" w:cs="宋体"/>
                <w:sz w:val="24"/>
              </w:rPr>
              <w:t>提供项目管理经验的相关证明材料（提供业绩合同（合同关键页面应包括封面、服务内容、项目负责人名字、签订时间、盖章页等），如合同中未体现项目负责人姓名，需同时提供合同甲方出具的证明材料）；</w:t>
            </w:r>
          </w:p>
          <w:p w14:paraId="7D1BFD6E">
            <w:pPr>
              <w:widowControl/>
              <w:wordWrap w:val="0"/>
              <w:jc w:val="left"/>
              <w:rPr>
                <w:rFonts w:ascii="宋体" w:hAnsi="宋体" w:cs="宋体"/>
                <w:kern w:val="0"/>
                <w:sz w:val="24"/>
              </w:rPr>
            </w:pPr>
            <w:r>
              <w:rPr>
                <w:rFonts w:hint="eastAsia" w:ascii="宋体" w:hAnsi="宋体" w:cs="宋体"/>
                <w:b/>
                <w:bCs/>
                <w:sz w:val="24"/>
              </w:rPr>
              <w:t>4.</w:t>
            </w:r>
            <w:r>
              <w:rPr>
                <w:rFonts w:hint="eastAsia" w:ascii="宋体" w:hAnsi="宋体" w:cs="宋体"/>
                <w:b/>
                <w:bCs/>
                <w:kern w:val="0"/>
                <w:sz w:val="24"/>
              </w:rPr>
              <w:t>自有员工证明：</w:t>
            </w:r>
            <w:r>
              <w:rPr>
                <w:rFonts w:hint="eastAsia" w:ascii="宋体" w:hAnsi="宋体" w:cs="宋体"/>
                <w:kern w:val="0"/>
                <w:sz w:val="24"/>
              </w:rPr>
              <w:t>需提供通过投标人缴纳的投标截止日近1个月的社保证明。近1个月的社保证明无法提供的，则可以往前顺延一个月；如供应商为新成立企业且成立时间不足1个月，提供情况说明或者证明材料亦视为符合，亦可得分。</w:t>
            </w:r>
          </w:p>
          <w:p w14:paraId="19FD154B">
            <w:pPr>
              <w:wordWrap w:val="0"/>
              <w:rPr>
                <w:rFonts w:ascii="宋体" w:hAnsi="宋体" w:cs="宋体"/>
                <w:sz w:val="24"/>
              </w:rPr>
            </w:pPr>
            <w:r>
              <w:rPr>
                <w:rFonts w:hint="eastAsia" w:ascii="宋体" w:hAnsi="宋体" w:cs="宋体"/>
                <w:sz w:val="24"/>
              </w:rPr>
              <w:t>5.以上文件原件备查，评分中出现无证明资料或专家无法凭所提供资料判断是否得分的情况，一律作不得分处理。</w:t>
            </w:r>
          </w:p>
        </w:tc>
      </w:tr>
      <w:tr w14:paraId="38F3B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jc w:val="center"/>
        </w:trPr>
        <w:tc>
          <w:tcPr>
            <w:tcW w:w="681" w:type="dxa"/>
            <w:vMerge w:val="continue"/>
            <w:vAlign w:val="center"/>
          </w:tcPr>
          <w:p w14:paraId="799D1772">
            <w:pPr>
              <w:jc w:val="center"/>
              <w:rPr>
                <w:rFonts w:ascii="宋体" w:hAnsi="宋体" w:cs="宋体"/>
                <w:b/>
                <w:bCs/>
                <w:color w:val="0000FF"/>
                <w:sz w:val="24"/>
              </w:rPr>
            </w:pPr>
          </w:p>
        </w:tc>
        <w:tc>
          <w:tcPr>
            <w:tcW w:w="681" w:type="dxa"/>
            <w:vAlign w:val="center"/>
          </w:tcPr>
          <w:p w14:paraId="5352E39D">
            <w:pPr>
              <w:jc w:val="center"/>
              <w:rPr>
                <w:rFonts w:ascii="宋体" w:hAnsi="宋体" w:cs="宋体"/>
                <w:sz w:val="24"/>
              </w:rPr>
            </w:pPr>
            <w:r>
              <w:rPr>
                <w:rFonts w:hint="eastAsia" w:ascii="宋体" w:hAnsi="宋体" w:cs="宋体"/>
                <w:sz w:val="24"/>
              </w:rPr>
              <w:t>5</w:t>
            </w:r>
          </w:p>
        </w:tc>
        <w:tc>
          <w:tcPr>
            <w:tcW w:w="1398" w:type="dxa"/>
            <w:vAlign w:val="center"/>
          </w:tcPr>
          <w:p w14:paraId="704C39E8">
            <w:pPr>
              <w:jc w:val="center"/>
              <w:rPr>
                <w:rFonts w:ascii="宋体" w:hAnsi="宋体" w:cs="宋体"/>
                <w:sz w:val="24"/>
              </w:rPr>
            </w:pPr>
            <w:r>
              <w:rPr>
                <w:rFonts w:hint="eastAsia" w:ascii="宋体" w:hAnsi="宋体" w:cs="宋体"/>
                <w:sz w:val="24"/>
              </w:rPr>
              <w:t>拟安排的项目团队成员情况（项目负责人除外）</w:t>
            </w:r>
          </w:p>
        </w:tc>
        <w:tc>
          <w:tcPr>
            <w:tcW w:w="785" w:type="dxa"/>
            <w:vAlign w:val="center"/>
          </w:tcPr>
          <w:p w14:paraId="276AB27D">
            <w:pPr>
              <w:jc w:val="center"/>
              <w:rPr>
                <w:rFonts w:ascii="宋体" w:hAnsi="宋体" w:cs="宋体"/>
                <w:sz w:val="24"/>
              </w:rPr>
            </w:pPr>
            <w:r>
              <w:rPr>
                <w:rFonts w:hint="eastAsia" w:ascii="宋体" w:hAnsi="宋体" w:cs="宋体"/>
                <w:sz w:val="24"/>
              </w:rPr>
              <w:t>11</w:t>
            </w:r>
          </w:p>
        </w:tc>
        <w:tc>
          <w:tcPr>
            <w:tcW w:w="5381" w:type="dxa"/>
            <w:vAlign w:val="center"/>
          </w:tcPr>
          <w:p w14:paraId="09D87BBC">
            <w:pPr>
              <w:rPr>
                <w:rFonts w:ascii="宋体" w:hAnsi="宋体" w:cs="宋体"/>
                <w:b/>
                <w:bCs/>
                <w:color w:val="000000"/>
                <w:sz w:val="24"/>
              </w:rPr>
            </w:pPr>
            <w:r>
              <w:rPr>
                <w:rFonts w:hint="eastAsia" w:ascii="宋体" w:hAnsi="宋体" w:cs="宋体"/>
                <w:b/>
                <w:bCs/>
                <w:color w:val="000000"/>
                <w:sz w:val="24"/>
              </w:rPr>
              <w:t>（一）评分内容：</w:t>
            </w:r>
          </w:p>
          <w:p w14:paraId="40E3C2D7">
            <w:pPr>
              <w:rPr>
                <w:rFonts w:ascii="宋体" w:hAnsi="宋体" w:cs="宋体"/>
                <w:color w:val="000000"/>
                <w:sz w:val="24"/>
              </w:rPr>
            </w:pPr>
            <w:r>
              <w:rPr>
                <w:rFonts w:hint="eastAsia" w:ascii="宋体" w:hAnsi="宋体" w:cs="宋体"/>
                <w:sz w:val="24"/>
              </w:rPr>
              <w:t>项目团队成员为投标人自有员工，否则本评分内容不得分，投标人需提供项目团队服务人员4人，在此基础上进行评分</w:t>
            </w:r>
            <w:r>
              <w:rPr>
                <w:rFonts w:hint="eastAsia" w:ascii="宋体" w:hAnsi="宋体" w:cs="宋体"/>
                <w:color w:val="000000"/>
                <w:sz w:val="24"/>
              </w:rPr>
              <w:t>：</w:t>
            </w:r>
          </w:p>
          <w:p w14:paraId="535A2AD8">
            <w:pPr>
              <w:rPr>
                <w:rFonts w:ascii="宋体" w:hAnsi="宋体" w:cs="宋体"/>
                <w:color w:val="000000"/>
                <w:sz w:val="24"/>
              </w:rPr>
            </w:pPr>
            <w:r>
              <w:rPr>
                <w:rFonts w:hint="eastAsia" w:ascii="宋体" w:hAnsi="宋体" w:cs="宋体"/>
                <w:color w:val="000000"/>
                <w:sz w:val="24"/>
              </w:rPr>
              <w:t>（1）每提供一名计算机相关专业本科（或以上）学历的得20分，此项最高得80分</w:t>
            </w:r>
          </w:p>
          <w:p w14:paraId="5C9D4197">
            <w:pPr>
              <w:rPr>
                <w:rFonts w:ascii="宋体" w:hAnsi="宋体" w:cs="宋体"/>
                <w:color w:val="000000"/>
                <w:sz w:val="24"/>
              </w:rPr>
            </w:pPr>
            <w:r>
              <w:rPr>
                <w:rFonts w:hint="eastAsia" w:ascii="宋体" w:hAnsi="宋体" w:cs="宋体"/>
                <w:color w:val="000000"/>
                <w:sz w:val="24"/>
              </w:rPr>
              <w:t>（2）在</w:t>
            </w:r>
            <w:r>
              <w:rPr>
                <w:rFonts w:hint="eastAsia" w:ascii="宋体" w:hAnsi="宋体" w:cs="宋体"/>
                <w:color w:val="auto"/>
                <w:sz w:val="24"/>
              </w:rPr>
              <w:t>所提供人员中一名具备计算机技术与软件专业技术资格中级网络工程师证书或高级网络规划设计师证书或中级软件设计师证书</w:t>
            </w:r>
            <w:r>
              <w:rPr>
                <w:rFonts w:hint="eastAsia" w:ascii="宋体" w:hAnsi="宋体" w:cs="宋体"/>
                <w:color w:val="000000"/>
                <w:sz w:val="24"/>
              </w:rPr>
              <w:t>的得20分，此项最高得20分。</w:t>
            </w:r>
          </w:p>
          <w:p w14:paraId="52A410BB">
            <w:pPr>
              <w:rPr>
                <w:rFonts w:ascii="宋体" w:hAnsi="宋体" w:cs="宋体"/>
                <w:color w:val="000000"/>
                <w:sz w:val="24"/>
              </w:rPr>
            </w:pPr>
            <w:r>
              <w:rPr>
                <w:rFonts w:hint="eastAsia" w:ascii="宋体" w:hAnsi="宋体" w:cs="宋体"/>
                <w:sz w:val="24"/>
              </w:rPr>
              <w:t>同一人具备（1）和（2）可累计得分，</w:t>
            </w:r>
            <w:r>
              <w:rPr>
                <w:rFonts w:hint="eastAsia" w:ascii="宋体" w:hAnsi="宋体" w:cs="宋体"/>
                <w:color w:val="000000"/>
                <w:sz w:val="24"/>
              </w:rPr>
              <w:t>以上两项最高得100分。</w:t>
            </w:r>
          </w:p>
          <w:p w14:paraId="5ADD8F5A">
            <w:pPr>
              <w:rPr>
                <w:rFonts w:ascii="宋体" w:hAnsi="宋体" w:cs="宋体"/>
                <w:b/>
                <w:bCs/>
                <w:color w:val="000000"/>
                <w:sz w:val="24"/>
              </w:rPr>
            </w:pPr>
            <w:r>
              <w:rPr>
                <w:rFonts w:hint="eastAsia" w:ascii="宋体" w:hAnsi="宋体" w:cs="宋体"/>
                <w:b/>
                <w:bCs/>
                <w:color w:val="000000"/>
                <w:sz w:val="24"/>
              </w:rPr>
              <w:t>（二）评分依据：</w:t>
            </w:r>
          </w:p>
          <w:p w14:paraId="4510572C">
            <w:pPr>
              <w:rPr>
                <w:rFonts w:ascii="宋体" w:hAnsi="宋体" w:cs="宋体"/>
                <w:color w:val="000000"/>
                <w:sz w:val="24"/>
              </w:rPr>
            </w:pPr>
            <w:r>
              <w:rPr>
                <w:rFonts w:hint="eastAsia" w:ascii="宋体" w:hAnsi="宋体" w:cs="宋体"/>
                <w:color w:val="000000"/>
                <w:sz w:val="24"/>
              </w:rPr>
              <w:t>投标人需提供：</w:t>
            </w:r>
          </w:p>
          <w:p w14:paraId="146A681D">
            <w:pPr>
              <w:jc w:val="left"/>
              <w:rPr>
                <w:rFonts w:ascii="宋体" w:hAnsi="宋体" w:cs="宋体"/>
                <w:color w:val="000000"/>
                <w:sz w:val="24"/>
              </w:rPr>
            </w:pPr>
            <w:r>
              <w:rPr>
                <w:rFonts w:hint="eastAsia" w:ascii="宋体" w:hAnsi="宋体" w:cs="宋体"/>
                <w:b/>
                <w:bCs/>
                <w:color w:val="000000"/>
                <w:sz w:val="24"/>
              </w:rPr>
              <w:t>1.学历证明：</w:t>
            </w:r>
            <w:r>
              <w:rPr>
                <w:rFonts w:hint="eastAsia" w:ascii="宋体" w:hAnsi="宋体" w:cs="宋体"/>
                <w:color w:val="000000"/>
                <w:sz w:val="24"/>
              </w:rPr>
              <w:t>提供学历证书扫描件，还需同时提供学信网查询记录，对于较早颁发的学历学位证书，学信网无法查询的，除提供证书扫描件、注明原件备查外，可提供其他佐证材料（如毕业院校、人社部门等颁发机构或监管机构等单位出具的证明）作为得分依据；留学归国人员如无法提供学信网查询记录截图，提供国（境）外学历证书扫描件（以及中文翻译件）和教育部留学服务中心出具的国外学历认证书扫描件【或教育部留学服务中心网站（http://zwfw.cscse.edu.cn/）在线查询截图】也予以认可。</w:t>
            </w:r>
          </w:p>
          <w:p w14:paraId="5EF47E51">
            <w:pPr>
              <w:jc w:val="left"/>
              <w:rPr>
                <w:rFonts w:ascii="宋体" w:hAnsi="宋体" w:cs="宋体"/>
                <w:color w:val="000000"/>
                <w:sz w:val="24"/>
              </w:rPr>
            </w:pPr>
            <w:r>
              <w:rPr>
                <w:rFonts w:hint="eastAsia" w:ascii="宋体" w:hAnsi="宋体" w:cs="宋体"/>
                <w:color w:val="000000"/>
                <w:sz w:val="24"/>
              </w:rPr>
              <w:t>2.提供相关证书；</w:t>
            </w:r>
          </w:p>
          <w:p w14:paraId="4F0CED9D">
            <w:pPr>
              <w:widowControl/>
              <w:wordWrap w:val="0"/>
              <w:jc w:val="left"/>
              <w:rPr>
                <w:rFonts w:ascii="宋体" w:hAnsi="宋体" w:cs="宋体"/>
                <w:kern w:val="0"/>
                <w:sz w:val="24"/>
              </w:rPr>
            </w:pPr>
            <w:r>
              <w:rPr>
                <w:rFonts w:hint="eastAsia" w:ascii="宋体" w:hAnsi="宋体" w:cs="宋体"/>
                <w:b/>
                <w:bCs/>
                <w:sz w:val="24"/>
              </w:rPr>
              <w:t>3.</w:t>
            </w:r>
            <w:r>
              <w:rPr>
                <w:rFonts w:hint="eastAsia" w:ascii="宋体" w:hAnsi="宋体" w:cs="宋体"/>
                <w:b/>
                <w:bCs/>
                <w:kern w:val="0"/>
                <w:sz w:val="24"/>
              </w:rPr>
              <w:t>自有员工证明：</w:t>
            </w:r>
            <w:r>
              <w:rPr>
                <w:rFonts w:hint="eastAsia" w:ascii="宋体" w:hAnsi="宋体" w:cs="宋体"/>
                <w:kern w:val="0"/>
                <w:sz w:val="24"/>
              </w:rPr>
              <w:t>需提供通过投标人缴纳的投标截止日近1个月的社保证明。近1个月的社保证明无法提供的，则可以往前顺延一个月；如供应商为新成立企业且成立时间不足1个月，提供情况说明或者证明材料亦视为符合，亦可得分。</w:t>
            </w:r>
          </w:p>
          <w:p w14:paraId="7DFD6AE2">
            <w:pPr>
              <w:jc w:val="left"/>
              <w:rPr>
                <w:rFonts w:ascii="宋体" w:hAnsi="宋体" w:cs="宋体"/>
                <w:sz w:val="24"/>
              </w:rPr>
            </w:pPr>
            <w:r>
              <w:rPr>
                <w:rFonts w:hint="eastAsia" w:ascii="宋体" w:hAnsi="宋体" w:cs="宋体"/>
                <w:sz w:val="24"/>
              </w:rPr>
              <w:t>4.以上文件原件备查，评分中出现无证明资料或专家无法凭所提供资料判断是否得分的情况，一律作不得分处理。</w:t>
            </w:r>
          </w:p>
        </w:tc>
      </w:tr>
      <w:tr w14:paraId="1B822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771" w:hRule="atLeast"/>
          <w:jc w:val="center"/>
        </w:trPr>
        <w:tc>
          <w:tcPr>
            <w:tcW w:w="681" w:type="dxa"/>
            <w:vMerge w:val="continue"/>
            <w:vAlign w:val="center"/>
          </w:tcPr>
          <w:p w14:paraId="3AE2A353">
            <w:pPr>
              <w:jc w:val="center"/>
              <w:rPr>
                <w:rFonts w:ascii="宋体" w:hAnsi="宋体" w:cs="宋体"/>
                <w:b/>
                <w:bCs/>
                <w:color w:val="0000FF"/>
                <w:sz w:val="24"/>
              </w:rPr>
            </w:pPr>
          </w:p>
        </w:tc>
        <w:tc>
          <w:tcPr>
            <w:tcW w:w="681" w:type="dxa"/>
            <w:vAlign w:val="center"/>
          </w:tcPr>
          <w:p w14:paraId="094E688A">
            <w:pPr>
              <w:jc w:val="center"/>
              <w:rPr>
                <w:rFonts w:ascii="宋体" w:hAnsi="宋体" w:cs="宋体"/>
                <w:sz w:val="24"/>
              </w:rPr>
            </w:pPr>
            <w:r>
              <w:rPr>
                <w:rFonts w:hint="eastAsia" w:ascii="宋体" w:hAnsi="宋体" w:cs="宋体"/>
                <w:sz w:val="24"/>
              </w:rPr>
              <w:t>6</w:t>
            </w:r>
          </w:p>
        </w:tc>
        <w:tc>
          <w:tcPr>
            <w:tcW w:w="1398" w:type="dxa"/>
            <w:vAlign w:val="center"/>
          </w:tcPr>
          <w:p w14:paraId="19BE21EA">
            <w:pPr>
              <w:jc w:val="center"/>
              <w:rPr>
                <w:rFonts w:ascii="宋体" w:hAnsi="宋体" w:cs="宋体"/>
                <w:sz w:val="24"/>
              </w:rPr>
            </w:pPr>
            <w:r>
              <w:rPr>
                <w:rFonts w:hint="eastAsia" w:ascii="宋体" w:hAnsi="宋体" w:cs="宋体"/>
                <w:sz w:val="24"/>
              </w:rPr>
              <w:t>知识产权产品（创新、设计）情况</w:t>
            </w:r>
          </w:p>
        </w:tc>
        <w:tc>
          <w:tcPr>
            <w:tcW w:w="785" w:type="dxa"/>
            <w:vAlign w:val="center"/>
          </w:tcPr>
          <w:p w14:paraId="59107B61">
            <w:pPr>
              <w:jc w:val="center"/>
              <w:rPr>
                <w:rFonts w:ascii="宋体" w:hAnsi="宋体" w:cs="宋体"/>
                <w:sz w:val="24"/>
              </w:rPr>
            </w:pPr>
            <w:r>
              <w:rPr>
                <w:rFonts w:hint="eastAsia" w:ascii="宋体" w:hAnsi="宋体" w:cs="宋体"/>
                <w:sz w:val="24"/>
              </w:rPr>
              <w:t>10</w:t>
            </w:r>
          </w:p>
        </w:tc>
        <w:tc>
          <w:tcPr>
            <w:tcW w:w="5381" w:type="dxa"/>
            <w:vAlign w:val="center"/>
          </w:tcPr>
          <w:p w14:paraId="56A56238">
            <w:pPr>
              <w:wordWrap w:val="0"/>
              <w:rPr>
                <w:rFonts w:ascii="宋体" w:hAnsi="宋体" w:cs="宋体"/>
                <w:b/>
                <w:bCs/>
                <w:sz w:val="24"/>
              </w:rPr>
            </w:pPr>
            <w:r>
              <w:rPr>
                <w:rFonts w:hint="eastAsia" w:ascii="宋体" w:hAnsi="宋体" w:cs="宋体"/>
                <w:b/>
                <w:bCs/>
                <w:sz w:val="24"/>
              </w:rPr>
              <w:t>（一）评分内容：</w:t>
            </w:r>
          </w:p>
          <w:p w14:paraId="0F40BBA4">
            <w:pPr>
              <w:wordWrap w:val="0"/>
              <w:rPr>
                <w:rFonts w:ascii="宋体" w:hAnsi="宋体" w:cs="宋体"/>
                <w:sz w:val="24"/>
              </w:rPr>
            </w:pPr>
            <w:r>
              <w:rPr>
                <w:rFonts w:hint="eastAsia" w:ascii="宋体" w:hAnsi="宋体" w:cs="宋体"/>
                <w:sz w:val="24"/>
              </w:rPr>
              <w:t>投标人具有：</w:t>
            </w:r>
          </w:p>
          <w:p w14:paraId="4B935EB9">
            <w:pPr>
              <w:wordWrap w:val="0"/>
              <w:rPr>
                <w:rFonts w:ascii="宋体" w:hAnsi="宋体" w:cs="宋体"/>
                <w:sz w:val="24"/>
              </w:rPr>
            </w:pPr>
            <w:r>
              <w:rPr>
                <w:rFonts w:hint="eastAsia" w:ascii="宋体" w:hAnsi="宋体" w:cs="宋体"/>
                <w:sz w:val="24"/>
              </w:rPr>
              <w:t>1.社康服务类平台或系统；</w:t>
            </w:r>
          </w:p>
          <w:p w14:paraId="76C8CA20">
            <w:pPr>
              <w:wordWrap w:val="0"/>
              <w:rPr>
                <w:rFonts w:ascii="宋体" w:hAnsi="宋体" w:cs="宋体"/>
                <w:sz w:val="24"/>
              </w:rPr>
            </w:pPr>
            <w:r>
              <w:rPr>
                <w:rFonts w:hint="eastAsia" w:ascii="宋体" w:hAnsi="宋体" w:cs="宋体"/>
                <w:sz w:val="24"/>
              </w:rPr>
              <w:t>2.公众移动服务类平台或系统；</w:t>
            </w:r>
          </w:p>
          <w:p w14:paraId="69D4A981">
            <w:pPr>
              <w:wordWrap w:val="0"/>
              <w:rPr>
                <w:rFonts w:ascii="宋体" w:hAnsi="宋体" w:cs="宋体"/>
                <w:sz w:val="24"/>
              </w:rPr>
            </w:pPr>
            <w:r>
              <w:rPr>
                <w:rFonts w:hint="eastAsia" w:ascii="宋体" w:hAnsi="宋体" w:cs="宋体"/>
                <w:sz w:val="24"/>
              </w:rPr>
              <w:t>3.全民健康服务类平台或系统；</w:t>
            </w:r>
          </w:p>
          <w:p w14:paraId="6D651433">
            <w:pPr>
              <w:wordWrap w:val="0"/>
              <w:rPr>
                <w:rFonts w:ascii="宋体" w:hAnsi="宋体" w:cs="宋体"/>
                <w:sz w:val="24"/>
              </w:rPr>
            </w:pPr>
            <w:r>
              <w:rPr>
                <w:rFonts w:hint="eastAsia" w:ascii="宋体" w:hAnsi="宋体" w:cs="宋体"/>
                <w:sz w:val="24"/>
              </w:rPr>
              <w:t>4.医疗通讯交换类平台或系统；</w:t>
            </w:r>
          </w:p>
          <w:p w14:paraId="57281F2D">
            <w:pPr>
              <w:wordWrap w:val="0"/>
              <w:rPr>
                <w:rFonts w:ascii="宋体" w:hAnsi="宋体" w:cs="宋体"/>
                <w:sz w:val="24"/>
              </w:rPr>
            </w:pPr>
            <w:r>
              <w:rPr>
                <w:rFonts w:hint="eastAsia" w:ascii="宋体" w:hAnsi="宋体" w:cs="宋体"/>
                <w:sz w:val="24"/>
              </w:rPr>
              <w:t>5.医疗总线服务管理类平台或系统。</w:t>
            </w:r>
          </w:p>
          <w:p w14:paraId="707CABCE">
            <w:pPr>
              <w:wordWrap w:val="0"/>
              <w:rPr>
                <w:rFonts w:ascii="宋体" w:hAnsi="宋体" w:cs="宋体"/>
                <w:sz w:val="24"/>
              </w:rPr>
            </w:pPr>
            <w:r>
              <w:rPr>
                <w:rFonts w:hint="eastAsia" w:ascii="宋体" w:hAnsi="宋体" w:cs="宋体"/>
                <w:sz w:val="24"/>
              </w:rPr>
              <w:t>每提供一类得20分，最高得100分，同类型的只计算一个。</w:t>
            </w:r>
          </w:p>
          <w:p w14:paraId="1DE659B2">
            <w:pPr>
              <w:wordWrap w:val="0"/>
              <w:rPr>
                <w:rFonts w:ascii="宋体" w:hAnsi="宋体" w:cs="宋体"/>
                <w:b/>
                <w:bCs/>
                <w:sz w:val="24"/>
              </w:rPr>
            </w:pPr>
            <w:r>
              <w:rPr>
                <w:rFonts w:hint="eastAsia" w:ascii="宋体" w:hAnsi="宋体" w:cs="宋体"/>
                <w:b/>
                <w:bCs/>
                <w:sz w:val="24"/>
              </w:rPr>
              <w:t>（二）评分依据：</w:t>
            </w:r>
          </w:p>
          <w:p w14:paraId="09611A0F">
            <w:pPr>
              <w:wordWrap w:val="0"/>
              <w:rPr>
                <w:rFonts w:ascii="宋体" w:hAnsi="宋体" w:cs="宋体"/>
                <w:sz w:val="24"/>
              </w:rPr>
            </w:pPr>
            <w:r>
              <w:rPr>
                <w:rFonts w:hint="eastAsia" w:ascii="宋体" w:hAnsi="宋体" w:cs="宋体"/>
                <w:sz w:val="24"/>
              </w:rPr>
              <w:t>1.自有的系统或软件，提供计算机软件著作权登记证书（著作权人为投标人）；</w:t>
            </w:r>
          </w:p>
          <w:p w14:paraId="1A67C953">
            <w:pPr>
              <w:wordWrap w:val="0"/>
              <w:rPr>
                <w:rFonts w:ascii="宋体" w:hAnsi="宋体" w:cs="宋体"/>
                <w:sz w:val="24"/>
              </w:rPr>
            </w:pPr>
            <w:r>
              <w:rPr>
                <w:rFonts w:hint="eastAsia" w:ascii="宋体" w:hAnsi="宋体" w:cs="宋体"/>
                <w:sz w:val="24"/>
              </w:rPr>
              <w:t>2.购买（或租赁）的软件或系统，提供计算机软件著作权登记证书（著作权人为出售/出租方）和购买合同（或租赁合同）关键页（合同内容包含但不限于：签订合同双方的单位名称、合同名称、计算机软件著作权登记证书名称、签订合同双方的落款盖章、签订日期的关键页）；</w:t>
            </w:r>
          </w:p>
          <w:p w14:paraId="27A96759">
            <w:pPr>
              <w:wordWrap w:val="0"/>
              <w:rPr>
                <w:rFonts w:ascii="宋体" w:hAnsi="宋体" w:cs="宋体"/>
                <w:sz w:val="24"/>
              </w:rPr>
            </w:pPr>
            <w:r>
              <w:rPr>
                <w:rFonts w:hint="eastAsia" w:ascii="宋体" w:hAnsi="宋体" w:cs="宋体"/>
                <w:sz w:val="24"/>
              </w:rPr>
              <w:t>3.以上文件原件备查，评分中出现无证明资料或者专家无法凭所提供资料判断是否得分的情况，一律做不得分处理。</w:t>
            </w:r>
          </w:p>
        </w:tc>
      </w:tr>
      <w:tr w14:paraId="3FBB2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jc w:val="center"/>
        </w:trPr>
        <w:tc>
          <w:tcPr>
            <w:tcW w:w="681" w:type="dxa"/>
            <w:vMerge w:val="restart"/>
            <w:vAlign w:val="center"/>
          </w:tcPr>
          <w:p w14:paraId="2C80A92F">
            <w:pPr>
              <w:widowControl/>
              <w:wordWrap w:val="0"/>
              <w:jc w:val="center"/>
              <w:rPr>
                <w:rFonts w:ascii="宋体" w:hAnsi="宋体" w:cs="宋体"/>
                <w:b/>
                <w:bCs/>
                <w:color w:val="0000FF"/>
                <w:sz w:val="24"/>
              </w:rPr>
            </w:pPr>
            <w:r>
              <w:rPr>
                <w:rFonts w:hint="eastAsia" w:ascii="宋体" w:hAnsi="宋体" w:cs="宋体"/>
                <w:b/>
                <w:bCs/>
                <w:color w:val="0000FF"/>
                <w:kern w:val="0"/>
                <w:sz w:val="24"/>
              </w:rPr>
              <w:t>4</w:t>
            </w:r>
          </w:p>
        </w:tc>
        <w:tc>
          <w:tcPr>
            <w:tcW w:w="2864" w:type="dxa"/>
            <w:gridSpan w:val="3"/>
            <w:vAlign w:val="center"/>
          </w:tcPr>
          <w:p w14:paraId="7A829FC5">
            <w:pPr>
              <w:widowControl/>
              <w:wordWrap w:val="0"/>
              <w:jc w:val="center"/>
              <w:rPr>
                <w:rFonts w:ascii="宋体" w:hAnsi="宋体" w:cs="宋体"/>
                <w:b/>
                <w:bCs/>
                <w:color w:val="0000FF"/>
                <w:sz w:val="24"/>
              </w:rPr>
            </w:pPr>
            <w:r>
              <w:rPr>
                <w:rFonts w:hint="eastAsia" w:ascii="宋体" w:hAnsi="宋体" w:cs="宋体"/>
                <w:b/>
                <w:bCs/>
                <w:color w:val="0000FF"/>
                <w:kern w:val="0"/>
                <w:sz w:val="24"/>
              </w:rPr>
              <w:t>诚信情况</w:t>
            </w:r>
          </w:p>
        </w:tc>
        <w:tc>
          <w:tcPr>
            <w:tcW w:w="5381" w:type="dxa"/>
            <w:vAlign w:val="center"/>
          </w:tcPr>
          <w:p w14:paraId="398C9FDF">
            <w:pPr>
              <w:widowControl/>
              <w:wordWrap w:val="0"/>
              <w:jc w:val="center"/>
              <w:rPr>
                <w:rFonts w:ascii="宋体" w:hAnsi="宋体" w:cs="宋体"/>
                <w:b/>
                <w:bCs/>
                <w:color w:val="0000FF"/>
                <w:sz w:val="24"/>
              </w:rPr>
            </w:pPr>
            <w:r>
              <w:rPr>
                <w:rFonts w:hint="eastAsia" w:ascii="宋体" w:hAnsi="宋体" w:cs="宋体"/>
                <w:b/>
                <w:bCs/>
                <w:color w:val="0000FF"/>
                <w:sz w:val="24"/>
              </w:rPr>
              <w:t>5</w:t>
            </w:r>
          </w:p>
        </w:tc>
      </w:tr>
      <w:tr w14:paraId="00DB0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259" w:hRule="atLeast"/>
          <w:jc w:val="center"/>
        </w:trPr>
        <w:tc>
          <w:tcPr>
            <w:tcW w:w="681" w:type="dxa"/>
            <w:vMerge w:val="continue"/>
            <w:shd w:val="clear" w:color="auto" w:fill="E6EFFA"/>
            <w:vAlign w:val="center"/>
          </w:tcPr>
          <w:p w14:paraId="083EC08C">
            <w:pPr>
              <w:jc w:val="center"/>
              <w:rPr>
                <w:rFonts w:ascii="宋体" w:hAnsi="宋体" w:cs="宋体"/>
                <w:b/>
                <w:bCs/>
                <w:color w:val="0000FF"/>
                <w:sz w:val="24"/>
              </w:rPr>
            </w:pPr>
          </w:p>
        </w:tc>
        <w:tc>
          <w:tcPr>
            <w:tcW w:w="681" w:type="dxa"/>
            <w:shd w:val="clear" w:color="auto" w:fill="E6EFFA"/>
            <w:vAlign w:val="center"/>
          </w:tcPr>
          <w:p w14:paraId="420CE67A">
            <w:pPr>
              <w:widowControl/>
              <w:wordWrap w:val="0"/>
              <w:jc w:val="center"/>
              <w:rPr>
                <w:rFonts w:ascii="宋体" w:hAnsi="宋体" w:cs="宋体"/>
                <w:sz w:val="24"/>
              </w:rPr>
            </w:pPr>
            <w:r>
              <w:rPr>
                <w:rFonts w:hint="eastAsia" w:ascii="宋体" w:hAnsi="宋体" w:cs="宋体"/>
                <w:kern w:val="0"/>
                <w:sz w:val="24"/>
              </w:rPr>
              <w:t>序号</w:t>
            </w:r>
          </w:p>
        </w:tc>
        <w:tc>
          <w:tcPr>
            <w:tcW w:w="1398" w:type="dxa"/>
            <w:shd w:val="clear" w:color="auto" w:fill="E6EFFA"/>
            <w:vAlign w:val="center"/>
          </w:tcPr>
          <w:p w14:paraId="78893D64">
            <w:pPr>
              <w:widowControl/>
              <w:wordWrap w:val="0"/>
              <w:jc w:val="center"/>
              <w:rPr>
                <w:rFonts w:ascii="宋体" w:hAnsi="宋体" w:cs="宋体"/>
                <w:sz w:val="24"/>
              </w:rPr>
            </w:pPr>
            <w:r>
              <w:rPr>
                <w:rFonts w:hint="eastAsia" w:ascii="宋体" w:hAnsi="宋体" w:cs="宋体"/>
                <w:kern w:val="0"/>
                <w:sz w:val="24"/>
              </w:rPr>
              <w:t>评分因素</w:t>
            </w:r>
          </w:p>
        </w:tc>
        <w:tc>
          <w:tcPr>
            <w:tcW w:w="785" w:type="dxa"/>
            <w:shd w:val="clear" w:color="auto" w:fill="E6EFFA"/>
            <w:vAlign w:val="center"/>
          </w:tcPr>
          <w:p w14:paraId="388C7300">
            <w:pPr>
              <w:widowControl/>
              <w:wordWrap w:val="0"/>
              <w:jc w:val="center"/>
              <w:rPr>
                <w:rFonts w:ascii="宋体" w:hAnsi="宋体" w:cs="宋体"/>
                <w:sz w:val="24"/>
              </w:rPr>
            </w:pPr>
            <w:r>
              <w:rPr>
                <w:rFonts w:hint="eastAsia" w:ascii="宋体" w:hAnsi="宋体" w:cs="宋体"/>
                <w:kern w:val="0"/>
                <w:sz w:val="24"/>
              </w:rPr>
              <w:t>权重(%)</w:t>
            </w:r>
          </w:p>
        </w:tc>
        <w:tc>
          <w:tcPr>
            <w:tcW w:w="5381" w:type="dxa"/>
            <w:shd w:val="clear" w:color="auto" w:fill="E6EFFA"/>
            <w:vAlign w:val="center"/>
          </w:tcPr>
          <w:p w14:paraId="0DA0C1CB">
            <w:pPr>
              <w:widowControl/>
              <w:wordWrap w:val="0"/>
              <w:jc w:val="center"/>
              <w:rPr>
                <w:rFonts w:ascii="宋体" w:hAnsi="宋体" w:cs="宋体"/>
                <w:sz w:val="24"/>
              </w:rPr>
            </w:pPr>
            <w:r>
              <w:rPr>
                <w:rFonts w:hint="eastAsia" w:ascii="宋体" w:hAnsi="宋体" w:cs="宋体"/>
                <w:kern w:val="0"/>
                <w:sz w:val="24"/>
              </w:rPr>
              <w:t>评分准则</w:t>
            </w:r>
          </w:p>
        </w:tc>
      </w:tr>
      <w:tr w14:paraId="1D60B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jc w:val="center"/>
        </w:trPr>
        <w:tc>
          <w:tcPr>
            <w:tcW w:w="681" w:type="dxa"/>
            <w:vMerge w:val="continue"/>
            <w:vAlign w:val="center"/>
          </w:tcPr>
          <w:p w14:paraId="617834A0">
            <w:pPr>
              <w:jc w:val="center"/>
              <w:rPr>
                <w:rFonts w:ascii="宋体" w:hAnsi="宋体" w:cs="宋体"/>
                <w:b/>
                <w:bCs/>
                <w:color w:val="0000FF"/>
                <w:sz w:val="24"/>
              </w:rPr>
            </w:pPr>
          </w:p>
        </w:tc>
        <w:tc>
          <w:tcPr>
            <w:tcW w:w="681" w:type="dxa"/>
            <w:vAlign w:val="center"/>
          </w:tcPr>
          <w:p w14:paraId="2C12835A">
            <w:pPr>
              <w:widowControl/>
              <w:wordWrap w:val="0"/>
              <w:jc w:val="center"/>
              <w:textAlignment w:val="top"/>
              <w:rPr>
                <w:rFonts w:ascii="宋体" w:hAnsi="宋体" w:cs="宋体"/>
                <w:sz w:val="24"/>
              </w:rPr>
            </w:pPr>
            <w:r>
              <w:rPr>
                <w:rFonts w:hint="eastAsia" w:ascii="宋体" w:hAnsi="宋体" w:cs="宋体"/>
                <w:sz w:val="24"/>
              </w:rPr>
              <w:t>1</w:t>
            </w:r>
          </w:p>
        </w:tc>
        <w:tc>
          <w:tcPr>
            <w:tcW w:w="1398" w:type="dxa"/>
            <w:vAlign w:val="center"/>
          </w:tcPr>
          <w:p w14:paraId="6B15DB92">
            <w:pPr>
              <w:widowControl/>
              <w:wordWrap w:val="0"/>
              <w:jc w:val="center"/>
              <w:textAlignment w:val="top"/>
              <w:rPr>
                <w:rFonts w:ascii="宋体" w:hAnsi="宋体" w:cs="宋体"/>
                <w:sz w:val="24"/>
              </w:rPr>
            </w:pPr>
            <w:r>
              <w:rPr>
                <w:rFonts w:hint="eastAsia" w:ascii="宋体" w:hAnsi="宋体" w:cs="宋体"/>
                <w:sz w:val="24"/>
              </w:rPr>
              <w:t>诚信情况</w:t>
            </w:r>
          </w:p>
        </w:tc>
        <w:tc>
          <w:tcPr>
            <w:tcW w:w="785" w:type="dxa"/>
            <w:vAlign w:val="center"/>
          </w:tcPr>
          <w:p w14:paraId="1C513795">
            <w:pPr>
              <w:widowControl/>
              <w:wordWrap w:val="0"/>
              <w:jc w:val="center"/>
              <w:textAlignment w:val="top"/>
              <w:rPr>
                <w:rFonts w:ascii="宋体" w:hAnsi="宋体" w:cs="宋体"/>
                <w:sz w:val="24"/>
              </w:rPr>
            </w:pPr>
            <w:r>
              <w:rPr>
                <w:rFonts w:hint="eastAsia" w:ascii="宋体" w:hAnsi="宋体" w:cs="宋体"/>
                <w:sz w:val="24"/>
              </w:rPr>
              <w:t>5</w:t>
            </w:r>
          </w:p>
        </w:tc>
        <w:tc>
          <w:tcPr>
            <w:tcW w:w="5381" w:type="dxa"/>
            <w:vAlign w:val="center"/>
          </w:tcPr>
          <w:p w14:paraId="43A6E6B1">
            <w:pPr>
              <w:wordWrap w:val="0"/>
              <w:ind w:firstLine="480" w:firstLineChars="200"/>
              <w:rPr>
                <w:rFonts w:ascii="宋体" w:hAnsi="宋体" w:cs="宋体"/>
                <w:sz w:val="24"/>
              </w:rPr>
            </w:pPr>
            <w:r>
              <w:rPr>
                <w:rFonts w:hint="eastAsia" w:ascii="宋体" w:hAnsi="宋体" w:cs="宋体"/>
                <w:sz w:val="24"/>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有关供应商诚信查询结果。</w:t>
            </w:r>
          </w:p>
          <w:p w14:paraId="06146B54">
            <w:pPr>
              <w:widowControl/>
              <w:wordWrap w:val="0"/>
              <w:jc w:val="left"/>
              <w:textAlignment w:val="top"/>
              <w:rPr>
                <w:rFonts w:ascii="宋体" w:hAnsi="宋体" w:cs="宋体"/>
                <w:sz w:val="24"/>
              </w:rPr>
            </w:pPr>
            <w:r>
              <w:rPr>
                <w:rFonts w:hint="eastAsia" w:ascii="宋体" w:hAnsi="宋体" w:cs="宋体"/>
                <w:sz w:val="24"/>
              </w:rPr>
              <w:t>查询渠道：通过“信用中国”（www.creditchina.gov.cn，下载信用信息报告）、“中国政府采购网”（www.ccgp.gov.cn）、以及“深圳市政府采购监管网”（http://zfcg.sz.gov.cn）查询供应商信用信息，信用信息以开标当日的查询结果为准。</w:t>
            </w:r>
          </w:p>
        </w:tc>
      </w:tr>
      <w:bookmarkEnd w:id="0"/>
    </w:tbl>
    <w:p w14:paraId="5107D48E">
      <w:pPr>
        <w:sectPr>
          <w:headerReference r:id="rId3" w:type="first"/>
          <w:footerReference r:id="rId4" w:type="default"/>
          <w:footerReference r:id="rId5" w:type="even"/>
          <w:pgSz w:w="11907" w:h="16840"/>
          <w:pgMar w:top="1440" w:right="1417" w:bottom="1440" w:left="1417" w:header="851" w:footer="992" w:gutter="0"/>
          <w:cols w:space="425" w:num="1"/>
          <w:docGrid w:linePitch="462" w:charSpace="0"/>
        </w:sectPr>
      </w:pPr>
    </w:p>
    <w:p w14:paraId="4B330281">
      <w:pPr>
        <w:jc w:val="center"/>
        <w:rPr>
          <w:b/>
          <w:sz w:val="120"/>
          <w:szCs w:val="120"/>
        </w:rPr>
      </w:pPr>
      <w:r>
        <w:rPr>
          <w:rFonts w:hint="eastAsia"/>
          <w:b/>
          <w:sz w:val="120"/>
          <w:szCs w:val="120"/>
        </w:rPr>
        <w:t>政府采购</w:t>
      </w:r>
    </w:p>
    <w:p w14:paraId="45B7916E">
      <w:pPr>
        <w:jc w:val="center"/>
        <w:rPr>
          <w:b/>
          <w:sz w:val="120"/>
          <w:szCs w:val="120"/>
        </w:rPr>
      </w:pPr>
      <w:r>
        <w:rPr>
          <w:rFonts w:hint="eastAsia"/>
          <w:b/>
          <w:sz w:val="120"/>
          <w:szCs w:val="120"/>
        </w:rPr>
        <w:t>招标文件</w:t>
      </w:r>
    </w:p>
    <w:p w14:paraId="1C5E6E46">
      <w:pPr>
        <w:jc w:val="center"/>
        <w:rPr>
          <w:b/>
          <w:sz w:val="52"/>
          <w:szCs w:val="52"/>
        </w:rPr>
      </w:pPr>
      <w:r>
        <w:rPr>
          <w:rFonts w:hint="eastAsia"/>
          <w:b/>
          <w:sz w:val="52"/>
          <w:szCs w:val="52"/>
        </w:rPr>
        <w:t>（服务类）</w:t>
      </w:r>
    </w:p>
    <w:p w14:paraId="3CD7756F"/>
    <w:p w14:paraId="6E097D5F"/>
    <w:p w14:paraId="0D975F50"/>
    <w:p w14:paraId="6F8E1B26"/>
    <w:p w14:paraId="281A5D96"/>
    <w:p w14:paraId="1F1342A7"/>
    <w:p w14:paraId="12D20E5D"/>
    <w:p w14:paraId="48ED9098"/>
    <w:p w14:paraId="64B99976"/>
    <w:p w14:paraId="007B9322"/>
    <w:p w14:paraId="79573082"/>
    <w:p w14:paraId="7D4BF2FC"/>
    <w:p w14:paraId="47A6E528"/>
    <w:p w14:paraId="0EE39FF4"/>
    <w:p w14:paraId="22C67A7E"/>
    <w:p w14:paraId="730672C3"/>
    <w:p w14:paraId="56061BB8">
      <w:pPr>
        <w:jc w:val="center"/>
        <w:rPr>
          <w:b/>
          <w:sz w:val="44"/>
          <w:szCs w:val="44"/>
        </w:rPr>
      </w:pPr>
    </w:p>
    <w:p w14:paraId="0199F285">
      <w:pPr>
        <w:jc w:val="center"/>
        <w:rPr>
          <w:b/>
          <w:sz w:val="44"/>
          <w:szCs w:val="44"/>
        </w:rPr>
      </w:pPr>
    </w:p>
    <w:p w14:paraId="2BBA29D6">
      <w:pPr>
        <w:jc w:val="center"/>
        <w:rPr>
          <w:b/>
          <w:sz w:val="44"/>
          <w:szCs w:val="44"/>
        </w:rPr>
      </w:pPr>
    </w:p>
    <w:p w14:paraId="0082B79E">
      <w:pPr>
        <w:jc w:val="center"/>
        <w:rPr>
          <w:b/>
          <w:sz w:val="44"/>
          <w:szCs w:val="44"/>
        </w:rPr>
      </w:pPr>
    </w:p>
    <w:p w14:paraId="30215B0C">
      <w:pPr>
        <w:jc w:val="center"/>
        <w:rPr>
          <w:b/>
          <w:sz w:val="44"/>
          <w:szCs w:val="44"/>
        </w:rPr>
      </w:pPr>
    </w:p>
    <w:p w14:paraId="6267E7EA">
      <w:pPr>
        <w:jc w:val="center"/>
        <w:rPr>
          <w:b/>
          <w:sz w:val="44"/>
          <w:szCs w:val="44"/>
        </w:rPr>
      </w:pPr>
    </w:p>
    <w:p w14:paraId="501BACF5">
      <w:pPr>
        <w:jc w:val="center"/>
        <w:rPr>
          <w:b/>
          <w:sz w:val="44"/>
          <w:szCs w:val="44"/>
        </w:rPr>
      </w:pPr>
    </w:p>
    <w:p w14:paraId="07439790">
      <w:pPr>
        <w:jc w:val="center"/>
        <w:rPr>
          <w:b/>
          <w:sz w:val="44"/>
          <w:szCs w:val="44"/>
        </w:rPr>
      </w:pPr>
    </w:p>
    <w:p w14:paraId="45DF39AB">
      <w:pPr>
        <w:jc w:val="center"/>
        <w:rPr>
          <w:b/>
          <w:sz w:val="44"/>
          <w:szCs w:val="44"/>
        </w:rPr>
      </w:pPr>
      <w:bookmarkStart w:id="3" w:name="_Hlk71465316"/>
      <w:r>
        <w:rPr>
          <w:rFonts w:hint="eastAsia"/>
          <w:b/>
          <w:sz w:val="44"/>
          <w:szCs w:val="44"/>
        </w:rPr>
        <w:t>深圳公共资源交易中心</w:t>
      </w:r>
    </w:p>
    <w:p w14:paraId="0BA9002E">
      <w:pPr>
        <w:jc w:val="center"/>
        <w:rPr>
          <w:sz w:val="28"/>
          <w:szCs w:val="28"/>
        </w:rPr>
      </w:pPr>
      <w:r>
        <w:rPr>
          <w:rFonts w:hint="eastAsia"/>
          <w:b/>
          <w:sz w:val="28"/>
          <w:szCs w:val="28"/>
        </w:rPr>
        <w:t>（</w:t>
      </w:r>
      <w:r>
        <w:rPr>
          <w:b/>
          <w:sz w:val="28"/>
          <w:szCs w:val="28"/>
        </w:rPr>
        <w:t>20</w:t>
      </w:r>
      <w:r>
        <w:rPr>
          <w:rFonts w:hint="eastAsia"/>
          <w:b/>
          <w:sz w:val="28"/>
          <w:szCs w:val="28"/>
        </w:rPr>
        <w:t>24）</w:t>
      </w:r>
      <w:bookmarkEnd w:id="3"/>
    </w:p>
    <w:p w14:paraId="36B91A4C">
      <w:pPr>
        <w:ind w:firstLine="3614" w:firstLineChars="1500"/>
        <w:rPr>
          <w:rFonts w:asciiTheme="minorEastAsia" w:hAnsiTheme="minorEastAsia" w:eastAsiaTheme="minorEastAsia" w:cstheme="minorEastAsia"/>
          <w:b/>
          <w:bCs/>
          <w:color w:val="FF0000"/>
          <w:kern w:val="44"/>
          <w:sz w:val="24"/>
        </w:rPr>
      </w:pPr>
    </w:p>
    <w:p w14:paraId="4B63319D">
      <w:pPr>
        <w:ind w:firstLine="3614" w:firstLineChars="1500"/>
        <w:rPr>
          <w:rFonts w:asciiTheme="minorEastAsia" w:hAnsiTheme="minorEastAsia" w:eastAsiaTheme="minorEastAsia" w:cstheme="minorEastAsia"/>
          <w:b/>
          <w:bCs/>
          <w:kern w:val="44"/>
          <w:sz w:val="24"/>
        </w:rPr>
      </w:pPr>
    </w:p>
    <w:p w14:paraId="59E91EE5">
      <w:pPr>
        <w:pStyle w:val="2"/>
      </w:pPr>
    </w:p>
    <w:p w14:paraId="602BF469">
      <w:pPr>
        <w:ind w:firstLine="3614" w:firstLineChars="150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b/>
          <w:bCs/>
          <w:color w:val="FF0000"/>
          <w:kern w:val="44"/>
          <w:sz w:val="24"/>
        </w:rPr>
        <w:t>警示条款</w:t>
      </w:r>
    </w:p>
    <w:p w14:paraId="183718F8">
      <w:pPr>
        <w:ind w:firstLine="480" w:firstLineChars="20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一、</w:t>
      </w:r>
      <w:r>
        <w:rPr>
          <w:rFonts w:hint="eastAsia" w:asciiTheme="minorEastAsia" w:hAnsiTheme="minorEastAsia" w:eastAsiaTheme="minorEastAsia" w:cstheme="minorEastAsia"/>
          <w:b/>
          <w:bCs/>
          <w:color w:val="FF0000"/>
          <w:sz w:val="24"/>
        </w:rPr>
        <w:t>《深圳经济特区政府采购条例》第五十七条</w:t>
      </w:r>
      <w:r>
        <w:rPr>
          <w:rFonts w:hint="eastAsia" w:asciiTheme="minorEastAsia" w:hAnsiTheme="minorEastAsia" w:eastAsiaTheme="minorEastAsia" w:cstheme="minorEastAsia"/>
          <w:color w:val="FF0000"/>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4FC68CD5">
      <w:pPr>
        <w:ind w:firstLine="480" w:firstLineChars="20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（一）在采购活动中应当回避而未回避的；</w:t>
      </w:r>
    </w:p>
    <w:p w14:paraId="0932FA1D">
      <w:pPr>
        <w:ind w:firstLine="480" w:firstLineChars="20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（二）未按本条例规定签订、履行采购合同，造成严重后果的；</w:t>
      </w:r>
    </w:p>
    <w:p w14:paraId="602A710A">
      <w:pPr>
        <w:ind w:firstLine="480" w:firstLineChars="20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（三）隐瞒真实情况，提供虚假资料的；</w:t>
      </w:r>
    </w:p>
    <w:p w14:paraId="6F58D7A9">
      <w:pPr>
        <w:ind w:firstLine="480" w:firstLineChars="20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（四）以非法手段排斥其他供应商参与竞争的；</w:t>
      </w:r>
    </w:p>
    <w:p w14:paraId="6810ABD4">
      <w:pPr>
        <w:ind w:firstLine="480" w:firstLineChars="20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（五）与其他采购参加人串通投标的；</w:t>
      </w:r>
    </w:p>
    <w:p w14:paraId="409D9BD1">
      <w:pPr>
        <w:ind w:firstLine="480" w:firstLineChars="20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（六）恶意投诉的；</w:t>
      </w:r>
    </w:p>
    <w:p w14:paraId="1ED20301">
      <w:pPr>
        <w:ind w:firstLine="480" w:firstLineChars="20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（七）向采购项目相关人行贿或者提供其他不当利益的；</w:t>
      </w:r>
    </w:p>
    <w:p w14:paraId="768339EB">
      <w:pPr>
        <w:ind w:firstLine="480" w:firstLineChars="20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（八）阻碍、抗拒主管部门监督检查的；</w:t>
      </w:r>
    </w:p>
    <w:p w14:paraId="051F4009">
      <w:pPr>
        <w:ind w:firstLine="480" w:firstLineChars="20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（九）其他违反本条例规定的行为。</w:t>
      </w:r>
    </w:p>
    <w:p w14:paraId="02CAD5C4">
      <w:pPr>
        <w:ind w:firstLine="482" w:firstLineChars="20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b/>
          <w:bCs/>
          <w:color w:val="FF0000"/>
          <w:sz w:val="24"/>
        </w:rPr>
        <w:t>二、《深圳经济特区政府采购条例实施细则》第七十五条 </w:t>
      </w:r>
      <w:r>
        <w:rPr>
          <w:rFonts w:hint="eastAsia" w:asciiTheme="minorEastAsia" w:hAnsiTheme="minorEastAsia" w:eastAsiaTheme="minorEastAsia" w:cstheme="minorEastAsia"/>
          <w:color w:val="FF0000"/>
          <w:sz w:val="24"/>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278C93CA">
      <w:pPr>
        <w:ind w:firstLine="482" w:firstLineChars="20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b/>
          <w:bCs/>
          <w:color w:val="FF0000"/>
          <w:sz w:val="24"/>
        </w:rPr>
        <w:t>三、《深圳经济特区政府采购条例实施细则》第七十七条 </w:t>
      </w:r>
      <w:r>
        <w:rPr>
          <w:rFonts w:hint="eastAsia" w:asciiTheme="minorEastAsia" w:hAnsiTheme="minorEastAsia" w:eastAsiaTheme="minorEastAsia" w:cstheme="minorEastAsia"/>
          <w:color w:val="FF0000"/>
          <w:sz w:val="24"/>
        </w:rPr>
        <w:t>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7C07A19E">
      <w:pPr>
        <w:ind w:firstLine="480" w:firstLineChars="20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投标供应商不能提供项目负责人或者主要技术人员的劳动合同、社会保险等劳动关系证明材料的，视为存在前款第（三）项规定的情形。</w:t>
      </w:r>
    </w:p>
    <w:p w14:paraId="0BD08A94">
      <w:pPr>
        <w:ind w:firstLine="482" w:firstLineChars="200"/>
        <w:rPr>
          <w:rFonts w:asciiTheme="minorEastAsia" w:hAnsiTheme="minorEastAsia" w:eastAsiaTheme="minorEastAsia" w:cstheme="minorEastAsia"/>
          <w:b/>
          <w:color w:val="FF0000"/>
          <w:sz w:val="24"/>
        </w:rPr>
      </w:pPr>
      <w:r>
        <w:rPr>
          <w:rFonts w:hint="eastAsia" w:asciiTheme="minorEastAsia" w:hAnsiTheme="minorEastAsia" w:eastAsiaTheme="minorEastAsia" w:cstheme="minorEastAsia"/>
          <w:b/>
          <w:color w:val="FF0000"/>
          <w:sz w:val="24"/>
        </w:rPr>
        <w:t>四、请投标供应商阅读《政府采购违法行为风险知悉确认书》（内容详见“投标文件附件（信息不公开部分）”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14:paraId="67463FB9">
      <w:pPr>
        <w:ind w:firstLine="480" w:firstLineChars="200"/>
        <w:rPr>
          <w:rFonts w:asciiTheme="minorEastAsia" w:hAnsiTheme="minorEastAsia" w:eastAsiaTheme="minorEastAsia" w:cstheme="minorEastAsia"/>
          <w:bCs/>
          <w:color w:val="FF0000"/>
          <w:sz w:val="24"/>
        </w:rPr>
      </w:pPr>
      <w:r>
        <w:rPr>
          <w:rFonts w:hint="eastAsia" w:asciiTheme="minorEastAsia" w:hAnsiTheme="minorEastAsia" w:eastAsiaTheme="minorEastAsia" w:cstheme="minorEastAsia"/>
          <w:bCs/>
          <w:color w:val="FF0000"/>
          <w:sz w:val="24"/>
        </w:rPr>
        <w:t>五、供应商在使用深圳政府采购智慧平台的投标文件制作工具创建投标文件时，该工具将自动在投标文件中记录文件创建标识码，同时提取投标文件制作电脑的网卡MAC地址、硬盘序列号、CPU 序列号、主板序列号和工具标识号，经加密生成文件制作机器码并在投标文件中记录。文件制作机器码一致表明不同供应商使用了同一设备编制投标文件，文件创建标识码一致表明不同供应商的投标文件为同一份文件，IP 地址一致表明上传投标文件时使用了相同的网络。</w:t>
      </w:r>
    </w:p>
    <w:p w14:paraId="27E49C1C">
      <w:pPr>
        <w:ind w:firstLine="480" w:firstLineChars="200"/>
        <w:rPr>
          <w:rFonts w:asciiTheme="minorEastAsia" w:hAnsiTheme="minorEastAsia" w:eastAsiaTheme="minorEastAsia" w:cstheme="minorEastAsia"/>
          <w:bCs/>
          <w:color w:val="FF0000"/>
          <w:sz w:val="24"/>
        </w:rPr>
      </w:pPr>
      <w:r>
        <w:rPr>
          <w:rFonts w:hint="eastAsia" w:asciiTheme="minorEastAsia" w:hAnsiTheme="minorEastAsia" w:eastAsiaTheme="minorEastAsia" w:cstheme="minorEastAsia"/>
          <w:bCs/>
          <w:color w:val="FF0000"/>
          <w:sz w:val="24"/>
        </w:rPr>
        <w:t>为避免出现不同供应商投标文件的文件制作机器码、文件创建标识码、IP 地址一致的异常情况，建议各供应商编制、上传投标文件时不要使用公共电脑设备或公共网络。</w:t>
      </w:r>
    </w:p>
    <w:p w14:paraId="4F1DDBB6">
      <w:pPr>
        <w:ind w:firstLine="480" w:firstLineChars="200"/>
        <w:rPr>
          <w:rFonts w:asciiTheme="minorEastAsia" w:hAnsiTheme="minorEastAsia" w:eastAsiaTheme="minorEastAsia" w:cstheme="minorEastAsia"/>
          <w:bCs/>
          <w:color w:val="FF0000"/>
          <w:sz w:val="24"/>
        </w:rPr>
      </w:pPr>
      <w:r>
        <w:rPr>
          <w:rFonts w:hint="eastAsia" w:asciiTheme="minorEastAsia" w:hAnsiTheme="minorEastAsia" w:eastAsiaTheme="minorEastAsia" w:cstheme="minorEastAsia"/>
          <w:bCs/>
          <w:color w:val="FF0000"/>
          <w:sz w:val="24"/>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密钥。</w:t>
      </w:r>
    </w:p>
    <w:p w14:paraId="56115274">
      <w:pPr>
        <w:pStyle w:val="43"/>
        <w:ind w:firstLine="480"/>
        <w:rPr>
          <w:rFonts w:asciiTheme="minorEastAsia" w:hAnsiTheme="minorEastAsia" w:eastAsiaTheme="minorEastAsia" w:cstheme="minorEastAsia"/>
          <w:bCs/>
          <w:color w:val="FF0000"/>
          <w:sz w:val="24"/>
        </w:rPr>
      </w:pPr>
    </w:p>
    <w:p w14:paraId="25695166">
      <w:pPr>
        <w:pStyle w:val="43"/>
        <w:ind w:firstLine="480"/>
        <w:rPr>
          <w:rFonts w:asciiTheme="minorEastAsia" w:hAnsiTheme="minorEastAsia" w:eastAsiaTheme="minorEastAsia" w:cstheme="minorEastAsia"/>
          <w:bCs/>
          <w:sz w:val="24"/>
        </w:rPr>
      </w:pPr>
    </w:p>
    <w:p w14:paraId="3574DC6C">
      <w:pPr>
        <w:pStyle w:val="43"/>
        <w:ind w:firstLine="480"/>
        <w:rPr>
          <w:rFonts w:asciiTheme="minorEastAsia" w:hAnsiTheme="minorEastAsia" w:eastAsiaTheme="minorEastAsia" w:cstheme="minorEastAsia"/>
          <w:bCs/>
          <w:color w:val="FF0000"/>
          <w:sz w:val="24"/>
        </w:rPr>
      </w:pPr>
    </w:p>
    <w:p w14:paraId="07DB9BDC">
      <w:pPr>
        <w:pStyle w:val="43"/>
        <w:ind w:firstLine="480"/>
        <w:rPr>
          <w:rFonts w:asciiTheme="minorEastAsia" w:hAnsiTheme="minorEastAsia" w:eastAsiaTheme="minorEastAsia" w:cstheme="minorEastAsia"/>
          <w:bCs/>
          <w:color w:val="FF0000"/>
          <w:sz w:val="24"/>
        </w:rPr>
      </w:pPr>
    </w:p>
    <w:p w14:paraId="1FC22241">
      <w:pPr>
        <w:pStyle w:val="43"/>
        <w:ind w:firstLine="480"/>
        <w:rPr>
          <w:rFonts w:asciiTheme="minorEastAsia" w:hAnsiTheme="minorEastAsia" w:eastAsiaTheme="minorEastAsia" w:cstheme="minorEastAsia"/>
          <w:bCs/>
          <w:color w:val="FF0000"/>
          <w:sz w:val="24"/>
        </w:rPr>
      </w:pPr>
    </w:p>
    <w:p w14:paraId="1250FC62">
      <w:pPr>
        <w:pStyle w:val="43"/>
        <w:ind w:firstLine="480"/>
        <w:rPr>
          <w:rFonts w:asciiTheme="minorEastAsia" w:hAnsiTheme="minorEastAsia" w:eastAsiaTheme="minorEastAsia" w:cstheme="minorEastAsia"/>
          <w:bCs/>
          <w:color w:val="FF0000"/>
          <w:sz w:val="24"/>
        </w:rPr>
      </w:pPr>
    </w:p>
    <w:p w14:paraId="29B81624">
      <w:pPr>
        <w:pStyle w:val="43"/>
        <w:ind w:firstLine="480"/>
        <w:rPr>
          <w:rFonts w:asciiTheme="minorEastAsia" w:hAnsiTheme="minorEastAsia" w:eastAsiaTheme="minorEastAsia" w:cstheme="minorEastAsia"/>
          <w:bCs/>
          <w:color w:val="FF0000"/>
          <w:sz w:val="24"/>
        </w:rPr>
      </w:pPr>
    </w:p>
    <w:p w14:paraId="4640361A">
      <w:pPr>
        <w:pStyle w:val="43"/>
        <w:ind w:firstLine="480"/>
        <w:rPr>
          <w:rFonts w:asciiTheme="minorEastAsia" w:hAnsiTheme="minorEastAsia" w:eastAsiaTheme="minorEastAsia" w:cstheme="minorEastAsia"/>
          <w:bCs/>
          <w:color w:val="FF0000"/>
          <w:sz w:val="24"/>
        </w:rPr>
      </w:pPr>
    </w:p>
    <w:p w14:paraId="002B0D80">
      <w:pPr>
        <w:pStyle w:val="43"/>
        <w:ind w:firstLine="480"/>
        <w:rPr>
          <w:rFonts w:asciiTheme="minorEastAsia" w:hAnsiTheme="minorEastAsia" w:eastAsiaTheme="minorEastAsia" w:cstheme="minorEastAsia"/>
          <w:bCs/>
          <w:color w:val="FF0000"/>
          <w:sz w:val="24"/>
        </w:rPr>
      </w:pPr>
    </w:p>
    <w:p w14:paraId="6C84714E">
      <w:pPr>
        <w:pStyle w:val="43"/>
        <w:ind w:firstLine="480"/>
        <w:rPr>
          <w:rFonts w:asciiTheme="minorEastAsia" w:hAnsiTheme="minorEastAsia" w:eastAsiaTheme="minorEastAsia" w:cstheme="minorEastAsia"/>
          <w:bCs/>
          <w:color w:val="FF0000"/>
          <w:sz w:val="24"/>
        </w:rPr>
      </w:pPr>
    </w:p>
    <w:p w14:paraId="364F7AD7">
      <w:pPr>
        <w:pStyle w:val="43"/>
        <w:ind w:firstLine="480"/>
        <w:rPr>
          <w:rFonts w:asciiTheme="minorEastAsia" w:hAnsiTheme="minorEastAsia" w:eastAsiaTheme="minorEastAsia" w:cstheme="minorEastAsia"/>
          <w:bCs/>
          <w:color w:val="FF0000"/>
          <w:sz w:val="24"/>
        </w:rPr>
      </w:pPr>
    </w:p>
    <w:p w14:paraId="07D1E753">
      <w:pPr>
        <w:pStyle w:val="43"/>
        <w:ind w:firstLine="480"/>
        <w:rPr>
          <w:rFonts w:asciiTheme="minorEastAsia" w:hAnsiTheme="minorEastAsia" w:eastAsiaTheme="minorEastAsia" w:cstheme="minorEastAsia"/>
          <w:bCs/>
          <w:color w:val="FF0000"/>
          <w:sz w:val="24"/>
        </w:rPr>
      </w:pPr>
    </w:p>
    <w:p w14:paraId="0E9DF539">
      <w:pPr>
        <w:pStyle w:val="43"/>
        <w:ind w:firstLine="480"/>
        <w:rPr>
          <w:rFonts w:asciiTheme="minorEastAsia" w:hAnsiTheme="minorEastAsia" w:eastAsiaTheme="minorEastAsia" w:cstheme="minorEastAsia"/>
          <w:bCs/>
          <w:color w:val="FF0000"/>
          <w:sz w:val="24"/>
        </w:rPr>
      </w:pPr>
    </w:p>
    <w:p w14:paraId="2B2C0802">
      <w:pPr>
        <w:pStyle w:val="43"/>
        <w:ind w:firstLine="480"/>
        <w:rPr>
          <w:rFonts w:asciiTheme="minorEastAsia" w:hAnsiTheme="minorEastAsia" w:eastAsiaTheme="minorEastAsia" w:cstheme="minorEastAsia"/>
          <w:bCs/>
          <w:color w:val="FF0000"/>
          <w:sz w:val="24"/>
        </w:rPr>
      </w:pPr>
    </w:p>
    <w:p w14:paraId="15EF8572">
      <w:pPr>
        <w:pStyle w:val="43"/>
        <w:ind w:firstLine="480"/>
        <w:rPr>
          <w:rFonts w:asciiTheme="minorEastAsia" w:hAnsiTheme="minorEastAsia" w:eastAsiaTheme="minorEastAsia" w:cstheme="minorEastAsia"/>
          <w:bCs/>
          <w:color w:val="FF0000"/>
          <w:sz w:val="24"/>
        </w:rPr>
      </w:pPr>
    </w:p>
    <w:p w14:paraId="2D532E52">
      <w:pPr>
        <w:pStyle w:val="43"/>
        <w:ind w:firstLine="480"/>
        <w:rPr>
          <w:rFonts w:asciiTheme="minorEastAsia" w:hAnsiTheme="minorEastAsia" w:eastAsiaTheme="minorEastAsia" w:cstheme="minorEastAsia"/>
          <w:bCs/>
          <w:color w:val="FF0000"/>
          <w:sz w:val="24"/>
        </w:rPr>
      </w:pPr>
    </w:p>
    <w:p w14:paraId="655A8D0C">
      <w:pPr>
        <w:pStyle w:val="43"/>
        <w:ind w:firstLine="480"/>
        <w:rPr>
          <w:rFonts w:asciiTheme="minorEastAsia" w:hAnsiTheme="minorEastAsia" w:eastAsiaTheme="minorEastAsia" w:cstheme="minorEastAsia"/>
          <w:bCs/>
          <w:color w:val="FF0000"/>
          <w:sz w:val="24"/>
        </w:rPr>
      </w:pPr>
    </w:p>
    <w:p w14:paraId="4CD97E8B">
      <w:pPr>
        <w:pStyle w:val="43"/>
        <w:ind w:firstLine="480"/>
        <w:rPr>
          <w:rFonts w:asciiTheme="minorEastAsia" w:hAnsiTheme="minorEastAsia" w:eastAsiaTheme="minorEastAsia" w:cstheme="minorEastAsia"/>
          <w:bCs/>
          <w:color w:val="FF0000"/>
          <w:sz w:val="24"/>
        </w:rPr>
      </w:pPr>
    </w:p>
    <w:p w14:paraId="6F945623">
      <w:pPr>
        <w:pStyle w:val="43"/>
        <w:ind w:firstLine="480"/>
        <w:rPr>
          <w:rFonts w:asciiTheme="minorEastAsia" w:hAnsiTheme="minorEastAsia" w:eastAsiaTheme="minorEastAsia" w:cstheme="minorEastAsia"/>
          <w:bCs/>
          <w:color w:val="FF0000"/>
          <w:sz w:val="24"/>
        </w:rPr>
      </w:pPr>
    </w:p>
    <w:p w14:paraId="4AF3A603">
      <w:pPr>
        <w:pStyle w:val="43"/>
        <w:ind w:firstLine="480"/>
        <w:rPr>
          <w:rFonts w:asciiTheme="minorEastAsia" w:hAnsiTheme="minorEastAsia" w:eastAsiaTheme="minorEastAsia" w:cstheme="minorEastAsia"/>
          <w:bCs/>
          <w:color w:val="FF0000"/>
          <w:sz w:val="24"/>
        </w:rPr>
      </w:pPr>
    </w:p>
    <w:p w14:paraId="1E8274B7">
      <w:pPr>
        <w:pStyle w:val="43"/>
        <w:ind w:firstLine="480"/>
        <w:rPr>
          <w:rFonts w:asciiTheme="minorEastAsia" w:hAnsiTheme="minorEastAsia" w:eastAsiaTheme="minorEastAsia" w:cstheme="minorEastAsia"/>
          <w:bCs/>
          <w:color w:val="FF0000"/>
          <w:sz w:val="24"/>
        </w:rPr>
      </w:pPr>
    </w:p>
    <w:p w14:paraId="6BBD3387">
      <w:pPr>
        <w:pStyle w:val="43"/>
        <w:ind w:firstLine="480"/>
        <w:rPr>
          <w:rFonts w:asciiTheme="minorEastAsia" w:hAnsiTheme="minorEastAsia" w:eastAsiaTheme="minorEastAsia" w:cstheme="minorEastAsia"/>
          <w:bCs/>
          <w:color w:val="FF0000"/>
          <w:sz w:val="24"/>
        </w:rPr>
      </w:pPr>
    </w:p>
    <w:p w14:paraId="034EF31D">
      <w:pPr>
        <w:pStyle w:val="3"/>
      </w:pPr>
      <w:r>
        <w:rPr>
          <w:rFonts w:hint="eastAsia"/>
        </w:rPr>
        <w:t>目  录</w:t>
      </w:r>
    </w:p>
    <w:p w14:paraId="1EBFC255">
      <w:pPr>
        <w:outlineLvl w:val="0"/>
        <w:rPr>
          <w:b/>
          <w:sz w:val="24"/>
        </w:rPr>
      </w:pPr>
      <w:r>
        <w:rPr>
          <w:rFonts w:hint="eastAsia"/>
          <w:b/>
          <w:sz w:val="24"/>
        </w:rPr>
        <w:t>第一册专用条款</w:t>
      </w:r>
    </w:p>
    <w:p w14:paraId="4F1C463F">
      <w:pPr>
        <w:rPr>
          <w:sz w:val="24"/>
        </w:rPr>
      </w:pPr>
      <w:r>
        <w:rPr>
          <w:rFonts w:hint="eastAsia"/>
          <w:sz w:val="24"/>
        </w:rPr>
        <w:t>关键信息</w:t>
      </w:r>
    </w:p>
    <w:p w14:paraId="0F5A114B">
      <w:pPr>
        <w:ind w:left="630" w:leftChars="300" w:firstLine="720" w:firstLineChars="300"/>
        <w:rPr>
          <w:rFonts w:ascii="宋体" w:hAnsi="宋体"/>
          <w:sz w:val="24"/>
        </w:rPr>
      </w:pPr>
      <w:r>
        <w:rPr>
          <w:rFonts w:hint="eastAsia" w:ascii="宋体" w:hAnsi="宋体"/>
          <w:sz w:val="24"/>
        </w:rPr>
        <w:t>第一章 招标公告</w:t>
      </w:r>
    </w:p>
    <w:p w14:paraId="074B95E4">
      <w:pPr>
        <w:ind w:left="630" w:leftChars="300" w:firstLine="720" w:firstLineChars="300"/>
        <w:rPr>
          <w:rFonts w:ascii="宋体" w:hAnsi="宋体"/>
          <w:sz w:val="24"/>
        </w:rPr>
      </w:pPr>
      <w:r>
        <w:rPr>
          <w:rFonts w:hint="eastAsia" w:ascii="宋体" w:hAnsi="宋体"/>
          <w:sz w:val="24"/>
        </w:rPr>
        <w:t>第二章</w:t>
      </w:r>
      <w:bookmarkStart w:id="4" w:name="_Hlk71994379"/>
      <w:r>
        <w:rPr>
          <w:rFonts w:hint="eastAsia" w:ascii="宋体" w:hAnsi="宋体"/>
          <w:sz w:val="24"/>
        </w:rPr>
        <w:t xml:space="preserve"> 对通用条款的补充内容及其他关键信息</w:t>
      </w:r>
      <w:bookmarkEnd w:id="4"/>
    </w:p>
    <w:p w14:paraId="7303C1E8">
      <w:pPr>
        <w:ind w:left="630" w:leftChars="300" w:firstLine="720" w:firstLineChars="300"/>
        <w:rPr>
          <w:rFonts w:ascii="宋体" w:hAnsi="宋体"/>
          <w:sz w:val="24"/>
        </w:rPr>
      </w:pPr>
      <w:r>
        <w:rPr>
          <w:rFonts w:hint="eastAsia" w:ascii="宋体" w:hAnsi="宋体"/>
          <w:sz w:val="24"/>
        </w:rPr>
        <w:t>第三章 用户需求书</w:t>
      </w:r>
    </w:p>
    <w:p w14:paraId="71CDCE45">
      <w:pPr>
        <w:ind w:left="630" w:leftChars="300" w:firstLine="720" w:firstLineChars="300"/>
        <w:rPr>
          <w:rFonts w:ascii="宋体" w:hAnsi="宋体"/>
          <w:sz w:val="24"/>
        </w:rPr>
      </w:pPr>
      <w:r>
        <w:rPr>
          <w:rFonts w:hint="eastAsia" w:ascii="宋体" w:hAnsi="宋体"/>
          <w:sz w:val="24"/>
        </w:rPr>
        <w:t>第四章 投标文件组成要求及格式</w:t>
      </w:r>
    </w:p>
    <w:p w14:paraId="15F2F947">
      <w:pPr>
        <w:ind w:left="630" w:leftChars="300" w:firstLine="720" w:firstLineChars="300"/>
        <w:rPr>
          <w:rFonts w:ascii="宋体" w:hAnsi="宋体"/>
          <w:sz w:val="24"/>
        </w:rPr>
      </w:pPr>
      <w:r>
        <w:rPr>
          <w:rFonts w:hint="eastAsia" w:ascii="宋体" w:hAnsi="宋体"/>
          <w:sz w:val="24"/>
        </w:rPr>
        <w:t>第五章 合同条款及格式</w:t>
      </w:r>
    </w:p>
    <w:p w14:paraId="3ACB7C5F">
      <w:pPr>
        <w:rPr>
          <w:b/>
          <w:sz w:val="24"/>
        </w:rPr>
      </w:pPr>
    </w:p>
    <w:p w14:paraId="1D0A5067">
      <w:pPr>
        <w:outlineLvl w:val="0"/>
        <w:rPr>
          <w:b/>
          <w:sz w:val="24"/>
        </w:rPr>
      </w:pPr>
      <w:r>
        <w:rPr>
          <w:rFonts w:hint="eastAsia"/>
          <w:b/>
          <w:sz w:val="24"/>
        </w:rPr>
        <w:t>第二册通用条款</w:t>
      </w:r>
    </w:p>
    <w:p w14:paraId="60D21A8F">
      <w:pPr>
        <w:ind w:left="630" w:leftChars="300" w:firstLine="470" w:firstLineChars="196"/>
        <w:rPr>
          <w:rFonts w:ascii="宋体" w:hAnsi="宋体"/>
          <w:sz w:val="24"/>
        </w:rPr>
      </w:pPr>
      <w:r>
        <w:rPr>
          <w:rFonts w:hint="eastAsia" w:ascii="宋体" w:hAnsi="宋体"/>
          <w:sz w:val="24"/>
        </w:rPr>
        <w:t>第一章 总则</w:t>
      </w:r>
    </w:p>
    <w:p w14:paraId="2EA23B98">
      <w:pPr>
        <w:ind w:left="630" w:leftChars="300" w:firstLine="470" w:firstLineChars="196"/>
        <w:rPr>
          <w:rFonts w:ascii="宋体" w:hAnsi="宋体"/>
          <w:sz w:val="24"/>
        </w:rPr>
      </w:pPr>
      <w:r>
        <w:rPr>
          <w:rFonts w:hint="eastAsia" w:ascii="宋体" w:hAnsi="宋体"/>
          <w:sz w:val="24"/>
        </w:rPr>
        <w:t>第二章 招标文件</w:t>
      </w:r>
    </w:p>
    <w:p w14:paraId="2AECBC24">
      <w:pPr>
        <w:ind w:left="630" w:leftChars="300" w:firstLine="470" w:firstLineChars="196"/>
        <w:rPr>
          <w:rFonts w:ascii="宋体" w:hAnsi="宋体"/>
          <w:sz w:val="24"/>
        </w:rPr>
      </w:pPr>
      <w:r>
        <w:rPr>
          <w:rFonts w:hint="eastAsia" w:ascii="宋体" w:hAnsi="宋体"/>
          <w:sz w:val="24"/>
        </w:rPr>
        <w:t>第三章 投标文件的编制</w:t>
      </w:r>
    </w:p>
    <w:p w14:paraId="13A8C457">
      <w:pPr>
        <w:ind w:left="630" w:leftChars="300" w:firstLine="470" w:firstLineChars="196"/>
        <w:rPr>
          <w:rFonts w:ascii="宋体" w:hAnsi="宋体"/>
          <w:sz w:val="24"/>
        </w:rPr>
      </w:pPr>
      <w:r>
        <w:rPr>
          <w:rFonts w:hint="eastAsia" w:ascii="宋体" w:hAnsi="宋体"/>
          <w:sz w:val="24"/>
        </w:rPr>
        <w:t>第四章 投标文件的递交</w:t>
      </w:r>
    </w:p>
    <w:p w14:paraId="1514EF70">
      <w:pPr>
        <w:ind w:left="630" w:leftChars="300" w:firstLine="470" w:firstLineChars="196"/>
        <w:rPr>
          <w:rFonts w:ascii="宋体" w:hAnsi="宋体"/>
          <w:sz w:val="24"/>
        </w:rPr>
      </w:pPr>
      <w:r>
        <w:rPr>
          <w:rFonts w:hint="eastAsia" w:ascii="宋体" w:hAnsi="宋体"/>
          <w:sz w:val="24"/>
        </w:rPr>
        <w:t>第五章 开标</w:t>
      </w:r>
    </w:p>
    <w:p w14:paraId="52A25420">
      <w:pPr>
        <w:ind w:left="630" w:leftChars="300" w:firstLine="470" w:firstLineChars="196"/>
        <w:rPr>
          <w:rFonts w:ascii="宋体" w:hAnsi="宋体"/>
          <w:sz w:val="24"/>
        </w:rPr>
      </w:pPr>
      <w:r>
        <w:rPr>
          <w:rFonts w:hint="eastAsia" w:ascii="宋体" w:hAnsi="宋体"/>
          <w:sz w:val="24"/>
        </w:rPr>
        <w:t>第六章 评审要求</w:t>
      </w:r>
    </w:p>
    <w:p w14:paraId="2DBEC12B">
      <w:pPr>
        <w:ind w:left="630" w:leftChars="300" w:firstLine="470" w:firstLineChars="196"/>
        <w:rPr>
          <w:rFonts w:ascii="宋体" w:hAnsi="宋体"/>
          <w:sz w:val="24"/>
        </w:rPr>
      </w:pPr>
      <w:r>
        <w:rPr>
          <w:rFonts w:hint="eastAsia" w:ascii="宋体" w:hAnsi="宋体"/>
          <w:sz w:val="24"/>
        </w:rPr>
        <w:t>第七章 评审程序及评审方法</w:t>
      </w:r>
    </w:p>
    <w:p w14:paraId="65911E02">
      <w:pPr>
        <w:ind w:left="630" w:leftChars="300" w:firstLine="470" w:firstLineChars="196"/>
        <w:rPr>
          <w:rFonts w:ascii="宋体" w:hAnsi="宋体"/>
          <w:sz w:val="24"/>
        </w:rPr>
      </w:pPr>
      <w:r>
        <w:rPr>
          <w:rFonts w:hint="eastAsia" w:ascii="宋体" w:hAnsi="宋体"/>
          <w:sz w:val="24"/>
        </w:rPr>
        <w:t>第八章 定标及公示</w:t>
      </w:r>
    </w:p>
    <w:p w14:paraId="081903E7">
      <w:pPr>
        <w:ind w:left="630" w:leftChars="300" w:firstLine="470" w:firstLineChars="196"/>
        <w:rPr>
          <w:rFonts w:ascii="宋体" w:hAnsi="宋体"/>
          <w:sz w:val="24"/>
        </w:rPr>
      </w:pPr>
      <w:r>
        <w:rPr>
          <w:rFonts w:hint="eastAsia" w:ascii="宋体" w:hAnsi="宋体"/>
          <w:sz w:val="24"/>
        </w:rPr>
        <w:t>第九章 公开招标失败的后续处理</w:t>
      </w:r>
    </w:p>
    <w:p w14:paraId="05DB6A5E">
      <w:pPr>
        <w:ind w:left="630" w:leftChars="300" w:firstLine="470" w:firstLineChars="196"/>
        <w:rPr>
          <w:rFonts w:ascii="宋体" w:hAnsi="宋体"/>
          <w:sz w:val="24"/>
        </w:rPr>
      </w:pPr>
      <w:r>
        <w:rPr>
          <w:rFonts w:hint="eastAsia" w:ascii="宋体" w:hAnsi="宋体"/>
          <w:sz w:val="24"/>
        </w:rPr>
        <w:t>第十章 合同的授予与备案</w:t>
      </w:r>
    </w:p>
    <w:p w14:paraId="4609862A">
      <w:pPr>
        <w:ind w:firstLine="1200" w:firstLineChars="500"/>
        <w:outlineLvl w:val="0"/>
        <w:rPr>
          <w:b/>
          <w:sz w:val="24"/>
        </w:rPr>
      </w:pPr>
      <w:r>
        <w:rPr>
          <w:rFonts w:hint="eastAsia" w:ascii="宋体" w:hAnsi="宋体"/>
          <w:sz w:val="24"/>
        </w:rPr>
        <w:t>第十一章 质疑处理</w:t>
      </w:r>
    </w:p>
    <w:p w14:paraId="4FF66C28">
      <w:pPr>
        <w:spacing w:line="360" w:lineRule="auto"/>
        <w:ind w:firstLine="480" w:firstLineChars="200"/>
        <w:jc w:val="left"/>
        <w:rPr>
          <w:rFonts w:ascii="宋体" w:hAnsi="宋体"/>
          <w:sz w:val="24"/>
        </w:rPr>
      </w:pPr>
    </w:p>
    <w:p w14:paraId="472197BF">
      <w:pPr>
        <w:pStyle w:val="3"/>
        <w:rPr>
          <w:sz w:val="24"/>
        </w:rPr>
      </w:pPr>
      <w:r>
        <w:br w:type="page"/>
      </w:r>
      <w:bookmarkStart w:id="5" w:name="bt其他资料2"/>
      <w:bookmarkEnd w:id="5"/>
      <w:bookmarkStart w:id="6" w:name="bt商务标投标文件格式"/>
      <w:bookmarkEnd w:id="6"/>
      <w:bookmarkStart w:id="7" w:name="bt投标文件签署授权委托书"/>
      <w:bookmarkEnd w:id="7"/>
      <w:bookmarkStart w:id="8" w:name="bt合同格式"/>
      <w:bookmarkEnd w:id="8"/>
      <w:bookmarkStart w:id="9" w:name="bt合同条款"/>
      <w:bookmarkEnd w:id="9"/>
      <w:bookmarkStart w:id="10" w:name="bt其他资料由投标人自定"/>
      <w:bookmarkEnd w:id="10"/>
      <w:bookmarkStart w:id="11" w:name="bt投标函"/>
      <w:bookmarkEnd w:id="11"/>
      <w:bookmarkStart w:id="12" w:name="bt技术标投标文件格式"/>
      <w:bookmarkEnd w:id="12"/>
      <w:bookmarkStart w:id="13" w:name="bt投标报价汇总表"/>
      <w:bookmarkEnd w:id="13"/>
      <w:bookmarkStart w:id="14" w:name="bt项目管理班子配备情况"/>
      <w:bookmarkEnd w:id="14"/>
      <w:bookmarkStart w:id="15" w:name="bt投标人情况介绍"/>
      <w:bookmarkEnd w:id="15"/>
      <w:bookmarkStart w:id="16" w:name="bt合同条款及格式"/>
      <w:bookmarkEnd w:id="16"/>
      <w:bookmarkStart w:id="17" w:name="bt投标人须知"/>
      <w:bookmarkEnd w:id="17"/>
      <w:bookmarkStart w:id="18" w:name="bt本工程承诺书"/>
      <w:bookmarkEnd w:id="18"/>
      <w:bookmarkStart w:id="19" w:name="合同格式"/>
      <w:bookmarkEnd w:id="19"/>
      <w:bookmarkStart w:id="20" w:name="bt说明"/>
      <w:bookmarkEnd w:id="20"/>
      <w:bookmarkStart w:id="21" w:name="bt开标一览表"/>
      <w:bookmarkEnd w:id="21"/>
      <w:r>
        <w:rPr>
          <w:rFonts w:hint="eastAsia"/>
        </w:rPr>
        <w:t>第一册 专用条款</w:t>
      </w:r>
    </w:p>
    <w:p w14:paraId="24966B51">
      <w:pPr>
        <w:pStyle w:val="6"/>
      </w:pPr>
      <w:r>
        <w:rPr>
          <w:rFonts w:hint="eastAsia"/>
        </w:rPr>
        <w:t>第一章 招标公告</w:t>
      </w:r>
    </w:p>
    <w:tbl>
      <w:tblPr>
        <w:tblStyle w:val="44"/>
        <w:tblW w:w="8147" w:type="dxa"/>
        <w:jc w:val="center"/>
        <w:tblCellSpacing w:w="0" w:type="dxa"/>
        <w:tblLayout w:type="fixed"/>
        <w:tblCellMar>
          <w:top w:w="0" w:type="dxa"/>
          <w:left w:w="0" w:type="dxa"/>
          <w:bottom w:w="0" w:type="dxa"/>
          <w:right w:w="0" w:type="dxa"/>
        </w:tblCellMar>
      </w:tblPr>
      <w:tblGrid>
        <w:gridCol w:w="8147"/>
      </w:tblGrid>
      <w:tr w14:paraId="1F1806AD">
        <w:tblPrEx>
          <w:tblCellMar>
            <w:top w:w="0" w:type="dxa"/>
            <w:left w:w="0" w:type="dxa"/>
            <w:bottom w:w="0" w:type="dxa"/>
            <w:right w:w="0" w:type="dxa"/>
          </w:tblCellMar>
        </w:tblPrEx>
        <w:trPr>
          <w:tblCellSpacing w:w="0" w:type="dxa"/>
          <w:jc w:val="center"/>
        </w:trPr>
        <w:tc>
          <w:tcPr>
            <w:tcW w:w="8147" w:type="dxa"/>
            <w:vAlign w:val="center"/>
          </w:tcPr>
          <w:tbl>
            <w:tblPr>
              <w:tblStyle w:val="44"/>
              <w:tblW w:w="8147" w:type="dxa"/>
              <w:jc w:val="center"/>
              <w:tblCellSpacing w:w="0" w:type="dxa"/>
              <w:tblLayout w:type="fixed"/>
              <w:tblCellMar>
                <w:top w:w="30" w:type="dxa"/>
                <w:left w:w="30" w:type="dxa"/>
                <w:bottom w:w="30" w:type="dxa"/>
                <w:right w:w="30" w:type="dxa"/>
              </w:tblCellMar>
            </w:tblPr>
            <w:tblGrid>
              <w:gridCol w:w="8147"/>
            </w:tblGrid>
            <w:tr w14:paraId="669C64E8">
              <w:tblPrEx>
                <w:tblCellMar>
                  <w:top w:w="30" w:type="dxa"/>
                  <w:left w:w="30" w:type="dxa"/>
                  <w:bottom w:w="30" w:type="dxa"/>
                  <w:right w:w="30" w:type="dxa"/>
                </w:tblCellMar>
              </w:tblPrEx>
              <w:trPr>
                <w:tblCellSpacing w:w="0" w:type="dxa"/>
                <w:jc w:val="center"/>
              </w:trPr>
              <w:tc>
                <w:tcPr>
                  <w:tcW w:w="8147" w:type="dxa"/>
                </w:tcPr>
                <w:p w14:paraId="1972495E">
                  <w:pPr>
                    <w:rPr>
                      <w:rFonts w:ascii="宋体" w:hAnsi="宋体" w:cs="宋体"/>
                      <w:b/>
                      <w:bCs/>
                      <w:kern w:val="0"/>
                      <w:sz w:val="24"/>
                    </w:rPr>
                  </w:pPr>
                  <w:r>
                    <w:rPr>
                      <w:rFonts w:hint="eastAsia" w:ascii="宋体" w:hAnsi="宋体" w:cs="宋体"/>
                      <w:b/>
                      <w:bCs/>
                      <w:kern w:val="0"/>
                      <w:sz w:val="24"/>
                    </w:rPr>
                    <w:t>申请人的资格要求：</w:t>
                  </w:r>
                </w:p>
                <w:p w14:paraId="0F61ABF4">
                  <w:pPr>
                    <w:ind w:firstLine="480" w:firstLineChars="200"/>
                    <w:rPr>
                      <w:rFonts w:ascii="宋体" w:hAnsi="宋体" w:cs="宋体"/>
                      <w:kern w:val="0"/>
                      <w:sz w:val="24"/>
                    </w:rPr>
                  </w:pPr>
                  <w:r>
                    <w:rPr>
                      <w:rFonts w:hint="eastAsia" w:ascii="宋体" w:hAnsi="宋体" w:cs="宋体"/>
                      <w:kern w:val="0"/>
                      <w:sz w:val="24"/>
                    </w:rPr>
                    <w:t>1.具有独立承担民事责任的能力（提供营业执照或事业单位法人证书等证明资料扫描件，原件备查）；</w:t>
                  </w:r>
                </w:p>
                <w:p w14:paraId="784CA4D9">
                  <w:pPr>
                    <w:ind w:firstLine="480" w:firstLineChars="200"/>
                    <w:rPr>
                      <w:rFonts w:ascii="宋体" w:hAnsi="宋体" w:cs="宋体"/>
                      <w:color w:val="FF0000"/>
                      <w:kern w:val="0"/>
                      <w:sz w:val="24"/>
                    </w:rPr>
                  </w:pPr>
                  <w:r>
                    <w:rPr>
                      <w:rFonts w:hint="eastAsia" w:ascii="宋体" w:hAnsi="宋体" w:cs="宋体"/>
                      <w:kern w:val="0"/>
                      <w:sz w:val="24"/>
                    </w:rPr>
                    <w:t>2.本项目</w:t>
                  </w:r>
                  <w:r>
                    <w:rPr>
                      <w:rFonts w:ascii="宋体" w:hAnsi="宋体" w:cs="宋体"/>
                      <w:kern w:val="0"/>
                      <w:sz w:val="24"/>
                    </w:rPr>
                    <w:t>不</w:t>
                  </w:r>
                  <w:r>
                    <w:rPr>
                      <w:rFonts w:hint="eastAsia" w:ascii="宋体" w:hAnsi="宋体" w:cs="宋体"/>
                      <w:kern w:val="0"/>
                      <w:sz w:val="24"/>
                    </w:rPr>
                    <w:t>接受联合体投标</w:t>
                  </w:r>
                  <w:r>
                    <w:rPr>
                      <w:rFonts w:hint="eastAsia"/>
                    </w:rPr>
                    <w:t>，</w:t>
                  </w:r>
                  <w:r>
                    <w:rPr>
                      <w:rFonts w:hint="eastAsia" w:ascii="宋体" w:hAnsi="宋体" w:cs="宋体"/>
                      <w:kern w:val="0"/>
                      <w:sz w:val="24"/>
                    </w:rPr>
                    <w:t>不接受投标人选用进口产品参与投标</w:t>
                  </w:r>
                  <w:r>
                    <w:rPr>
                      <w:rFonts w:hint="eastAsia" w:ascii="宋体" w:hAnsi="宋体" w:cs="宋体"/>
                      <w:color w:val="FF0000"/>
                      <w:kern w:val="0"/>
                      <w:sz w:val="24"/>
                    </w:rPr>
                    <w:t>；</w:t>
                  </w:r>
                </w:p>
                <w:p w14:paraId="2F753550">
                  <w:pPr>
                    <w:ind w:firstLine="480" w:firstLineChars="200"/>
                    <w:rPr>
                      <w:rFonts w:ascii="宋体" w:hAnsi="宋体" w:cs="宋体"/>
                      <w:kern w:val="0"/>
                      <w:sz w:val="24"/>
                    </w:rPr>
                  </w:pPr>
                  <w:r>
                    <w:rPr>
                      <w:rFonts w:hint="eastAsia" w:ascii="宋体" w:hAnsi="宋体" w:cs="宋体"/>
                      <w:kern w:val="0"/>
                      <w:sz w:val="24"/>
                    </w:rPr>
                    <w:t>3.参与本项目政府采购活动时不存在被有关部门禁止参与政府采购活动且在有效期内的情况（由供应商在《政府采购投标及履约承诺函》中作出声明）；</w:t>
                  </w:r>
                </w:p>
                <w:p w14:paraId="14206D6C">
                  <w:pPr>
                    <w:ind w:firstLine="480" w:firstLineChars="200"/>
                    <w:rPr>
                      <w:rFonts w:ascii="宋体" w:hAnsi="宋体" w:cs="宋体"/>
                      <w:kern w:val="0"/>
                      <w:sz w:val="24"/>
                    </w:rPr>
                  </w:pPr>
                  <w:r>
                    <w:rPr>
                      <w:rFonts w:hint="eastAsia" w:ascii="宋体" w:hAnsi="宋体" w:cs="宋体"/>
                      <w:kern w:val="0"/>
                      <w:sz w:val="24"/>
                    </w:rPr>
                    <w:t>4.具备《中华人民共和国政府采购法》第二十二条第一款的条件（由供应商在《政府采购投标及履约承诺函》中作出声明）；</w:t>
                  </w:r>
                </w:p>
                <w:p w14:paraId="39B8FC08">
                  <w:pPr>
                    <w:ind w:firstLine="480" w:firstLineChars="200"/>
                    <w:rPr>
                      <w:rFonts w:ascii="宋体" w:hAnsi="宋体" w:cs="宋体"/>
                      <w:kern w:val="0"/>
                      <w:sz w:val="24"/>
                    </w:rPr>
                  </w:pPr>
                  <w:r>
                    <w:rPr>
                      <w:rFonts w:hint="eastAsia" w:ascii="宋体" w:hAnsi="宋体" w:cs="宋体"/>
                      <w:kern w:val="0"/>
                      <w:sz w:val="24"/>
                    </w:rPr>
                    <w:t>5.未被列入失信被执行人、重大税收违法失信主体、政府采购严重违法失信行为记录名单（由供应商在《政府采购投标及履约承诺函》中作出声明）；</w:t>
                  </w:r>
                </w:p>
                <w:p w14:paraId="4B77880E">
                  <w:pPr>
                    <w:ind w:firstLine="480" w:firstLineChars="200"/>
                    <w:rPr>
                      <w:rFonts w:ascii="宋体" w:hAnsi="宋体" w:cs="宋体"/>
                      <w:kern w:val="0"/>
                      <w:sz w:val="24"/>
                    </w:rPr>
                  </w:pPr>
                  <w:r>
                    <w:rPr>
                      <w:rFonts w:hint="eastAsia" w:ascii="宋体" w:hAnsi="宋体" w:cs="宋体"/>
                      <w:color w:val="FF0000"/>
                      <w:kern w:val="0"/>
                      <w:sz w:val="24"/>
                    </w:rPr>
                    <w:t>6.不存在《深圳市财政局政府采购供应商信用信息管理办法》（深财规〔2023〕3号）列明的严重违法失信行为（由供应商在《政府采购投标及履约承诺函》中作出声明）；</w:t>
                  </w:r>
                </w:p>
                <w:p w14:paraId="10F41C12">
                  <w:pPr>
                    <w:ind w:firstLine="480" w:firstLineChars="200"/>
                    <w:rPr>
                      <w:rFonts w:ascii="宋体" w:hAnsi="宋体" w:cs="宋体"/>
                      <w:kern w:val="0"/>
                      <w:sz w:val="24"/>
                    </w:rPr>
                  </w:pPr>
                  <w:r>
                    <w:rPr>
                      <w:rFonts w:hint="eastAsia" w:ascii="宋体" w:hAnsi="宋体" w:cs="宋体"/>
                      <w:kern w:val="0"/>
                      <w:sz w:val="24"/>
                    </w:rPr>
                    <w:t>7.单位负责人为同一人或者存在直接控股、管理关系的不同供应商，不得参加同一合同项下的政府采购活动；为采购项目提供整体设计、规范编制或者项目管理、监理、检测等服务的供应商，不得再参加该采购项目的其他采购活动（在《政府采购投标及履约承诺函》中作出声明）；</w:t>
                  </w:r>
                </w:p>
                <w:p w14:paraId="2D82BC5C">
                  <w:pPr>
                    <w:ind w:firstLine="480" w:firstLineChars="200"/>
                    <w:rPr>
                      <w:rFonts w:ascii="宋体" w:hAnsi="宋体" w:cs="宋体"/>
                      <w:kern w:val="0"/>
                      <w:sz w:val="24"/>
                    </w:rPr>
                  </w:pPr>
                  <w:r>
                    <w:rPr>
                      <w:rFonts w:hint="eastAsia" w:ascii="宋体" w:hAnsi="宋体" w:cs="宋体"/>
                      <w:kern w:val="0"/>
                      <w:sz w:val="24"/>
                    </w:rPr>
                    <w:t>8.本项目是（否）专门面向中小企业采购：否。</w:t>
                  </w:r>
                </w:p>
                <w:p w14:paraId="4F40FE2F">
                  <w:pPr>
                    <w:wordWrap w:val="0"/>
                    <w:ind w:firstLine="480" w:firstLineChars="200"/>
                    <w:rPr>
                      <w:rFonts w:ascii="宋体" w:hAnsi="宋体" w:cs="宋体"/>
                      <w:kern w:val="0"/>
                      <w:sz w:val="24"/>
                    </w:rPr>
                  </w:pPr>
                  <w:r>
                    <w:rPr>
                      <w:rFonts w:hint="eastAsia" w:ascii="宋体" w:hAnsi="宋体" w:cs="宋体"/>
                      <w:kern w:val="0"/>
                      <w:sz w:val="24"/>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14:paraId="4A7E1D42">
                  <w:pPr>
                    <w:ind w:firstLine="480" w:firstLineChars="200"/>
                    <w:rPr>
                      <w:rFonts w:ascii="宋体" w:hAnsi="宋体"/>
                      <w:sz w:val="24"/>
                    </w:rPr>
                  </w:pPr>
                  <w:r>
                    <w:rPr>
                      <w:rFonts w:hint="eastAsia" w:ascii="宋体" w:hAnsi="宋体"/>
                      <w:sz w:val="24"/>
                    </w:rPr>
                    <w:t>（2）供应商投标（上传投标文件）必须先行办理注册手续，具体请按照本公告“六、其他补充事宜</w:t>
                  </w:r>
                  <w:r>
                    <w:rPr>
                      <w:rFonts w:ascii="宋体" w:hAnsi="宋体"/>
                      <w:sz w:val="24"/>
                    </w:rPr>
                    <w:t>”</w:t>
                  </w:r>
                  <w:r>
                    <w:rPr>
                      <w:rFonts w:hint="eastAsia" w:ascii="宋体" w:hAnsi="宋体"/>
                      <w:sz w:val="24"/>
                    </w:rPr>
                    <w:t>相关内容指引办理。</w:t>
                  </w:r>
                </w:p>
                <w:p w14:paraId="7167631F">
                  <w:pPr>
                    <w:ind w:firstLine="480" w:firstLineChars="200"/>
                    <w:rPr>
                      <w:rFonts w:ascii="宋体" w:hAnsi="宋体" w:cs="宋体"/>
                      <w:kern w:val="0"/>
                      <w:sz w:val="24"/>
                    </w:rPr>
                  </w:pPr>
                </w:p>
                <w:p w14:paraId="0BB749ED">
                  <w:pPr>
                    <w:ind w:firstLine="482" w:firstLineChars="200"/>
                    <w:rPr>
                      <w:rFonts w:ascii="宋体" w:hAnsi="宋体" w:cs="宋体"/>
                      <w:sz w:val="24"/>
                    </w:rPr>
                  </w:pPr>
                  <w:r>
                    <w:rPr>
                      <w:rFonts w:hint="eastAsia" w:ascii="宋体" w:hAnsi="宋体" w:cs="宋体"/>
                      <w:b/>
                      <w:sz w:val="24"/>
                    </w:rPr>
                    <w:t>完整公告内容详见：深圳公共资源交易网（https://www.szggzy.com）</w:t>
                  </w:r>
                </w:p>
              </w:tc>
            </w:tr>
          </w:tbl>
          <w:p w14:paraId="4529C7C5">
            <w:pPr>
              <w:rPr>
                <w:rFonts w:ascii="宋体" w:hAnsi="宋体" w:cs="宋体"/>
                <w:sz w:val="24"/>
              </w:rPr>
            </w:pPr>
          </w:p>
        </w:tc>
      </w:tr>
    </w:tbl>
    <w:p w14:paraId="60AE4CFF">
      <w:r>
        <w:rPr>
          <w:rFonts w:hint="eastAsia"/>
        </w:rPr>
        <w:br w:type="page"/>
      </w:r>
    </w:p>
    <w:p w14:paraId="2B4FD0E5">
      <w:pPr>
        <w:pStyle w:val="6"/>
        <w:rPr>
          <w:sz w:val="28"/>
          <w:szCs w:val="28"/>
        </w:rPr>
      </w:pPr>
      <w:r>
        <w:rPr>
          <w:rFonts w:hint="eastAsia"/>
          <w:sz w:val="28"/>
          <w:szCs w:val="28"/>
        </w:rPr>
        <w:t>第二章对通用条款的补充内容及其他关键信息</w:t>
      </w:r>
    </w:p>
    <w:p w14:paraId="0820731A">
      <w:pPr>
        <w:pStyle w:val="6"/>
        <w:spacing w:before="120" w:beforeLines="50" w:after="120" w:afterLines="50"/>
        <w:rPr>
          <w:sz w:val="28"/>
          <w:szCs w:val="28"/>
        </w:rPr>
      </w:pPr>
      <w:bookmarkStart w:id="22" w:name="_Toc73521547"/>
      <w:bookmarkStart w:id="23" w:name="_Toc73521635"/>
      <w:bookmarkStart w:id="24" w:name="_Toc60631620"/>
      <w:bookmarkStart w:id="25" w:name="_Toc73517639"/>
      <w:bookmarkStart w:id="26" w:name="_Toc100052364"/>
      <w:bookmarkStart w:id="27" w:name="_Toc60560625"/>
      <w:bookmarkStart w:id="28" w:name="_Toc101074876"/>
      <w:bookmarkStart w:id="29" w:name="_Toc73518117"/>
      <w:r>
        <w:rPr>
          <w:rFonts w:hint="eastAsia"/>
          <w:szCs w:val="24"/>
        </w:rPr>
        <w:t>一、对通用条款的补充内容</w:t>
      </w:r>
    </w:p>
    <w:bookmarkEnd w:id="22"/>
    <w:bookmarkEnd w:id="23"/>
    <w:bookmarkEnd w:id="24"/>
    <w:bookmarkEnd w:id="25"/>
    <w:bookmarkEnd w:id="26"/>
    <w:bookmarkEnd w:id="27"/>
    <w:bookmarkEnd w:id="28"/>
    <w:bookmarkEnd w:id="29"/>
    <w:tbl>
      <w:tblPr>
        <w:tblStyle w:val="44"/>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8"/>
        <w:gridCol w:w="2409"/>
        <w:gridCol w:w="4980"/>
      </w:tblGrid>
      <w:tr w14:paraId="00E6B4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8063358">
            <w:pPr>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通用条款序号</w:t>
            </w:r>
          </w:p>
        </w:tc>
        <w:tc>
          <w:tcPr>
            <w:tcW w:w="2409" w:type="dxa"/>
            <w:vAlign w:val="center"/>
          </w:tcPr>
          <w:p w14:paraId="06C03E17">
            <w:pPr>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涉及事项</w:t>
            </w:r>
          </w:p>
        </w:tc>
        <w:tc>
          <w:tcPr>
            <w:tcW w:w="4980" w:type="dxa"/>
            <w:vAlign w:val="center"/>
          </w:tcPr>
          <w:p w14:paraId="2478E779">
            <w:pPr>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具体补充内容</w:t>
            </w:r>
          </w:p>
        </w:tc>
      </w:tr>
      <w:tr w14:paraId="040B49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7788E99">
            <w:pPr>
              <w:jc w:val="center"/>
              <w:rPr>
                <w:rFonts w:asciiTheme="minorEastAsia" w:hAnsiTheme="minorEastAsia" w:eastAsiaTheme="minorEastAsia" w:cstheme="minorEastAsia"/>
                <w:sz w:val="24"/>
              </w:rPr>
            </w:pPr>
            <w:r>
              <w:rPr>
                <w:rFonts w:hint="eastAsia" w:ascii="宋体" w:hAnsi="宋体" w:cs="宋体"/>
                <w:sz w:val="24"/>
              </w:rPr>
              <w:t>3.1</w:t>
            </w:r>
          </w:p>
        </w:tc>
        <w:tc>
          <w:tcPr>
            <w:tcW w:w="2409" w:type="dxa"/>
            <w:vAlign w:val="center"/>
          </w:tcPr>
          <w:p w14:paraId="650955CA">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采购人</w:t>
            </w:r>
          </w:p>
        </w:tc>
        <w:tc>
          <w:tcPr>
            <w:tcW w:w="4980" w:type="dxa"/>
            <w:vAlign w:val="center"/>
          </w:tcPr>
          <w:p w14:paraId="1B8184EA">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深圳市龙岗中心医院</w:t>
            </w:r>
          </w:p>
        </w:tc>
      </w:tr>
      <w:tr w14:paraId="5D1904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86DB0CE">
            <w:pPr>
              <w:jc w:val="center"/>
              <w:rPr>
                <w:rFonts w:asciiTheme="minorEastAsia" w:hAnsiTheme="minorEastAsia" w:eastAsiaTheme="minorEastAsia" w:cstheme="minorEastAsia"/>
                <w:sz w:val="24"/>
              </w:rPr>
            </w:pPr>
            <w:r>
              <w:rPr>
                <w:rFonts w:hint="eastAsia" w:ascii="宋体" w:hAnsi="宋体" w:cs="宋体"/>
                <w:sz w:val="24"/>
              </w:rPr>
              <w:t>3.2</w:t>
            </w:r>
          </w:p>
        </w:tc>
        <w:tc>
          <w:tcPr>
            <w:tcW w:w="2409" w:type="dxa"/>
            <w:vAlign w:val="center"/>
          </w:tcPr>
          <w:p w14:paraId="3F89D2E0">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政府集中采购机构</w:t>
            </w:r>
          </w:p>
        </w:tc>
        <w:tc>
          <w:tcPr>
            <w:tcW w:w="4980" w:type="dxa"/>
            <w:vAlign w:val="center"/>
          </w:tcPr>
          <w:p w14:paraId="47B86959">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深圳公共资源交易中心</w:t>
            </w:r>
          </w:p>
          <w:p w14:paraId="3FEF982B">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（深圳交易集团有限公司</w:t>
            </w:r>
            <w:r>
              <w:rPr>
                <w:rFonts w:hint="eastAsia" w:asciiTheme="minorEastAsia" w:hAnsiTheme="minorEastAsia" w:eastAsiaTheme="minorEastAsia" w:cstheme="minorEastAsia"/>
                <w:kern w:val="0"/>
                <w:sz w:val="24"/>
              </w:rPr>
              <w:t>龙岗</w:t>
            </w:r>
            <w:r>
              <w:rPr>
                <w:rFonts w:hint="eastAsia" w:asciiTheme="minorEastAsia" w:hAnsiTheme="minorEastAsia" w:eastAsiaTheme="minorEastAsia" w:cstheme="minorEastAsia"/>
                <w:sz w:val="24"/>
              </w:rPr>
              <w:t>分公司）</w:t>
            </w:r>
          </w:p>
        </w:tc>
      </w:tr>
      <w:tr w14:paraId="5EB8A9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61D8D67">
            <w:pPr>
              <w:jc w:val="center"/>
              <w:rPr>
                <w:rFonts w:asciiTheme="minorEastAsia" w:hAnsiTheme="minorEastAsia" w:eastAsiaTheme="minorEastAsia" w:cstheme="minorEastAsia"/>
                <w:sz w:val="24"/>
              </w:rPr>
            </w:pPr>
            <w:r>
              <w:rPr>
                <w:rFonts w:hint="eastAsia" w:ascii="宋体" w:hAnsi="宋体" w:cs="宋体"/>
                <w:sz w:val="24"/>
              </w:rPr>
              <w:t>5.3</w:t>
            </w:r>
          </w:p>
        </w:tc>
        <w:tc>
          <w:tcPr>
            <w:tcW w:w="2409" w:type="dxa"/>
            <w:vAlign w:val="center"/>
          </w:tcPr>
          <w:p w14:paraId="5779DCA4">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联合体投标</w:t>
            </w:r>
          </w:p>
        </w:tc>
        <w:tc>
          <w:tcPr>
            <w:tcW w:w="4980" w:type="dxa"/>
            <w:vAlign w:val="center"/>
          </w:tcPr>
          <w:p w14:paraId="2AF0D0D0">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不</w:t>
            </w:r>
            <w:r>
              <w:rPr>
                <w:rFonts w:hint="eastAsia" w:asciiTheme="minorEastAsia" w:hAnsiTheme="minorEastAsia" w:eastAsiaTheme="minorEastAsia" w:cstheme="minorEastAsia"/>
                <w:sz w:val="24"/>
              </w:rPr>
              <w:t>接受</w:t>
            </w:r>
          </w:p>
        </w:tc>
      </w:tr>
      <w:tr w14:paraId="034983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E492803">
            <w:pPr>
              <w:jc w:val="center"/>
              <w:rPr>
                <w:rFonts w:asciiTheme="minorEastAsia" w:hAnsiTheme="minorEastAsia" w:eastAsiaTheme="minorEastAsia" w:cstheme="minorEastAsia"/>
                <w:sz w:val="24"/>
              </w:rPr>
            </w:pPr>
            <w:r>
              <w:rPr>
                <w:rFonts w:hint="eastAsia" w:ascii="宋体" w:hAnsi="宋体" w:cs="宋体"/>
                <w:sz w:val="24"/>
              </w:rPr>
              <w:t>9</w:t>
            </w:r>
          </w:p>
        </w:tc>
        <w:tc>
          <w:tcPr>
            <w:tcW w:w="2409" w:type="dxa"/>
            <w:vAlign w:val="center"/>
          </w:tcPr>
          <w:p w14:paraId="5EDDA795">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踏勘现场</w:t>
            </w:r>
          </w:p>
        </w:tc>
        <w:tc>
          <w:tcPr>
            <w:tcW w:w="4980" w:type="dxa"/>
            <w:vAlign w:val="center"/>
          </w:tcPr>
          <w:p w14:paraId="2110B711">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不组织</w:t>
            </w:r>
          </w:p>
        </w:tc>
      </w:tr>
      <w:tr w14:paraId="3C23A1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68C7F84">
            <w:pPr>
              <w:jc w:val="center"/>
              <w:rPr>
                <w:rFonts w:asciiTheme="minorEastAsia" w:hAnsiTheme="minorEastAsia" w:eastAsiaTheme="minorEastAsia" w:cstheme="minorEastAsia"/>
                <w:sz w:val="24"/>
              </w:rPr>
            </w:pPr>
            <w:r>
              <w:rPr>
                <w:rFonts w:hint="eastAsia" w:ascii="宋体" w:hAnsi="宋体" w:cs="宋体"/>
                <w:sz w:val="24"/>
              </w:rPr>
              <w:t>10</w:t>
            </w:r>
          </w:p>
        </w:tc>
        <w:tc>
          <w:tcPr>
            <w:tcW w:w="2409" w:type="dxa"/>
            <w:vAlign w:val="center"/>
          </w:tcPr>
          <w:p w14:paraId="37AFA53A">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标前会议</w:t>
            </w:r>
          </w:p>
        </w:tc>
        <w:tc>
          <w:tcPr>
            <w:tcW w:w="4980" w:type="dxa"/>
            <w:vAlign w:val="center"/>
          </w:tcPr>
          <w:p w14:paraId="11F84B79">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不组织</w:t>
            </w:r>
          </w:p>
        </w:tc>
      </w:tr>
      <w:tr w14:paraId="2AFB07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FB74B30">
            <w:pPr>
              <w:jc w:val="center"/>
              <w:rPr>
                <w:rFonts w:asciiTheme="minorEastAsia" w:hAnsiTheme="minorEastAsia" w:eastAsiaTheme="minorEastAsia" w:cstheme="minorEastAsia"/>
                <w:sz w:val="24"/>
              </w:rPr>
            </w:pPr>
            <w:r>
              <w:rPr>
                <w:rFonts w:hint="eastAsia" w:ascii="宋体" w:hAnsi="宋体" w:cs="宋体"/>
                <w:sz w:val="24"/>
              </w:rPr>
              <w:t>12/13</w:t>
            </w:r>
          </w:p>
        </w:tc>
        <w:tc>
          <w:tcPr>
            <w:tcW w:w="2409" w:type="dxa"/>
            <w:vAlign w:val="center"/>
          </w:tcPr>
          <w:p w14:paraId="73DCCC55">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招标文件的澄清和修改</w:t>
            </w:r>
          </w:p>
        </w:tc>
        <w:tc>
          <w:tcPr>
            <w:tcW w:w="4980" w:type="dxa"/>
            <w:vAlign w:val="center"/>
          </w:tcPr>
          <w:p w14:paraId="4A0B0E42">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不晚于投标截止日三日前，投标人有义务在招标期间在政府集中采购机构网站浏览与本项目有关的澄清和修改信息</w:t>
            </w:r>
          </w:p>
        </w:tc>
      </w:tr>
      <w:tr w14:paraId="40F3DD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DFABCBC">
            <w:pPr>
              <w:jc w:val="center"/>
              <w:rPr>
                <w:rFonts w:asciiTheme="minorEastAsia" w:hAnsiTheme="minorEastAsia" w:eastAsiaTheme="minorEastAsia" w:cstheme="minorEastAsia"/>
                <w:sz w:val="24"/>
              </w:rPr>
            </w:pPr>
            <w:r>
              <w:rPr>
                <w:rFonts w:hint="eastAsia" w:ascii="宋体" w:hAnsi="宋体" w:cs="宋体"/>
                <w:sz w:val="24"/>
              </w:rPr>
              <w:t>20</w:t>
            </w:r>
          </w:p>
        </w:tc>
        <w:tc>
          <w:tcPr>
            <w:tcW w:w="2409" w:type="dxa"/>
            <w:vAlign w:val="center"/>
          </w:tcPr>
          <w:p w14:paraId="3B4D29D5">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投标有效期</w:t>
            </w:r>
          </w:p>
        </w:tc>
        <w:tc>
          <w:tcPr>
            <w:tcW w:w="4980" w:type="dxa"/>
            <w:vAlign w:val="center"/>
          </w:tcPr>
          <w:p w14:paraId="5CBE352E">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120个日历日</w:t>
            </w:r>
          </w:p>
        </w:tc>
      </w:tr>
      <w:tr w14:paraId="156296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B4EEE9A">
            <w:pPr>
              <w:jc w:val="center"/>
              <w:rPr>
                <w:rFonts w:asciiTheme="minorEastAsia" w:hAnsiTheme="minorEastAsia" w:eastAsiaTheme="minorEastAsia" w:cstheme="minorEastAsia"/>
                <w:sz w:val="24"/>
              </w:rPr>
            </w:pPr>
            <w:r>
              <w:rPr>
                <w:rFonts w:hint="eastAsia" w:ascii="宋体" w:hAnsi="宋体" w:cs="宋体"/>
                <w:sz w:val="24"/>
              </w:rPr>
              <w:t>22</w:t>
            </w:r>
          </w:p>
        </w:tc>
        <w:tc>
          <w:tcPr>
            <w:tcW w:w="2409" w:type="dxa"/>
            <w:vAlign w:val="center"/>
          </w:tcPr>
          <w:p w14:paraId="00EAD559">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投标人的替代方案</w:t>
            </w:r>
          </w:p>
        </w:tc>
        <w:tc>
          <w:tcPr>
            <w:tcW w:w="4980" w:type="dxa"/>
            <w:vAlign w:val="center"/>
          </w:tcPr>
          <w:p w14:paraId="46231A25">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不接受</w:t>
            </w:r>
          </w:p>
        </w:tc>
      </w:tr>
      <w:tr w14:paraId="7597F7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9B61741">
            <w:pPr>
              <w:jc w:val="center"/>
              <w:rPr>
                <w:rFonts w:asciiTheme="minorEastAsia" w:hAnsiTheme="minorEastAsia" w:eastAsiaTheme="minorEastAsia" w:cstheme="minorEastAsia"/>
                <w:sz w:val="24"/>
              </w:rPr>
            </w:pPr>
            <w:r>
              <w:rPr>
                <w:rFonts w:hint="eastAsia" w:ascii="宋体" w:hAnsi="宋体" w:cs="宋体"/>
                <w:sz w:val="24"/>
              </w:rPr>
              <w:t>25</w:t>
            </w:r>
          </w:p>
        </w:tc>
        <w:tc>
          <w:tcPr>
            <w:tcW w:w="2409" w:type="dxa"/>
            <w:vAlign w:val="center"/>
          </w:tcPr>
          <w:p w14:paraId="48754F0A">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投标文件的大小</w:t>
            </w:r>
          </w:p>
        </w:tc>
        <w:tc>
          <w:tcPr>
            <w:tcW w:w="4980" w:type="dxa"/>
            <w:vAlign w:val="center"/>
          </w:tcPr>
          <w:p w14:paraId="57B7B9C1">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highlight w:val="yellow"/>
              </w:rPr>
              <w:t>投标文件大小不得超过100MB</w:t>
            </w:r>
          </w:p>
        </w:tc>
      </w:tr>
      <w:tr w14:paraId="1CC436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F31A19F">
            <w:pPr>
              <w:jc w:val="center"/>
              <w:rPr>
                <w:rFonts w:asciiTheme="minorEastAsia" w:hAnsiTheme="minorEastAsia" w:eastAsiaTheme="minorEastAsia" w:cstheme="minorEastAsia"/>
                <w:sz w:val="24"/>
              </w:rPr>
            </w:pPr>
            <w:r>
              <w:rPr>
                <w:rFonts w:hint="eastAsia" w:ascii="宋体" w:hAnsi="宋体" w:cs="宋体"/>
                <w:sz w:val="24"/>
              </w:rPr>
              <w:t>26</w:t>
            </w:r>
          </w:p>
        </w:tc>
        <w:tc>
          <w:tcPr>
            <w:tcW w:w="2409" w:type="dxa"/>
            <w:vAlign w:val="center"/>
          </w:tcPr>
          <w:p w14:paraId="4D5C6122">
            <w:pPr>
              <w:jc w:val="center"/>
              <w:rPr>
                <w:rFonts w:asciiTheme="minorEastAsia" w:hAnsiTheme="minorEastAsia" w:eastAsiaTheme="minorEastAsia" w:cstheme="minorEastAsia"/>
                <w:sz w:val="24"/>
              </w:rPr>
            </w:pPr>
            <w:bookmarkStart w:id="30" w:name="_Hlk71664860"/>
            <w:r>
              <w:rPr>
                <w:rFonts w:hint="eastAsia" w:asciiTheme="minorEastAsia" w:hAnsiTheme="minorEastAsia" w:eastAsiaTheme="minorEastAsia" w:cstheme="minorEastAsia"/>
                <w:sz w:val="24"/>
              </w:rPr>
              <w:t>样品、现场演示、方案讲解</w:t>
            </w:r>
            <w:bookmarkEnd w:id="30"/>
          </w:p>
        </w:tc>
        <w:tc>
          <w:tcPr>
            <w:tcW w:w="4980" w:type="dxa"/>
            <w:vAlign w:val="center"/>
          </w:tcPr>
          <w:p w14:paraId="142025B8">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无</w:t>
            </w:r>
          </w:p>
        </w:tc>
      </w:tr>
      <w:tr w14:paraId="04C8E6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6EF406D">
            <w:pPr>
              <w:jc w:val="center"/>
              <w:rPr>
                <w:rFonts w:asciiTheme="minorEastAsia" w:hAnsiTheme="minorEastAsia" w:eastAsiaTheme="minorEastAsia" w:cstheme="minorEastAsia"/>
                <w:sz w:val="24"/>
              </w:rPr>
            </w:pPr>
            <w:r>
              <w:rPr>
                <w:rFonts w:hint="eastAsia" w:ascii="宋体" w:hAnsi="宋体" w:cs="宋体"/>
                <w:sz w:val="24"/>
              </w:rPr>
              <w:t>37</w:t>
            </w:r>
          </w:p>
        </w:tc>
        <w:tc>
          <w:tcPr>
            <w:tcW w:w="2409" w:type="dxa"/>
            <w:vAlign w:val="center"/>
          </w:tcPr>
          <w:p w14:paraId="3F7D430A">
            <w:pPr>
              <w:jc w:val="center"/>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评审方法</w:t>
            </w:r>
          </w:p>
        </w:tc>
        <w:tc>
          <w:tcPr>
            <w:tcW w:w="4980" w:type="dxa"/>
            <w:vAlign w:val="center"/>
          </w:tcPr>
          <w:p w14:paraId="717BC837">
            <w:pPr>
              <w:jc w:val="center"/>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综合评分法</w:t>
            </w:r>
          </w:p>
        </w:tc>
      </w:tr>
      <w:tr w14:paraId="615F0F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9ED49A8">
            <w:pPr>
              <w:jc w:val="center"/>
              <w:rPr>
                <w:rFonts w:asciiTheme="minorEastAsia" w:hAnsiTheme="minorEastAsia" w:eastAsiaTheme="minorEastAsia" w:cstheme="minorEastAsia"/>
                <w:sz w:val="24"/>
              </w:rPr>
            </w:pPr>
            <w:r>
              <w:rPr>
                <w:rFonts w:hint="eastAsia" w:ascii="宋体" w:hAnsi="宋体" w:cs="宋体"/>
                <w:sz w:val="24"/>
              </w:rPr>
              <w:t>38</w:t>
            </w:r>
          </w:p>
        </w:tc>
        <w:tc>
          <w:tcPr>
            <w:tcW w:w="2409" w:type="dxa"/>
            <w:vAlign w:val="center"/>
          </w:tcPr>
          <w:p w14:paraId="7CBFC062">
            <w:pPr>
              <w:jc w:val="center"/>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定标方法</w:t>
            </w:r>
          </w:p>
        </w:tc>
        <w:tc>
          <w:tcPr>
            <w:tcW w:w="4980" w:type="dxa"/>
            <w:vAlign w:val="center"/>
          </w:tcPr>
          <w:p w14:paraId="303C708D">
            <w:pPr>
              <w:jc w:val="center"/>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非评定分离</w:t>
            </w:r>
          </w:p>
        </w:tc>
      </w:tr>
      <w:tr w14:paraId="7B3513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AF75D17">
            <w:pPr>
              <w:jc w:val="center"/>
              <w:rPr>
                <w:rFonts w:asciiTheme="minorEastAsia" w:hAnsiTheme="minorEastAsia" w:eastAsiaTheme="minorEastAsia" w:cstheme="minorEastAsia"/>
                <w:sz w:val="24"/>
              </w:rPr>
            </w:pPr>
            <w:r>
              <w:rPr>
                <w:rFonts w:hint="eastAsia" w:ascii="宋体" w:hAnsi="宋体" w:cs="宋体"/>
                <w:sz w:val="24"/>
              </w:rPr>
              <w:t>46</w:t>
            </w:r>
          </w:p>
        </w:tc>
        <w:tc>
          <w:tcPr>
            <w:tcW w:w="2409" w:type="dxa"/>
            <w:vAlign w:val="center"/>
          </w:tcPr>
          <w:p w14:paraId="6E010689">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履约担保</w:t>
            </w:r>
          </w:p>
        </w:tc>
        <w:tc>
          <w:tcPr>
            <w:tcW w:w="4980" w:type="dxa"/>
            <w:vAlign w:val="center"/>
          </w:tcPr>
          <w:p w14:paraId="035FB4F6">
            <w:pPr>
              <w:pStyle w:val="17"/>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不需要</w:t>
            </w:r>
          </w:p>
        </w:tc>
      </w:tr>
    </w:tbl>
    <w:p w14:paraId="4C171F1D">
      <w:pPr>
        <w:rPr>
          <w:rFonts w:ascii="宋体" w:hAnsi="宋体" w:cs="宋体"/>
          <w:b/>
          <w:sz w:val="24"/>
        </w:rPr>
      </w:pPr>
      <w:r>
        <w:rPr>
          <w:rFonts w:hint="eastAsia" w:ascii="宋体" w:hAnsi="宋体" w:cs="宋体"/>
          <w:sz w:val="24"/>
        </w:rPr>
        <w:t>备注：本表是通用条款相关条款的补充和明确，如与通用条款内容相冲突的，以本表为准。</w:t>
      </w:r>
    </w:p>
    <w:p w14:paraId="508A0359">
      <w:pPr>
        <w:rPr>
          <w:rFonts w:ascii="宋体" w:hAnsi="宋体" w:cs="宋体"/>
          <w:b/>
          <w:sz w:val="24"/>
        </w:rPr>
      </w:pPr>
    </w:p>
    <w:p w14:paraId="72F8233D">
      <w:pPr>
        <w:pStyle w:val="6"/>
        <w:spacing w:before="120" w:beforeLines="50" w:after="120" w:afterLines="50"/>
        <w:rPr>
          <w:rFonts w:cs="宋体"/>
          <w:szCs w:val="24"/>
        </w:rPr>
      </w:pPr>
      <w:r>
        <w:rPr>
          <w:rFonts w:hint="eastAsia" w:cs="宋体"/>
          <w:szCs w:val="24"/>
        </w:rPr>
        <w:t>二、其他关键信息</w:t>
      </w:r>
    </w:p>
    <w:p w14:paraId="771EF203">
      <w:pPr>
        <w:ind w:firstLine="482" w:firstLineChars="200"/>
        <w:rPr>
          <w:rFonts w:ascii="宋体" w:hAnsi="宋体" w:cs="宋体"/>
          <w:b/>
          <w:bCs/>
          <w:sz w:val="24"/>
        </w:rPr>
      </w:pPr>
      <w:r>
        <w:rPr>
          <w:rFonts w:hint="eastAsia" w:ascii="宋体" w:hAnsi="宋体" w:cs="宋体"/>
          <w:b/>
          <w:bCs/>
          <w:sz w:val="24"/>
        </w:rPr>
        <w:t>（一）与“对通用条款的补充内容”章节相关的事项</w:t>
      </w:r>
    </w:p>
    <w:p w14:paraId="02C18CA8">
      <w:pPr>
        <w:ind w:firstLine="482" w:firstLineChars="200"/>
        <w:jc w:val="left"/>
        <w:rPr>
          <w:rFonts w:ascii="宋体" w:hAnsi="宋体" w:cs="宋体"/>
          <w:b/>
          <w:kern w:val="0"/>
          <w:sz w:val="24"/>
        </w:rPr>
      </w:pPr>
      <w:bookmarkStart w:id="31" w:name="_Hlk72579465"/>
      <w:r>
        <w:rPr>
          <w:rFonts w:hint="eastAsia" w:ascii="宋体" w:hAnsi="宋体" w:cs="宋体"/>
          <w:b/>
          <w:kern w:val="0"/>
          <w:sz w:val="24"/>
        </w:rPr>
        <w:t>1、评标定标信息</w:t>
      </w:r>
    </w:p>
    <w:p w14:paraId="69852202">
      <w:pPr>
        <w:ind w:firstLine="482" w:firstLineChars="200"/>
        <w:jc w:val="center"/>
        <w:rPr>
          <w:rFonts w:ascii="宋体" w:hAnsi="宋体" w:cs="宋体"/>
          <w:b/>
          <w:bCs/>
          <w:sz w:val="24"/>
        </w:rPr>
      </w:pPr>
      <w:r>
        <w:rPr>
          <w:rFonts w:hint="eastAsia" w:ascii="宋体" w:hAnsi="宋体" w:cs="宋体"/>
          <w:b/>
          <w:bCs/>
          <w:sz w:val="24"/>
        </w:rPr>
        <w:t>非评定分离项目</w:t>
      </w:r>
    </w:p>
    <w:tbl>
      <w:tblPr>
        <w:tblStyle w:val="45"/>
        <w:tblW w:w="8075" w:type="dxa"/>
        <w:tblInd w:w="3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4"/>
        <w:gridCol w:w="4151"/>
      </w:tblGrid>
      <w:tr w14:paraId="6C994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4" w:type="dxa"/>
          </w:tcPr>
          <w:p w14:paraId="44A13E42">
            <w:pPr>
              <w:ind w:firstLine="480" w:firstLineChars="200"/>
              <w:jc w:val="center"/>
              <w:rPr>
                <w:rFonts w:ascii="宋体" w:hAnsi="宋体" w:cs="宋体"/>
                <w:sz w:val="24"/>
              </w:rPr>
            </w:pPr>
            <w:bookmarkStart w:id="32" w:name="_Hlk74239733"/>
            <w:r>
              <w:rPr>
                <w:rFonts w:hint="eastAsia" w:ascii="宋体" w:hAnsi="宋体" w:cs="宋体"/>
                <w:sz w:val="24"/>
              </w:rPr>
              <w:t>评标方法</w:t>
            </w:r>
          </w:p>
        </w:tc>
        <w:tc>
          <w:tcPr>
            <w:tcW w:w="4151" w:type="dxa"/>
          </w:tcPr>
          <w:p w14:paraId="6A9B7FD0">
            <w:pPr>
              <w:ind w:firstLine="480" w:firstLineChars="200"/>
              <w:jc w:val="center"/>
              <w:rPr>
                <w:rFonts w:ascii="宋体" w:hAnsi="宋体" w:cs="宋体"/>
                <w:sz w:val="24"/>
              </w:rPr>
            </w:pPr>
            <w:r>
              <w:rPr>
                <w:rFonts w:hint="eastAsia" w:ascii="宋体" w:hAnsi="宋体" w:cs="宋体"/>
                <w:sz w:val="24"/>
              </w:rPr>
              <w:t>综合评分法</w:t>
            </w:r>
          </w:p>
        </w:tc>
      </w:tr>
      <w:tr w14:paraId="3CEC6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4" w:type="dxa"/>
          </w:tcPr>
          <w:p w14:paraId="1CB340E8">
            <w:pPr>
              <w:ind w:firstLine="480" w:firstLineChars="200"/>
              <w:jc w:val="center"/>
              <w:rPr>
                <w:rFonts w:ascii="宋体" w:hAnsi="宋体" w:cs="宋体"/>
                <w:sz w:val="24"/>
              </w:rPr>
            </w:pPr>
            <w:r>
              <w:rPr>
                <w:rFonts w:hint="eastAsia" w:ascii="宋体" w:hAnsi="宋体" w:cs="宋体"/>
                <w:sz w:val="24"/>
              </w:rPr>
              <w:t>候选中标供应商家数</w:t>
            </w:r>
          </w:p>
        </w:tc>
        <w:tc>
          <w:tcPr>
            <w:tcW w:w="4151" w:type="dxa"/>
          </w:tcPr>
          <w:p w14:paraId="1CB7C1D7">
            <w:pPr>
              <w:ind w:firstLine="480" w:firstLineChars="200"/>
              <w:jc w:val="center"/>
              <w:rPr>
                <w:rFonts w:ascii="宋体" w:hAnsi="宋体" w:cs="宋体"/>
                <w:sz w:val="24"/>
              </w:rPr>
            </w:pPr>
            <w:r>
              <w:rPr>
                <w:rFonts w:hint="eastAsia" w:ascii="宋体" w:hAnsi="宋体" w:cs="宋体"/>
                <w:sz w:val="24"/>
              </w:rPr>
              <w:t>3</w:t>
            </w:r>
          </w:p>
        </w:tc>
      </w:tr>
      <w:tr w14:paraId="5086E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4" w:type="dxa"/>
          </w:tcPr>
          <w:p w14:paraId="67639ADB">
            <w:pPr>
              <w:ind w:firstLine="480" w:firstLineChars="200"/>
              <w:jc w:val="center"/>
              <w:rPr>
                <w:rFonts w:ascii="宋体" w:hAnsi="宋体" w:cs="宋体"/>
                <w:sz w:val="24"/>
              </w:rPr>
            </w:pPr>
            <w:r>
              <w:rPr>
                <w:rFonts w:hint="eastAsia" w:ascii="宋体" w:hAnsi="宋体" w:cs="宋体"/>
                <w:sz w:val="24"/>
              </w:rPr>
              <w:t>中标供应商家数</w:t>
            </w:r>
          </w:p>
        </w:tc>
        <w:tc>
          <w:tcPr>
            <w:tcW w:w="4151" w:type="dxa"/>
          </w:tcPr>
          <w:p w14:paraId="30A68221">
            <w:pPr>
              <w:ind w:firstLine="480" w:firstLineChars="200"/>
              <w:jc w:val="center"/>
              <w:rPr>
                <w:rFonts w:ascii="宋体" w:hAnsi="宋体" w:cs="宋体"/>
                <w:sz w:val="24"/>
              </w:rPr>
            </w:pPr>
            <w:r>
              <w:rPr>
                <w:rFonts w:hint="eastAsia" w:ascii="宋体" w:hAnsi="宋体" w:cs="宋体"/>
                <w:sz w:val="24"/>
              </w:rPr>
              <w:t>1</w:t>
            </w:r>
          </w:p>
        </w:tc>
      </w:tr>
      <w:bookmarkEnd w:id="31"/>
      <w:bookmarkEnd w:id="32"/>
    </w:tbl>
    <w:p w14:paraId="50072D6B">
      <w:pPr>
        <w:rPr>
          <w:rFonts w:ascii="宋体" w:hAnsi="宋体" w:cs="宋体"/>
          <w:b/>
          <w:sz w:val="24"/>
        </w:rPr>
      </w:pPr>
    </w:p>
    <w:p w14:paraId="25A8742C">
      <w:pPr>
        <w:ind w:firstLine="482" w:firstLineChars="200"/>
        <w:rPr>
          <w:rFonts w:ascii="宋体" w:hAnsi="宋体" w:cs="宋体"/>
          <w:b/>
          <w:sz w:val="24"/>
        </w:rPr>
      </w:pPr>
      <w:r>
        <w:rPr>
          <w:rFonts w:hint="eastAsia" w:ascii="宋体" w:hAnsi="宋体" w:cs="宋体"/>
          <w:b/>
          <w:sz w:val="24"/>
        </w:rPr>
        <w:t>（二）其他事项</w:t>
      </w:r>
    </w:p>
    <w:p w14:paraId="08E29E8F">
      <w:pPr>
        <w:ind w:firstLine="480" w:firstLineChars="200"/>
        <w:rPr>
          <w:rFonts w:ascii="宋体" w:hAnsi="宋体" w:cs="宋体"/>
          <w:sz w:val="24"/>
        </w:rPr>
      </w:pPr>
      <w:r>
        <w:rPr>
          <w:rFonts w:hint="eastAsia" w:ascii="宋体" w:hAnsi="宋体" w:cs="宋体"/>
          <w:sz w:val="24"/>
        </w:rPr>
        <w:t>1、关于享受优惠政策的主体及价格扣除比例</w:t>
      </w:r>
    </w:p>
    <w:p w14:paraId="10EC134F">
      <w:pPr>
        <w:ind w:firstLine="480" w:firstLineChars="200"/>
        <w:rPr>
          <w:rFonts w:ascii="宋体" w:hAnsi="宋体" w:cs="宋体"/>
          <w:sz w:val="24"/>
        </w:rPr>
      </w:pPr>
      <w:r>
        <w:rPr>
          <w:rFonts w:hint="eastAsia" w:ascii="宋体" w:hAnsi="宋体" w:cs="宋体"/>
          <w:sz w:val="24"/>
        </w:rPr>
        <w:t>（1）非专门面向中小企业采购的项目，应执行价格扣除比例：供应商提供的服务全部由优惠主体承接，则对其投标总价给予</w:t>
      </w:r>
      <w:r>
        <w:rPr>
          <w:rFonts w:hint="eastAsia" w:ascii="宋体" w:hAnsi="宋体" w:cs="宋体"/>
          <w:sz w:val="24"/>
          <w:u w:val="single"/>
        </w:rPr>
        <w:t xml:space="preserve"> </w:t>
      </w:r>
      <w:r>
        <w:rPr>
          <w:rFonts w:hint="eastAsia" w:ascii="宋体" w:hAnsi="宋体" w:cs="宋体"/>
          <w:color w:val="FF0000"/>
          <w:sz w:val="24"/>
          <w:u w:val="single"/>
        </w:rPr>
        <w:t xml:space="preserve"> 10  </w:t>
      </w:r>
      <w:r>
        <w:rPr>
          <w:rFonts w:hint="eastAsia" w:ascii="宋体" w:hAnsi="宋体" w:cs="宋体"/>
          <w:sz w:val="24"/>
        </w:rPr>
        <w:t>%的扣除，用扣除后的价格参与评审。满足多项优惠政策的企业，不重复享受多项价格扣除政策。</w:t>
      </w:r>
    </w:p>
    <w:p w14:paraId="4DFF3B16">
      <w:pPr>
        <w:ind w:firstLine="480" w:firstLineChars="200"/>
        <w:rPr>
          <w:rFonts w:ascii="宋体" w:hAnsi="宋体" w:cs="宋体"/>
          <w:sz w:val="24"/>
        </w:rPr>
      </w:pPr>
      <w:r>
        <w:rPr>
          <w:rFonts w:hint="eastAsia" w:ascii="宋体" w:hAnsi="宋体" w:cs="宋体"/>
          <w:sz w:val="24"/>
        </w:rPr>
        <w:t>备注：（a）享受价格扣除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优惠主体承接是指提供服务的人员为中小企业依照《中华人民共和国劳动合同法》订立劳动合同的从业人员。</w:t>
      </w:r>
    </w:p>
    <w:p w14:paraId="60B1F8D8">
      <w:pPr>
        <w:ind w:firstLine="480" w:firstLineChars="200"/>
        <w:rPr>
          <w:rFonts w:ascii="宋体" w:hAnsi="宋体" w:cs="宋体"/>
          <w:sz w:val="24"/>
        </w:rPr>
      </w:pPr>
      <w:r>
        <w:rPr>
          <w:rFonts w:hint="eastAsia" w:ascii="宋体" w:hAnsi="宋体" w:cs="宋体"/>
          <w:sz w:val="24"/>
        </w:rPr>
        <w:t>（2）中小企业参加政府采购活动，应当按照国务院批准的《中小企业划型标准规定》（工信部联企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hint="eastAsia" w:ascii="宋体" w:hAnsi="宋体" w:cs="宋体"/>
          <w:b/>
          <w:bCs/>
          <w:color w:val="FF0000"/>
          <w:sz w:val="24"/>
        </w:rPr>
        <w:t>《中小企业声明函》中相关企业所属行业应当与采购标的所属行业相一致。</w:t>
      </w:r>
      <w:r>
        <w:rPr>
          <w:rFonts w:hint="eastAsia" w:ascii="宋体" w:hAnsi="宋体" w:cs="宋体"/>
          <w:sz w:val="24"/>
        </w:rPr>
        <w:t>本项目采购标的（</w:t>
      </w:r>
      <w:r>
        <w:rPr>
          <w:rFonts w:hint="eastAsia" w:ascii="宋体" w:hAnsi="宋体" w:cs="宋体"/>
          <w:color w:val="FF0000"/>
          <w:sz w:val="24"/>
        </w:rPr>
        <w:t>龙岗区社康机构移动支付系统服务项目</w:t>
      </w:r>
      <w:r>
        <w:rPr>
          <w:rFonts w:hint="eastAsia" w:ascii="宋体" w:hAnsi="宋体" w:cs="宋体"/>
          <w:sz w:val="24"/>
        </w:rPr>
        <w:t>）对应的中小企业划分标准所属行业为</w:t>
      </w:r>
      <w:r>
        <w:rPr>
          <w:rFonts w:hint="eastAsia" w:ascii="宋体" w:hAnsi="宋体" w:cs="宋体"/>
          <w:color w:val="FF0000"/>
          <w:sz w:val="24"/>
          <w:u w:val="single"/>
        </w:rPr>
        <w:t>软件和信息技术服务业</w:t>
      </w:r>
      <w:r>
        <w:rPr>
          <w:rFonts w:hint="eastAsia" w:ascii="宋体" w:hAnsi="宋体" w:cs="宋体"/>
          <w:sz w:val="24"/>
        </w:rPr>
        <w:t>。</w:t>
      </w:r>
    </w:p>
    <w:p w14:paraId="056301A8">
      <w:pPr>
        <w:ind w:firstLine="480" w:firstLineChars="200"/>
        <w:rPr>
          <w:rFonts w:ascii="宋体" w:hAnsi="宋体" w:cs="宋体"/>
          <w:sz w:val="24"/>
        </w:rPr>
      </w:pPr>
      <w:r>
        <w:rPr>
          <w:rFonts w:hint="eastAsia" w:ascii="宋体" w:hAnsi="宋体" w:cs="宋体"/>
          <w:sz w:val="24"/>
        </w:rPr>
        <w:t>（3）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四章 “投标文件组成要求及格式”中“投标人情况及资格证明文件”章节提供的格式）。</w:t>
      </w:r>
    </w:p>
    <w:p w14:paraId="1245EE95">
      <w:pPr>
        <w:ind w:firstLine="480" w:firstLineChars="200"/>
        <w:rPr>
          <w:rFonts w:ascii="宋体" w:hAnsi="宋体" w:cs="宋体"/>
          <w:sz w:val="24"/>
        </w:rPr>
      </w:pPr>
      <w:r>
        <w:rPr>
          <w:rFonts w:hint="eastAsia" w:ascii="宋体" w:hAnsi="宋体" w:cs="宋体"/>
          <w:sz w:val="24"/>
        </w:rPr>
        <w:t>（4）享受价格扣除获得政府采购合同的，小微企业不得将合同分包给大中型企业。</w:t>
      </w:r>
    </w:p>
    <w:p w14:paraId="38C291A9">
      <w:pPr>
        <w:pageBreakBefore w:val="0"/>
        <w:kinsoku/>
        <w:wordWrap/>
        <w:overflowPunct/>
        <w:topLinePunct w:val="0"/>
        <w:autoSpaceDE/>
        <w:autoSpaceDN/>
        <w:bidi w:val="0"/>
        <w:snapToGrid/>
        <w:spacing w:line="240" w:lineRule="auto"/>
        <w:ind w:firstLine="482" w:firstLineChars="200"/>
        <w:rPr>
          <w:rFonts w:hint="eastAsia" w:ascii="宋体" w:hAnsi="宋体" w:eastAsia="宋体" w:cs="宋体"/>
          <w:b/>
          <w:bCs/>
          <w:color w:val="FF0000"/>
          <w:sz w:val="24"/>
          <w:szCs w:val="24"/>
          <w:lang w:eastAsia="zh-CN"/>
        </w:rPr>
      </w:pPr>
      <w:bookmarkStart w:id="33" w:name="_Hlk72594729"/>
      <w:bookmarkStart w:id="34" w:name="_Hlk76855768"/>
      <w:r>
        <w:rPr>
          <w:rFonts w:hint="eastAsia" w:ascii="宋体" w:hAnsi="宋体" w:cs="宋体"/>
          <w:b/>
          <w:bCs/>
          <w:sz w:val="24"/>
        </w:rPr>
        <w:t>2</w:t>
      </w:r>
      <w:r>
        <w:rPr>
          <w:rFonts w:hint="eastAsia" w:ascii="宋体" w:hAnsi="宋体" w:eastAsia="宋体" w:cs="宋体"/>
          <w:b/>
          <w:bCs/>
          <w:sz w:val="24"/>
          <w:szCs w:val="24"/>
        </w:rPr>
        <w:t>、</w:t>
      </w:r>
      <w:r>
        <w:rPr>
          <w:rFonts w:hint="eastAsia" w:ascii="宋体" w:hAnsi="宋体" w:eastAsia="宋体" w:cs="宋体"/>
          <w:b/>
          <w:color w:val="FF0000"/>
          <w:sz w:val="24"/>
          <w:szCs w:val="24"/>
        </w:rPr>
        <w:t>本项目向中标供应商收取代理服务费</w:t>
      </w:r>
      <w:r>
        <w:rPr>
          <w:rFonts w:hint="eastAsia" w:ascii="宋体" w:hAnsi="宋体" w:eastAsia="宋体" w:cs="宋体"/>
          <w:b/>
          <w:color w:val="FF0000"/>
          <w:sz w:val="24"/>
          <w:szCs w:val="24"/>
          <w:lang w:eastAsia="zh-CN"/>
        </w:rPr>
        <w:t>。</w:t>
      </w:r>
    </w:p>
    <w:p w14:paraId="3C2F0A70">
      <w:pPr>
        <w:pageBreakBefore w:val="0"/>
        <w:kinsoku/>
        <w:wordWrap/>
        <w:overflowPunct/>
        <w:topLinePunct w:val="0"/>
        <w:autoSpaceDE/>
        <w:autoSpaceDN/>
        <w:bidi w:val="0"/>
        <w:snapToGrid/>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中标供应商在领取《中标通知书》之前须向深圳公共资源交易中心（深圳交易集团有限公司</w:t>
      </w:r>
      <w:r>
        <w:rPr>
          <w:rFonts w:hint="eastAsia" w:ascii="宋体" w:hAnsi="宋体" w:eastAsia="宋体" w:cs="宋体"/>
          <w:sz w:val="24"/>
          <w:szCs w:val="24"/>
          <w:lang w:val="en-US" w:eastAsia="zh-CN"/>
        </w:rPr>
        <w:t>龙岗</w:t>
      </w:r>
      <w:r>
        <w:rPr>
          <w:rFonts w:hint="eastAsia" w:ascii="宋体" w:hAnsi="宋体" w:eastAsia="宋体" w:cs="宋体"/>
          <w:sz w:val="24"/>
          <w:szCs w:val="24"/>
        </w:rPr>
        <w:t>分公</w:t>
      </w:r>
      <w:bookmarkStart w:id="101" w:name="_GoBack"/>
      <w:bookmarkEnd w:id="101"/>
      <w:r>
        <w:rPr>
          <w:rFonts w:hint="eastAsia" w:ascii="宋体" w:hAnsi="宋体" w:eastAsia="宋体" w:cs="宋体"/>
          <w:sz w:val="24"/>
          <w:szCs w:val="24"/>
        </w:rPr>
        <w:t>司）交纳代理服务费。若因中标供应商交纳代理服务费所产生的时间影响到合同签订的，由中标供应商自行承担责任。代理服务费标准参照</w:t>
      </w:r>
      <w:r>
        <w:rPr>
          <w:rFonts w:hint="eastAsia" w:ascii="宋体" w:hAnsi="宋体" w:eastAsia="宋体" w:cs="宋体"/>
          <w:sz w:val="24"/>
          <w:szCs w:val="24"/>
          <w:lang w:val="en-US" w:eastAsia="zh-CN"/>
        </w:rPr>
        <w:t>下列</w:t>
      </w:r>
      <w:r>
        <w:rPr>
          <w:rFonts w:hint="eastAsia" w:ascii="宋体" w:hAnsi="宋体" w:eastAsia="宋体" w:cs="宋体"/>
          <w:sz w:val="24"/>
          <w:szCs w:val="24"/>
        </w:rPr>
        <w:t>标准收取。本项目类型为</w:t>
      </w:r>
      <w:r>
        <w:rPr>
          <w:rFonts w:hint="eastAsia" w:ascii="宋体" w:hAnsi="宋体" w:eastAsia="宋体" w:cs="宋体"/>
          <w:b/>
          <w:sz w:val="24"/>
          <w:szCs w:val="24"/>
          <w:lang w:val="en-US" w:eastAsia="zh-CN"/>
        </w:rPr>
        <w:t>服务</w:t>
      </w:r>
      <w:r>
        <w:rPr>
          <w:rFonts w:hint="eastAsia" w:ascii="宋体" w:hAnsi="宋体" w:eastAsia="宋体" w:cs="宋体"/>
          <w:b/>
          <w:sz w:val="24"/>
          <w:szCs w:val="24"/>
        </w:rPr>
        <w:t>采购</w:t>
      </w:r>
      <w:r>
        <w:rPr>
          <w:rFonts w:hint="eastAsia" w:ascii="宋体" w:hAnsi="宋体" w:eastAsia="宋体" w:cs="宋体"/>
          <w:sz w:val="24"/>
          <w:szCs w:val="24"/>
        </w:rPr>
        <w:t>：</w:t>
      </w:r>
    </w:p>
    <w:p w14:paraId="28EEA00F">
      <w:pPr>
        <w:pageBreakBefore w:val="0"/>
        <w:kinsoku/>
        <w:wordWrap/>
        <w:overflowPunct/>
        <w:topLinePunct w:val="0"/>
        <w:autoSpaceDE/>
        <w:autoSpaceDN/>
        <w:bidi w:val="0"/>
        <w:snapToGrid/>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（一）代理服务费以《中标通知书》确定的成交金额作为计算基数，按差额定率累进法计算。</w:t>
      </w:r>
    </w:p>
    <w:p w14:paraId="0595C7D9">
      <w:pPr>
        <w:pageBreakBefore w:val="0"/>
        <w:kinsoku/>
        <w:wordWrap/>
        <w:overflowPunct/>
        <w:topLinePunct w:val="0"/>
        <w:autoSpaceDE/>
        <w:autoSpaceDN/>
        <w:bidi w:val="0"/>
        <w:snapToGrid/>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（二）中标金额的各部分费率如下表：</w:t>
      </w:r>
    </w:p>
    <w:tbl>
      <w:tblPr>
        <w:tblStyle w:val="4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14:paraId="6CC1C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14:paraId="5DE778C7">
            <w:pPr>
              <w:pageBreakBefore w:val="0"/>
              <w:widowControl/>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成交金额</w:t>
            </w:r>
          </w:p>
        </w:tc>
        <w:tc>
          <w:tcPr>
            <w:tcW w:w="1799" w:type="dxa"/>
            <w:vAlign w:val="center"/>
          </w:tcPr>
          <w:p w14:paraId="6BF8AABB">
            <w:pPr>
              <w:pageBreakBefore w:val="0"/>
              <w:widowControl/>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货物采购</w:t>
            </w:r>
          </w:p>
        </w:tc>
        <w:tc>
          <w:tcPr>
            <w:tcW w:w="1799" w:type="dxa"/>
            <w:vAlign w:val="center"/>
          </w:tcPr>
          <w:p w14:paraId="3B0DEA77">
            <w:pPr>
              <w:pageBreakBefore w:val="0"/>
              <w:widowControl/>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服务采购</w:t>
            </w:r>
          </w:p>
        </w:tc>
        <w:tc>
          <w:tcPr>
            <w:tcW w:w="1799" w:type="dxa"/>
            <w:vAlign w:val="center"/>
          </w:tcPr>
          <w:p w14:paraId="3297BAEC">
            <w:pPr>
              <w:pageBreakBefore w:val="0"/>
              <w:widowControl/>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工程采购</w:t>
            </w:r>
          </w:p>
        </w:tc>
      </w:tr>
      <w:tr w14:paraId="0E0D9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6DD41C80">
            <w:pPr>
              <w:pageBreakBefore w:val="0"/>
              <w:widowControl/>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100万元以下</w:t>
            </w:r>
          </w:p>
        </w:tc>
        <w:tc>
          <w:tcPr>
            <w:tcW w:w="1799" w:type="dxa"/>
            <w:vAlign w:val="center"/>
          </w:tcPr>
          <w:p w14:paraId="07CB3E82">
            <w:pPr>
              <w:pageBreakBefore w:val="0"/>
              <w:widowControl/>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1.5%</w:t>
            </w:r>
          </w:p>
        </w:tc>
        <w:tc>
          <w:tcPr>
            <w:tcW w:w="1799" w:type="dxa"/>
            <w:vAlign w:val="center"/>
          </w:tcPr>
          <w:p w14:paraId="3A2A46DB">
            <w:pPr>
              <w:pageBreakBefore w:val="0"/>
              <w:widowControl/>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1.5%</w:t>
            </w:r>
          </w:p>
        </w:tc>
        <w:tc>
          <w:tcPr>
            <w:tcW w:w="1799" w:type="dxa"/>
            <w:vAlign w:val="center"/>
          </w:tcPr>
          <w:p w14:paraId="791046EC">
            <w:pPr>
              <w:pageBreakBefore w:val="0"/>
              <w:widowControl/>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1.0%</w:t>
            </w:r>
          </w:p>
        </w:tc>
      </w:tr>
      <w:tr w14:paraId="4D762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A832606">
            <w:pPr>
              <w:pageBreakBefore w:val="0"/>
              <w:widowControl/>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100万元（含）-500万元</w:t>
            </w:r>
          </w:p>
        </w:tc>
        <w:tc>
          <w:tcPr>
            <w:tcW w:w="1799" w:type="dxa"/>
            <w:vAlign w:val="center"/>
          </w:tcPr>
          <w:p w14:paraId="02429B8F">
            <w:pPr>
              <w:pageBreakBefore w:val="0"/>
              <w:widowControl/>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1.1%</w:t>
            </w:r>
          </w:p>
        </w:tc>
        <w:tc>
          <w:tcPr>
            <w:tcW w:w="1799" w:type="dxa"/>
            <w:vAlign w:val="center"/>
          </w:tcPr>
          <w:p w14:paraId="499C11B9">
            <w:pPr>
              <w:pageBreakBefore w:val="0"/>
              <w:widowControl/>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0.8%</w:t>
            </w:r>
          </w:p>
        </w:tc>
        <w:tc>
          <w:tcPr>
            <w:tcW w:w="1799" w:type="dxa"/>
            <w:vAlign w:val="center"/>
          </w:tcPr>
          <w:p w14:paraId="1AE6AFE0">
            <w:pPr>
              <w:pageBreakBefore w:val="0"/>
              <w:widowControl/>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0.7%</w:t>
            </w:r>
          </w:p>
        </w:tc>
      </w:tr>
      <w:tr w14:paraId="05E16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092B83A">
            <w:pPr>
              <w:pageBreakBefore w:val="0"/>
              <w:widowControl/>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500万元（含）-1000万元</w:t>
            </w:r>
          </w:p>
        </w:tc>
        <w:tc>
          <w:tcPr>
            <w:tcW w:w="1799" w:type="dxa"/>
            <w:vAlign w:val="center"/>
          </w:tcPr>
          <w:p w14:paraId="5D90CDF3">
            <w:pPr>
              <w:pageBreakBefore w:val="0"/>
              <w:widowControl/>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0.8%</w:t>
            </w:r>
          </w:p>
        </w:tc>
        <w:tc>
          <w:tcPr>
            <w:tcW w:w="1799" w:type="dxa"/>
            <w:vAlign w:val="center"/>
          </w:tcPr>
          <w:p w14:paraId="221114C6">
            <w:pPr>
              <w:pageBreakBefore w:val="0"/>
              <w:widowControl/>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0.45%</w:t>
            </w:r>
          </w:p>
        </w:tc>
        <w:tc>
          <w:tcPr>
            <w:tcW w:w="1799" w:type="dxa"/>
            <w:vAlign w:val="center"/>
          </w:tcPr>
          <w:p w14:paraId="6F65BD29">
            <w:pPr>
              <w:pageBreakBefore w:val="0"/>
              <w:widowControl/>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0.55%</w:t>
            </w:r>
          </w:p>
        </w:tc>
      </w:tr>
      <w:tr w14:paraId="2CD8F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724D3E5E">
            <w:pPr>
              <w:pageBreakBefore w:val="0"/>
              <w:widowControl/>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1000万元（含）-5000万元</w:t>
            </w:r>
          </w:p>
        </w:tc>
        <w:tc>
          <w:tcPr>
            <w:tcW w:w="1799" w:type="dxa"/>
            <w:vAlign w:val="center"/>
          </w:tcPr>
          <w:p w14:paraId="7C275CF3">
            <w:pPr>
              <w:pageBreakBefore w:val="0"/>
              <w:widowControl/>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0.5%</w:t>
            </w:r>
          </w:p>
        </w:tc>
        <w:tc>
          <w:tcPr>
            <w:tcW w:w="1799" w:type="dxa"/>
            <w:vAlign w:val="center"/>
          </w:tcPr>
          <w:p w14:paraId="669A9B80">
            <w:pPr>
              <w:pageBreakBefore w:val="0"/>
              <w:widowControl/>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0.25%</w:t>
            </w:r>
          </w:p>
        </w:tc>
        <w:tc>
          <w:tcPr>
            <w:tcW w:w="1799" w:type="dxa"/>
            <w:vAlign w:val="center"/>
          </w:tcPr>
          <w:p w14:paraId="471E9178">
            <w:pPr>
              <w:pageBreakBefore w:val="0"/>
              <w:widowControl/>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0.35%</w:t>
            </w:r>
          </w:p>
        </w:tc>
      </w:tr>
      <w:tr w14:paraId="352FD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773F5F5">
            <w:pPr>
              <w:pageBreakBefore w:val="0"/>
              <w:widowControl/>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5000万元（含）-1亿元</w:t>
            </w:r>
          </w:p>
        </w:tc>
        <w:tc>
          <w:tcPr>
            <w:tcW w:w="1799" w:type="dxa"/>
            <w:vAlign w:val="center"/>
          </w:tcPr>
          <w:p w14:paraId="19EEE247">
            <w:pPr>
              <w:pageBreakBefore w:val="0"/>
              <w:widowControl/>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0.25%</w:t>
            </w:r>
          </w:p>
        </w:tc>
        <w:tc>
          <w:tcPr>
            <w:tcW w:w="1799" w:type="dxa"/>
            <w:vAlign w:val="center"/>
          </w:tcPr>
          <w:p w14:paraId="764E7CDD">
            <w:pPr>
              <w:pageBreakBefore w:val="0"/>
              <w:widowControl/>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0.1%</w:t>
            </w:r>
          </w:p>
        </w:tc>
        <w:tc>
          <w:tcPr>
            <w:tcW w:w="1799" w:type="dxa"/>
            <w:vAlign w:val="center"/>
          </w:tcPr>
          <w:p w14:paraId="108785DF">
            <w:pPr>
              <w:pageBreakBefore w:val="0"/>
              <w:widowControl/>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0.2%</w:t>
            </w:r>
          </w:p>
        </w:tc>
      </w:tr>
      <w:tr w14:paraId="27D97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9519BA6">
            <w:pPr>
              <w:pageBreakBefore w:val="0"/>
              <w:widowControl/>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1亿元（含）-5亿元</w:t>
            </w:r>
          </w:p>
        </w:tc>
        <w:tc>
          <w:tcPr>
            <w:tcW w:w="1799" w:type="dxa"/>
            <w:vAlign w:val="center"/>
          </w:tcPr>
          <w:p w14:paraId="24102B36">
            <w:pPr>
              <w:pageBreakBefore w:val="0"/>
              <w:widowControl/>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0.05%</w:t>
            </w:r>
          </w:p>
        </w:tc>
        <w:tc>
          <w:tcPr>
            <w:tcW w:w="1799" w:type="dxa"/>
            <w:vAlign w:val="center"/>
          </w:tcPr>
          <w:p w14:paraId="63F90BD2">
            <w:pPr>
              <w:pageBreakBefore w:val="0"/>
              <w:widowControl/>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0.05%</w:t>
            </w:r>
          </w:p>
        </w:tc>
        <w:tc>
          <w:tcPr>
            <w:tcW w:w="1799" w:type="dxa"/>
            <w:vAlign w:val="center"/>
          </w:tcPr>
          <w:p w14:paraId="06DDC119">
            <w:pPr>
              <w:pageBreakBefore w:val="0"/>
              <w:widowControl/>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0.05%</w:t>
            </w:r>
          </w:p>
        </w:tc>
      </w:tr>
      <w:tr w14:paraId="15784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60FCF66C">
            <w:pPr>
              <w:pageBreakBefore w:val="0"/>
              <w:widowControl/>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5亿元（含）-10亿元</w:t>
            </w:r>
          </w:p>
        </w:tc>
        <w:tc>
          <w:tcPr>
            <w:tcW w:w="1799" w:type="dxa"/>
            <w:vAlign w:val="center"/>
          </w:tcPr>
          <w:p w14:paraId="3693090F">
            <w:pPr>
              <w:pageBreakBefore w:val="0"/>
              <w:widowControl/>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0.035%</w:t>
            </w:r>
          </w:p>
        </w:tc>
        <w:tc>
          <w:tcPr>
            <w:tcW w:w="1799" w:type="dxa"/>
            <w:vAlign w:val="center"/>
          </w:tcPr>
          <w:p w14:paraId="2F4890B0">
            <w:pPr>
              <w:pageBreakBefore w:val="0"/>
              <w:widowControl/>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0.035%</w:t>
            </w:r>
          </w:p>
        </w:tc>
        <w:tc>
          <w:tcPr>
            <w:tcW w:w="1799" w:type="dxa"/>
            <w:vAlign w:val="center"/>
          </w:tcPr>
          <w:p w14:paraId="384F36A6">
            <w:pPr>
              <w:pageBreakBefore w:val="0"/>
              <w:widowControl/>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0.035%</w:t>
            </w:r>
          </w:p>
        </w:tc>
      </w:tr>
      <w:tr w14:paraId="55C04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39E18F27">
            <w:pPr>
              <w:pageBreakBefore w:val="0"/>
              <w:widowControl/>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10亿元（含）-50亿元</w:t>
            </w:r>
          </w:p>
        </w:tc>
        <w:tc>
          <w:tcPr>
            <w:tcW w:w="1799" w:type="dxa"/>
            <w:vAlign w:val="center"/>
          </w:tcPr>
          <w:p w14:paraId="02EF4964">
            <w:pPr>
              <w:pageBreakBefore w:val="0"/>
              <w:widowControl/>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0.008%</w:t>
            </w:r>
          </w:p>
        </w:tc>
        <w:tc>
          <w:tcPr>
            <w:tcW w:w="1799" w:type="dxa"/>
            <w:vAlign w:val="center"/>
          </w:tcPr>
          <w:p w14:paraId="1BE7FD69">
            <w:pPr>
              <w:pageBreakBefore w:val="0"/>
              <w:widowControl/>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0.008%</w:t>
            </w:r>
          </w:p>
        </w:tc>
        <w:tc>
          <w:tcPr>
            <w:tcW w:w="1799" w:type="dxa"/>
            <w:vAlign w:val="center"/>
          </w:tcPr>
          <w:p w14:paraId="643B6BD2">
            <w:pPr>
              <w:pageBreakBefore w:val="0"/>
              <w:widowControl/>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0.008%</w:t>
            </w:r>
          </w:p>
        </w:tc>
      </w:tr>
      <w:tr w14:paraId="357C7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629E723C">
            <w:pPr>
              <w:pageBreakBefore w:val="0"/>
              <w:widowControl/>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50亿元（含）-100亿元</w:t>
            </w:r>
          </w:p>
        </w:tc>
        <w:tc>
          <w:tcPr>
            <w:tcW w:w="1799" w:type="dxa"/>
            <w:vAlign w:val="center"/>
          </w:tcPr>
          <w:p w14:paraId="27E09EB1">
            <w:pPr>
              <w:pageBreakBefore w:val="0"/>
              <w:widowControl/>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0.006%</w:t>
            </w:r>
          </w:p>
        </w:tc>
        <w:tc>
          <w:tcPr>
            <w:tcW w:w="1799" w:type="dxa"/>
            <w:vAlign w:val="center"/>
          </w:tcPr>
          <w:p w14:paraId="108448CC">
            <w:pPr>
              <w:pageBreakBefore w:val="0"/>
              <w:widowControl/>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0.006%</w:t>
            </w:r>
          </w:p>
        </w:tc>
        <w:tc>
          <w:tcPr>
            <w:tcW w:w="1799" w:type="dxa"/>
            <w:vAlign w:val="center"/>
          </w:tcPr>
          <w:p w14:paraId="1324F2EB">
            <w:pPr>
              <w:pageBreakBefore w:val="0"/>
              <w:widowControl/>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0.006%</w:t>
            </w:r>
          </w:p>
        </w:tc>
      </w:tr>
      <w:tr w14:paraId="41DFD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8B0670F">
            <w:pPr>
              <w:pageBreakBefore w:val="0"/>
              <w:widowControl/>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100亿元（含）以上</w:t>
            </w:r>
          </w:p>
        </w:tc>
        <w:tc>
          <w:tcPr>
            <w:tcW w:w="1799" w:type="dxa"/>
            <w:vAlign w:val="center"/>
          </w:tcPr>
          <w:p w14:paraId="3D0FA2BB">
            <w:pPr>
              <w:pageBreakBefore w:val="0"/>
              <w:widowControl/>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0.004%</w:t>
            </w:r>
          </w:p>
        </w:tc>
        <w:tc>
          <w:tcPr>
            <w:tcW w:w="1799" w:type="dxa"/>
            <w:vAlign w:val="center"/>
          </w:tcPr>
          <w:p w14:paraId="16F0F807">
            <w:pPr>
              <w:pageBreakBefore w:val="0"/>
              <w:widowControl/>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0.004%</w:t>
            </w:r>
          </w:p>
        </w:tc>
        <w:tc>
          <w:tcPr>
            <w:tcW w:w="1799" w:type="dxa"/>
            <w:vAlign w:val="center"/>
          </w:tcPr>
          <w:p w14:paraId="5DBF45C3">
            <w:pPr>
              <w:pageBreakBefore w:val="0"/>
              <w:widowControl/>
              <w:kinsoku/>
              <w:wordWrap/>
              <w:overflowPunct/>
              <w:topLinePunct w:val="0"/>
              <w:autoSpaceDE/>
              <w:autoSpaceDN/>
              <w:bidi w:val="0"/>
              <w:snapToGrid/>
              <w:spacing w:line="240" w:lineRule="auto"/>
              <w:jc w:val="center"/>
              <w:rPr>
                <w:rFonts w:hint="eastAsia" w:ascii="宋体" w:hAnsi="宋体" w:eastAsia="宋体" w:cs="宋体"/>
                <w:sz w:val="24"/>
                <w:szCs w:val="24"/>
              </w:rPr>
            </w:pPr>
            <w:r>
              <w:rPr>
                <w:rFonts w:hint="eastAsia" w:ascii="宋体" w:hAnsi="宋体" w:eastAsia="宋体" w:cs="宋体"/>
                <w:sz w:val="24"/>
                <w:szCs w:val="24"/>
              </w:rPr>
              <w:t>0.004%</w:t>
            </w:r>
          </w:p>
        </w:tc>
      </w:tr>
    </w:tbl>
    <w:p w14:paraId="3AB01894">
      <w:pPr>
        <w:pageBreakBefore w:val="0"/>
        <w:kinsoku/>
        <w:wordWrap/>
        <w:overflowPunct/>
        <w:topLinePunct w:val="0"/>
        <w:autoSpaceDE/>
        <w:autoSpaceDN/>
        <w:bidi w:val="0"/>
        <w:snapToGrid/>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备注：1.每宗交易代理服务费不低于</w:t>
      </w:r>
      <w:r>
        <w:rPr>
          <w:rFonts w:hint="eastAsia" w:ascii="宋体" w:hAnsi="宋体" w:eastAsia="宋体" w:cs="宋体"/>
          <w:sz w:val="24"/>
          <w:szCs w:val="24"/>
          <w:lang w:val="en-US" w:eastAsia="zh-CN"/>
        </w:rPr>
        <w:t>5</w:t>
      </w:r>
      <w:r>
        <w:rPr>
          <w:rFonts w:hint="eastAsia" w:ascii="宋体" w:hAnsi="宋体" w:eastAsia="宋体" w:cs="宋体"/>
          <w:sz w:val="24"/>
          <w:szCs w:val="24"/>
        </w:rPr>
        <w:t>000元；</w:t>
      </w:r>
    </w:p>
    <w:p w14:paraId="28C92C23">
      <w:pPr>
        <w:pageBreakBefore w:val="0"/>
        <w:kinsoku/>
        <w:wordWrap/>
        <w:overflowPunct/>
        <w:topLinePunct w:val="0"/>
        <w:autoSpaceDE/>
        <w:autoSpaceDN/>
        <w:bidi w:val="0"/>
        <w:snapToGrid/>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2.对于报总价的采购类项目，成交价为成交金额；对于报单价或折扣或费</w:t>
      </w:r>
    </w:p>
    <w:p w14:paraId="32F1400E">
      <w:pPr>
        <w:pageBreakBefore w:val="0"/>
        <w:kinsoku/>
        <w:wordWrap/>
        <w:overflowPunct/>
        <w:topLinePunct w:val="0"/>
        <w:autoSpaceDE/>
        <w:autoSpaceDN/>
        <w:bidi w:val="0"/>
        <w:snapToGrid/>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率的采购类项目，成交价为预算上限金额或经委托方与代理方确定的支付上限金额。</w:t>
      </w:r>
    </w:p>
    <w:p w14:paraId="32A231ED">
      <w:pPr>
        <w:pageBreakBefore w:val="0"/>
        <w:kinsoku/>
        <w:wordWrap/>
        <w:overflowPunct/>
        <w:topLinePunct w:val="0"/>
        <w:autoSpaceDE/>
        <w:autoSpaceDN/>
        <w:bidi w:val="0"/>
        <w:snapToGrid/>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如某货物采购项目，成交金额为600万元，总共交纳的代理服务费的具体计算过程如下：</w:t>
      </w:r>
    </w:p>
    <w:p w14:paraId="082C73CD">
      <w:pPr>
        <w:pageBreakBefore w:val="0"/>
        <w:kinsoku/>
        <w:wordWrap/>
        <w:overflowPunct/>
        <w:topLinePunct w:val="0"/>
        <w:autoSpaceDE/>
        <w:autoSpaceDN/>
        <w:bidi w:val="0"/>
        <w:snapToGrid/>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标准代理服务费＝（100万以下部分的代理服务费）+（100万～500万部分的代理服务费）+（500万～600万部分的代理服务费）＝100万元×1.5%+（500-100）万元×1.1%+（600-500）万元×0.8%=1.5万元+4.4万元+0.8万元＝6.7万元</w:t>
      </w:r>
    </w:p>
    <w:p w14:paraId="2357ADE2">
      <w:pPr>
        <w:pageBreakBefore w:val="0"/>
        <w:kinsoku/>
        <w:wordWrap/>
        <w:overflowPunct/>
        <w:topLinePunct w:val="0"/>
        <w:autoSpaceDE/>
        <w:autoSpaceDN/>
        <w:bidi w:val="0"/>
        <w:snapToGrid/>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本项目按差额定率累进法计算，下浮20%后向成交人收取中标服务费。</w:t>
      </w:r>
    </w:p>
    <w:p w14:paraId="2DFD20FC">
      <w:pPr>
        <w:ind w:firstLine="480" w:firstLineChars="200"/>
        <w:rPr>
          <w:rFonts w:hint="eastAsia" w:ascii="宋体" w:hAnsi="宋体" w:eastAsia="宋体" w:cs="宋体"/>
          <w:b/>
          <w:bCs/>
          <w:color w:val="FF0000"/>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中标（成交）供应商中标（成交）后，必须按规定采用银行对公转账方式向深圳交易集团有限公司直接交纳代理服务费，交纳信息及要求按照缴款</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付款</w:t>
      </w:r>
      <w:r>
        <w:rPr>
          <w:rFonts w:hint="eastAsia" w:ascii="宋体" w:hAnsi="宋体" w:eastAsia="宋体" w:cs="宋体"/>
          <w:sz w:val="24"/>
          <w:szCs w:val="24"/>
          <w:lang w:eastAsia="zh-CN"/>
        </w:rPr>
        <w:t>）</w:t>
      </w:r>
      <w:r>
        <w:rPr>
          <w:rFonts w:hint="eastAsia" w:ascii="宋体" w:hAnsi="宋体" w:eastAsia="宋体" w:cs="宋体"/>
          <w:sz w:val="24"/>
          <w:szCs w:val="24"/>
        </w:rPr>
        <w:t>通知书执行。</w:t>
      </w:r>
    </w:p>
    <w:p w14:paraId="778CD199">
      <w:pPr>
        <w:rPr>
          <w:rFonts w:ascii="宋体" w:hAnsi="宋体" w:cs="宋体"/>
          <w:b/>
          <w:bCs/>
          <w:sz w:val="24"/>
        </w:rPr>
      </w:pPr>
    </w:p>
    <w:bookmarkEnd w:id="33"/>
    <w:bookmarkEnd w:id="34"/>
    <w:p w14:paraId="5F070D38">
      <w:pPr>
        <w:rPr>
          <w:b/>
        </w:rPr>
      </w:pPr>
    </w:p>
    <w:p w14:paraId="7070D80D">
      <w:pPr>
        <w:pStyle w:val="6"/>
        <w:rPr>
          <w:sz w:val="28"/>
          <w:szCs w:val="28"/>
        </w:rPr>
      </w:pPr>
      <w:bookmarkStart w:id="35" w:name="_Toc128884461"/>
      <w:r>
        <w:rPr>
          <w:rFonts w:hint="eastAsia"/>
          <w:sz w:val="28"/>
          <w:szCs w:val="28"/>
        </w:rPr>
        <w:t>第三章 用户需求书</w:t>
      </w:r>
    </w:p>
    <w:p w14:paraId="234BF056">
      <w:pPr>
        <w:pStyle w:val="6"/>
        <w:spacing w:before="120" w:beforeLines="50" w:after="120" w:afterLines="50"/>
      </w:pPr>
      <w:r>
        <w:rPr>
          <w:rFonts w:hint="eastAsia"/>
          <w:szCs w:val="24"/>
        </w:rPr>
        <w:t>一、项目基本信息</w:t>
      </w:r>
    </w:p>
    <w:tbl>
      <w:tblPr>
        <w:tblStyle w:val="44"/>
        <w:tblpPr w:leftFromText="180" w:rightFromText="180" w:vertAnchor="text" w:horzAnchor="margin" w:tblpY="173"/>
        <w:tblW w:w="88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2688"/>
        <w:gridCol w:w="3260"/>
        <w:gridCol w:w="2432"/>
      </w:tblGrid>
      <w:tr w14:paraId="1C19B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26" w:type="dxa"/>
            <w:tcBorders>
              <w:top w:val="single" w:color="auto" w:sz="4" w:space="0"/>
              <w:left w:val="single" w:color="auto" w:sz="4" w:space="0"/>
              <w:bottom w:val="nil"/>
              <w:right w:val="single" w:color="auto" w:sz="4" w:space="0"/>
            </w:tcBorders>
            <w:vAlign w:val="center"/>
          </w:tcPr>
          <w:p w14:paraId="3C68F46B">
            <w:pPr>
              <w:jc w:val="center"/>
              <w:rPr>
                <w:rFonts w:ascii="宋体" w:hAnsi="宋体" w:cs="宋体"/>
                <w:bCs/>
                <w:sz w:val="24"/>
              </w:rPr>
            </w:pPr>
            <w:r>
              <w:rPr>
                <w:rFonts w:hint="eastAsia" w:ascii="宋体" w:hAnsi="宋体" w:cs="宋体"/>
                <w:bCs/>
                <w:sz w:val="24"/>
              </w:rPr>
              <w:t>序号</w:t>
            </w:r>
          </w:p>
        </w:tc>
        <w:tc>
          <w:tcPr>
            <w:tcW w:w="2688" w:type="dxa"/>
            <w:tcBorders>
              <w:top w:val="single" w:color="auto" w:sz="4" w:space="0"/>
              <w:left w:val="single" w:color="auto" w:sz="4" w:space="0"/>
              <w:bottom w:val="nil"/>
              <w:right w:val="single" w:color="auto" w:sz="4" w:space="0"/>
            </w:tcBorders>
            <w:vAlign w:val="center"/>
          </w:tcPr>
          <w:p w14:paraId="502226A9">
            <w:pPr>
              <w:jc w:val="center"/>
              <w:rPr>
                <w:rFonts w:ascii="宋体" w:hAnsi="宋体" w:cs="宋体"/>
                <w:bCs/>
                <w:sz w:val="24"/>
              </w:rPr>
            </w:pPr>
            <w:r>
              <w:rPr>
                <w:rFonts w:hint="eastAsia" w:ascii="宋体" w:hAnsi="宋体" w:cs="宋体"/>
                <w:sz w:val="24"/>
              </w:rPr>
              <w:t>采购计划编号</w:t>
            </w:r>
          </w:p>
        </w:tc>
        <w:tc>
          <w:tcPr>
            <w:tcW w:w="3260" w:type="dxa"/>
            <w:tcBorders>
              <w:top w:val="single" w:color="auto" w:sz="4" w:space="0"/>
              <w:left w:val="single" w:color="auto" w:sz="4" w:space="0"/>
              <w:bottom w:val="nil"/>
              <w:right w:val="single" w:color="auto" w:sz="4" w:space="0"/>
            </w:tcBorders>
            <w:vAlign w:val="center"/>
          </w:tcPr>
          <w:p w14:paraId="617EF1C8">
            <w:pPr>
              <w:jc w:val="center"/>
              <w:rPr>
                <w:rFonts w:ascii="宋体" w:hAnsi="宋体" w:cs="宋体"/>
                <w:bCs/>
                <w:sz w:val="24"/>
              </w:rPr>
            </w:pPr>
            <w:r>
              <w:rPr>
                <w:rFonts w:hint="eastAsia" w:ascii="宋体" w:hAnsi="宋体" w:cs="宋体"/>
                <w:bCs/>
                <w:sz w:val="24"/>
              </w:rPr>
              <w:t>采购项目名称</w:t>
            </w:r>
          </w:p>
        </w:tc>
        <w:tc>
          <w:tcPr>
            <w:tcW w:w="2432" w:type="dxa"/>
            <w:tcBorders>
              <w:top w:val="single" w:color="auto" w:sz="4" w:space="0"/>
              <w:left w:val="single" w:color="auto" w:sz="4" w:space="0"/>
              <w:bottom w:val="nil"/>
              <w:right w:val="single" w:color="auto" w:sz="4" w:space="0"/>
            </w:tcBorders>
            <w:vAlign w:val="center"/>
          </w:tcPr>
          <w:p w14:paraId="05A6EA75">
            <w:pPr>
              <w:jc w:val="center"/>
              <w:rPr>
                <w:rFonts w:ascii="宋体" w:hAnsi="宋体" w:cs="宋体"/>
                <w:b/>
                <w:bCs/>
                <w:color w:val="FF0000"/>
                <w:sz w:val="24"/>
              </w:rPr>
            </w:pPr>
            <w:r>
              <w:rPr>
                <w:rFonts w:hint="eastAsia" w:ascii="宋体" w:hAnsi="宋体" w:cs="宋体"/>
                <w:sz w:val="24"/>
              </w:rPr>
              <w:t>财政预算限额（万元）</w:t>
            </w:r>
          </w:p>
        </w:tc>
      </w:tr>
      <w:tr w14:paraId="0FFE1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26" w:type="dxa"/>
            <w:tcBorders>
              <w:top w:val="single" w:color="auto" w:sz="4" w:space="0"/>
              <w:left w:val="single" w:color="auto" w:sz="4" w:space="0"/>
              <w:bottom w:val="single" w:color="auto" w:sz="4" w:space="0"/>
              <w:right w:val="single" w:color="auto" w:sz="4" w:space="0"/>
            </w:tcBorders>
            <w:vAlign w:val="center"/>
          </w:tcPr>
          <w:p w14:paraId="7BBD8ED5">
            <w:pPr>
              <w:jc w:val="center"/>
              <w:rPr>
                <w:rFonts w:ascii="宋体" w:hAnsi="宋体" w:cs="宋体"/>
                <w:bCs/>
                <w:sz w:val="24"/>
              </w:rPr>
            </w:pPr>
            <w:r>
              <w:rPr>
                <w:rFonts w:hint="eastAsia" w:ascii="宋体" w:hAnsi="宋体" w:cs="宋体"/>
                <w:bCs/>
                <w:sz w:val="24"/>
              </w:rPr>
              <w:t>1</w:t>
            </w:r>
          </w:p>
        </w:tc>
        <w:tc>
          <w:tcPr>
            <w:tcW w:w="2688" w:type="dxa"/>
            <w:tcBorders>
              <w:top w:val="single" w:color="auto" w:sz="4" w:space="0"/>
              <w:left w:val="single" w:color="auto" w:sz="4" w:space="0"/>
              <w:bottom w:val="single" w:color="auto" w:sz="4" w:space="0"/>
              <w:right w:val="single" w:color="auto" w:sz="4" w:space="0"/>
            </w:tcBorders>
            <w:vAlign w:val="center"/>
          </w:tcPr>
          <w:p w14:paraId="39485225">
            <w:pPr>
              <w:jc w:val="center"/>
              <w:rPr>
                <w:rFonts w:ascii="宋体" w:hAnsi="宋体" w:cs="宋体"/>
                <w:bCs/>
                <w:sz w:val="24"/>
              </w:rPr>
            </w:pPr>
            <w:r>
              <w:rPr>
                <w:rFonts w:hint="eastAsia" w:ascii="宋体" w:hAnsi="宋体" w:cs="宋体"/>
                <w:bCs/>
                <w:sz w:val="24"/>
              </w:rPr>
              <w:t>JYCG-DECL-2024-7606</w:t>
            </w:r>
          </w:p>
        </w:tc>
        <w:tc>
          <w:tcPr>
            <w:tcW w:w="3260" w:type="dxa"/>
            <w:tcBorders>
              <w:top w:val="single" w:color="auto" w:sz="4" w:space="0"/>
              <w:left w:val="single" w:color="auto" w:sz="4" w:space="0"/>
              <w:bottom w:val="single" w:color="auto" w:sz="4" w:space="0"/>
              <w:right w:val="single" w:color="auto" w:sz="4" w:space="0"/>
            </w:tcBorders>
            <w:vAlign w:val="center"/>
          </w:tcPr>
          <w:p w14:paraId="4EB22D47">
            <w:pPr>
              <w:jc w:val="center"/>
              <w:rPr>
                <w:rFonts w:ascii="宋体" w:hAnsi="宋体" w:cs="宋体"/>
                <w:b/>
                <w:bCs/>
                <w:color w:val="FF0000"/>
                <w:sz w:val="24"/>
              </w:rPr>
            </w:pPr>
            <w:r>
              <w:rPr>
                <w:rFonts w:hint="eastAsia" w:ascii="宋体" w:hAnsi="宋体" w:cs="宋体"/>
                <w:bCs/>
                <w:sz w:val="24"/>
              </w:rPr>
              <w:t>龙岗区社康机构移动支付系统服务项目</w:t>
            </w:r>
          </w:p>
        </w:tc>
        <w:tc>
          <w:tcPr>
            <w:tcW w:w="2432" w:type="dxa"/>
            <w:tcBorders>
              <w:top w:val="single" w:color="auto" w:sz="4" w:space="0"/>
              <w:left w:val="single" w:color="auto" w:sz="4" w:space="0"/>
              <w:bottom w:val="single" w:color="auto" w:sz="4" w:space="0"/>
              <w:right w:val="single" w:color="auto" w:sz="4" w:space="0"/>
            </w:tcBorders>
            <w:vAlign w:val="center"/>
          </w:tcPr>
          <w:p w14:paraId="0FF95D35">
            <w:pPr>
              <w:jc w:val="center"/>
              <w:rPr>
                <w:rFonts w:hint="default" w:ascii="宋体" w:hAnsi="宋体" w:eastAsia="宋体" w:cs="宋体"/>
                <w:bCs/>
                <w:color w:val="FF0000"/>
                <w:sz w:val="24"/>
                <w:lang w:val="en-US" w:eastAsia="zh-CN"/>
              </w:rPr>
            </w:pPr>
            <w:r>
              <w:rPr>
                <w:rFonts w:hint="eastAsia" w:ascii="宋体" w:hAnsi="宋体" w:cs="宋体"/>
                <w:sz w:val="24"/>
                <w:lang w:val="en-US" w:eastAsia="zh-CN"/>
              </w:rPr>
              <w:t>164.86</w:t>
            </w:r>
          </w:p>
        </w:tc>
      </w:tr>
    </w:tbl>
    <w:p w14:paraId="74B034BB">
      <w:pPr>
        <w:rPr>
          <w:rFonts w:ascii="宋体" w:hAnsi="宋体"/>
          <w:b/>
          <w:szCs w:val="21"/>
          <w:u w:val="single"/>
        </w:rPr>
      </w:pPr>
    </w:p>
    <w:p w14:paraId="656C028F">
      <w:pPr>
        <w:pStyle w:val="6"/>
        <w:spacing w:before="120" w:beforeLines="50" w:after="120" w:afterLines="50"/>
        <w:rPr>
          <w:szCs w:val="24"/>
        </w:rPr>
      </w:pPr>
    </w:p>
    <w:p w14:paraId="61A9D270">
      <w:pPr>
        <w:pStyle w:val="5"/>
        <w:rPr>
          <w:rFonts w:asciiTheme="minorEastAsia" w:hAnsiTheme="minorEastAsia" w:eastAsiaTheme="minorEastAsia" w:cstheme="minorEastAsia"/>
          <w:b w:val="0"/>
          <w:szCs w:val="24"/>
        </w:rPr>
      </w:pPr>
      <w:r>
        <w:rPr>
          <w:rFonts w:asciiTheme="minorEastAsia" w:hAnsiTheme="minorEastAsia" w:eastAsiaTheme="minorEastAsia" w:cstheme="minorEastAsia"/>
          <w:b w:val="0"/>
          <w:sz w:val="24"/>
          <w:szCs w:val="24"/>
        </w:rPr>
        <w:t>各单位</w:t>
      </w:r>
      <w:r>
        <w:rPr>
          <w:rFonts w:asciiTheme="minorEastAsia" w:hAnsiTheme="minorEastAsia" w:eastAsiaTheme="minorEastAsia" w:cstheme="minorEastAsia"/>
          <w:sz w:val="24"/>
          <w:szCs w:val="24"/>
        </w:rPr>
        <w:t>分摊情况</w:t>
      </w:r>
    </w:p>
    <w:tbl>
      <w:tblPr>
        <w:tblStyle w:val="4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3"/>
        <w:gridCol w:w="1477"/>
        <w:gridCol w:w="1350"/>
        <w:gridCol w:w="1733"/>
        <w:gridCol w:w="1475"/>
      </w:tblGrid>
      <w:tr w14:paraId="636A7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93" w:type="dxa"/>
            <w:vAlign w:val="center"/>
          </w:tcPr>
          <w:p w14:paraId="06393ACF">
            <w:pPr>
              <w:jc w:val="center"/>
              <w:rPr>
                <w:rFonts w:ascii="宋体" w:hAnsi="宋体" w:cs="宋体"/>
                <w:sz w:val="24"/>
              </w:rPr>
            </w:pPr>
            <w:r>
              <w:rPr>
                <w:rFonts w:hint="eastAsia" w:ascii="宋体" w:hAnsi="宋体" w:cs="宋体"/>
                <w:sz w:val="24"/>
              </w:rPr>
              <w:t>所属医院机构</w:t>
            </w:r>
          </w:p>
        </w:tc>
        <w:tc>
          <w:tcPr>
            <w:tcW w:w="1477" w:type="dxa"/>
            <w:vAlign w:val="center"/>
          </w:tcPr>
          <w:p w14:paraId="1FF80E3E">
            <w:pPr>
              <w:jc w:val="center"/>
              <w:rPr>
                <w:rFonts w:ascii="宋体" w:hAnsi="宋体" w:cs="宋体"/>
                <w:sz w:val="24"/>
              </w:rPr>
            </w:pPr>
            <w:r>
              <w:rPr>
                <w:rFonts w:hint="eastAsia" w:ascii="宋体" w:hAnsi="宋体" w:cs="宋体"/>
                <w:sz w:val="24"/>
              </w:rPr>
              <w:t>社康机构数量</w:t>
            </w:r>
          </w:p>
        </w:tc>
        <w:tc>
          <w:tcPr>
            <w:tcW w:w="1350" w:type="dxa"/>
            <w:vAlign w:val="center"/>
          </w:tcPr>
          <w:p w14:paraId="58E19154">
            <w:pPr>
              <w:jc w:val="center"/>
              <w:rPr>
                <w:rFonts w:ascii="宋体" w:hAnsi="宋体" w:cs="宋体"/>
                <w:sz w:val="24"/>
              </w:rPr>
            </w:pPr>
            <w:r>
              <w:rPr>
                <w:rFonts w:hint="eastAsia" w:ascii="宋体" w:hAnsi="宋体" w:cs="宋体"/>
                <w:sz w:val="24"/>
              </w:rPr>
              <w:t>医院分摊系数</w:t>
            </w:r>
          </w:p>
        </w:tc>
        <w:tc>
          <w:tcPr>
            <w:tcW w:w="1733" w:type="dxa"/>
            <w:vAlign w:val="center"/>
          </w:tcPr>
          <w:p w14:paraId="7BAE6631">
            <w:pPr>
              <w:jc w:val="center"/>
              <w:rPr>
                <w:rFonts w:ascii="宋体" w:hAnsi="宋体" w:cs="宋体"/>
                <w:sz w:val="24"/>
              </w:rPr>
            </w:pPr>
            <w:r>
              <w:rPr>
                <w:rFonts w:hint="eastAsia" w:ascii="宋体" w:hAnsi="宋体" w:cs="宋体"/>
                <w:sz w:val="24"/>
              </w:rPr>
              <w:t>工程建设费用分摊（万元）</w:t>
            </w:r>
          </w:p>
        </w:tc>
        <w:tc>
          <w:tcPr>
            <w:tcW w:w="1475" w:type="dxa"/>
            <w:vAlign w:val="center"/>
          </w:tcPr>
          <w:p w14:paraId="1839A530">
            <w:pPr>
              <w:jc w:val="center"/>
              <w:rPr>
                <w:rFonts w:hint="default" w:ascii="宋体" w:hAnsi="宋体" w:eastAsia="宋体" w:cs="宋体"/>
                <w:sz w:val="24"/>
                <w:lang w:val="en-US" w:eastAsia="zh-CN"/>
              </w:rPr>
            </w:pPr>
            <w:r>
              <w:rPr>
                <w:rFonts w:hint="eastAsia" w:ascii="宋体" w:hAnsi="宋体" w:cs="宋体"/>
                <w:sz w:val="24"/>
                <w:lang w:val="en-US" w:eastAsia="zh-CN"/>
              </w:rPr>
              <w:t>预算金额（万元）</w:t>
            </w:r>
          </w:p>
        </w:tc>
      </w:tr>
      <w:tr w14:paraId="15055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93" w:type="dxa"/>
            <w:vAlign w:val="center"/>
          </w:tcPr>
          <w:p w14:paraId="6CD3989D">
            <w:pPr>
              <w:jc w:val="center"/>
              <w:rPr>
                <w:rFonts w:ascii="宋体" w:hAnsi="宋体" w:cs="宋体"/>
                <w:sz w:val="24"/>
              </w:rPr>
            </w:pPr>
            <w:r>
              <w:rPr>
                <w:rFonts w:hint="eastAsia" w:ascii="宋体" w:hAnsi="宋体" w:cs="宋体"/>
                <w:sz w:val="24"/>
              </w:rPr>
              <w:t>深圳市龙岗中心医院</w:t>
            </w:r>
          </w:p>
        </w:tc>
        <w:tc>
          <w:tcPr>
            <w:tcW w:w="1477" w:type="dxa"/>
            <w:vAlign w:val="center"/>
          </w:tcPr>
          <w:p w14:paraId="1BECDFAD">
            <w:pPr>
              <w:jc w:val="center"/>
              <w:rPr>
                <w:rFonts w:ascii="宋体" w:hAnsi="宋体" w:cs="宋体"/>
                <w:sz w:val="24"/>
              </w:rPr>
            </w:pPr>
            <w:r>
              <w:rPr>
                <w:rFonts w:ascii="宋体" w:hAnsi="宋体" w:eastAsia="宋体" w:cs="宋体"/>
                <w:color w:val="auto"/>
                <w:kern w:val="2"/>
                <w:sz w:val="24"/>
              </w:rPr>
              <w:t>29</w:t>
            </w:r>
          </w:p>
        </w:tc>
        <w:tc>
          <w:tcPr>
            <w:tcW w:w="1350" w:type="dxa"/>
            <w:vAlign w:val="center"/>
          </w:tcPr>
          <w:p w14:paraId="2C4B131E">
            <w:pPr>
              <w:jc w:val="center"/>
              <w:rPr>
                <w:rFonts w:ascii="宋体" w:hAnsi="宋体" w:cs="宋体"/>
                <w:sz w:val="24"/>
              </w:rPr>
            </w:pPr>
            <w:r>
              <w:rPr>
                <w:rFonts w:ascii="宋体" w:hAnsi="宋体" w:eastAsia="宋体" w:cs="宋体"/>
                <w:color w:val="auto"/>
                <w:kern w:val="2"/>
                <w:sz w:val="24"/>
              </w:rPr>
              <w:t>1.00</w:t>
            </w:r>
          </w:p>
        </w:tc>
        <w:tc>
          <w:tcPr>
            <w:tcW w:w="1733" w:type="dxa"/>
            <w:vAlign w:val="center"/>
          </w:tcPr>
          <w:p w14:paraId="34E4D16C">
            <w:pPr>
              <w:jc w:val="center"/>
              <w:rPr>
                <w:rFonts w:hint="eastAsia" w:ascii="宋体" w:hAnsi="宋体" w:eastAsia="宋体" w:cs="宋体"/>
                <w:sz w:val="24"/>
                <w:lang w:eastAsia="zh-CN"/>
              </w:rPr>
            </w:pPr>
            <w:r>
              <w:rPr>
                <w:rFonts w:ascii="宋体" w:hAnsi="宋体" w:eastAsia="宋体" w:cs="宋体"/>
                <w:color w:val="auto"/>
                <w:kern w:val="2"/>
                <w:sz w:val="24"/>
              </w:rPr>
              <w:t>38.4</w:t>
            </w:r>
            <w:r>
              <w:rPr>
                <w:rFonts w:hint="eastAsia" w:ascii="宋体" w:hAnsi="宋体" w:cs="宋体"/>
                <w:color w:val="auto"/>
                <w:kern w:val="2"/>
                <w:sz w:val="24"/>
                <w:lang w:val="en-US" w:eastAsia="zh-CN"/>
              </w:rPr>
              <w:t>3</w:t>
            </w:r>
          </w:p>
        </w:tc>
        <w:tc>
          <w:tcPr>
            <w:tcW w:w="1475" w:type="dxa"/>
            <w:vAlign w:val="center"/>
          </w:tcPr>
          <w:p w14:paraId="51ADED2C">
            <w:pPr>
              <w:jc w:val="center"/>
              <w:rPr>
                <w:rFonts w:ascii="宋体" w:hAnsi="宋体" w:eastAsia="宋体" w:cs="宋体"/>
                <w:color w:val="auto"/>
                <w:kern w:val="2"/>
                <w:sz w:val="24"/>
              </w:rPr>
            </w:pPr>
            <w:r>
              <w:rPr>
                <w:rFonts w:ascii="宋体" w:hAnsi="宋体" w:eastAsia="宋体" w:cs="宋体"/>
                <w:color w:val="auto"/>
                <w:kern w:val="2"/>
                <w:sz w:val="24"/>
              </w:rPr>
              <w:t>38.4</w:t>
            </w:r>
            <w:r>
              <w:rPr>
                <w:rFonts w:hint="eastAsia" w:ascii="宋体" w:hAnsi="宋体" w:cs="宋体"/>
                <w:color w:val="auto"/>
                <w:kern w:val="2"/>
                <w:sz w:val="24"/>
                <w:lang w:val="en-US" w:eastAsia="zh-CN"/>
              </w:rPr>
              <w:t>3</w:t>
            </w:r>
          </w:p>
        </w:tc>
      </w:tr>
      <w:tr w14:paraId="451AC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93" w:type="dxa"/>
            <w:vAlign w:val="center"/>
          </w:tcPr>
          <w:p w14:paraId="20BF79BC">
            <w:pPr>
              <w:jc w:val="center"/>
              <w:rPr>
                <w:rFonts w:ascii="宋体" w:hAnsi="宋体" w:cs="宋体"/>
                <w:sz w:val="24"/>
              </w:rPr>
            </w:pPr>
            <w:r>
              <w:rPr>
                <w:rFonts w:hint="eastAsia" w:ascii="宋体" w:hAnsi="宋体" w:eastAsia="宋体" w:cs="宋体"/>
                <w:color w:val="auto"/>
                <w:kern w:val="2"/>
                <w:sz w:val="24"/>
              </w:rPr>
              <w:t>北京中医药大学深圳医院（龙岗）</w:t>
            </w:r>
          </w:p>
        </w:tc>
        <w:tc>
          <w:tcPr>
            <w:tcW w:w="1477" w:type="dxa"/>
            <w:vAlign w:val="center"/>
          </w:tcPr>
          <w:p w14:paraId="46EB1442">
            <w:pPr>
              <w:ind w:firstLine="0"/>
              <w:jc w:val="center"/>
              <w:rPr>
                <w:rFonts w:ascii="宋体" w:hAnsi="宋体" w:cs="宋体"/>
                <w:sz w:val="24"/>
              </w:rPr>
            </w:pPr>
            <w:r>
              <w:rPr>
                <w:rFonts w:ascii="宋体" w:hAnsi="宋体" w:eastAsia="宋体" w:cs="宋体"/>
                <w:color w:val="auto"/>
                <w:kern w:val="2"/>
                <w:sz w:val="24"/>
              </w:rPr>
              <w:t>11</w:t>
            </w:r>
          </w:p>
        </w:tc>
        <w:tc>
          <w:tcPr>
            <w:tcW w:w="1350" w:type="dxa"/>
            <w:vAlign w:val="center"/>
          </w:tcPr>
          <w:p w14:paraId="3B2E1D54">
            <w:pPr>
              <w:ind w:firstLine="0"/>
              <w:jc w:val="center"/>
              <w:rPr>
                <w:rFonts w:ascii="宋体" w:hAnsi="宋体" w:cs="宋体"/>
                <w:sz w:val="24"/>
              </w:rPr>
            </w:pPr>
            <w:r>
              <w:rPr>
                <w:rFonts w:ascii="宋体" w:hAnsi="宋体" w:eastAsia="宋体" w:cs="宋体"/>
                <w:color w:val="auto"/>
                <w:kern w:val="2"/>
                <w:sz w:val="24"/>
              </w:rPr>
              <w:t>1.00</w:t>
            </w:r>
          </w:p>
        </w:tc>
        <w:tc>
          <w:tcPr>
            <w:tcW w:w="1733" w:type="dxa"/>
            <w:vAlign w:val="center"/>
          </w:tcPr>
          <w:p w14:paraId="1502A92A">
            <w:pPr>
              <w:ind w:firstLine="0"/>
              <w:jc w:val="center"/>
              <w:rPr>
                <w:rFonts w:ascii="宋体" w:hAnsi="宋体" w:cs="宋体"/>
                <w:sz w:val="24"/>
              </w:rPr>
            </w:pPr>
            <w:r>
              <w:rPr>
                <w:rFonts w:ascii="宋体" w:hAnsi="宋体" w:eastAsia="宋体" w:cs="宋体"/>
                <w:color w:val="auto"/>
                <w:kern w:val="2"/>
                <w:sz w:val="24"/>
              </w:rPr>
              <w:t>14.5</w:t>
            </w:r>
            <w:r>
              <w:rPr>
                <w:rFonts w:hint="eastAsia" w:ascii="宋体" w:hAnsi="宋体" w:cs="宋体"/>
                <w:color w:val="auto"/>
                <w:kern w:val="2"/>
                <w:sz w:val="24"/>
                <w:lang w:val="en-US" w:eastAsia="zh-CN"/>
              </w:rPr>
              <w:t>8</w:t>
            </w:r>
          </w:p>
        </w:tc>
        <w:tc>
          <w:tcPr>
            <w:tcW w:w="1475" w:type="dxa"/>
            <w:vAlign w:val="center"/>
          </w:tcPr>
          <w:p w14:paraId="40A00063">
            <w:pPr>
              <w:ind w:firstLine="0"/>
              <w:jc w:val="center"/>
              <w:rPr>
                <w:rFonts w:ascii="宋体" w:hAnsi="宋体" w:cs="宋体"/>
                <w:sz w:val="24"/>
              </w:rPr>
            </w:pPr>
            <w:r>
              <w:rPr>
                <w:rFonts w:ascii="宋体" w:hAnsi="宋体" w:eastAsia="宋体" w:cs="宋体"/>
                <w:color w:val="auto"/>
                <w:kern w:val="2"/>
                <w:sz w:val="24"/>
              </w:rPr>
              <w:t>14.5</w:t>
            </w:r>
            <w:r>
              <w:rPr>
                <w:rFonts w:hint="eastAsia" w:ascii="宋体" w:hAnsi="宋体" w:cs="宋体"/>
                <w:color w:val="auto"/>
                <w:kern w:val="2"/>
                <w:sz w:val="24"/>
                <w:lang w:val="en-US" w:eastAsia="zh-CN"/>
              </w:rPr>
              <w:t>8</w:t>
            </w:r>
          </w:p>
        </w:tc>
      </w:tr>
      <w:tr w14:paraId="7C73E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93" w:type="dxa"/>
            <w:vAlign w:val="center"/>
          </w:tcPr>
          <w:p w14:paraId="7CEBFB82">
            <w:pPr>
              <w:jc w:val="center"/>
              <w:rPr>
                <w:rFonts w:ascii="宋体" w:hAnsi="宋体" w:cs="宋体"/>
                <w:sz w:val="24"/>
              </w:rPr>
            </w:pPr>
            <w:r>
              <w:rPr>
                <w:rFonts w:hint="eastAsia" w:ascii="宋体" w:hAnsi="宋体" w:eastAsia="宋体" w:cs="宋体"/>
                <w:color w:val="auto"/>
                <w:kern w:val="2"/>
                <w:sz w:val="24"/>
              </w:rPr>
              <w:t>深圳市龙岗区妇幼保健院</w:t>
            </w:r>
          </w:p>
        </w:tc>
        <w:tc>
          <w:tcPr>
            <w:tcW w:w="1477" w:type="dxa"/>
            <w:vAlign w:val="center"/>
          </w:tcPr>
          <w:p w14:paraId="397CCAC0">
            <w:pPr>
              <w:jc w:val="center"/>
              <w:rPr>
                <w:rFonts w:ascii="宋体" w:hAnsi="宋体" w:cs="宋体"/>
                <w:sz w:val="24"/>
              </w:rPr>
            </w:pPr>
            <w:r>
              <w:rPr>
                <w:rFonts w:ascii="宋体" w:hAnsi="宋体" w:eastAsia="宋体" w:cs="宋体"/>
                <w:color w:val="auto"/>
                <w:kern w:val="2"/>
                <w:sz w:val="24"/>
              </w:rPr>
              <w:t>1</w:t>
            </w:r>
          </w:p>
        </w:tc>
        <w:tc>
          <w:tcPr>
            <w:tcW w:w="1350" w:type="dxa"/>
            <w:vAlign w:val="center"/>
          </w:tcPr>
          <w:p w14:paraId="3712183B">
            <w:pPr>
              <w:jc w:val="center"/>
              <w:rPr>
                <w:rFonts w:ascii="宋体" w:hAnsi="宋体" w:cs="宋体"/>
                <w:sz w:val="24"/>
              </w:rPr>
            </w:pPr>
            <w:r>
              <w:rPr>
                <w:rFonts w:ascii="宋体" w:hAnsi="宋体" w:eastAsia="宋体" w:cs="宋体"/>
                <w:color w:val="auto"/>
                <w:kern w:val="2"/>
                <w:sz w:val="24"/>
              </w:rPr>
              <w:t>1.00</w:t>
            </w:r>
          </w:p>
        </w:tc>
        <w:tc>
          <w:tcPr>
            <w:tcW w:w="1733" w:type="dxa"/>
            <w:vAlign w:val="center"/>
          </w:tcPr>
          <w:p w14:paraId="1EB1535D">
            <w:pPr>
              <w:jc w:val="center"/>
              <w:rPr>
                <w:rFonts w:ascii="宋体" w:hAnsi="宋体" w:cs="宋体"/>
                <w:sz w:val="24"/>
              </w:rPr>
            </w:pPr>
            <w:r>
              <w:rPr>
                <w:rFonts w:ascii="宋体" w:hAnsi="宋体" w:eastAsia="宋体" w:cs="宋体"/>
                <w:color w:val="auto"/>
                <w:kern w:val="2"/>
                <w:sz w:val="24"/>
              </w:rPr>
              <w:t>1.33</w:t>
            </w:r>
          </w:p>
        </w:tc>
        <w:tc>
          <w:tcPr>
            <w:tcW w:w="1475" w:type="dxa"/>
            <w:vAlign w:val="center"/>
          </w:tcPr>
          <w:p w14:paraId="501ABE82">
            <w:pPr>
              <w:jc w:val="center"/>
              <w:rPr>
                <w:rFonts w:ascii="宋体" w:hAnsi="宋体" w:eastAsia="宋体" w:cs="宋体"/>
                <w:color w:val="auto"/>
                <w:kern w:val="2"/>
                <w:sz w:val="24"/>
              </w:rPr>
            </w:pPr>
            <w:r>
              <w:rPr>
                <w:rFonts w:ascii="宋体" w:hAnsi="宋体" w:eastAsia="宋体" w:cs="宋体"/>
                <w:color w:val="auto"/>
                <w:kern w:val="2"/>
                <w:sz w:val="24"/>
              </w:rPr>
              <w:t>1.33</w:t>
            </w:r>
          </w:p>
        </w:tc>
      </w:tr>
      <w:tr w14:paraId="127CE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93" w:type="dxa"/>
            <w:vAlign w:val="center"/>
          </w:tcPr>
          <w:p w14:paraId="790435CA">
            <w:pPr>
              <w:jc w:val="center"/>
              <w:rPr>
                <w:rFonts w:ascii="宋体" w:hAnsi="宋体" w:cs="宋体"/>
                <w:sz w:val="24"/>
              </w:rPr>
            </w:pPr>
            <w:r>
              <w:rPr>
                <w:rFonts w:hint="eastAsia" w:ascii="宋体" w:hAnsi="宋体" w:eastAsia="宋体" w:cs="宋体"/>
                <w:color w:val="auto"/>
                <w:kern w:val="2"/>
                <w:sz w:val="24"/>
              </w:rPr>
              <w:t>深圳市龙岗区人民医院</w:t>
            </w:r>
          </w:p>
        </w:tc>
        <w:tc>
          <w:tcPr>
            <w:tcW w:w="1477" w:type="dxa"/>
            <w:vAlign w:val="center"/>
          </w:tcPr>
          <w:p w14:paraId="680ED654">
            <w:pPr>
              <w:jc w:val="center"/>
              <w:rPr>
                <w:rFonts w:ascii="宋体" w:hAnsi="宋体" w:cs="宋体"/>
                <w:sz w:val="24"/>
              </w:rPr>
            </w:pPr>
            <w:r>
              <w:rPr>
                <w:rFonts w:ascii="宋体" w:hAnsi="宋体" w:eastAsia="宋体" w:cs="宋体"/>
                <w:color w:val="auto"/>
                <w:kern w:val="2"/>
                <w:sz w:val="24"/>
              </w:rPr>
              <w:t>20</w:t>
            </w:r>
          </w:p>
        </w:tc>
        <w:tc>
          <w:tcPr>
            <w:tcW w:w="1350" w:type="dxa"/>
            <w:vAlign w:val="center"/>
          </w:tcPr>
          <w:p w14:paraId="531CC615">
            <w:pPr>
              <w:jc w:val="center"/>
              <w:rPr>
                <w:rFonts w:ascii="宋体" w:hAnsi="宋体" w:cs="宋体"/>
                <w:sz w:val="24"/>
              </w:rPr>
            </w:pPr>
            <w:r>
              <w:rPr>
                <w:rFonts w:ascii="宋体" w:hAnsi="宋体" w:eastAsia="宋体" w:cs="宋体"/>
                <w:color w:val="auto"/>
                <w:kern w:val="2"/>
                <w:sz w:val="24"/>
              </w:rPr>
              <w:t>1.00</w:t>
            </w:r>
          </w:p>
        </w:tc>
        <w:tc>
          <w:tcPr>
            <w:tcW w:w="1733" w:type="dxa"/>
            <w:vAlign w:val="center"/>
          </w:tcPr>
          <w:p w14:paraId="6024DD57">
            <w:pPr>
              <w:widowControl/>
              <w:jc w:val="center"/>
              <w:rPr>
                <w:rFonts w:ascii="宋体" w:hAnsi="宋体" w:cs="宋体"/>
                <w:sz w:val="24"/>
              </w:rPr>
            </w:pPr>
            <w:r>
              <w:rPr>
                <w:rFonts w:ascii="宋体" w:hAnsi="宋体" w:eastAsia="宋体" w:cs="宋体"/>
                <w:color w:val="auto"/>
                <w:kern w:val="2"/>
                <w:sz w:val="24"/>
              </w:rPr>
              <w:t>26.5</w:t>
            </w:r>
          </w:p>
        </w:tc>
        <w:tc>
          <w:tcPr>
            <w:tcW w:w="1475" w:type="dxa"/>
            <w:vAlign w:val="center"/>
          </w:tcPr>
          <w:p w14:paraId="15F20A17">
            <w:pPr>
              <w:widowControl/>
              <w:jc w:val="center"/>
              <w:rPr>
                <w:rFonts w:ascii="宋体" w:hAnsi="宋体" w:eastAsia="宋体" w:cs="宋体"/>
                <w:color w:val="auto"/>
                <w:kern w:val="2"/>
                <w:sz w:val="24"/>
              </w:rPr>
            </w:pPr>
            <w:r>
              <w:rPr>
                <w:rFonts w:ascii="宋体" w:hAnsi="宋体" w:eastAsia="宋体" w:cs="宋体"/>
                <w:color w:val="auto"/>
                <w:kern w:val="2"/>
                <w:sz w:val="24"/>
              </w:rPr>
              <w:t>26.5</w:t>
            </w:r>
          </w:p>
        </w:tc>
      </w:tr>
      <w:tr w14:paraId="73FFD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93" w:type="dxa"/>
            <w:vAlign w:val="center"/>
          </w:tcPr>
          <w:p w14:paraId="75D3E9BC">
            <w:pPr>
              <w:jc w:val="center"/>
              <w:rPr>
                <w:rFonts w:ascii="宋体" w:hAnsi="宋体" w:cs="宋体"/>
                <w:sz w:val="24"/>
              </w:rPr>
            </w:pPr>
            <w:r>
              <w:rPr>
                <w:rFonts w:hint="eastAsia" w:ascii="宋体" w:hAnsi="宋体" w:eastAsia="宋体" w:cs="宋体"/>
                <w:color w:val="auto"/>
                <w:kern w:val="2"/>
                <w:sz w:val="24"/>
              </w:rPr>
              <w:t>深圳市龙岗区第二人民医院</w:t>
            </w:r>
          </w:p>
        </w:tc>
        <w:tc>
          <w:tcPr>
            <w:tcW w:w="1477" w:type="dxa"/>
            <w:vAlign w:val="center"/>
          </w:tcPr>
          <w:p w14:paraId="14338268">
            <w:pPr>
              <w:jc w:val="center"/>
              <w:rPr>
                <w:rFonts w:ascii="宋体" w:hAnsi="宋体" w:cs="宋体"/>
                <w:sz w:val="24"/>
              </w:rPr>
            </w:pPr>
            <w:r>
              <w:rPr>
                <w:rFonts w:ascii="宋体" w:hAnsi="宋体" w:eastAsia="宋体" w:cs="宋体"/>
                <w:color w:val="auto"/>
                <w:kern w:val="2"/>
                <w:sz w:val="24"/>
              </w:rPr>
              <w:t>43</w:t>
            </w:r>
          </w:p>
        </w:tc>
        <w:tc>
          <w:tcPr>
            <w:tcW w:w="1350" w:type="dxa"/>
            <w:vAlign w:val="center"/>
          </w:tcPr>
          <w:p w14:paraId="34984C62">
            <w:pPr>
              <w:jc w:val="center"/>
              <w:rPr>
                <w:rFonts w:ascii="宋体" w:hAnsi="宋体" w:cs="宋体"/>
                <w:sz w:val="24"/>
              </w:rPr>
            </w:pPr>
            <w:r>
              <w:rPr>
                <w:rFonts w:ascii="宋体" w:hAnsi="宋体" w:eastAsia="宋体" w:cs="宋体"/>
                <w:color w:val="auto"/>
                <w:kern w:val="2"/>
                <w:sz w:val="24"/>
              </w:rPr>
              <w:t>0.60</w:t>
            </w:r>
          </w:p>
        </w:tc>
        <w:tc>
          <w:tcPr>
            <w:tcW w:w="1733" w:type="dxa"/>
            <w:vAlign w:val="center"/>
          </w:tcPr>
          <w:p w14:paraId="2AF3EEBB">
            <w:pPr>
              <w:jc w:val="center"/>
              <w:rPr>
                <w:rFonts w:hint="default" w:ascii="宋体" w:hAnsi="宋体" w:eastAsia="宋体" w:cs="宋体"/>
                <w:sz w:val="24"/>
                <w:lang w:val="en-US" w:eastAsia="zh-CN"/>
              </w:rPr>
            </w:pPr>
            <w:r>
              <w:rPr>
                <w:rFonts w:ascii="宋体" w:hAnsi="宋体" w:eastAsia="宋体" w:cs="宋体"/>
                <w:color w:val="auto"/>
                <w:kern w:val="2"/>
                <w:sz w:val="24"/>
              </w:rPr>
              <w:t>34.</w:t>
            </w:r>
            <w:r>
              <w:rPr>
                <w:rFonts w:hint="eastAsia" w:ascii="宋体" w:hAnsi="宋体" w:cs="宋体"/>
                <w:color w:val="auto"/>
                <w:kern w:val="2"/>
                <w:sz w:val="24"/>
                <w:lang w:val="en-US" w:eastAsia="zh-CN"/>
              </w:rPr>
              <w:t>19</w:t>
            </w:r>
          </w:p>
        </w:tc>
        <w:tc>
          <w:tcPr>
            <w:tcW w:w="1475" w:type="dxa"/>
            <w:vAlign w:val="center"/>
          </w:tcPr>
          <w:p w14:paraId="074331F8">
            <w:pPr>
              <w:jc w:val="center"/>
              <w:rPr>
                <w:rFonts w:ascii="宋体" w:hAnsi="宋体" w:eastAsia="宋体" w:cs="宋体"/>
                <w:color w:val="auto"/>
                <w:kern w:val="2"/>
                <w:sz w:val="24"/>
              </w:rPr>
            </w:pPr>
            <w:r>
              <w:rPr>
                <w:rFonts w:ascii="宋体" w:hAnsi="宋体" w:eastAsia="宋体" w:cs="宋体"/>
                <w:color w:val="auto"/>
                <w:kern w:val="2"/>
                <w:sz w:val="24"/>
              </w:rPr>
              <w:t>34.</w:t>
            </w:r>
            <w:r>
              <w:rPr>
                <w:rFonts w:hint="eastAsia" w:ascii="宋体" w:hAnsi="宋体" w:cs="宋体"/>
                <w:color w:val="auto"/>
                <w:kern w:val="2"/>
                <w:sz w:val="24"/>
                <w:lang w:val="en-US" w:eastAsia="zh-CN"/>
              </w:rPr>
              <w:t>19</w:t>
            </w:r>
          </w:p>
        </w:tc>
      </w:tr>
      <w:tr w14:paraId="44188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93" w:type="dxa"/>
            <w:vAlign w:val="center"/>
          </w:tcPr>
          <w:p w14:paraId="2F0B7D4E">
            <w:pPr>
              <w:jc w:val="center"/>
              <w:rPr>
                <w:rFonts w:ascii="宋体" w:hAnsi="宋体" w:cs="宋体"/>
                <w:sz w:val="24"/>
              </w:rPr>
            </w:pPr>
            <w:r>
              <w:rPr>
                <w:rFonts w:hint="eastAsia" w:ascii="宋体" w:hAnsi="宋体" w:eastAsia="宋体" w:cs="宋体"/>
                <w:color w:val="auto"/>
                <w:kern w:val="2"/>
                <w:sz w:val="24"/>
              </w:rPr>
              <w:t>深圳市龙岗区第三人民医院</w:t>
            </w:r>
          </w:p>
        </w:tc>
        <w:tc>
          <w:tcPr>
            <w:tcW w:w="1477" w:type="dxa"/>
            <w:vAlign w:val="center"/>
          </w:tcPr>
          <w:p w14:paraId="78D3A805">
            <w:pPr>
              <w:jc w:val="center"/>
              <w:rPr>
                <w:rFonts w:ascii="宋体" w:hAnsi="宋体" w:cs="宋体"/>
                <w:sz w:val="24"/>
              </w:rPr>
            </w:pPr>
            <w:r>
              <w:rPr>
                <w:rFonts w:ascii="宋体" w:hAnsi="宋体" w:eastAsia="宋体" w:cs="宋体"/>
                <w:color w:val="auto"/>
                <w:kern w:val="2"/>
                <w:sz w:val="24"/>
              </w:rPr>
              <w:t>15</w:t>
            </w:r>
          </w:p>
        </w:tc>
        <w:tc>
          <w:tcPr>
            <w:tcW w:w="1350" w:type="dxa"/>
            <w:vAlign w:val="center"/>
          </w:tcPr>
          <w:p w14:paraId="397B403D">
            <w:pPr>
              <w:jc w:val="center"/>
              <w:rPr>
                <w:rFonts w:ascii="宋体" w:hAnsi="宋体" w:cs="宋体"/>
                <w:sz w:val="24"/>
              </w:rPr>
            </w:pPr>
            <w:r>
              <w:rPr>
                <w:rFonts w:ascii="宋体" w:hAnsi="宋体" w:eastAsia="宋体" w:cs="宋体"/>
                <w:color w:val="auto"/>
                <w:kern w:val="2"/>
                <w:sz w:val="24"/>
              </w:rPr>
              <w:t>0.80</w:t>
            </w:r>
          </w:p>
        </w:tc>
        <w:tc>
          <w:tcPr>
            <w:tcW w:w="1733" w:type="dxa"/>
            <w:vAlign w:val="center"/>
          </w:tcPr>
          <w:p w14:paraId="4341A1EA">
            <w:pPr>
              <w:jc w:val="center"/>
              <w:rPr>
                <w:rFonts w:ascii="宋体" w:hAnsi="宋体" w:cs="宋体"/>
                <w:sz w:val="24"/>
              </w:rPr>
            </w:pPr>
            <w:r>
              <w:rPr>
                <w:rFonts w:ascii="宋体" w:hAnsi="宋体" w:eastAsia="宋体" w:cs="宋体"/>
                <w:color w:val="auto"/>
                <w:kern w:val="2"/>
                <w:sz w:val="24"/>
              </w:rPr>
              <w:t>15.9</w:t>
            </w:r>
          </w:p>
        </w:tc>
        <w:tc>
          <w:tcPr>
            <w:tcW w:w="1475" w:type="dxa"/>
            <w:vAlign w:val="center"/>
          </w:tcPr>
          <w:p w14:paraId="7C23B258">
            <w:pPr>
              <w:jc w:val="center"/>
              <w:rPr>
                <w:rFonts w:ascii="宋体" w:hAnsi="宋体" w:eastAsia="宋体" w:cs="宋体"/>
                <w:color w:val="auto"/>
                <w:kern w:val="2"/>
                <w:sz w:val="24"/>
              </w:rPr>
            </w:pPr>
            <w:r>
              <w:rPr>
                <w:rFonts w:ascii="宋体" w:hAnsi="宋体" w:eastAsia="宋体" w:cs="宋体"/>
                <w:color w:val="auto"/>
                <w:kern w:val="2"/>
                <w:sz w:val="24"/>
              </w:rPr>
              <w:t>15.9</w:t>
            </w:r>
          </w:p>
        </w:tc>
      </w:tr>
      <w:tr w14:paraId="73248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93" w:type="dxa"/>
            <w:vAlign w:val="center"/>
          </w:tcPr>
          <w:p w14:paraId="79493723">
            <w:pPr>
              <w:jc w:val="center"/>
              <w:rPr>
                <w:rFonts w:ascii="宋体" w:hAnsi="宋体" w:cs="宋体"/>
                <w:sz w:val="24"/>
              </w:rPr>
            </w:pPr>
            <w:r>
              <w:rPr>
                <w:rFonts w:hint="eastAsia" w:ascii="宋体" w:hAnsi="宋体" w:eastAsia="宋体" w:cs="宋体"/>
                <w:color w:val="auto"/>
                <w:kern w:val="2"/>
                <w:sz w:val="24"/>
              </w:rPr>
              <w:t>深圳市龙岗区第四人民医院</w:t>
            </w:r>
          </w:p>
        </w:tc>
        <w:tc>
          <w:tcPr>
            <w:tcW w:w="1477" w:type="dxa"/>
            <w:vAlign w:val="center"/>
          </w:tcPr>
          <w:p w14:paraId="6DD7623C">
            <w:pPr>
              <w:jc w:val="center"/>
              <w:rPr>
                <w:rFonts w:ascii="宋体" w:hAnsi="宋体" w:cs="宋体"/>
                <w:sz w:val="24"/>
              </w:rPr>
            </w:pPr>
            <w:r>
              <w:rPr>
                <w:rFonts w:ascii="宋体" w:hAnsi="宋体" w:eastAsia="宋体" w:cs="宋体"/>
                <w:color w:val="auto"/>
                <w:kern w:val="2"/>
                <w:sz w:val="24"/>
              </w:rPr>
              <w:t>10</w:t>
            </w:r>
          </w:p>
        </w:tc>
        <w:tc>
          <w:tcPr>
            <w:tcW w:w="1350" w:type="dxa"/>
            <w:vAlign w:val="center"/>
          </w:tcPr>
          <w:p w14:paraId="2EF8EF5F">
            <w:pPr>
              <w:jc w:val="center"/>
              <w:rPr>
                <w:rFonts w:ascii="宋体" w:hAnsi="宋体" w:cs="宋体"/>
                <w:sz w:val="24"/>
              </w:rPr>
            </w:pPr>
            <w:r>
              <w:rPr>
                <w:rFonts w:ascii="宋体" w:hAnsi="宋体" w:eastAsia="宋体" w:cs="宋体"/>
                <w:color w:val="auto"/>
                <w:kern w:val="2"/>
                <w:sz w:val="24"/>
              </w:rPr>
              <w:t>0.40</w:t>
            </w:r>
          </w:p>
        </w:tc>
        <w:tc>
          <w:tcPr>
            <w:tcW w:w="1733" w:type="dxa"/>
            <w:vAlign w:val="center"/>
          </w:tcPr>
          <w:p w14:paraId="570B81B7">
            <w:pPr>
              <w:jc w:val="center"/>
              <w:rPr>
                <w:rFonts w:ascii="宋体" w:hAnsi="宋体" w:cs="宋体"/>
                <w:sz w:val="24"/>
              </w:rPr>
            </w:pPr>
            <w:r>
              <w:rPr>
                <w:rFonts w:ascii="宋体" w:hAnsi="宋体" w:eastAsia="宋体" w:cs="宋体"/>
                <w:color w:val="auto"/>
                <w:kern w:val="2"/>
                <w:sz w:val="24"/>
              </w:rPr>
              <w:t>5.3</w:t>
            </w:r>
          </w:p>
        </w:tc>
        <w:tc>
          <w:tcPr>
            <w:tcW w:w="1475" w:type="dxa"/>
            <w:vAlign w:val="center"/>
          </w:tcPr>
          <w:p w14:paraId="14094FE8">
            <w:pPr>
              <w:jc w:val="center"/>
              <w:rPr>
                <w:rFonts w:ascii="宋体" w:hAnsi="宋体" w:eastAsia="宋体" w:cs="宋体"/>
                <w:color w:val="auto"/>
                <w:kern w:val="2"/>
                <w:sz w:val="24"/>
              </w:rPr>
            </w:pPr>
            <w:r>
              <w:rPr>
                <w:rFonts w:ascii="宋体" w:hAnsi="宋体" w:eastAsia="宋体" w:cs="宋体"/>
                <w:color w:val="auto"/>
                <w:kern w:val="2"/>
                <w:sz w:val="24"/>
              </w:rPr>
              <w:t>5.3</w:t>
            </w:r>
          </w:p>
        </w:tc>
      </w:tr>
      <w:tr w14:paraId="27917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93" w:type="dxa"/>
            <w:vAlign w:val="center"/>
          </w:tcPr>
          <w:p w14:paraId="22F2F6B8">
            <w:pPr>
              <w:jc w:val="center"/>
              <w:rPr>
                <w:rFonts w:ascii="宋体" w:hAnsi="宋体" w:cs="宋体"/>
                <w:sz w:val="24"/>
              </w:rPr>
            </w:pPr>
            <w:r>
              <w:rPr>
                <w:rFonts w:hint="eastAsia" w:ascii="宋体" w:hAnsi="宋体" w:eastAsia="宋体" w:cs="宋体"/>
                <w:color w:val="auto"/>
                <w:kern w:val="2"/>
                <w:sz w:val="24"/>
              </w:rPr>
              <w:t>深圳市龙岗区第五人民医院</w:t>
            </w:r>
          </w:p>
        </w:tc>
        <w:tc>
          <w:tcPr>
            <w:tcW w:w="1477" w:type="dxa"/>
            <w:vAlign w:val="center"/>
          </w:tcPr>
          <w:p w14:paraId="55F3502B">
            <w:pPr>
              <w:jc w:val="center"/>
              <w:rPr>
                <w:rFonts w:ascii="宋体" w:hAnsi="宋体" w:cs="宋体"/>
                <w:sz w:val="24"/>
              </w:rPr>
            </w:pPr>
            <w:r>
              <w:rPr>
                <w:rFonts w:ascii="宋体" w:hAnsi="宋体" w:eastAsia="宋体" w:cs="宋体"/>
                <w:color w:val="auto"/>
                <w:kern w:val="2"/>
                <w:sz w:val="24"/>
              </w:rPr>
              <w:t>15</w:t>
            </w:r>
          </w:p>
        </w:tc>
        <w:tc>
          <w:tcPr>
            <w:tcW w:w="1350" w:type="dxa"/>
            <w:vAlign w:val="center"/>
          </w:tcPr>
          <w:p w14:paraId="5F719AD6">
            <w:pPr>
              <w:jc w:val="center"/>
              <w:rPr>
                <w:rFonts w:ascii="宋体" w:hAnsi="宋体" w:cs="宋体"/>
                <w:sz w:val="24"/>
              </w:rPr>
            </w:pPr>
            <w:r>
              <w:rPr>
                <w:rFonts w:ascii="宋体" w:hAnsi="宋体" w:eastAsia="宋体" w:cs="宋体"/>
                <w:color w:val="auto"/>
                <w:kern w:val="2"/>
                <w:sz w:val="24"/>
              </w:rPr>
              <w:t>0.60</w:t>
            </w:r>
          </w:p>
        </w:tc>
        <w:tc>
          <w:tcPr>
            <w:tcW w:w="1733" w:type="dxa"/>
            <w:vAlign w:val="center"/>
          </w:tcPr>
          <w:p w14:paraId="00190F1B">
            <w:pPr>
              <w:jc w:val="center"/>
              <w:rPr>
                <w:rFonts w:ascii="宋体" w:hAnsi="宋体" w:cs="宋体"/>
                <w:sz w:val="24"/>
              </w:rPr>
            </w:pPr>
            <w:r>
              <w:rPr>
                <w:rFonts w:ascii="宋体" w:hAnsi="宋体" w:eastAsia="宋体" w:cs="宋体"/>
                <w:color w:val="auto"/>
                <w:kern w:val="2"/>
                <w:sz w:val="24"/>
              </w:rPr>
              <w:t>11.9</w:t>
            </w:r>
            <w:r>
              <w:rPr>
                <w:rFonts w:hint="eastAsia" w:ascii="宋体" w:hAnsi="宋体" w:cs="宋体"/>
                <w:color w:val="auto"/>
                <w:kern w:val="2"/>
                <w:sz w:val="24"/>
                <w:lang w:val="en-US" w:eastAsia="zh-CN"/>
              </w:rPr>
              <w:t>3</w:t>
            </w:r>
          </w:p>
        </w:tc>
        <w:tc>
          <w:tcPr>
            <w:tcW w:w="1475" w:type="dxa"/>
            <w:vAlign w:val="center"/>
          </w:tcPr>
          <w:p w14:paraId="5095D9AD">
            <w:pPr>
              <w:jc w:val="center"/>
              <w:rPr>
                <w:rFonts w:ascii="宋体" w:hAnsi="宋体" w:eastAsia="宋体" w:cs="宋体"/>
                <w:color w:val="auto"/>
                <w:kern w:val="2"/>
                <w:sz w:val="24"/>
              </w:rPr>
            </w:pPr>
            <w:r>
              <w:rPr>
                <w:rFonts w:ascii="宋体" w:hAnsi="宋体" w:eastAsia="宋体" w:cs="宋体"/>
                <w:color w:val="auto"/>
                <w:kern w:val="2"/>
                <w:sz w:val="24"/>
              </w:rPr>
              <w:t>11.9</w:t>
            </w:r>
            <w:r>
              <w:rPr>
                <w:rFonts w:hint="eastAsia" w:ascii="宋体" w:hAnsi="宋体" w:cs="宋体"/>
                <w:color w:val="auto"/>
                <w:kern w:val="2"/>
                <w:sz w:val="24"/>
                <w:lang w:val="en-US" w:eastAsia="zh-CN"/>
              </w:rPr>
              <w:t>3</w:t>
            </w:r>
          </w:p>
        </w:tc>
      </w:tr>
      <w:tr w14:paraId="4D3E1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93" w:type="dxa"/>
            <w:vAlign w:val="center"/>
          </w:tcPr>
          <w:p w14:paraId="2141F13C">
            <w:pPr>
              <w:jc w:val="center"/>
              <w:rPr>
                <w:rFonts w:ascii="宋体" w:hAnsi="宋体" w:cs="宋体"/>
                <w:sz w:val="24"/>
              </w:rPr>
            </w:pPr>
            <w:r>
              <w:rPr>
                <w:rFonts w:hint="eastAsia" w:ascii="宋体" w:hAnsi="宋体" w:eastAsia="宋体" w:cs="宋体"/>
                <w:color w:val="auto"/>
                <w:kern w:val="2"/>
                <w:sz w:val="24"/>
              </w:rPr>
              <w:t>深圳市龙岗区第六人民医院</w:t>
            </w:r>
          </w:p>
        </w:tc>
        <w:tc>
          <w:tcPr>
            <w:tcW w:w="1477" w:type="dxa"/>
            <w:vAlign w:val="center"/>
          </w:tcPr>
          <w:p w14:paraId="788D780F">
            <w:pPr>
              <w:jc w:val="center"/>
              <w:rPr>
                <w:rFonts w:ascii="宋体" w:hAnsi="宋体" w:cs="宋体"/>
                <w:sz w:val="24"/>
              </w:rPr>
            </w:pPr>
            <w:r>
              <w:rPr>
                <w:rFonts w:ascii="宋体" w:hAnsi="宋体" w:eastAsia="宋体" w:cs="宋体"/>
                <w:color w:val="auto"/>
                <w:kern w:val="2"/>
                <w:sz w:val="24"/>
              </w:rPr>
              <w:t>11</w:t>
            </w:r>
          </w:p>
        </w:tc>
        <w:tc>
          <w:tcPr>
            <w:tcW w:w="1350" w:type="dxa"/>
            <w:vAlign w:val="center"/>
          </w:tcPr>
          <w:p w14:paraId="0976323A">
            <w:pPr>
              <w:jc w:val="center"/>
              <w:rPr>
                <w:rFonts w:ascii="宋体" w:hAnsi="宋体" w:cs="宋体"/>
                <w:sz w:val="24"/>
              </w:rPr>
            </w:pPr>
            <w:r>
              <w:rPr>
                <w:rFonts w:ascii="宋体" w:hAnsi="宋体" w:eastAsia="宋体" w:cs="宋体"/>
                <w:color w:val="auto"/>
                <w:kern w:val="2"/>
                <w:sz w:val="24"/>
              </w:rPr>
              <w:t>0.60</w:t>
            </w:r>
          </w:p>
        </w:tc>
        <w:tc>
          <w:tcPr>
            <w:tcW w:w="1733" w:type="dxa"/>
            <w:vAlign w:val="center"/>
          </w:tcPr>
          <w:p w14:paraId="7DF80CBB">
            <w:pPr>
              <w:jc w:val="center"/>
              <w:rPr>
                <w:rFonts w:ascii="宋体" w:hAnsi="宋体" w:cs="宋体"/>
                <w:sz w:val="24"/>
              </w:rPr>
            </w:pPr>
            <w:r>
              <w:rPr>
                <w:rFonts w:ascii="宋体" w:hAnsi="宋体" w:eastAsia="宋体" w:cs="宋体"/>
                <w:color w:val="auto"/>
                <w:kern w:val="2"/>
                <w:sz w:val="24"/>
              </w:rPr>
              <w:t>8.75</w:t>
            </w:r>
          </w:p>
        </w:tc>
        <w:tc>
          <w:tcPr>
            <w:tcW w:w="1475" w:type="dxa"/>
            <w:vAlign w:val="center"/>
          </w:tcPr>
          <w:p w14:paraId="1D30007F">
            <w:pPr>
              <w:jc w:val="center"/>
              <w:rPr>
                <w:rFonts w:ascii="宋体" w:hAnsi="宋体" w:eastAsia="宋体" w:cs="宋体"/>
                <w:color w:val="auto"/>
                <w:kern w:val="2"/>
                <w:sz w:val="24"/>
              </w:rPr>
            </w:pPr>
            <w:r>
              <w:rPr>
                <w:rFonts w:ascii="宋体" w:hAnsi="宋体" w:eastAsia="宋体" w:cs="宋体"/>
                <w:color w:val="auto"/>
                <w:kern w:val="2"/>
                <w:sz w:val="24"/>
              </w:rPr>
              <w:t>8.75</w:t>
            </w:r>
          </w:p>
        </w:tc>
      </w:tr>
      <w:tr w14:paraId="4C43D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93" w:type="dxa"/>
            <w:vAlign w:val="center"/>
          </w:tcPr>
          <w:p w14:paraId="2E15689F">
            <w:pPr>
              <w:jc w:val="center"/>
              <w:rPr>
                <w:rFonts w:ascii="宋体" w:hAnsi="宋体" w:cs="宋体"/>
                <w:sz w:val="24"/>
              </w:rPr>
            </w:pPr>
            <w:r>
              <w:rPr>
                <w:rFonts w:hint="eastAsia" w:ascii="宋体" w:hAnsi="宋体" w:eastAsia="宋体" w:cs="宋体"/>
                <w:color w:val="auto"/>
                <w:kern w:val="2"/>
                <w:sz w:val="24"/>
              </w:rPr>
              <w:t>深圳市龙岗区第七人民医院</w:t>
            </w:r>
          </w:p>
        </w:tc>
        <w:tc>
          <w:tcPr>
            <w:tcW w:w="1477" w:type="dxa"/>
            <w:vAlign w:val="center"/>
          </w:tcPr>
          <w:p w14:paraId="42218817">
            <w:pPr>
              <w:jc w:val="center"/>
              <w:rPr>
                <w:rFonts w:ascii="宋体" w:hAnsi="宋体" w:cs="宋体"/>
                <w:sz w:val="24"/>
              </w:rPr>
            </w:pPr>
            <w:r>
              <w:rPr>
                <w:rFonts w:ascii="宋体" w:hAnsi="宋体" w:eastAsia="宋体" w:cs="宋体"/>
                <w:color w:val="auto"/>
                <w:kern w:val="2"/>
                <w:sz w:val="24"/>
              </w:rPr>
              <w:t>9</w:t>
            </w:r>
          </w:p>
        </w:tc>
        <w:tc>
          <w:tcPr>
            <w:tcW w:w="1350" w:type="dxa"/>
            <w:vAlign w:val="center"/>
          </w:tcPr>
          <w:p w14:paraId="17B20534">
            <w:pPr>
              <w:jc w:val="center"/>
              <w:rPr>
                <w:rFonts w:ascii="宋体" w:hAnsi="宋体" w:cs="宋体"/>
                <w:sz w:val="24"/>
              </w:rPr>
            </w:pPr>
            <w:r>
              <w:rPr>
                <w:rFonts w:ascii="宋体" w:hAnsi="宋体" w:eastAsia="宋体" w:cs="宋体"/>
                <w:color w:val="auto"/>
                <w:kern w:val="2"/>
                <w:sz w:val="24"/>
              </w:rPr>
              <w:t>0.40</w:t>
            </w:r>
          </w:p>
        </w:tc>
        <w:tc>
          <w:tcPr>
            <w:tcW w:w="1733" w:type="dxa"/>
            <w:vAlign w:val="center"/>
          </w:tcPr>
          <w:p w14:paraId="74D2462E">
            <w:pPr>
              <w:jc w:val="center"/>
              <w:rPr>
                <w:rFonts w:ascii="宋体" w:hAnsi="宋体" w:cs="宋体"/>
                <w:sz w:val="24"/>
              </w:rPr>
            </w:pPr>
            <w:r>
              <w:rPr>
                <w:rFonts w:ascii="宋体" w:hAnsi="宋体" w:eastAsia="宋体" w:cs="宋体"/>
                <w:color w:val="auto"/>
                <w:kern w:val="2"/>
                <w:sz w:val="24"/>
              </w:rPr>
              <w:t>4.77</w:t>
            </w:r>
          </w:p>
        </w:tc>
        <w:tc>
          <w:tcPr>
            <w:tcW w:w="1475" w:type="dxa"/>
            <w:vAlign w:val="center"/>
          </w:tcPr>
          <w:p w14:paraId="0D8710AE">
            <w:pPr>
              <w:jc w:val="center"/>
              <w:rPr>
                <w:rFonts w:ascii="宋体" w:hAnsi="宋体" w:eastAsia="宋体" w:cs="宋体"/>
                <w:color w:val="auto"/>
                <w:kern w:val="2"/>
                <w:sz w:val="24"/>
              </w:rPr>
            </w:pPr>
            <w:r>
              <w:rPr>
                <w:rFonts w:ascii="宋体" w:hAnsi="宋体" w:eastAsia="宋体" w:cs="宋体"/>
                <w:color w:val="auto"/>
                <w:kern w:val="2"/>
                <w:sz w:val="24"/>
              </w:rPr>
              <w:t>4.77</w:t>
            </w:r>
          </w:p>
        </w:tc>
      </w:tr>
      <w:tr w14:paraId="4D1E3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93" w:type="dxa"/>
            <w:vAlign w:val="center"/>
          </w:tcPr>
          <w:p w14:paraId="2BC9FC55">
            <w:pPr>
              <w:jc w:val="center"/>
              <w:rPr>
                <w:rFonts w:hint="eastAsia" w:ascii="宋体" w:hAnsi="宋体" w:eastAsia="宋体" w:cs="宋体"/>
                <w:color w:val="auto"/>
                <w:kern w:val="2"/>
                <w:sz w:val="24"/>
              </w:rPr>
            </w:pPr>
            <w:r>
              <w:rPr>
                <w:rFonts w:hint="eastAsia" w:ascii="宋体" w:hAnsi="宋体" w:eastAsia="宋体" w:cs="宋体"/>
                <w:color w:val="auto"/>
                <w:kern w:val="2"/>
                <w:sz w:val="24"/>
              </w:rPr>
              <w:t>深圳市龙岗区骨科医院</w:t>
            </w:r>
          </w:p>
        </w:tc>
        <w:tc>
          <w:tcPr>
            <w:tcW w:w="1477" w:type="dxa"/>
            <w:vAlign w:val="center"/>
          </w:tcPr>
          <w:p w14:paraId="5F04A907">
            <w:pPr>
              <w:jc w:val="center"/>
              <w:rPr>
                <w:rFonts w:hint="eastAsia" w:ascii="宋体" w:hAnsi="宋体" w:eastAsia="宋体" w:cs="宋体"/>
                <w:color w:val="auto"/>
                <w:kern w:val="2"/>
                <w:sz w:val="24"/>
                <w:lang w:val="en-US" w:eastAsia="zh-CN"/>
              </w:rPr>
            </w:pPr>
            <w:r>
              <w:rPr>
                <w:rFonts w:hint="eastAsia" w:ascii="宋体" w:hAnsi="宋体" w:cs="宋体"/>
                <w:color w:val="auto"/>
                <w:kern w:val="2"/>
                <w:sz w:val="24"/>
                <w:lang w:val="en-US" w:eastAsia="zh-CN"/>
              </w:rPr>
              <w:t>4</w:t>
            </w:r>
          </w:p>
        </w:tc>
        <w:tc>
          <w:tcPr>
            <w:tcW w:w="1350" w:type="dxa"/>
            <w:vAlign w:val="center"/>
          </w:tcPr>
          <w:p w14:paraId="07296962">
            <w:pPr>
              <w:jc w:val="center"/>
              <w:rPr>
                <w:rFonts w:hint="default" w:ascii="宋体" w:hAnsi="宋体" w:eastAsia="宋体" w:cs="宋体"/>
                <w:color w:val="auto"/>
                <w:kern w:val="2"/>
                <w:sz w:val="24"/>
                <w:lang w:val="en-US" w:eastAsia="zh-CN"/>
              </w:rPr>
            </w:pPr>
            <w:r>
              <w:rPr>
                <w:rFonts w:hint="eastAsia" w:ascii="宋体" w:hAnsi="宋体" w:cs="宋体"/>
                <w:color w:val="auto"/>
                <w:kern w:val="2"/>
                <w:sz w:val="24"/>
                <w:lang w:val="en-US" w:eastAsia="zh-CN"/>
              </w:rPr>
              <w:t>0.60</w:t>
            </w:r>
          </w:p>
        </w:tc>
        <w:tc>
          <w:tcPr>
            <w:tcW w:w="1733" w:type="dxa"/>
            <w:vAlign w:val="center"/>
          </w:tcPr>
          <w:p w14:paraId="465E50CC">
            <w:pPr>
              <w:jc w:val="center"/>
              <w:rPr>
                <w:rFonts w:hint="default" w:ascii="宋体" w:hAnsi="宋体" w:eastAsia="宋体" w:cs="宋体"/>
                <w:color w:val="auto"/>
                <w:kern w:val="2"/>
                <w:sz w:val="24"/>
                <w:lang w:val="en-US" w:eastAsia="zh-CN"/>
              </w:rPr>
            </w:pPr>
            <w:r>
              <w:rPr>
                <w:rFonts w:hint="eastAsia" w:ascii="宋体" w:hAnsi="宋体" w:cs="宋体"/>
                <w:color w:val="auto"/>
                <w:kern w:val="2"/>
                <w:sz w:val="24"/>
                <w:lang w:val="en-US" w:eastAsia="zh-CN"/>
              </w:rPr>
              <w:t>3.18</w:t>
            </w:r>
          </w:p>
        </w:tc>
        <w:tc>
          <w:tcPr>
            <w:tcW w:w="1475" w:type="dxa"/>
            <w:vAlign w:val="center"/>
          </w:tcPr>
          <w:p w14:paraId="039818F8">
            <w:pPr>
              <w:jc w:val="center"/>
              <w:rPr>
                <w:rFonts w:ascii="宋体" w:hAnsi="宋体" w:eastAsia="宋体" w:cs="宋体"/>
                <w:color w:val="auto"/>
                <w:kern w:val="2"/>
                <w:sz w:val="24"/>
              </w:rPr>
            </w:pPr>
            <w:r>
              <w:rPr>
                <w:rFonts w:hint="eastAsia" w:ascii="宋体" w:hAnsi="宋体" w:cs="宋体"/>
                <w:color w:val="auto"/>
                <w:kern w:val="2"/>
                <w:sz w:val="24"/>
                <w:lang w:val="en-US" w:eastAsia="zh-CN"/>
              </w:rPr>
              <w:t>3.18</w:t>
            </w:r>
          </w:p>
        </w:tc>
      </w:tr>
      <w:tr w14:paraId="270D5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93" w:type="dxa"/>
            <w:vAlign w:val="center"/>
          </w:tcPr>
          <w:p w14:paraId="1A655922">
            <w:pPr>
              <w:widowControl w:val="0"/>
              <w:jc w:val="center"/>
              <w:rPr>
                <w:rFonts w:ascii="宋体" w:hAnsi="宋体" w:eastAsia="宋体" w:cs="宋体"/>
                <w:color w:val="auto"/>
                <w:kern w:val="2"/>
                <w:sz w:val="24"/>
              </w:rPr>
            </w:pPr>
            <w:r>
              <w:rPr>
                <w:rFonts w:hint="eastAsia" w:ascii="宋体" w:hAnsi="宋体" w:eastAsia="宋体" w:cs="宋体"/>
                <w:color w:val="auto"/>
                <w:kern w:val="2"/>
                <w:sz w:val="24"/>
              </w:rPr>
              <w:t>总计</w:t>
            </w:r>
          </w:p>
        </w:tc>
        <w:tc>
          <w:tcPr>
            <w:tcW w:w="1477" w:type="dxa"/>
            <w:vAlign w:val="center"/>
          </w:tcPr>
          <w:p w14:paraId="68F64151">
            <w:pPr>
              <w:ind w:firstLine="0"/>
              <w:jc w:val="center"/>
              <w:rPr>
                <w:rFonts w:ascii="宋体" w:hAnsi="宋体" w:eastAsia="宋体" w:cs="宋体"/>
                <w:color w:val="auto"/>
                <w:kern w:val="2"/>
                <w:sz w:val="24"/>
              </w:rPr>
            </w:pPr>
            <w:r>
              <w:rPr>
                <w:rFonts w:ascii="宋体" w:hAnsi="宋体" w:eastAsia="宋体" w:cs="宋体"/>
                <w:b w:val="0"/>
                <w:bCs w:val="0"/>
                <w:color w:val="auto"/>
                <w:kern w:val="2"/>
                <w:sz w:val="24"/>
              </w:rPr>
              <w:t>168</w:t>
            </w:r>
          </w:p>
        </w:tc>
        <w:tc>
          <w:tcPr>
            <w:tcW w:w="1350" w:type="dxa"/>
            <w:vAlign w:val="center"/>
          </w:tcPr>
          <w:p w14:paraId="536926A0">
            <w:pPr>
              <w:ind w:firstLine="480"/>
              <w:jc w:val="left"/>
              <w:rPr>
                <w:rFonts w:hint="eastAsia" w:ascii="宋体" w:hAnsi="宋体" w:eastAsia="宋体" w:cs="宋体"/>
                <w:color w:val="auto"/>
                <w:kern w:val="2"/>
                <w:sz w:val="24"/>
                <w:lang w:val="en-US" w:eastAsia="zh-CN"/>
              </w:rPr>
            </w:pPr>
            <w:r>
              <w:rPr>
                <w:rFonts w:hint="eastAsia" w:ascii="宋体" w:hAnsi="宋体" w:cs="宋体"/>
                <w:color w:val="auto"/>
                <w:kern w:val="2"/>
                <w:sz w:val="24"/>
                <w:lang w:val="en-US" w:eastAsia="zh-CN"/>
              </w:rPr>
              <w:t>/</w:t>
            </w:r>
          </w:p>
        </w:tc>
        <w:tc>
          <w:tcPr>
            <w:tcW w:w="1733" w:type="dxa"/>
            <w:vAlign w:val="center"/>
          </w:tcPr>
          <w:p w14:paraId="6352479D">
            <w:pPr>
              <w:ind w:firstLine="0"/>
              <w:jc w:val="center"/>
              <w:rPr>
                <w:rFonts w:hint="eastAsia" w:ascii="宋体" w:hAnsi="宋体" w:eastAsia="宋体" w:cs="宋体"/>
                <w:color w:val="auto"/>
                <w:kern w:val="2"/>
                <w:sz w:val="24"/>
                <w:lang w:val="en-US" w:eastAsia="zh-CN"/>
              </w:rPr>
            </w:pPr>
            <w:r>
              <w:rPr>
                <w:rFonts w:hint="eastAsia" w:ascii="宋体" w:hAnsi="宋体" w:cs="宋体"/>
                <w:color w:val="auto"/>
                <w:kern w:val="2"/>
                <w:sz w:val="24"/>
                <w:lang w:val="en-US" w:eastAsia="zh-CN"/>
              </w:rPr>
              <w:t>164.86</w:t>
            </w:r>
          </w:p>
        </w:tc>
        <w:tc>
          <w:tcPr>
            <w:tcW w:w="1475" w:type="dxa"/>
            <w:vAlign w:val="center"/>
          </w:tcPr>
          <w:p w14:paraId="08C840B7">
            <w:pPr>
              <w:ind w:firstLine="0" w:firstLineChars="0"/>
              <w:jc w:val="center"/>
              <w:rPr>
                <w:rFonts w:hint="eastAsia" w:ascii="宋体" w:hAnsi="宋体" w:cs="宋体"/>
                <w:color w:val="auto"/>
                <w:kern w:val="2"/>
                <w:sz w:val="24"/>
                <w:lang w:val="en-US" w:eastAsia="zh-CN"/>
              </w:rPr>
            </w:pPr>
            <w:r>
              <w:rPr>
                <w:rFonts w:hint="eastAsia" w:ascii="宋体" w:hAnsi="宋体" w:cs="宋体"/>
                <w:color w:val="auto"/>
                <w:kern w:val="2"/>
                <w:sz w:val="24"/>
                <w:lang w:val="en-US" w:eastAsia="zh-CN"/>
              </w:rPr>
              <w:t>164.86</w:t>
            </w:r>
          </w:p>
        </w:tc>
      </w:tr>
    </w:tbl>
    <w:p w14:paraId="3DE8E835"/>
    <w:p w14:paraId="0B5BCC3A"/>
    <w:p w14:paraId="1D7FB41B"/>
    <w:p w14:paraId="61B7FBAC"/>
    <w:p w14:paraId="64EF8A55">
      <w:pPr>
        <w:pStyle w:val="6"/>
        <w:spacing w:before="120" w:beforeLines="50" w:after="120" w:afterLines="50"/>
      </w:pPr>
      <w:r>
        <w:rPr>
          <w:rFonts w:hint="eastAsia"/>
          <w:szCs w:val="24"/>
        </w:rPr>
        <w:t>二、项目概况</w:t>
      </w:r>
    </w:p>
    <w:p w14:paraId="409E9D29">
      <w:pPr>
        <w:pStyle w:val="2"/>
        <w:spacing w:line="240" w:lineRule="auto"/>
        <w:ind w:firstLine="480" w:firstLineChars="200"/>
        <w:rPr>
          <w:rFonts w:asciiTheme="minorEastAsia" w:hAnsiTheme="minorEastAsia" w:eastAsiaTheme="minorEastAsia" w:cstheme="minorEastAsia"/>
          <w:b w:val="0"/>
        </w:rPr>
      </w:pPr>
      <w:r>
        <w:rPr>
          <w:rFonts w:hint="eastAsia" w:asciiTheme="minorEastAsia" w:hAnsiTheme="minorEastAsia" w:eastAsiaTheme="minorEastAsia" w:cstheme="minorEastAsia"/>
          <w:b w:val="0"/>
        </w:rPr>
        <w:t>2024年6月深圳市卫生健康委发布《市卫生健康委关于做好社康机构移动支付系统建设相关工作的通知》，通知中提出“请各区卫生健康行政部门在社康信息系统分区部署的基础上，结合基层医疗集团建设及医保移动支付需求，自行完成本区社康信息系统专用版移动支付功能模块开发建设或复用对接辖区已有移动支付系统，保障系统网络安全和数据安全，兼容市属和社会办社康机构；及时终止与原社康移动支付系统的接口，完成资金结算相关工作。”为便于龙岗区各医疗机构对社</w:t>
      </w:r>
      <w:r>
        <w:rPr>
          <w:rFonts w:hint="eastAsia" w:asciiTheme="minorEastAsia" w:hAnsiTheme="minorEastAsia" w:eastAsiaTheme="minorEastAsia" w:cstheme="minorEastAsia"/>
          <w:b w:val="0"/>
          <w:lang w:eastAsia="zh-CN"/>
        </w:rPr>
        <w:t>康</w:t>
      </w:r>
      <w:r>
        <w:rPr>
          <w:rFonts w:hint="eastAsia" w:asciiTheme="minorEastAsia" w:hAnsiTheme="minorEastAsia" w:eastAsiaTheme="minorEastAsia" w:cstheme="minorEastAsia"/>
          <w:b w:val="0"/>
        </w:rPr>
        <w:t>中心移动支付的自主管理，满足龙岗区各医疗机构业务实际需求，实现构建社康中心移动支付系统，满足各社康中心移动支付需求，提升居民就医体验，龙岗区卫生健康局规划龙岗区区域社康机构移动支付系统项目。</w:t>
      </w:r>
    </w:p>
    <w:p w14:paraId="591BDFC8">
      <w:pPr>
        <w:pStyle w:val="6"/>
        <w:spacing w:before="120" w:beforeLines="50" w:after="120" w:afterLines="50"/>
        <w:rPr>
          <w:szCs w:val="24"/>
        </w:rPr>
      </w:pPr>
      <w:r>
        <w:rPr>
          <w:rFonts w:hint="eastAsia"/>
          <w:szCs w:val="24"/>
        </w:rPr>
        <w:t>三、</w:t>
      </w:r>
      <w:bookmarkStart w:id="36" w:name="_Hlk72073432"/>
      <w:r>
        <w:rPr>
          <w:rFonts w:hint="eastAsia"/>
          <w:szCs w:val="24"/>
        </w:rPr>
        <w:t>服务需求明细</w:t>
      </w:r>
      <w:bookmarkEnd w:id="36"/>
    </w:p>
    <w:tbl>
      <w:tblPr>
        <w:tblStyle w:val="44"/>
        <w:tblpPr w:leftFromText="180" w:rightFromText="180" w:vertAnchor="text" w:horzAnchor="margin" w:tblpY="173"/>
        <w:tblW w:w="81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432"/>
        <w:gridCol w:w="2717"/>
        <w:gridCol w:w="851"/>
        <w:gridCol w:w="1420"/>
      </w:tblGrid>
      <w:tr w14:paraId="21CAD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71" w:type="dxa"/>
            <w:vAlign w:val="center"/>
          </w:tcPr>
          <w:p w14:paraId="5427516D">
            <w:pPr>
              <w:jc w:val="center"/>
              <w:rPr>
                <w:rFonts w:ascii="宋体" w:hAnsi="宋体" w:cs="宋体"/>
                <w:bCs/>
                <w:sz w:val="24"/>
              </w:rPr>
            </w:pPr>
            <w:r>
              <w:rPr>
                <w:rFonts w:hint="eastAsia" w:ascii="宋体" w:hAnsi="宋体" w:cs="宋体"/>
                <w:bCs/>
                <w:sz w:val="24"/>
              </w:rPr>
              <w:t>序号</w:t>
            </w:r>
          </w:p>
        </w:tc>
        <w:tc>
          <w:tcPr>
            <w:tcW w:w="2432" w:type="dxa"/>
            <w:vAlign w:val="center"/>
          </w:tcPr>
          <w:p w14:paraId="169CE20E">
            <w:pPr>
              <w:jc w:val="center"/>
              <w:rPr>
                <w:rFonts w:ascii="宋体" w:hAnsi="宋体" w:cs="宋体"/>
                <w:bCs/>
                <w:sz w:val="24"/>
              </w:rPr>
            </w:pPr>
            <w:r>
              <w:rPr>
                <w:rFonts w:hint="eastAsia" w:ascii="宋体" w:hAnsi="宋体" w:cs="宋体"/>
                <w:sz w:val="24"/>
              </w:rPr>
              <w:t>采购计划编号</w:t>
            </w:r>
          </w:p>
        </w:tc>
        <w:tc>
          <w:tcPr>
            <w:tcW w:w="2717" w:type="dxa"/>
            <w:vAlign w:val="center"/>
          </w:tcPr>
          <w:p w14:paraId="0A753275">
            <w:pPr>
              <w:jc w:val="center"/>
              <w:rPr>
                <w:rFonts w:ascii="宋体" w:hAnsi="宋体" w:cs="宋体"/>
                <w:bCs/>
                <w:sz w:val="24"/>
              </w:rPr>
            </w:pPr>
            <w:r>
              <w:rPr>
                <w:rFonts w:hint="eastAsia" w:ascii="宋体" w:hAnsi="宋体" w:cs="宋体"/>
                <w:bCs/>
                <w:sz w:val="24"/>
              </w:rPr>
              <w:t>服务需求名称</w:t>
            </w:r>
          </w:p>
        </w:tc>
        <w:tc>
          <w:tcPr>
            <w:tcW w:w="851" w:type="dxa"/>
            <w:vAlign w:val="center"/>
          </w:tcPr>
          <w:p w14:paraId="58BB60C9">
            <w:pPr>
              <w:jc w:val="center"/>
              <w:rPr>
                <w:rFonts w:ascii="宋体" w:hAnsi="宋体" w:cs="宋体"/>
                <w:bCs/>
                <w:sz w:val="24"/>
              </w:rPr>
            </w:pPr>
            <w:r>
              <w:rPr>
                <w:rFonts w:hint="eastAsia" w:ascii="宋体" w:hAnsi="宋体" w:cs="宋体"/>
                <w:bCs/>
                <w:sz w:val="24"/>
              </w:rPr>
              <w:t>数量</w:t>
            </w:r>
          </w:p>
        </w:tc>
        <w:tc>
          <w:tcPr>
            <w:tcW w:w="1420" w:type="dxa"/>
            <w:vAlign w:val="center"/>
          </w:tcPr>
          <w:p w14:paraId="36A08746">
            <w:pPr>
              <w:jc w:val="center"/>
              <w:rPr>
                <w:rFonts w:ascii="宋体" w:hAnsi="宋体" w:cs="宋体"/>
                <w:bCs/>
                <w:sz w:val="24"/>
              </w:rPr>
            </w:pPr>
            <w:r>
              <w:rPr>
                <w:rFonts w:hint="eastAsia" w:ascii="宋体" w:hAnsi="宋体" w:cs="宋体"/>
                <w:bCs/>
                <w:sz w:val="24"/>
              </w:rPr>
              <w:t>单位</w:t>
            </w:r>
          </w:p>
        </w:tc>
      </w:tr>
      <w:tr w14:paraId="4F326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771" w:type="dxa"/>
            <w:vAlign w:val="center"/>
          </w:tcPr>
          <w:p w14:paraId="452D496F">
            <w:pPr>
              <w:jc w:val="center"/>
              <w:rPr>
                <w:rFonts w:ascii="宋体" w:hAnsi="宋体" w:cs="宋体"/>
                <w:bCs/>
                <w:sz w:val="24"/>
              </w:rPr>
            </w:pPr>
            <w:r>
              <w:rPr>
                <w:rFonts w:hint="eastAsia" w:ascii="宋体" w:hAnsi="宋体" w:cs="宋体"/>
                <w:bCs/>
                <w:sz w:val="24"/>
              </w:rPr>
              <w:t>1</w:t>
            </w:r>
          </w:p>
        </w:tc>
        <w:tc>
          <w:tcPr>
            <w:tcW w:w="2432" w:type="dxa"/>
            <w:vAlign w:val="center"/>
          </w:tcPr>
          <w:p w14:paraId="53251144">
            <w:pPr>
              <w:jc w:val="center"/>
              <w:rPr>
                <w:rFonts w:ascii="宋体" w:hAnsi="宋体" w:cs="宋体"/>
                <w:bCs/>
                <w:sz w:val="24"/>
              </w:rPr>
            </w:pPr>
            <w:r>
              <w:rPr>
                <w:rFonts w:hint="eastAsia" w:ascii="宋体" w:hAnsi="宋体" w:cs="宋体"/>
                <w:bCs/>
                <w:sz w:val="24"/>
              </w:rPr>
              <w:t>JYCG-DECL-2024-7606</w:t>
            </w:r>
          </w:p>
        </w:tc>
        <w:tc>
          <w:tcPr>
            <w:tcW w:w="2717" w:type="dxa"/>
            <w:vAlign w:val="center"/>
          </w:tcPr>
          <w:p w14:paraId="465B6360">
            <w:pPr>
              <w:jc w:val="center"/>
              <w:rPr>
                <w:rFonts w:ascii="宋体" w:hAnsi="宋体" w:cs="宋体"/>
                <w:bCs/>
                <w:sz w:val="24"/>
              </w:rPr>
            </w:pPr>
            <w:r>
              <w:rPr>
                <w:rFonts w:hint="eastAsia" w:ascii="宋体" w:hAnsi="宋体" w:cs="宋体"/>
                <w:bCs/>
                <w:sz w:val="24"/>
              </w:rPr>
              <w:t>龙岗区社康机构移动支付系统服务项目</w:t>
            </w:r>
          </w:p>
        </w:tc>
        <w:tc>
          <w:tcPr>
            <w:tcW w:w="851" w:type="dxa"/>
            <w:vAlign w:val="center"/>
          </w:tcPr>
          <w:p w14:paraId="136ED1CA">
            <w:pPr>
              <w:jc w:val="center"/>
              <w:rPr>
                <w:rFonts w:ascii="宋体" w:hAnsi="宋体" w:cs="宋体"/>
                <w:bCs/>
                <w:sz w:val="24"/>
              </w:rPr>
            </w:pPr>
            <w:r>
              <w:rPr>
                <w:rFonts w:hint="eastAsia" w:ascii="宋体" w:hAnsi="宋体" w:cs="宋体"/>
                <w:sz w:val="24"/>
              </w:rPr>
              <w:t>1</w:t>
            </w:r>
          </w:p>
        </w:tc>
        <w:tc>
          <w:tcPr>
            <w:tcW w:w="1420" w:type="dxa"/>
            <w:vAlign w:val="center"/>
          </w:tcPr>
          <w:p w14:paraId="02E99C1B">
            <w:pPr>
              <w:jc w:val="center"/>
              <w:rPr>
                <w:rFonts w:ascii="宋体" w:hAnsi="宋体" w:cs="宋体"/>
                <w:bCs/>
                <w:sz w:val="24"/>
              </w:rPr>
            </w:pPr>
            <w:r>
              <w:rPr>
                <w:rFonts w:hint="eastAsia" w:ascii="宋体" w:hAnsi="宋体" w:cs="宋体"/>
                <w:bCs/>
                <w:sz w:val="24"/>
              </w:rPr>
              <w:t>项</w:t>
            </w:r>
          </w:p>
        </w:tc>
      </w:tr>
    </w:tbl>
    <w:p w14:paraId="3E5AC251">
      <w:pPr>
        <w:pStyle w:val="36"/>
      </w:pPr>
    </w:p>
    <w:p w14:paraId="597FA4A1">
      <w:pPr>
        <w:pStyle w:val="36"/>
      </w:pPr>
    </w:p>
    <w:p w14:paraId="0F19B40A">
      <w:pPr>
        <w:pStyle w:val="36"/>
      </w:pPr>
    </w:p>
    <w:p w14:paraId="7A9AAF08">
      <w:pPr>
        <w:pStyle w:val="6"/>
        <w:numPr>
          <w:ilvl w:val="0"/>
          <w:numId w:val="8"/>
        </w:numPr>
        <w:spacing w:before="0" w:after="0" w:line="320" w:lineRule="exact"/>
      </w:pPr>
      <w:r>
        <w:rPr>
          <w:rFonts w:hint="eastAsia"/>
          <w:szCs w:val="24"/>
        </w:rPr>
        <w:t>实质性条款</w:t>
      </w:r>
    </w:p>
    <w:tbl>
      <w:tblPr>
        <w:tblStyle w:val="44"/>
        <w:tblpPr w:leftFromText="180" w:rightFromText="180" w:vertAnchor="text" w:horzAnchor="page" w:tblpX="1791" w:tblpY="437"/>
        <w:tblOverlap w:val="never"/>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7483"/>
      </w:tblGrid>
      <w:tr w14:paraId="4FDF9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05" w:type="dxa"/>
            <w:vAlign w:val="center"/>
          </w:tcPr>
          <w:p w14:paraId="1EC79B17">
            <w:pPr>
              <w:adjustRightInd w:val="0"/>
              <w:snapToGrid w:val="0"/>
              <w:jc w:val="center"/>
              <w:rPr>
                <w:rFonts w:ascii="宋体" w:hAnsi="宋体" w:cs="宋体"/>
                <w:kern w:val="0"/>
                <w:sz w:val="24"/>
              </w:rPr>
            </w:pPr>
            <w:r>
              <w:rPr>
                <w:rFonts w:hint="eastAsia" w:ascii="宋体" w:hAnsi="宋体" w:cs="宋体"/>
                <w:kern w:val="0"/>
                <w:sz w:val="24"/>
              </w:rPr>
              <w:t>序号</w:t>
            </w:r>
          </w:p>
        </w:tc>
        <w:tc>
          <w:tcPr>
            <w:tcW w:w="7483" w:type="dxa"/>
            <w:vAlign w:val="center"/>
          </w:tcPr>
          <w:p w14:paraId="78D1A1AF">
            <w:pPr>
              <w:adjustRightInd w:val="0"/>
              <w:snapToGrid w:val="0"/>
              <w:jc w:val="center"/>
              <w:rPr>
                <w:rFonts w:ascii="宋体" w:hAnsi="宋体" w:cs="宋体"/>
                <w:kern w:val="0"/>
                <w:sz w:val="24"/>
              </w:rPr>
            </w:pPr>
            <w:r>
              <w:rPr>
                <w:rFonts w:hint="eastAsia" w:ascii="宋体" w:hAnsi="宋体" w:cs="宋体"/>
                <w:kern w:val="0"/>
                <w:sz w:val="24"/>
              </w:rPr>
              <w:t>实质性条款具体内容</w:t>
            </w:r>
          </w:p>
        </w:tc>
      </w:tr>
      <w:tr w14:paraId="63AAE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705" w:type="dxa"/>
            <w:vAlign w:val="center"/>
          </w:tcPr>
          <w:p w14:paraId="48966EB8">
            <w:pPr>
              <w:adjustRightInd w:val="0"/>
              <w:snapToGrid w:val="0"/>
              <w:jc w:val="center"/>
              <w:rPr>
                <w:rFonts w:ascii="宋体" w:hAnsi="宋体" w:cs="宋体"/>
                <w:kern w:val="0"/>
                <w:sz w:val="24"/>
              </w:rPr>
            </w:pPr>
            <w:r>
              <w:rPr>
                <w:rFonts w:hint="eastAsia" w:ascii="宋体" w:hAnsi="宋体" w:cs="宋体"/>
                <w:kern w:val="0"/>
                <w:sz w:val="24"/>
              </w:rPr>
              <w:t>1</w:t>
            </w:r>
          </w:p>
        </w:tc>
        <w:tc>
          <w:tcPr>
            <w:tcW w:w="7483" w:type="dxa"/>
          </w:tcPr>
          <w:p w14:paraId="32BBFC94">
            <w:pPr>
              <w:adjustRightInd w:val="0"/>
              <w:snapToGrid w:val="0"/>
              <w:rPr>
                <w:rFonts w:ascii="宋体" w:hAnsi="宋体" w:cs="宋体"/>
                <w:kern w:val="0"/>
                <w:sz w:val="24"/>
              </w:rPr>
            </w:pPr>
            <w:r>
              <w:rPr>
                <w:rFonts w:hint="eastAsia" w:ascii="宋体" w:hAnsi="宋体" w:cs="宋体"/>
                <w:b w:val="0"/>
                <w:bCs w:val="0"/>
              </w:rPr>
              <w:t>★</w:t>
            </w:r>
            <w:r>
              <w:rPr>
                <w:rFonts w:hint="eastAsia" w:ascii="宋体" w:hAnsi="宋体" w:cs="宋体"/>
                <w:sz w:val="24"/>
              </w:rPr>
              <w:t>服务期</w:t>
            </w:r>
            <w:r>
              <w:rPr>
                <w:rFonts w:hint="eastAsia" w:ascii="宋体" w:hAnsi="宋体" w:cs="宋体"/>
                <w:sz w:val="24"/>
                <w:lang w:val="en-US" w:eastAsia="zh-CN"/>
              </w:rPr>
              <w:t>限</w:t>
            </w:r>
            <w:r>
              <w:rPr>
                <w:rFonts w:hint="eastAsia" w:ascii="宋体" w:hAnsi="宋体" w:cs="宋体"/>
                <w:sz w:val="24"/>
              </w:rPr>
              <w:t>：自签订合同之日起180日内完成项目验收。</w:t>
            </w:r>
          </w:p>
        </w:tc>
      </w:tr>
      <w:tr w14:paraId="082E6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05" w:type="dxa"/>
            <w:vAlign w:val="center"/>
          </w:tcPr>
          <w:p w14:paraId="0A5D11FB">
            <w:pPr>
              <w:adjustRightInd w:val="0"/>
              <w:snapToGrid w:val="0"/>
              <w:jc w:val="center"/>
              <w:rPr>
                <w:rFonts w:ascii="宋体" w:hAnsi="宋体" w:cs="宋体"/>
                <w:kern w:val="0"/>
                <w:sz w:val="24"/>
              </w:rPr>
            </w:pPr>
            <w:r>
              <w:rPr>
                <w:rFonts w:hint="eastAsia" w:ascii="宋体" w:hAnsi="宋体" w:cs="宋体"/>
                <w:kern w:val="0"/>
                <w:sz w:val="24"/>
              </w:rPr>
              <w:t>2</w:t>
            </w:r>
          </w:p>
        </w:tc>
        <w:tc>
          <w:tcPr>
            <w:tcW w:w="7483" w:type="dxa"/>
          </w:tcPr>
          <w:p w14:paraId="439431D0">
            <w:pPr>
              <w:pStyle w:val="2"/>
              <w:spacing w:line="240" w:lineRule="auto"/>
              <w:rPr>
                <w:rFonts w:ascii="宋体" w:hAnsi="宋体" w:cs="宋体"/>
                <w:b w:val="0"/>
                <w:bCs w:val="0"/>
              </w:rPr>
            </w:pPr>
            <w:r>
              <w:rPr>
                <w:rFonts w:hint="eastAsia" w:ascii="宋体" w:hAnsi="宋体" w:cs="宋体"/>
                <w:b w:val="0"/>
                <w:bCs w:val="0"/>
              </w:rPr>
              <w:t>接口要求：★数据接口（主要为社康机构缴费订单交易数据，线上缴费数据）费用包含在投标报价中，采购人不另外支付。</w:t>
            </w:r>
          </w:p>
        </w:tc>
      </w:tr>
      <w:tr w14:paraId="6173A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05" w:type="dxa"/>
            <w:vAlign w:val="center"/>
          </w:tcPr>
          <w:p w14:paraId="61955462">
            <w:pPr>
              <w:adjustRightInd w:val="0"/>
              <w:snapToGrid w:val="0"/>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3</w:t>
            </w:r>
          </w:p>
        </w:tc>
        <w:tc>
          <w:tcPr>
            <w:tcW w:w="7483" w:type="dxa"/>
          </w:tcPr>
          <w:p w14:paraId="0390F79A">
            <w:pPr>
              <w:pStyle w:val="2"/>
              <w:spacing w:line="240" w:lineRule="auto"/>
              <w:rPr>
                <w:rFonts w:hint="eastAsia" w:hAnsi="宋体"/>
                <w:b w:val="0"/>
                <w:bCs w:val="0"/>
                <w:kern w:val="0"/>
              </w:rPr>
            </w:pPr>
            <w:r>
              <w:rPr>
                <w:rFonts w:hint="eastAsia" w:ascii="宋体" w:hAnsi="宋体" w:cs="宋体"/>
                <w:b w:val="0"/>
                <w:bCs w:val="0"/>
                <w:highlight w:val="none"/>
              </w:rPr>
              <w:t>★</w:t>
            </w:r>
            <w:r>
              <w:rPr>
                <w:rFonts w:hint="eastAsia"/>
                <w:b w:val="0"/>
                <w:bCs w:val="0"/>
              </w:rPr>
              <w:t>在项目实施及运维服务期间，若采购方有新增的社康机构，投标人需免费为这些新增社康机构提供本项目所建设的移动支付系统的对接服务。免费质保期外社康新增费用包含在维保费中，具体费用双方另行协商。</w:t>
            </w:r>
          </w:p>
        </w:tc>
      </w:tr>
      <w:tr w14:paraId="77B66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05" w:type="dxa"/>
            <w:vAlign w:val="center"/>
          </w:tcPr>
          <w:p w14:paraId="73BE09EB">
            <w:pPr>
              <w:adjustRightInd w:val="0"/>
              <w:snapToGrid w:val="0"/>
              <w:jc w:val="center"/>
              <w:rPr>
                <w:rFonts w:hint="eastAsia" w:ascii="宋体" w:hAnsi="宋体" w:eastAsia="宋体" w:cs="宋体"/>
                <w:kern w:val="0"/>
                <w:sz w:val="24"/>
                <w:lang w:eastAsia="zh-CN"/>
              </w:rPr>
            </w:pPr>
            <w:r>
              <w:rPr>
                <w:rFonts w:hint="eastAsia" w:ascii="宋体" w:hAnsi="宋体" w:cs="宋体"/>
                <w:kern w:val="0"/>
                <w:sz w:val="24"/>
                <w:lang w:val="en-US" w:eastAsia="zh-CN"/>
              </w:rPr>
              <w:t>4</w:t>
            </w:r>
          </w:p>
        </w:tc>
        <w:tc>
          <w:tcPr>
            <w:tcW w:w="7483" w:type="dxa"/>
          </w:tcPr>
          <w:p w14:paraId="009F4840">
            <w:pPr>
              <w:pStyle w:val="2"/>
              <w:spacing w:line="240" w:lineRule="auto"/>
              <w:rPr>
                <w:rFonts w:hAnsi="宋体"/>
                <w:b w:val="0"/>
                <w:bCs w:val="0"/>
                <w:kern w:val="0"/>
              </w:rPr>
            </w:pPr>
            <w:r>
              <w:rPr>
                <w:rFonts w:hint="eastAsia" w:hAnsi="宋体"/>
                <w:b w:val="0"/>
                <w:bCs w:val="0"/>
                <w:kern w:val="0"/>
              </w:rPr>
              <w:t>免费质保期：</w:t>
            </w:r>
            <w:r>
              <w:rPr>
                <w:rFonts w:hint="eastAsia" w:ascii="宋体" w:hAnsi="宋体" w:cs="宋体"/>
                <w:b w:val="0"/>
                <w:bCs w:val="0"/>
              </w:rPr>
              <w:t>★</w:t>
            </w:r>
            <w:r>
              <w:rPr>
                <w:rFonts w:hint="eastAsia" w:hAnsi="宋体"/>
                <w:b w:val="0"/>
                <w:bCs w:val="0"/>
                <w:kern w:val="0"/>
              </w:rPr>
              <w:t>软件类免费质保期至少2年，时间自最终验收合格并交付使用之日起计算，由中标人提供验收文件。</w:t>
            </w:r>
          </w:p>
        </w:tc>
      </w:tr>
      <w:tr w14:paraId="0EB26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05" w:type="dxa"/>
            <w:vAlign w:val="center"/>
          </w:tcPr>
          <w:p w14:paraId="7BF47A7B">
            <w:pPr>
              <w:adjustRightInd w:val="0"/>
              <w:snapToGrid w:val="0"/>
              <w:jc w:val="center"/>
              <w:rPr>
                <w:rFonts w:hint="eastAsia" w:ascii="宋体" w:hAnsi="宋体" w:eastAsia="宋体" w:cs="宋体"/>
                <w:kern w:val="0"/>
                <w:sz w:val="24"/>
                <w:lang w:eastAsia="zh-CN"/>
              </w:rPr>
            </w:pPr>
            <w:r>
              <w:rPr>
                <w:rFonts w:hint="eastAsia" w:ascii="宋体" w:hAnsi="宋体" w:cs="宋体"/>
                <w:kern w:val="0"/>
                <w:sz w:val="24"/>
                <w:lang w:val="en-US" w:eastAsia="zh-CN"/>
              </w:rPr>
              <w:t>5</w:t>
            </w:r>
          </w:p>
        </w:tc>
        <w:tc>
          <w:tcPr>
            <w:tcW w:w="7483" w:type="dxa"/>
          </w:tcPr>
          <w:p w14:paraId="18049AE0">
            <w:pPr>
              <w:pStyle w:val="2"/>
              <w:spacing w:line="240" w:lineRule="auto"/>
              <w:rPr>
                <w:rFonts w:ascii="宋体" w:hAnsi="宋体" w:cs="宋体"/>
                <w:b w:val="0"/>
                <w:bCs w:val="0"/>
              </w:rPr>
            </w:pPr>
            <w:r>
              <w:rPr>
                <w:rFonts w:hint="eastAsia" w:hAnsi="宋体"/>
                <w:b w:val="0"/>
                <w:bCs w:val="0"/>
                <w:kern w:val="0"/>
              </w:rPr>
              <w:t>项目人员需求中</w:t>
            </w:r>
            <w:r>
              <w:rPr>
                <w:rFonts w:hAnsi="宋体"/>
                <w:b w:val="0"/>
                <w:bCs w:val="0"/>
                <w:kern w:val="0"/>
              </w:rPr>
              <w:t>★人员类别，★人员数量，★人员必须具备条件。</w:t>
            </w:r>
          </w:p>
        </w:tc>
      </w:tr>
    </w:tbl>
    <w:p w14:paraId="74E2A220">
      <w:pPr>
        <w:pStyle w:val="5"/>
        <w:tabs>
          <w:tab w:val="left" w:pos="765"/>
        </w:tabs>
        <w:spacing w:before="0" w:after="0" w:line="320" w:lineRule="exact"/>
        <w:rPr>
          <w:rFonts w:ascii="黑体"/>
          <w:b w:val="0"/>
          <w:kern w:val="0"/>
          <w:sz w:val="24"/>
          <w:szCs w:val="24"/>
          <w:highlight w:val="yellow"/>
        </w:rPr>
      </w:pPr>
    </w:p>
    <w:p w14:paraId="557662DA">
      <w:pPr>
        <w:pStyle w:val="5"/>
        <w:tabs>
          <w:tab w:val="left" w:pos="765"/>
        </w:tabs>
        <w:spacing w:before="0" w:after="0" w:line="320" w:lineRule="exact"/>
        <w:rPr>
          <w:rFonts w:ascii="黑体"/>
          <w:b w:val="0"/>
          <w:kern w:val="0"/>
          <w:sz w:val="24"/>
          <w:szCs w:val="24"/>
          <w:highlight w:val="yellow"/>
        </w:rPr>
      </w:pPr>
      <w:r>
        <w:rPr>
          <w:rFonts w:hint="eastAsia" w:ascii="黑体"/>
          <w:b w:val="0"/>
          <w:kern w:val="0"/>
          <w:sz w:val="24"/>
          <w:szCs w:val="24"/>
          <w:highlight w:val="yellow"/>
        </w:rPr>
        <w:t>注：上表所列内容为不可负偏离条款，负偏离将视为未实质性满足招标文件要求作投标无效处理。</w:t>
      </w:r>
      <w:bookmarkEnd w:id="35"/>
    </w:p>
    <w:p w14:paraId="4E9924D8">
      <w:pPr>
        <w:pStyle w:val="6"/>
        <w:spacing w:before="120" w:beforeLines="50" w:after="120" w:afterLines="50"/>
        <w:rPr>
          <w:rFonts w:cs="宋体"/>
          <w:szCs w:val="24"/>
        </w:rPr>
      </w:pPr>
    </w:p>
    <w:p w14:paraId="064A6C6D">
      <w:pPr>
        <w:pStyle w:val="6"/>
        <w:spacing w:before="120" w:beforeLines="50" w:after="120" w:afterLines="50"/>
        <w:rPr>
          <w:rFonts w:cs="宋体"/>
          <w:szCs w:val="24"/>
        </w:rPr>
      </w:pPr>
      <w:r>
        <w:rPr>
          <w:rFonts w:hint="eastAsia" w:cs="宋体"/>
          <w:szCs w:val="24"/>
        </w:rPr>
        <w:t>五、技术要求</w:t>
      </w:r>
    </w:p>
    <w:p w14:paraId="21B1E7D6">
      <w:pPr>
        <w:ind w:firstLine="472" w:firstLineChars="196"/>
        <w:rPr>
          <w:rFonts w:ascii="宋体" w:hAnsi="宋体" w:cs="宋体"/>
          <w:sz w:val="24"/>
        </w:rPr>
      </w:pPr>
      <w:r>
        <w:rPr>
          <w:rFonts w:hint="eastAsia" w:asciiTheme="minorEastAsia" w:hAnsiTheme="minorEastAsia" w:eastAsiaTheme="minorEastAsia" w:cstheme="minorEastAsia"/>
          <w:b/>
          <w:sz w:val="24"/>
        </w:rPr>
        <w:t>（一）项目服务要求</w:t>
      </w:r>
    </w:p>
    <w:p w14:paraId="7CB1F8B9">
      <w:pPr>
        <w:ind w:firstLine="480" w:firstLineChars="200"/>
        <w:rPr>
          <w:rFonts w:ascii="宋体" w:hAnsi="宋体" w:cs="宋体"/>
          <w:bCs/>
          <w:sz w:val="24"/>
        </w:rPr>
      </w:pPr>
      <w:r>
        <w:rPr>
          <w:rFonts w:hint="eastAsia" w:ascii="宋体" w:hAnsi="宋体" w:cs="宋体"/>
          <w:bCs/>
          <w:sz w:val="24"/>
        </w:rPr>
        <w:t>（1）建设内容清单</w:t>
      </w:r>
    </w:p>
    <w:tbl>
      <w:tblPr>
        <w:tblStyle w:val="44"/>
        <w:tblW w:w="7506" w:type="dxa"/>
        <w:tblInd w:w="659" w:type="dxa"/>
        <w:tblLayout w:type="fixed"/>
        <w:tblCellMar>
          <w:top w:w="0" w:type="dxa"/>
          <w:left w:w="108" w:type="dxa"/>
          <w:bottom w:w="0" w:type="dxa"/>
          <w:right w:w="108" w:type="dxa"/>
        </w:tblCellMar>
      </w:tblPr>
      <w:tblGrid>
        <w:gridCol w:w="776"/>
        <w:gridCol w:w="3075"/>
        <w:gridCol w:w="1167"/>
        <w:gridCol w:w="1255"/>
        <w:gridCol w:w="1233"/>
      </w:tblGrid>
      <w:tr w14:paraId="5618FBB1">
        <w:tblPrEx>
          <w:tblCellMar>
            <w:top w:w="0" w:type="dxa"/>
            <w:left w:w="108" w:type="dxa"/>
            <w:bottom w:w="0" w:type="dxa"/>
            <w:right w:w="108" w:type="dxa"/>
          </w:tblCellMar>
        </w:tblPrEx>
        <w:trPr>
          <w:trHeight w:val="290" w:hRule="atLeast"/>
        </w:trPr>
        <w:tc>
          <w:tcPr>
            <w:tcW w:w="7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631E18">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3075" w:type="dxa"/>
            <w:tcBorders>
              <w:top w:val="single" w:color="auto" w:sz="4" w:space="0"/>
              <w:left w:val="nil"/>
              <w:bottom w:val="single" w:color="auto" w:sz="4" w:space="0"/>
              <w:right w:val="single" w:color="auto" w:sz="4" w:space="0"/>
            </w:tcBorders>
            <w:shd w:val="clear" w:color="auto" w:fill="auto"/>
            <w:noWrap/>
            <w:vAlign w:val="center"/>
          </w:tcPr>
          <w:p w14:paraId="094F402A">
            <w:pPr>
              <w:widowControl/>
              <w:ind w:firstLine="480" w:firstLineChars="200"/>
              <w:jc w:val="center"/>
              <w:rPr>
                <w:rFonts w:ascii="宋体" w:hAnsi="宋体" w:cs="宋体"/>
                <w:color w:val="000000"/>
                <w:kern w:val="0"/>
                <w:sz w:val="24"/>
              </w:rPr>
            </w:pPr>
            <w:r>
              <w:rPr>
                <w:rFonts w:hint="eastAsia" w:ascii="宋体" w:hAnsi="宋体" w:cs="宋体"/>
                <w:color w:val="000000"/>
                <w:kern w:val="0"/>
                <w:sz w:val="24"/>
              </w:rPr>
              <w:t>建设内容</w:t>
            </w:r>
          </w:p>
        </w:tc>
        <w:tc>
          <w:tcPr>
            <w:tcW w:w="1167" w:type="dxa"/>
            <w:tcBorders>
              <w:top w:val="single" w:color="auto" w:sz="4" w:space="0"/>
              <w:left w:val="nil"/>
              <w:bottom w:val="single" w:color="auto" w:sz="4" w:space="0"/>
              <w:right w:val="single" w:color="auto" w:sz="4" w:space="0"/>
            </w:tcBorders>
            <w:shd w:val="clear" w:color="auto" w:fill="auto"/>
            <w:noWrap/>
            <w:vAlign w:val="center"/>
          </w:tcPr>
          <w:p w14:paraId="5EFC4CED">
            <w:pPr>
              <w:widowControl/>
              <w:jc w:val="center"/>
              <w:rPr>
                <w:rFonts w:ascii="宋体" w:hAnsi="宋体" w:cs="宋体"/>
                <w:color w:val="000000"/>
                <w:kern w:val="0"/>
                <w:sz w:val="24"/>
              </w:rPr>
            </w:pPr>
            <w:r>
              <w:rPr>
                <w:rFonts w:hint="eastAsia" w:ascii="宋体" w:hAnsi="宋体" w:cs="宋体"/>
                <w:color w:val="000000"/>
                <w:kern w:val="0"/>
                <w:sz w:val="24"/>
              </w:rPr>
              <w:t>数量</w:t>
            </w:r>
          </w:p>
        </w:tc>
        <w:tc>
          <w:tcPr>
            <w:tcW w:w="1255" w:type="dxa"/>
            <w:tcBorders>
              <w:top w:val="single" w:color="auto" w:sz="4" w:space="0"/>
              <w:left w:val="nil"/>
              <w:bottom w:val="single" w:color="auto" w:sz="4" w:space="0"/>
              <w:right w:val="single" w:color="auto" w:sz="4" w:space="0"/>
            </w:tcBorders>
            <w:shd w:val="clear" w:color="auto" w:fill="auto"/>
            <w:noWrap/>
            <w:vAlign w:val="center"/>
          </w:tcPr>
          <w:p w14:paraId="3B2FD223">
            <w:pPr>
              <w:widowControl/>
              <w:jc w:val="center"/>
              <w:rPr>
                <w:rFonts w:ascii="宋体" w:hAnsi="宋体" w:cs="宋体"/>
                <w:color w:val="000000"/>
                <w:kern w:val="0"/>
                <w:sz w:val="24"/>
              </w:rPr>
            </w:pPr>
            <w:r>
              <w:rPr>
                <w:rFonts w:hint="eastAsia" w:ascii="宋体" w:hAnsi="宋体" w:cs="宋体"/>
                <w:color w:val="000000"/>
                <w:kern w:val="0"/>
                <w:sz w:val="24"/>
              </w:rPr>
              <w:t>单位</w:t>
            </w:r>
          </w:p>
        </w:tc>
        <w:tc>
          <w:tcPr>
            <w:tcW w:w="1233" w:type="dxa"/>
            <w:tcBorders>
              <w:top w:val="single" w:color="auto" w:sz="4" w:space="0"/>
              <w:left w:val="nil"/>
              <w:bottom w:val="single" w:color="auto" w:sz="4" w:space="0"/>
              <w:right w:val="single" w:color="auto" w:sz="4" w:space="0"/>
            </w:tcBorders>
            <w:shd w:val="clear" w:color="auto" w:fill="auto"/>
            <w:noWrap/>
            <w:vAlign w:val="center"/>
          </w:tcPr>
          <w:p w14:paraId="3FE54305">
            <w:pPr>
              <w:widowControl/>
              <w:jc w:val="center"/>
              <w:rPr>
                <w:rFonts w:ascii="宋体" w:hAnsi="宋体" w:cs="宋体"/>
                <w:color w:val="000000"/>
                <w:kern w:val="0"/>
                <w:sz w:val="24"/>
              </w:rPr>
            </w:pPr>
            <w:r>
              <w:rPr>
                <w:rFonts w:hint="eastAsia" w:ascii="宋体" w:hAnsi="宋体" w:cs="宋体"/>
                <w:color w:val="000000"/>
                <w:kern w:val="0"/>
                <w:sz w:val="24"/>
              </w:rPr>
              <w:t>备注</w:t>
            </w:r>
          </w:p>
        </w:tc>
      </w:tr>
      <w:tr w14:paraId="7EBC6712">
        <w:tblPrEx>
          <w:tblCellMar>
            <w:top w:w="0" w:type="dxa"/>
            <w:left w:w="108" w:type="dxa"/>
            <w:bottom w:w="0" w:type="dxa"/>
            <w:right w:w="108" w:type="dxa"/>
          </w:tblCellMar>
        </w:tblPrEx>
        <w:trPr>
          <w:trHeight w:val="280" w:hRule="atLeast"/>
        </w:trPr>
        <w:tc>
          <w:tcPr>
            <w:tcW w:w="776" w:type="dxa"/>
            <w:tcBorders>
              <w:top w:val="nil"/>
              <w:left w:val="single" w:color="auto" w:sz="4" w:space="0"/>
              <w:bottom w:val="single" w:color="auto" w:sz="4" w:space="0"/>
              <w:right w:val="single" w:color="auto" w:sz="4" w:space="0"/>
            </w:tcBorders>
            <w:shd w:val="clear" w:color="auto" w:fill="auto"/>
            <w:noWrap/>
            <w:vAlign w:val="center"/>
          </w:tcPr>
          <w:p w14:paraId="30F172A8">
            <w:pPr>
              <w:widowControl/>
              <w:jc w:val="both"/>
              <w:rPr>
                <w:rFonts w:ascii="宋体" w:hAnsi="宋体" w:cs="宋体"/>
                <w:color w:val="000000"/>
                <w:kern w:val="0"/>
                <w:sz w:val="24"/>
              </w:rPr>
            </w:pPr>
            <w:r>
              <w:rPr>
                <w:rFonts w:hint="eastAsia" w:ascii="宋体" w:hAnsi="宋体" w:cs="宋体"/>
                <w:color w:val="000000"/>
                <w:kern w:val="0"/>
                <w:sz w:val="24"/>
              </w:rPr>
              <w:t>1</w:t>
            </w:r>
          </w:p>
        </w:tc>
        <w:tc>
          <w:tcPr>
            <w:tcW w:w="3075" w:type="dxa"/>
            <w:tcBorders>
              <w:top w:val="nil"/>
              <w:left w:val="nil"/>
              <w:bottom w:val="single" w:color="auto" w:sz="4" w:space="0"/>
              <w:right w:val="single" w:color="auto" w:sz="4" w:space="0"/>
            </w:tcBorders>
            <w:shd w:val="clear" w:color="auto" w:fill="auto"/>
            <w:noWrap/>
            <w:vAlign w:val="center"/>
          </w:tcPr>
          <w:p w14:paraId="360C491B">
            <w:pPr>
              <w:widowControl/>
              <w:jc w:val="center"/>
              <w:rPr>
                <w:rFonts w:ascii="宋体" w:hAnsi="宋体" w:cs="宋体"/>
                <w:color w:val="000000"/>
                <w:kern w:val="0"/>
                <w:sz w:val="24"/>
              </w:rPr>
            </w:pPr>
            <w:r>
              <w:rPr>
                <w:rFonts w:hint="eastAsia" w:ascii="宋体" w:hAnsi="宋体" w:cs="宋体"/>
                <w:color w:val="000000"/>
                <w:kern w:val="0"/>
                <w:sz w:val="24"/>
              </w:rPr>
              <w:t>社康机构移动支付系统</w:t>
            </w:r>
          </w:p>
        </w:tc>
        <w:tc>
          <w:tcPr>
            <w:tcW w:w="1167" w:type="dxa"/>
            <w:tcBorders>
              <w:top w:val="nil"/>
              <w:left w:val="nil"/>
              <w:bottom w:val="single" w:color="auto" w:sz="4" w:space="0"/>
              <w:right w:val="single" w:color="auto" w:sz="4" w:space="0"/>
            </w:tcBorders>
            <w:shd w:val="clear" w:color="auto" w:fill="auto"/>
            <w:noWrap/>
            <w:vAlign w:val="center"/>
          </w:tcPr>
          <w:p w14:paraId="20B1D3C6">
            <w:pPr>
              <w:widowControl/>
              <w:ind w:firstLine="480" w:firstLineChars="200"/>
              <w:jc w:val="both"/>
              <w:rPr>
                <w:rFonts w:ascii="宋体" w:hAnsi="宋体" w:cs="宋体"/>
                <w:color w:val="000000"/>
                <w:kern w:val="0"/>
                <w:sz w:val="24"/>
              </w:rPr>
            </w:pPr>
            <w:r>
              <w:rPr>
                <w:rFonts w:hint="eastAsia" w:ascii="宋体" w:hAnsi="宋体" w:cs="宋体"/>
                <w:color w:val="000000"/>
                <w:kern w:val="0"/>
                <w:sz w:val="24"/>
              </w:rPr>
              <w:t>1</w:t>
            </w:r>
          </w:p>
        </w:tc>
        <w:tc>
          <w:tcPr>
            <w:tcW w:w="1255" w:type="dxa"/>
            <w:tcBorders>
              <w:top w:val="nil"/>
              <w:left w:val="nil"/>
              <w:bottom w:val="single" w:color="auto" w:sz="4" w:space="0"/>
              <w:right w:val="single" w:color="auto" w:sz="4" w:space="0"/>
            </w:tcBorders>
            <w:shd w:val="clear" w:color="auto" w:fill="auto"/>
            <w:noWrap/>
            <w:vAlign w:val="center"/>
          </w:tcPr>
          <w:p w14:paraId="677392C7">
            <w:pPr>
              <w:widowControl/>
              <w:ind w:firstLine="480" w:firstLineChars="200"/>
              <w:jc w:val="both"/>
              <w:rPr>
                <w:rFonts w:ascii="宋体" w:hAnsi="宋体" w:cs="宋体"/>
                <w:color w:val="000000"/>
                <w:kern w:val="0"/>
                <w:sz w:val="24"/>
              </w:rPr>
            </w:pPr>
            <w:r>
              <w:rPr>
                <w:rFonts w:hint="eastAsia" w:ascii="宋体" w:hAnsi="宋体" w:cs="宋体"/>
                <w:color w:val="000000"/>
                <w:kern w:val="0"/>
                <w:sz w:val="24"/>
              </w:rPr>
              <w:t>项</w:t>
            </w:r>
          </w:p>
        </w:tc>
        <w:tc>
          <w:tcPr>
            <w:tcW w:w="1233" w:type="dxa"/>
            <w:tcBorders>
              <w:top w:val="nil"/>
              <w:left w:val="nil"/>
              <w:bottom w:val="single" w:color="auto" w:sz="4" w:space="0"/>
              <w:right w:val="single" w:color="auto" w:sz="4" w:space="0"/>
            </w:tcBorders>
            <w:shd w:val="clear" w:color="auto" w:fill="auto"/>
            <w:noWrap/>
            <w:vAlign w:val="center"/>
          </w:tcPr>
          <w:p w14:paraId="1DA3B8D8">
            <w:pPr>
              <w:widowControl/>
              <w:ind w:firstLine="480" w:firstLineChars="200"/>
              <w:jc w:val="both"/>
              <w:rPr>
                <w:rFonts w:ascii="宋体" w:hAnsi="宋体" w:cs="宋体"/>
                <w:color w:val="000000"/>
                <w:kern w:val="0"/>
                <w:sz w:val="24"/>
              </w:rPr>
            </w:pPr>
            <w:r>
              <w:rPr>
                <w:rFonts w:hint="eastAsia" w:ascii="宋体" w:hAnsi="宋体" w:cs="宋体"/>
                <w:color w:val="000000"/>
                <w:kern w:val="0"/>
                <w:sz w:val="24"/>
              </w:rPr>
              <w:t>/</w:t>
            </w:r>
          </w:p>
        </w:tc>
      </w:tr>
      <w:tr w14:paraId="258D87DF">
        <w:tblPrEx>
          <w:tblCellMar>
            <w:top w:w="0" w:type="dxa"/>
            <w:left w:w="108" w:type="dxa"/>
            <w:bottom w:w="0" w:type="dxa"/>
            <w:right w:w="108" w:type="dxa"/>
          </w:tblCellMar>
        </w:tblPrEx>
        <w:trPr>
          <w:trHeight w:val="280" w:hRule="atLeast"/>
        </w:trPr>
        <w:tc>
          <w:tcPr>
            <w:tcW w:w="776" w:type="dxa"/>
            <w:tcBorders>
              <w:top w:val="nil"/>
              <w:left w:val="single" w:color="auto" w:sz="4" w:space="0"/>
              <w:bottom w:val="single" w:color="auto" w:sz="4" w:space="0"/>
              <w:right w:val="single" w:color="auto" w:sz="4" w:space="0"/>
            </w:tcBorders>
            <w:shd w:val="clear" w:color="auto" w:fill="auto"/>
            <w:noWrap/>
            <w:vAlign w:val="center"/>
          </w:tcPr>
          <w:p w14:paraId="254268C7">
            <w:pPr>
              <w:widowControl/>
              <w:jc w:val="both"/>
              <w:rPr>
                <w:rFonts w:ascii="宋体" w:hAnsi="宋体" w:cs="宋体"/>
                <w:color w:val="000000"/>
                <w:kern w:val="0"/>
                <w:sz w:val="24"/>
              </w:rPr>
            </w:pPr>
            <w:r>
              <w:rPr>
                <w:rFonts w:hint="eastAsia" w:ascii="宋体" w:hAnsi="宋体" w:cs="宋体"/>
                <w:color w:val="000000"/>
                <w:kern w:val="0"/>
                <w:sz w:val="24"/>
              </w:rPr>
              <w:t>2</w:t>
            </w:r>
          </w:p>
        </w:tc>
        <w:tc>
          <w:tcPr>
            <w:tcW w:w="3075" w:type="dxa"/>
            <w:tcBorders>
              <w:top w:val="nil"/>
              <w:left w:val="nil"/>
              <w:bottom w:val="single" w:color="auto" w:sz="4" w:space="0"/>
              <w:right w:val="single" w:color="auto" w:sz="4" w:space="0"/>
            </w:tcBorders>
            <w:shd w:val="clear" w:color="auto" w:fill="auto"/>
            <w:noWrap/>
            <w:vAlign w:val="center"/>
          </w:tcPr>
          <w:p w14:paraId="325FDC7A">
            <w:pPr>
              <w:widowControl/>
              <w:ind w:firstLine="480" w:firstLineChars="200"/>
              <w:jc w:val="both"/>
              <w:rPr>
                <w:rFonts w:ascii="宋体" w:hAnsi="宋体" w:cs="宋体"/>
                <w:color w:val="000000"/>
                <w:kern w:val="0"/>
                <w:sz w:val="24"/>
              </w:rPr>
            </w:pPr>
            <w:r>
              <w:rPr>
                <w:rFonts w:hint="eastAsia" w:ascii="宋体" w:hAnsi="宋体" w:cs="宋体"/>
                <w:color w:val="000000"/>
                <w:kern w:val="0"/>
                <w:sz w:val="24"/>
              </w:rPr>
              <w:t>社康信息系统改造</w:t>
            </w:r>
          </w:p>
        </w:tc>
        <w:tc>
          <w:tcPr>
            <w:tcW w:w="1167" w:type="dxa"/>
            <w:tcBorders>
              <w:top w:val="nil"/>
              <w:left w:val="nil"/>
              <w:bottom w:val="single" w:color="auto" w:sz="4" w:space="0"/>
              <w:right w:val="single" w:color="auto" w:sz="4" w:space="0"/>
            </w:tcBorders>
            <w:shd w:val="clear" w:color="auto" w:fill="auto"/>
            <w:noWrap/>
            <w:vAlign w:val="center"/>
          </w:tcPr>
          <w:p w14:paraId="65FABF45">
            <w:pPr>
              <w:widowControl/>
              <w:ind w:firstLine="480" w:firstLineChars="200"/>
              <w:jc w:val="both"/>
              <w:rPr>
                <w:rFonts w:ascii="宋体" w:hAnsi="宋体" w:cs="宋体"/>
                <w:color w:val="000000"/>
                <w:kern w:val="0"/>
                <w:sz w:val="24"/>
              </w:rPr>
            </w:pPr>
            <w:r>
              <w:rPr>
                <w:rFonts w:hint="eastAsia" w:ascii="宋体" w:hAnsi="宋体" w:cs="宋体"/>
                <w:color w:val="000000"/>
                <w:kern w:val="0"/>
                <w:sz w:val="24"/>
              </w:rPr>
              <w:t>1</w:t>
            </w:r>
          </w:p>
        </w:tc>
        <w:tc>
          <w:tcPr>
            <w:tcW w:w="1255" w:type="dxa"/>
            <w:tcBorders>
              <w:top w:val="nil"/>
              <w:left w:val="nil"/>
              <w:bottom w:val="single" w:color="auto" w:sz="4" w:space="0"/>
              <w:right w:val="single" w:color="auto" w:sz="4" w:space="0"/>
            </w:tcBorders>
            <w:shd w:val="clear" w:color="auto" w:fill="auto"/>
            <w:noWrap/>
            <w:vAlign w:val="center"/>
          </w:tcPr>
          <w:p w14:paraId="2E8AB88E">
            <w:pPr>
              <w:widowControl/>
              <w:ind w:firstLine="480" w:firstLineChars="200"/>
              <w:jc w:val="both"/>
              <w:rPr>
                <w:rFonts w:ascii="宋体" w:hAnsi="宋体" w:cs="宋体"/>
                <w:color w:val="000000"/>
                <w:kern w:val="0"/>
                <w:sz w:val="24"/>
              </w:rPr>
            </w:pPr>
            <w:r>
              <w:rPr>
                <w:rFonts w:hint="eastAsia" w:ascii="宋体" w:hAnsi="宋体" w:cs="宋体"/>
                <w:color w:val="000000"/>
                <w:kern w:val="0"/>
                <w:sz w:val="24"/>
              </w:rPr>
              <w:t>项</w:t>
            </w:r>
          </w:p>
        </w:tc>
        <w:tc>
          <w:tcPr>
            <w:tcW w:w="1233" w:type="dxa"/>
            <w:tcBorders>
              <w:top w:val="nil"/>
              <w:left w:val="nil"/>
              <w:bottom w:val="single" w:color="auto" w:sz="4" w:space="0"/>
              <w:right w:val="single" w:color="auto" w:sz="4" w:space="0"/>
            </w:tcBorders>
            <w:shd w:val="clear" w:color="auto" w:fill="auto"/>
            <w:noWrap/>
            <w:vAlign w:val="center"/>
          </w:tcPr>
          <w:p w14:paraId="19D4A1AE">
            <w:pPr>
              <w:widowControl/>
              <w:ind w:firstLine="480" w:firstLineChars="200"/>
              <w:jc w:val="both"/>
              <w:rPr>
                <w:rFonts w:ascii="宋体" w:hAnsi="宋体" w:cs="宋体"/>
                <w:color w:val="000000"/>
                <w:kern w:val="0"/>
                <w:sz w:val="24"/>
              </w:rPr>
            </w:pPr>
            <w:r>
              <w:rPr>
                <w:rFonts w:hint="eastAsia" w:ascii="宋体" w:hAnsi="宋体" w:cs="宋体"/>
                <w:color w:val="000000"/>
                <w:kern w:val="0"/>
                <w:sz w:val="24"/>
              </w:rPr>
              <w:t>/</w:t>
            </w:r>
          </w:p>
        </w:tc>
      </w:tr>
      <w:tr w14:paraId="6D1500D6">
        <w:tblPrEx>
          <w:tblCellMar>
            <w:top w:w="0" w:type="dxa"/>
            <w:left w:w="108" w:type="dxa"/>
            <w:bottom w:w="0" w:type="dxa"/>
            <w:right w:w="108" w:type="dxa"/>
          </w:tblCellMar>
        </w:tblPrEx>
        <w:trPr>
          <w:trHeight w:val="280" w:hRule="atLeast"/>
        </w:trPr>
        <w:tc>
          <w:tcPr>
            <w:tcW w:w="776" w:type="dxa"/>
            <w:tcBorders>
              <w:top w:val="nil"/>
              <w:left w:val="single" w:color="auto" w:sz="4" w:space="0"/>
              <w:bottom w:val="single" w:color="auto" w:sz="4" w:space="0"/>
              <w:right w:val="single" w:color="auto" w:sz="4" w:space="0"/>
            </w:tcBorders>
            <w:shd w:val="clear" w:color="auto" w:fill="auto"/>
            <w:noWrap/>
            <w:vAlign w:val="center"/>
          </w:tcPr>
          <w:p w14:paraId="04108A6C">
            <w:pPr>
              <w:widowControl/>
              <w:jc w:val="both"/>
              <w:rPr>
                <w:rFonts w:ascii="宋体" w:hAnsi="宋体" w:cs="宋体"/>
                <w:color w:val="000000"/>
                <w:kern w:val="0"/>
                <w:sz w:val="24"/>
              </w:rPr>
            </w:pPr>
            <w:r>
              <w:rPr>
                <w:rFonts w:hint="eastAsia" w:ascii="宋体" w:hAnsi="宋体" w:cs="宋体"/>
                <w:color w:val="000000"/>
                <w:kern w:val="0"/>
                <w:sz w:val="24"/>
              </w:rPr>
              <w:t>3</w:t>
            </w:r>
          </w:p>
        </w:tc>
        <w:tc>
          <w:tcPr>
            <w:tcW w:w="3075" w:type="dxa"/>
            <w:tcBorders>
              <w:top w:val="nil"/>
              <w:left w:val="nil"/>
              <w:bottom w:val="single" w:color="auto" w:sz="4" w:space="0"/>
              <w:right w:val="single" w:color="auto" w:sz="4" w:space="0"/>
            </w:tcBorders>
            <w:shd w:val="clear" w:color="auto" w:fill="auto"/>
            <w:noWrap/>
            <w:vAlign w:val="center"/>
          </w:tcPr>
          <w:p w14:paraId="0B57BA08">
            <w:pPr>
              <w:widowControl/>
              <w:ind w:firstLine="480" w:firstLineChars="200"/>
              <w:jc w:val="both"/>
              <w:rPr>
                <w:rFonts w:ascii="宋体" w:hAnsi="宋体" w:cs="宋体"/>
                <w:color w:val="000000"/>
                <w:kern w:val="0"/>
                <w:sz w:val="24"/>
              </w:rPr>
            </w:pPr>
            <w:r>
              <w:rPr>
                <w:rFonts w:hint="eastAsia" w:ascii="宋体" w:hAnsi="宋体" w:cs="宋体"/>
                <w:color w:val="000000"/>
                <w:kern w:val="0"/>
                <w:sz w:val="24"/>
              </w:rPr>
              <w:t>社康通对接改造</w:t>
            </w:r>
          </w:p>
        </w:tc>
        <w:tc>
          <w:tcPr>
            <w:tcW w:w="1167" w:type="dxa"/>
            <w:tcBorders>
              <w:top w:val="nil"/>
              <w:left w:val="nil"/>
              <w:bottom w:val="single" w:color="auto" w:sz="4" w:space="0"/>
              <w:right w:val="single" w:color="auto" w:sz="4" w:space="0"/>
            </w:tcBorders>
            <w:shd w:val="clear" w:color="auto" w:fill="auto"/>
            <w:noWrap/>
            <w:vAlign w:val="center"/>
          </w:tcPr>
          <w:p w14:paraId="6EEE73B0">
            <w:pPr>
              <w:widowControl/>
              <w:ind w:firstLine="480" w:firstLineChars="200"/>
              <w:jc w:val="both"/>
              <w:rPr>
                <w:rFonts w:ascii="宋体" w:hAnsi="宋体" w:cs="宋体"/>
                <w:color w:val="000000"/>
                <w:kern w:val="0"/>
                <w:sz w:val="24"/>
              </w:rPr>
            </w:pPr>
            <w:r>
              <w:rPr>
                <w:rFonts w:hint="eastAsia" w:ascii="宋体" w:hAnsi="宋体" w:cs="宋体"/>
                <w:color w:val="000000"/>
                <w:kern w:val="0"/>
                <w:sz w:val="24"/>
              </w:rPr>
              <w:t>1</w:t>
            </w:r>
          </w:p>
        </w:tc>
        <w:tc>
          <w:tcPr>
            <w:tcW w:w="1255" w:type="dxa"/>
            <w:tcBorders>
              <w:top w:val="nil"/>
              <w:left w:val="nil"/>
              <w:bottom w:val="single" w:color="auto" w:sz="4" w:space="0"/>
              <w:right w:val="single" w:color="auto" w:sz="4" w:space="0"/>
            </w:tcBorders>
            <w:shd w:val="clear" w:color="auto" w:fill="auto"/>
            <w:noWrap/>
            <w:vAlign w:val="center"/>
          </w:tcPr>
          <w:p w14:paraId="58F04B79">
            <w:pPr>
              <w:widowControl/>
              <w:ind w:firstLine="480" w:firstLineChars="200"/>
              <w:jc w:val="both"/>
              <w:rPr>
                <w:rFonts w:ascii="宋体" w:hAnsi="宋体" w:cs="宋体"/>
                <w:color w:val="000000"/>
                <w:kern w:val="0"/>
                <w:sz w:val="24"/>
              </w:rPr>
            </w:pPr>
            <w:r>
              <w:rPr>
                <w:rFonts w:hint="eastAsia" w:ascii="宋体" w:hAnsi="宋体" w:cs="宋体"/>
                <w:color w:val="000000"/>
                <w:kern w:val="0"/>
                <w:sz w:val="24"/>
              </w:rPr>
              <w:t>项</w:t>
            </w:r>
          </w:p>
        </w:tc>
        <w:tc>
          <w:tcPr>
            <w:tcW w:w="1233" w:type="dxa"/>
            <w:tcBorders>
              <w:top w:val="nil"/>
              <w:left w:val="nil"/>
              <w:bottom w:val="single" w:color="auto" w:sz="4" w:space="0"/>
              <w:right w:val="single" w:color="auto" w:sz="4" w:space="0"/>
            </w:tcBorders>
            <w:shd w:val="clear" w:color="auto" w:fill="auto"/>
            <w:noWrap/>
            <w:vAlign w:val="center"/>
          </w:tcPr>
          <w:p w14:paraId="3D4F8D34">
            <w:pPr>
              <w:widowControl/>
              <w:ind w:firstLine="480" w:firstLineChars="200"/>
              <w:jc w:val="both"/>
              <w:rPr>
                <w:rFonts w:ascii="宋体" w:hAnsi="宋体" w:cs="宋体"/>
                <w:color w:val="000000"/>
                <w:kern w:val="0"/>
                <w:sz w:val="24"/>
              </w:rPr>
            </w:pPr>
            <w:r>
              <w:rPr>
                <w:rFonts w:hint="eastAsia" w:ascii="宋体" w:hAnsi="宋体" w:cs="宋体"/>
                <w:color w:val="000000"/>
                <w:kern w:val="0"/>
                <w:sz w:val="24"/>
              </w:rPr>
              <w:t>/</w:t>
            </w:r>
          </w:p>
        </w:tc>
      </w:tr>
    </w:tbl>
    <w:p w14:paraId="4AC04E94">
      <w:pPr>
        <w:ind w:firstLine="480" w:firstLineChars="200"/>
        <w:rPr>
          <w:rFonts w:ascii="宋体" w:hAnsi="宋体" w:cs="宋体"/>
          <w:bCs/>
          <w:sz w:val="24"/>
        </w:rPr>
      </w:pPr>
      <w:r>
        <w:rPr>
          <w:rFonts w:hint="eastAsia" w:ascii="宋体" w:hAnsi="宋体" w:cs="宋体"/>
          <w:bCs/>
          <w:sz w:val="24"/>
        </w:rPr>
        <w:t>（2）总体框架要求</w:t>
      </w:r>
    </w:p>
    <w:p w14:paraId="7D9F38CB">
      <w:pPr>
        <w:ind w:firstLine="480" w:firstLineChars="200"/>
        <w:rPr>
          <w:rFonts w:ascii="宋体" w:hAnsi="宋体" w:cs="宋体"/>
          <w:bCs/>
          <w:sz w:val="24"/>
        </w:rPr>
      </w:pPr>
      <w:r>
        <w:rPr>
          <w:rFonts w:hint="eastAsia" w:ascii="宋体" w:hAnsi="宋体" w:cs="宋体"/>
          <w:bCs/>
          <w:sz w:val="24"/>
        </w:rPr>
        <w:t>本次建设主要面向居民提供公众移动支付服务，要求采用服务商支付模式，沿用健康龙岗现在已有公众号，扩展居民社康机构移动支付服务，完善龙岗区全民健康服务体系。总体上构建龙岗区社康机构移动支付系统，实现居民可通过健康龙岗、社康通小程序、处方二维码、当面扫码多种方式进行全区各社康服务中心支付。社康机构移动支付系统需依托龙岗区移动服务平台“健康龙岗”进行完善建设，同时基于龙岗区区域卫生信息平台（医疗服务总线）进行社康诊疗数据整合，居民可通过健康龙岗查询社康缴费信息。</w:t>
      </w:r>
    </w:p>
    <w:p w14:paraId="41039788">
      <w:pPr>
        <w:ind w:firstLine="480" w:firstLineChars="200"/>
        <w:rPr>
          <w:rFonts w:ascii="宋体" w:hAnsi="宋体" w:cs="宋体"/>
          <w:bCs/>
          <w:sz w:val="24"/>
        </w:rPr>
      </w:pPr>
      <w:r>
        <w:rPr>
          <w:rFonts w:hint="eastAsia" w:ascii="宋体" w:hAnsi="宋体" w:cs="宋体"/>
          <w:bCs/>
          <w:sz w:val="24"/>
        </w:rPr>
        <w:t>（3）分项建设要求</w:t>
      </w:r>
    </w:p>
    <w:p w14:paraId="717A286A">
      <w:pPr>
        <w:ind w:firstLine="480" w:firstLineChars="200"/>
        <w:rPr>
          <w:rFonts w:ascii="宋体" w:hAnsi="宋体" w:cs="宋体"/>
          <w:bCs/>
          <w:sz w:val="24"/>
        </w:rPr>
      </w:pPr>
      <w:r>
        <w:rPr>
          <w:rFonts w:hint="eastAsia" w:ascii="宋体" w:hAnsi="宋体" w:cs="宋体"/>
          <w:bCs/>
          <w:sz w:val="24"/>
        </w:rPr>
        <w:t>本次建设内容要求包含社康机构移动支付系统，社康信息系统、社康通的对接改造，具体服务内容要求如下：</w:t>
      </w:r>
    </w:p>
    <w:p w14:paraId="6FDD0366">
      <w:pPr>
        <w:ind w:firstLine="480" w:firstLineChars="200"/>
        <w:rPr>
          <w:rFonts w:ascii="宋体" w:hAnsi="宋体" w:cs="宋体"/>
          <w:sz w:val="24"/>
        </w:rPr>
      </w:pPr>
      <w:r>
        <w:rPr>
          <w:rFonts w:hint="eastAsia" w:ascii="宋体" w:hAnsi="宋体" w:cs="宋体"/>
          <w:sz w:val="24"/>
        </w:rPr>
        <w:t>1）社康机构移动支付系统</w:t>
      </w:r>
    </w:p>
    <w:p w14:paraId="09189BCA">
      <w:pPr>
        <w:pStyle w:val="2"/>
        <w:spacing w:line="240" w:lineRule="auto"/>
        <w:ind w:firstLine="482" w:firstLineChars="200"/>
        <w:rPr>
          <w:rFonts w:ascii="宋体" w:hAnsi="宋体" w:cs="宋体"/>
        </w:rPr>
      </w:pPr>
      <w:r>
        <w:rPr>
          <w:rFonts w:hint="eastAsia" w:ascii="宋体" w:hAnsi="宋体" w:cs="宋体"/>
        </w:rPr>
        <w:t>要求依托健康龙岗构建区域社康机构移动支付系统，包括服务管理端，公众服务端及与社康系统的对接改造。居民通过健康龙岗完成社康支付，健康龙岗支付反馈支付消息（依托区域</w:t>
      </w:r>
      <w:r>
        <w:rPr>
          <w:rFonts w:hint="eastAsia" w:ascii="宋体" w:hAnsi="宋体" w:cs="宋体"/>
          <w:bCs w:val="0"/>
        </w:rPr>
        <w:t>医疗通讯交换组件</w:t>
      </w:r>
      <w:r>
        <w:rPr>
          <w:rFonts w:hint="eastAsia" w:ascii="宋体" w:hAnsi="宋体" w:cs="宋体"/>
        </w:rPr>
        <w:t>）。</w:t>
      </w:r>
    </w:p>
    <w:tbl>
      <w:tblPr>
        <w:tblStyle w:val="44"/>
        <w:tblW w:w="8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1181"/>
        <w:gridCol w:w="1407"/>
        <w:gridCol w:w="4997"/>
      </w:tblGrid>
      <w:tr w14:paraId="646A2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80" w:type="dxa"/>
            <w:shd w:val="clear" w:color="auto" w:fill="auto"/>
            <w:vAlign w:val="center"/>
          </w:tcPr>
          <w:p w14:paraId="7ACE485B">
            <w:pPr>
              <w:widowControl/>
              <w:jc w:val="center"/>
              <w:rPr>
                <w:rFonts w:ascii="宋体" w:hAnsi="宋体" w:cs="宋体"/>
                <w:color w:val="000000"/>
                <w:kern w:val="0"/>
                <w:sz w:val="24"/>
              </w:rPr>
            </w:pPr>
            <w:r>
              <w:rPr>
                <w:rFonts w:hint="eastAsia" w:ascii="宋体" w:hAnsi="宋体" w:cs="宋体"/>
                <w:color w:val="000000"/>
                <w:kern w:val="0"/>
                <w:sz w:val="24"/>
              </w:rPr>
              <w:t>序序号</w:t>
            </w:r>
          </w:p>
        </w:tc>
        <w:tc>
          <w:tcPr>
            <w:tcW w:w="2588" w:type="dxa"/>
            <w:gridSpan w:val="2"/>
            <w:shd w:val="clear" w:color="auto" w:fill="auto"/>
            <w:vAlign w:val="center"/>
          </w:tcPr>
          <w:p w14:paraId="1FAEA1B9">
            <w:pPr>
              <w:widowControl/>
              <w:jc w:val="center"/>
              <w:rPr>
                <w:rFonts w:ascii="宋体" w:hAnsi="宋体" w:cs="宋体"/>
                <w:color w:val="000000"/>
                <w:kern w:val="0"/>
                <w:sz w:val="24"/>
              </w:rPr>
            </w:pPr>
            <w:r>
              <w:rPr>
                <w:rFonts w:hint="eastAsia" w:ascii="宋体" w:hAnsi="宋体" w:cs="宋体"/>
                <w:color w:val="000000"/>
                <w:kern w:val="0"/>
                <w:sz w:val="24"/>
              </w:rPr>
              <w:t>系统功能</w:t>
            </w:r>
          </w:p>
        </w:tc>
        <w:tc>
          <w:tcPr>
            <w:tcW w:w="4997" w:type="dxa"/>
            <w:shd w:val="clear" w:color="auto" w:fill="auto"/>
            <w:vAlign w:val="center"/>
          </w:tcPr>
          <w:p w14:paraId="2918C2C7">
            <w:pPr>
              <w:widowControl/>
              <w:jc w:val="left"/>
              <w:rPr>
                <w:rFonts w:ascii="宋体" w:hAnsi="宋体" w:cs="宋体"/>
                <w:color w:val="000000"/>
                <w:kern w:val="0"/>
                <w:sz w:val="24"/>
              </w:rPr>
            </w:pPr>
            <w:r>
              <w:rPr>
                <w:rFonts w:hint="eastAsia" w:ascii="宋体" w:hAnsi="宋体" w:cs="宋体"/>
                <w:color w:val="000000"/>
                <w:kern w:val="0"/>
                <w:sz w:val="24"/>
              </w:rPr>
              <w:t>主要功能及服务要求</w:t>
            </w:r>
          </w:p>
        </w:tc>
      </w:tr>
      <w:tr w14:paraId="596D4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580" w:type="dxa"/>
            <w:shd w:val="clear" w:color="auto" w:fill="auto"/>
            <w:vAlign w:val="center"/>
          </w:tcPr>
          <w:p w14:paraId="31ABC164">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181" w:type="dxa"/>
            <w:vMerge w:val="restart"/>
            <w:shd w:val="clear" w:color="auto" w:fill="auto"/>
            <w:vAlign w:val="center"/>
          </w:tcPr>
          <w:p w14:paraId="244609C6">
            <w:pPr>
              <w:widowControl/>
              <w:rPr>
                <w:rFonts w:ascii="宋体" w:hAnsi="宋体" w:cs="宋体"/>
                <w:color w:val="000000"/>
                <w:kern w:val="0"/>
                <w:sz w:val="24"/>
              </w:rPr>
            </w:pPr>
            <w:r>
              <w:rPr>
                <w:rFonts w:hint="eastAsia" w:ascii="宋体" w:hAnsi="宋体" w:cs="宋体"/>
                <w:color w:val="000000"/>
                <w:kern w:val="0"/>
                <w:sz w:val="24"/>
              </w:rPr>
              <w:t>公众服务端</w:t>
            </w:r>
          </w:p>
        </w:tc>
        <w:tc>
          <w:tcPr>
            <w:tcW w:w="1407" w:type="dxa"/>
            <w:shd w:val="clear" w:color="auto" w:fill="auto"/>
            <w:vAlign w:val="center"/>
          </w:tcPr>
          <w:p w14:paraId="40670149">
            <w:pPr>
              <w:widowControl/>
              <w:jc w:val="left"/>
              <w:rPr>
                <w:rFonts w:ascii="宋体" w:hAnsi="宋体" w:cs="宋体"/>
                <w:color w:val="000000"/>
                <w:kern w:val="0"/>
                <w:sz w:val="24"/>
              </w:rPr>
            </w:pPr>
            <w:r>
              <w:rPr>
                <w:rFonts w:hint="eastAsia" w:ascii="宋体" w:hAnsi="宋体" w:cs="宋体"/>
                <w:color w:val="000000"/>
                <w:kern w:val="0"/>
                <w:sz w:val="24"/>
              </w:rPr>
              <w:t>社康缴费</w:t>
            </w:r>
          </w:p>
        </w:tc>
        <w:tc>
          <w:tcPr>
            <w:tcW w:w="4997" w:type="dxa"/>
            <w:shd w:val="clear" w:color="auto" w:fill="auto"/>
            <w:vAlign w:val="center"/>
          </w:tcPr>
          <w:p w14:paraId="2831731C">
            <w:pPr>
              <w:widowControl/>
              <w:jc w:val="left"/>
              <w:rPr>
                <w:rFonts w:ascii="宋体" w:hAnsi="宋体" w:cs="宋体"/>
                <w:color w:val="000000"/>
                <w:kern w:val="0"/>
                <w:sz w:val="24"/>
              </w:rPr>
            </w:pPr>
            <w:r>
              <w:rPr>
                <w:rFonts w:hint="eastAsia" w:ascii="宋体" w:hAnsi="宋体" w:cs="宋体"/>
                <w:color w:val="000000"/>
                <w:kern w:val="0"/>
                <w:sz w:val="24"/>
              </w:rPr>
              <w:t>要求提供社康机构门诊缴费功能，实现患者门诊处方的缴费，包括自费、医保缴费；提供待缴费列表及待缴费明细查询功能；提供已缴费列表及已缴费明细查询功能。</w:t>
            </w:r>
          </w:p>
        </w:tc>
      </w:tr>
      <w:tr w14:paraId="15FA0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580" w:type="dxa"/>
            <w:shd w:val="clear" w:color="auto" w:fill="auto"/>
            <w:vAlign w:val="center"/>
          </w:tcPr>
          <w:p w14:paraId="3302C1F6">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181" w:type="dxa"/>
            <w:vMerge w:val="continue"/>
            <w:vAlign w:val="center"/>
          </w:tcPr>
          <w:p w14:paraId="57C203DD">
            <w:pPr>
              <w:widowControl/>
              <w:jc w:val="left"/>
              <w:rPr>
                <w:rFonts w:ascii="宋体" w:hAnsi="宋体" w:cs="宋体"/>
                <w:color w:val="000000"/>
                <w:kern w:val="0"/>
                <w:sz w:val="24"/>
              </w:rPr>
            </w:pPr>
          </w:p>
        </w:tc>
        <w:tc>
          <w:tcPr>
            <w:tcW w:w="1407" w:type="dxa"/>
            <w:shd w:val="clear" w:color="auto" w:fill="auto"/>
            <w:vAlign w:val="center"/>
          </w:tcPr>
          <w:p w14:paraId="294655B1">
            <w:pPr>
              <w:widowControl/>
              <w:jc w:val="left"/>
              <w:rPr>
                <w:rFonts w:ascii="宋体" w:hAnsi="宋体" w:cs="宋体"/>
                <w:color w:val="000000"/>
                <w:kern w:val="0"/>
                <w:sz w:val="24"/>
              </w:rPr>
            </w:pPr>
            <w:r>
              <w:rPr>
                <w:rFonts w:hint="eastAsia" w:ascii="宋体" w:hAnsi="宋体" w:cs="宋体"/>
                <w:color w:val="000000"/>
                <w:kern w:val="0"/>
                <w:sz w:val="24"/>
              </w:rPr>
              <w:t>社康电子健康码</w:t>
            </w:r>
          </w:p>
        </w:tc>
        <w:tc>
          <w:tcPr>
            <w:tcW w:w="4997" w:type="dxa"/>
            <w:shd w:val="clear" w:color="auto" w:fill="auto"/>
            <w:vAlign w:val="center"/>
          </w:tcPr>
          <w:p w14:paraId="4EFB4539">
            <w:pPr>
              <w:widowControl/>
              <w:jc w:val="left"/>
              <w:rPr>
                <w:rFonts w:ascii="宋体" w:hAnsi="宋体" w:cs="宋体"/>
                <w:color w:val="000000"/>
                <w:kern w:val="0"/>
                <w:sz w:val="24"/>
              </w:rPr>
            </w:pPr>
            <w:r>
              <w:rPr>
                <w:rFonts w:hint="eastAsia" w:ascii="宋体" w:hAnsi="宋体" w:cs="宋体"/>
                <w:color w:val="000000"/>
                <w:kern w:val="0"/>
                <w:sz w:val="24"/>
              </w:rPr>
              <w:t>要求通过与深圳市电子健康码对接，提供居民社康电子健康码展示，方便居民通过电子健康码实现身份识别</w:t>
            </w:r>
          </w:p>
        </w:tc>
      </w:tr>
      <w:tr w14:paraId="58CD0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580" w:type="dxa"/>
            <w:shd w:val="clear" w:color="auto" w:fill="auto"/>
            <w:vAlign w:val="center"/>
          </w:tcPr>
          <w:p w14:paraId="1B9F8082">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1181" w:type="dxa"/>
            <w:vMerge w:val="continue"/>
            <w:vAlign w:val="center"/>
          </w:tcPr>
          <w:p w14:paraId="4F4B97E6">
            <w:pPr>
              <w:widowControl/>
              <w:jc w:val="left"/>
              <w:rPr>
                <w:rFonts w:ascii="宋体" w:hAnsi="宋体" w:cs="宋体"/>
                <w:color w:val="000000"/>
                <w:kern w:val="0"/>
                <w:sz w:val="24"/>
              </w:rPr>
            </w:pPr>
          </w:p>
        </w:tc>
        <w:tc>
          <w:tcPr>
            <w:tcW w:w="1407" w:type="dxa"/>
            <w:shd w:val="clear" w:color="auto" w:fill="auto"/>
            <w:vAlign w:val="center"/>
          </w:tcPr>
          <w:p w14:paraId="614BDF58">
            <w:pPr>
              <w:widowControl/>
              <w:jc w:val="left"/>
              <w:rPr>
                <w:rFonts w:ascii="宋体" w:hAnsi="宋体" w:cs="宋体"/>
                <w:color w:val="000000"/>
                <w:kern w:val="0"/>
                <w:sz w:val="24"/>
              </w:rPr>
            </w:pPr>
            <w:r>
              <w:rPr>
                <w:rFonts w:hint="eastAsia" w:ascii="宋体" w:hAnsi="宋体" w:cs="宋体"/>
                <w:color w:val="000000"/>
                <w:kern w:val="0"/>
                <w:sz w:val="24"/>
              </w:rPr>
              <w:t>支付小程序</w:t>
            </w:r>
          </w:p>
        </w:tc>
        <w:tc>
          <w:tcPr>
            <w:tcW w:w="4997" w:type="dxa"/>
            <w:shd w:val="clear" w:color="auto" w:fill="auto"/>
            <w:vAlign w:val="center"/>
          </w:tcPr>
          <w:p w14:paraId="73DBB836">
            <w:pPr>
              <w:widowControl/>
              <w:jc w:val="left"/>
              <w:rPr>
                <w:rFonts w:ascii="宋体" w:hAnsi="宋体" w:cs="宋体"/>
                <w:color w:val="000000"/>
                <w:kern w:val="0"/>
                <w:sz w:val="24"/>
              </w:rPr>
            </w:pPr>
            <w:r>
              <w:rPr>
                <w:rFonts w:hint="eastAsia" w:ascii="宋体" w:hAnsi="宋体" w:cs="宋体"/>
                <w:color w:val="000000"/>
                <w:kern w:val="0"/>
                <w:sz w:val="24"/>
              </w:rPr>
              <w:t>要求提供支付小程序，接收第三方平台待支付订单，方便社康通跳转支付。支付小程序展示订单信息，并进行微信及支付宝自费、医保支付</w:t>
            </w:r>
          </w:p>
        </w:tc>
      </w:tr>
      <w:tr w14:paraId="03F5D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580" w:type="dxa"/>
            <w:shd w:val="clear" w:color="auto" w:fill="auto"/>
            <w:vAlign w:val="center"/>
          </w:tcPr>
          <w:p w14:paraId="665490B8">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1181" w:type="dxa"/>
            <w:vMerge w:val="continue"/>
            <w:vAlign w:val="center"/>
          </w:tcPr>
          <w:p w14:paraId="649A5B58">
            <w:pPr>
              <w:widowControl/>
              <w:jc w:val="left"/>
              <w:rPr>
                <w:rFonts w:ascii="宋体" w:hAnsi="宋体" w:cs="宋体"/>
                <w:color w:val="000000"/>
                <w:kern w:val="0"/>
                <w:sz w:val="24"/>
              </w:rPr>
            </w:pPr>
          </w:p>
        </w:tc>
        <w:tc>
          <w:tcPr>
            <w:tcW w:w="1407" w:type="dxa"/>
            <w:shd w:val="clear" w:color="auto" w:fill="auto"/>
            <w:vAlign w:val="center"/>
          </w:tcPr>
          <w:p w14:paraId="2D64BAC2">
            <w:pPr>
              <w:widowControl/>
              <w:jc w:val="left"/>
              <w:rPr>
                <w:rFonts w:ascii="宋体" w:hAnsi="宋体" w:cs="宋体"/>
                <w:color w:val="000000"/>
                <w:kern w:val="0"/>
                <w:sz w:val="24"/>
              </w:rPr>
            </w:pPr>
            <w:r>
              <w:rPr>
                <w:rFonts w:hint="eastAsia" w:ascii="宋体" w:hAnsi="宋体" w:cs="宋体"/>
                <w:color w:val="000000"/>
                <w:kern w:val="0"/>
                <w:sz w:val="24"/>
              </w:rPr>
              <w:t>处方二维码</w:t>
            </w:r>
          </w:p>
        </w:tc>
        <w:tc>
          <w:tcPr>
            <w:tcW w:w="4997" w:type="dxa"/>
            <w:shd w:val="clear" w:color="auto" w:fill="auto"/>
            <w:vAlign w:val="center"/>
          </w:tcPr>
          <w:p w14:paraId="78A32275">
            <w:pPr>
              <w:widowControl/>
              <w:jc w:val="left"/>
              <w:rPr>
                <w:rFonts w:ascii="宋体" w:hAnsi="宋体" w:cs="宋体"/>
                <w:color w:val="000000"/>
                <w:kern w:val="0"/>
                <w:sz w:val="24"/>
              </w:rPr>
            </w:pPr>
            <w:r>
              <w:rPr>
                <w:rFonts w:hint="eastAsia" w:ascii="宋体" w:hAnsi="宋体" w:cs="宋体"/>
                <w:color w:val="000000"/>
                <w:kern w:val="0"/>
                <w:sz w:val="24"/>
              </w:rPr>
              <w:t>要求提供处方二维码扫码缴费支付界面及支付功能，实现订单信息查看及支付，支持微信及支付宝自费、医保等缴费方式</w:t>
            </w:r>
          </w:p>
        </w:tc>
      </w:tr>
      <w:tr w14:paraId="69711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80" w:type="dxa"/>
            <w:shd w:val="clear" w:color="auto" w:fill="auto"/>
            <w:vAlign w:val="center"/>
          </w:tcPr>
          <w:p w14:paraId="13650700">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1181" w:type="dxa"/>
            <w:vMerge w:val="continue"/>
            <w:vAlign w:val="center"/>
          </w:tcPr>
          <w:p w14:paraId="6F700845">
            <w:pPr>
              <w:widowControl/>
              <w:jc w:val="left"/>
              <w:rPr>
                <w:rFonts w:ascii="宋体" w:hAnsi="宋体" w:cs="宋体"/>
                <w:color w:val="000000"/>
                <w:kern w:val="0"/>
                <w:sz w:val="24"/>
              </w:rPr>
            </w:pPr>
          </w:p>
        </w:tc>
        <w:tc>
          <w:tcPr>
            <w:tcW w:w="1407" w:type="dxa"/>
            <w:shd w:val="clear" w:color="auto" w:fill="auto"/>
            <w:vAlign w:val="center"/>
          </w:tcPr>
          <w:p w14:paraId="54F4A1E5">
            <w:pPr>
              <w:widowControl/>
              <w:jc w:val="left"/>
              <w:rPr>
                <w:rFonts w:ascii="宋体" w:hAnsi="宋体" w:cs="宋体"/>
                <w:color w:val="000000"/>
                <w:kern w:val="0"/>
                <w:sz w:val="24"/>
              </w:rPr>
            </w:pPr>
            <w:r>
              <w:rPr>
                <w:rFonts w:hint="eastAsia" w:ascii="宋体" w:hAnsi="宋体" w:cs="宋体"/>
                <w:color w:val="000000"/>
                <w:kern w:val="0"/>
                <w:sz w:val="24"/>
              </w:rPr>
              <w:t>医保2.0线上支付</w:t>
            </w:r>
          </w:p>
        </w:tc>
        <w:tc>
          <w:tcPr>
            <w:tcW w:w="4997" w:type="dxa"/>
            <w:shd w:val="clear" w:color="auto" w:fill="auto"/>
            <w:vAlign w:val="center"/>
          </w:tcPr>
          <w:p w14:paraId="18CD3374">
            <w:pPr>
              <w:widowControl/>
              <w:jc w:val="left"/>
              <w:rPr>
                <w:rFonts w:ascii="宋体" w:hAnsi="宋体" w:cs="宋体"/>
                <w:color w:val="000000"/>
                <w:kern w:val="0"/>
                <w:sz w:val="24"/>
              </w:rPr>
            </w:pPr>
            <w:r>
              <w:rPr>
                <w:rFonts w:hint="eastAsia" w:ascii="宋体" w:hAnsi="宋体" w:cs="宋体"/>
                <w:color w:val="000000"/>
                <w:kern w:val="0"/>
                <w:sz w:val="24"/>
              </w:rPr>
              <w:t>患者可以利用医保电子凭证快速建档，并在公众号/小程序内实现医保2.0移动支付</w:t>
            </w:r>
          </w:p>
        </w:tc>
      </w:tr>
      <w:tr w14:paraId="747C3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580" w:type="dxa"/>
            <w:shd w:val="clear" w:color="auto" w:fill="auto"/>
            <w:vAlign w:val="center"/>
          </w:tcPr>
          <w:p w14:paraId="6070B71A">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1181" w:type="dxa"/>
            <w:vMerge w:val="continue"/>
            <w:vAlign w:val="center"/>
          </w:tcPr>
          <w:p w14:paraId="67D0F45C">
            <w:pPr>
              <w:widowControl/>
              <w:jc w:val="left"/>
              <w:rPr>
                <w:rFonts w:ascii="宋体" w:hAnsi="宋体" w:cs="宋体"/>
                <w:color w:val="000000"/>
                <w:kern w:val="0"/>
                <w:sz w:val="24"/>
              </w:rPr>
            </w:pPr>
          </w:p>
        </w:tc>
        <w:tc>
          <w:tcPr>
            <w:tcW w:w="1407" w:type="dxa"/>
            <w:shd w:val="clear" w:color="auto" w:fill="auto"/>
            <w:vAlign w:val="center"/>
          </w:tcPr>
          <w:p w14:paraId="225E5AA6">
            <w:pPr>
              <w:widowControl/>
              <w:jc w:val="left"/>
              <w:rPr>
                <w:rFonts w:ascii="宋体" w:hAnsi="宋体" w:cs="宋体"/>
                <w:color w:val="000000"/>
                <w:kern w:val="0"/>
                <w:sz w:val="24"/>
              </w:rPr>
            </w:pPr>
            <w:r>
              <w:rPr>
                <w:rFonts w:hint="eastAsia" w:ascii="宋体" w:hAnsi="宋体" w:cs="宋体"/>
                <w:color w:val="000000"/>
                <w:kern w:val="0"/>
                <w:sz w:val="24"/>
              </w:rPr>
              <w:t>退费</w:t>
            </w:r>
          </w:p>
        </w:tc>
        <w:tc>
          <w:tcPr>
            <w:tcW w:w="4997" w:type="dxa"/>
            <w:shd w:val="clear" w:color="auto" w:fill="auto"/>
            <w:vAlign w:val="center"/>
          </w:tcPr>
          <w:p w14:paraId="04CB04F5">
            <w:pPr>
              <w:widowControl/>
              <w:jc w:val="left"/>
              <w:rPr>
                <w:rFonts w:ascii="宋体" w:hAnsi="宋体" w:cs="宋体"/>
                <w:color w:val="000000"/>
                <w:kern w:val="0"/>
                <w:sz w:val="24"/>
              </w:rPr>
            </w:pPr>
            <w:r>
              <w:rPr>
                <w:rFonts w:hint="eastAsia" w:ascii="宋体" w:hAnsi="宋体" w:cs="宋体"/>
                <w:color w:val="000000"/>
                <w:kern w:val="0"/>
                <w:sz w:val="24"/>
              </w:rPr>
              <w:t>要求提供社康机构门诊退费、家床退费功能，社康系统发起退费后，移动支付系统原路退回已支付订单。</w:t>
            </w:r>
          </w:p>
        </w:tc>
      </w:tr>
      <w:tr w14:paraId="0B5FA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trPr>
        <w:tc>
          <w:tcPr>
            <w:tcW w:w="580" w:type="dxa"/>
            <w:shd w:val="clear" w:color="auto" w:fill="auto"/>
            <w:vAlign w:val="center"/>
          </w:tcPr>
          <w:p w14:paraId="6966A777">
            <w:pPr>
              <w:widowControl/>
              <w:jc w:val="center"/>
              <w:rPr>
                <w:rFonts w:ascii="宋体" w:hAnsi="宋体" w:cs="宋体"/>
                <w:color w:val="000000"/>
                <w:kern w:val="0"/>
                <w:sz w:val="24"/>
              </w:rPr>
            </w:pPr>
            <w:r>
              <w:rPr>
                <w:rFonts w:hint="eastAsia" w:ascii="宋体" w:hAnsi="宋体" w:cs="宋体"/>
                <w:color w:val="000000"/>
                <w:kern w:val="0"/>
                <w:sz w:val="24"/>
              </w:rPr>
              <w:t>7</w:t>
            </w:r>
          </w:p>
        </w:tc>
        <w:tc>
          <w:tcPr>
            <w:tcW w:w="1181" w:type="dxa"/>
            <w:vMerge w:val="restart"/>
            <w:shd w:val="clear" w:color="auto" w:fill="auto"/>
            <w:vAlign w:val="center"/>
          </w:tcPr>
          <w:p w14:paraId="6F251115">
            <w:pPr>
              <w:widowControl/>
              <w:rPr>
                <w:rFonts w:ascii="宋体" w:hAnsi="宋体" w:cs="宋体"/>
                <w:color w:val="000000"/>
                <w:kern w:val="0"/>
                <w:sz w:val="24"/>
              </w:rPr>
            </w:pPr>
            <w:r>
              <w:rPr>
                <w:rFonts w:hint="eastAsia" w:ascii="宋体" w:hAnsi="宋体" w:cs="宋体"/>
                <w:color w:val="000000"/>
                <w:kern w:val="0"/>
                <w:sz w:val="24"/>
              </w:rPr>
              <w:t>后台管理端</w:t>
            </w:r>
          </w:p>
        </w:tc>
        <w:tc>
          <w:tcPr>
            <w:tcW w:w="1407" w:type="dxa"/>
            <w:shd w:val="clear" w:color="auto" w:fill="auto"/>
            <w:vAlign w:val="center"/>
          </w:tcPr>
          <w:p w14:paraId="496ECAA3">
            <w:pPr>
              <w:widowControl/>
              <w:jc w:val="left"/>
              <w:rPr>
                <w:rFonts w:ascii="宋体" w:hAnsi="宋体" w:cs="宋体"/>
                <w:color w:val="000000"/>
                <w:kern w:val="0"/>
                <w:sz w:val="24"/>
              </w:rPr>
            </w:pPr>
            <w:r>
              <w:rPr>
                <w:rFonts w:hint="eastAsia" w:ascii="宋体" w:hAnsi="宋体" w:cs="宋体"/>
                <w:color w:val="000000"/>
                <w:kern w:val="0"/>
                <w:sz w:val="24"/>
              </w:rPr>
              <w:t>对账管理</w:t>
            </w:r>
          </w:p>
        </w:tc>
        <w:tc>
          <w:tcPr>
            <w:tcW w:w="4997" w:type="dxa"/>
            <w:shd w:val="clear" w:color="auto" w:fill="auto"/>
            <w:vAlign w:val="center"/>
          </w:tcPr>
          <w:p w14:paraId="69DF4147">
            <w:pPr>
              <w:widowControl/>
              <w:jc w:val="left"/>
              <w:rPr>
                <w:rFonts w:ascii="宋体" w:hAnsi="宋体" w:cs="宋体"/>
                <w:color w:val="000000"/>
                <w:kern w:val="0"/>
                <w:sz w:val="24"/>
              </w:rPr>
            </w:pPr>
            <w:r>
              <w:rPr>
                <w:rFonts w:hint="eastAsia" w:ascii="宋体" w:hAnsi="宋体" w:cs="宋体"/>
                <w:color w:val="000000"/>
                <w:kern w:val="0"/>
                <w:sz w:val="24"/>
              </w:rPr>
              <w:t>1）代理对账：要求提供社康对账功能，从各个支付渠道抓取交易数据，并与社康系统数据进行比较，实现自动对账，支持查询各支付通道实收账信息</w:t>
            </w:r>
            <w:r>
              <w:rPr>
                <w:rFonts w:hint="eastAsia" w:ascii="宋体" w:hAnsi="宋体" w:cs="宋体"/>
                <w:color w:val="000000"/>
                <w:kern w:val="0"/>
                <w:sz w:val="24"/>
              </w:rPr>
              <w:br w:type="textWrapping"/>
            </w:r>
            <w:r>
              <w:rPr>
                <w:rFonts w:hint="eastAsia" w:ascii="宋体" w:hAnsi="宋体" w:cs="宋体"/>
                <w:color w:val="000000"/>
                <w:kern w:val="0"/>
                <w:sz w:val="24"/>
              </w:rPr>
              <w:t>2）错账处理：要求提供系统单边账的处理功能，支持查看具体交易记录，方便查找原因并处理</w:t>
            </w:r>
          </w:p>
        </w:tc>
      </w:tr>
      <w:tr w14:paraId="054D6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580" w:type="dxa"/>
            <w:shd w:val="clear" w:color="auto" w:fill="auto"/>
            <w:vAlign w:val="center"/>
          </w:tcPr>
          <w:p w14:paraId="66E51B9B">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1181" w:type="dxa"/>
            <w:vMerge w:val="continue"/>
            <w:vAlign w:val="center"/>
          </w:tcPr>
          <w:p w14:paraId="6D444809">
            <w:pPr>
              <w:widowControl/>
              <w:jc w:val="left"/>
              <w:rPr>
                <w:rFonts w:ascii="宋体" w:hAnsi="宋体" w:cs="宋体"/>
                <w:color w:val="000000"/>
                <w:kern w:val="0"/>
                <w:sz w:val="24"/>
              </w:rPr>
            </w:pPr>
          </w:p>
        </w:tc>
        <w:tc>
          <w:tcPr>
            <w:tcW w:w="1407" w:type="dxa"/>
            <w:vMerge w:val="restart"/>
            <w:shd w:val="clear" w:color="auto" w:fill="auto"/>
            <w:vAlign w:val="center"/>
          </w:tcPr>
          <w:p w14:paraId="677B0425">
            <w:pPr>
              <w:widowControl/>
              <w:jc w:val="left"/>
              <w:rPr>
                <w:rFonts w:ascii="宋体" w:hAnsi="宋体" w:cs="宋体"/>
                <w:color w:val="000000"/>
                <w:kern w:val="0"/>
                <w:sz w:val="24"/>
              </w:rPr>
            </w:pPr>
            <w:r>
              <w:rPr>
                <w:rFonts w:hint="eastAsia" w:ascii="宋体" w:hAnsi="宋体" w:cs="宋体"/>
                <w:color w:val="000000"/>
                <w:kern w:val="0"/>
                <w:sz w:val="24"/>
              </w:rPr>
              <w:t>交易管理</w:t>
            </w:r>
          </w:p>
        </w:tc>
        <w:tc>
          <w:tcPr>
            <w:tcW w:w="4997" w:type="dxa"/>
            <w:shd w:val="clear" w:color="auto" w:fill="auto"/>
            <w:vAlign w:val="center"/>
          </w:tcPr>
          <w:p w14:paraId="1050119B">
            <w:pPr>
              <w:widowControl/>
              <w:jc w:val="left"/>
              <w:rPr>
                <w:rFonts w:ascii="宋体" w:hAnsi="宋体" w:cs="宋体"/>
                <w:color w:val="000000"/>
                <w:kern w:val="0"/>
                <w:sz w:val="24"/>
              </w:rPr>
            </w:pPr>
            <w:r>
              <w:rPr>
                <w:rFonts w:hint="eastAsia" w:ascii="宋体" w:hAnsi="宋体" w:cs="宋体"/>
                <w:color w:val="000000"/>
                <w:kern w:val="0"/>
                <w:sz w:val="24"/>
              </w:rPr>
              <w:t>1）订单查询：要求提供查询订单信息功能，接入支付平台的商户号产生的订单集中分类别进行展示，可按照时间周期、订单状态来查询</w:t>
            </w:r>
          </w:p>
        </w:tc>
      </w:tr>
      <w:tr w14:paraId="3AD40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580" w:type="dxa"/>
            <w:shd w:val="clear" w:color="auto" w:fill="auto"/>
            <w:vAlign w:val="center"/>
          </w:tcPr>
          <w:p w14:paraId="520C4E13">
            <w:pPr>
              <w:widowControl/>
              <w:jc w:val="center"/>
              <w:rPr>
                <w:rFonts w:ascii="宋体" w:hAnsi="宋体" w:cs="宋体"/>
                <w:color w:val="000000"/>
                <w:kern w:val="0"/>
                <w:sz w:val="24"/>
              </w:rPr>
            </w:pPr>
            <w:r>
              <w:rPr>
                <w:rFonts w:hint="eastAsia" w:ascii="宋体" w:hAnsi="宋体" w:cs="宋体"/>
                <w:color w:val="000000"/>
                <w:kern w:val="0"/>
                <w:sz w:val="24"/>
              </w:rPr>
              <w:t>9</w:t>
            </w:r>
          </w:p>
        </w:tc>
        <w:tc>
          <w:tcPr>
            <w:tcW w:w="1181" w:type="dxa"/>
            <w:vMerge w:val="continue"/>
            <w:vAlign w:val="center"/>
          </w:tcPr>
          <w:p w14:paraId="0C8AE02A">
            <w:pPr>
              <w:widowControl/>
              <w:jc w:val="left"/>
              <w:rPr>
                <w:rFonts w:ascii="宋体" w:hAnsi="宋体" w:cs="宋体"/>
                <w:color w:val="000000"/>
                <w:kern w:val="0"/>
                <w:sz w:val="24"/>
              </w:rPr>
            </w:pPr>
          </w:p>
        </w:tc>
        <w:tc>
          <w:tcPr>
            <w:tcW w:w="1407" w:type="dxa"/>
            <w:vMerge w:val="continue"/>
            <w:vAlign w:val="center"/>
          </w:tcPr>
          <w:p w14:paraId="4FD00FF0">
            <w:pPr>
              <w:widowControl/>
              <w:jc w:val="left"/>
              <w:rPr>
                <w:rFonts w:ascii="宋体" w:hAnsi="宋体" w:cs="宋体"/>
                <w:color w:val="000000"/>
                <w:kern w:val="0"/>
                <w:sz w:val="24"/>
              </w:rPr>
            </w:pPr>
          </w:p>
        </w:tc>
        <w:tc>
          <w:tcPr>
            <w:tcW w:w="4997" w:type="dxa"/>
            <w:shd w:val="clear" w:color="auto" w:fill="auto"/>
            <w:vAlign w:val="center"/>
          </w:tcPr>
          <w:p w14:paraId="479BB2FA">
            <w:pPr>
              <w:widowControl/>
              <w:jc w:val="left"/>
              <w:rPr>
                <w:rFonts w:ascii="宋体" w:hAnsi="宋体" w:cs="宋体"/>
                <w:color w:val="000000"/>
                <w:kern w:val="0"/>
                <w:sz w:val="24"/>
              </w:rPr>
            </w:pPr>
            <w:r>
              <w:rPr>
                <w:rFonts w:hint="eastAsia" w:ascii="宋体" w:hAnsi="宋体" w:cs="宋体"/>
                <w:color w:val="000000"/>
                <w:kern w:val="0"/>
                <w:sz w:val="24"/>
              </w:rPr>
              <w:t>2）退款查询：支持针对各个社康提供退款订单查询功能，支持查询各商户的明细退款订单数据</w:t>
            </w:r>
          </w:p>
        </w:tc>
      </w:tr>
      <w:tr w14:paraId="6530C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80" w:type="dxa"/>
            <w:shd w:val="clear" w:color="auto" w:fill="auto"/>
            <w:vAlign w:val="center"/>
          </w:tcPr>
          <w:p w14:paraId="6FDD2E6A">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1181" w:type="dxa"/>
            <w:vMerge w:val="continue"/>
            <w:vAlign w:val="center"/>
          </w:tcPr>
          <w:p w14:paraId="0B6DCEF8">
            <w:pPr>
              <w:widowControl/>
              <w:jc w:val="left"/>
              <w:rPr>
                <w:rFonts w:ascii="宋体" w:hAnsi="宋体" w:cs="宋体"/>
                <w:color w:val="000000"/>
                <w:kern w:val="0"/>
                <w:sz w:val="24"/>
              </w:rPr>
            </w:pPr>
          </w:p>
        </w:tc>
        <w:tc>
          <w:tcPr>
            <w:tcW w:w="1407" w:type="dxa"/>
            <w:vMerge w:val="continue"/>
            <w:vAlign w:val="center"/>
          </w:tcPr>
          <w:p w14:paraId="044802ED">
            <w:pPr>
              <w:widowControl/>
              <w:jc w:val="left"/>
              <w:rPr>
                <w:rFonts w:ascii="宋体" w:hAnsi="宋体" w:cs="宋体"/>
                <w:color w:val="000000"/>
                <w:kern w:val="0"/>
                <w:sz w:val="24"/>
              </w:rPr>
            </w:pPr>
          </w:p>
        </w:tc>
        <w:tc>
          <w:tcPr>
            <w:tcW w:w="4997" w:type="dxa"/>
            <w:shd w:val="clear" w:color="auto" w:fill="auto"/>
            <w:vAlign w:val="center"/>
          </w:tcPr>
          <w:p w14:paraId="4C986D29">
            <w:pPr>
              <w:widowControl/>
              <w:jc w:val="left"/>
              <w:rPr>
                <w:rFonts w:ascii="宋体" w:hAnsi="宋体" w:cs="宋体"/>
                <w:color w:val="000000"/>
                <w:kern w:val="0"/>
                <w:sz w:val="24"/>
              </w:rPr>
            </w:pPr>
            <w:r>
              <w:rPr>
                <w:rFonts w:hint="eastAsia" w:ascii="宋体" w:hAnsi="宋体" w:cs="宋体"/>
                <w:color w:val="000000"/>
                <w:kern w:val="0"/>
                <w:sz w:val="24"/>
              </w:rPr>
              <w:t>3)日交易统计：支持查询各商户订单类型的交易数据，支持账单下载</w:t>
            </w:r>
          </w:p>
        </w:tc>
      </w:tr>
      <w:tr w14:paraId="2B391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80" w:type="dxa"/>
            <w:shd w:val="clear" w:color="auto" w:fill="auto"/>
            <w:vAlign w:val="center"/>
          </w:tcPr>
          <w:p w14:paraId="23D803B1">
            <w:pPr>
              <w:widowControl/>
              <w:jc w:val="center"/>
              <w:rPr>
                <w:rFonts w:ascii="宋体" w:hAnsi="宋体" w:cs="宋体"/>
                <w:color w:val="000000"/>
                <w:kern w:val="0"/>
                <w:sz w:val="24"/>
              </w:rPr>
            </w:pPr>
            <w:r>
              <w:rPr>
                <w:rFonts w:hint="eastAsia" w:ascii="宋体" w:hAnsi="宋体" w:cs="宋体"/>
                <w:color w:val="000000"/>
                <w:kern w:val="0"/>
                <w:sz w:val="24"/>
              </w:rPr>
              <w:t>11</w:t>
            </w:r>
          </w:p>
        </w:tc>
        <w:tc>
          <w:tcPr>
            <w:tcW w:w="1181" w:type="dxa"/>
            <w:vMerge w:val="continue"/>
            <w:vAlign w:val="center"/>
          </w:tcPr>
          <w:p w14:paraId="6D4731F5">
            <w:pPr>
              <w:widowControl/>
              <w:jc w:val="left"/>
              <w:rPr>
                <w:rFonts w:ascii="宋体" w:hAnsi="宋体" w:cs="宋体"/>
                <w:color w:val="000000"/>
                <w:kern w:val="0"/>
                <w:sz w:val="24"/>
              </w:rPr>
            </w:pPr>
          </w:p>
        </w:tc>
        <w:tc>
          <w:tcPr>
            <w:tcW w:w="1407" w:type="dxa"/>
            <w:vMerge w:val="continue"/>
            <w:vAlign w:val="center"/>
          </w:tcPr>
          <w:p w14:paraId="2F822A23">
            <w:pPr>
              <w:widowControl/>
              <w:jc w:val="left"/>
              <w:rPr>
                <w:rFonts w:ascii="宋体" w:hAnsi="宋体" w:cs="宋体"/>
                <w:color w:val="000000"/>
                <w:kern w:val="0"/>
                <w:sz w:val="24"/>
              </w:rPr>
            </w:pPr>
          </w:p>
        </w:tc>
        <w:tc>
          <w:tcPr>
            <w:tcW w:w="4997" w:type="dxa"/>
            <w:shd w:val="clear" w:color="auto" w:fill="auto"/>
            <w:vAlign w:val="center"/>
          </w:tcPr>
          <w:p w14:paraId="61482F92">
            <w:pPr>
              <w:widowControl/>
              <w:jc w:val="left"/>
              <w:rPr>
                <w:rFonts w:ascii="宋体" w:hAnsi="宋体" w:cs="宋体"/>
                <w:color w:val="000000"/>
                <w:kern w:val="0"/>
                <w:sz w:val="24"/>
              </w:rPr>
            </w:pPr>
            <w:r>
              <w:rPr>
                <w:rFonts w:hint="eastAsia" w:ascii="宋体" w:hAnsi="宋体" w:cs="宋体"/>
                <w:color w:val="000000"/>
                <w:kern w:val="0"/>
                <w:sz w:val="24"/>
              </w:rPr>
              <w:t>4)二级日交易统计：支持查询各社康订单类型的交易数据，支持账单下载</w:t>
            </w:r>
          </w:p>
        </w:tc>
      </w:tr>
      <w:tr w14:paraId="12ECD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80" w:type="dxa"/>
            <w:shd w:val="clear" w:color="auto" w:fill="auto"/>
            <w:vAlign w:val="center"/>
          </w:tcPr>
          <w:p w14:paraId="2AC6EAAE">
            <w:pPr>
              <w:widowControl/>
              <w:jc w:val="center"/>
              <w:rPr>
                <w:rFonts w:ascii="宋体" w:hAnsi="宋体" w:cs="宋体"/>
                <w:color w:val="000000"/>
                <w:kern w:val="0"/>
                <w:sz w:val="24"/>
              </w:rPr>
            </w:pPr>
            <w:r>
              <w:rPr>
                <w:rFonts w:hint="eastAsia" w:ascii="宋体" w:hAnsi="宋体" w:cs="宋体"/>
                <w:color w:val="000000"/>
                <w:kern w:val="0"/>
                <w:sz w:val="24"/>
              </w:rPr>
              <w:t>12</w:t>
            </w:r>
          </w:p>
        </w:tc>
        <w:tc>
          <w:tcPr>
            <w:tcW w:w="1181" w:type="dxa"/>
            <w:vMerge w:val="continue"/>
            <w:vAlign w:val="center"/>
          </w:tcPr>
          <w:p w14:paraId="149B67D2">
            <w:pPr>
              <w:widowControl/>
              <w:jc w:val="left"/>
              <w:rPr>
                <w:rFonts w:ascii="宋体" w:hAnsi="宋体" w:cs="宋体"/>
                <w:color w:val="000000"/>
                <w:kern w:val="0"/>
                <w:sz w:val="24"/>
              </w:rPr>
            </w:pPr>
          </w:p>
        </w:tc>
        <w:tc>
          <w:tcPr>
            <w:tcW w:w="1407" w:type="dxa"/>
            <w:vMerge w:val="restart"/>
            <w:shd w:val="clear" w:color="auto" w:fill="auto"/>
            <w:vAlign w:val="center"/>
          </w:tcPr>
          <w:p w14:paraId="1952F2CC">
            <w:pPr>
              <w:widowControl/>
              <w:jc w:val="left"/>
              <w:rPr>
                <w:rFonts w:ascii="宋体" w:hAnsi="宋体" w:cs="宋体"/>
                <w:color w:val="000000"/>
                <w:kern w:val="0"/>
                <w:sz w:val="24"/>
              </w:rPr>
            </w:pPr>
            <w:r>
              <w:rPr>
                <w:rFonts w:hint="eastAsia" w:ascii="宋体" w:hAnsi="宋体" w:cs="宋体"/>
                <w:color w:val="000000"/>
                <w:kern w:val="0"/>
                <w:sz w:val="24"/>
              </w:rPr>
              <w:t>权限管理</w:t>
            </w:r>
          </w:p>
        </w:tc>
        <w:tc>
          <w:tcPr>
            <w:tcW w:w="4997" w:type="dxa"/>
            <w:shd w:val="clear" w:color="auto" w:fill="auto"/>
            <w:vAlign w:val="center"/>
          </w:tcPr>
          <w:p w14:paraId="189BA7D7">
            <w:pPr>
              <w:widowControl/>
              <w:jc w:val="left"/>
              <w:rPr>
                <w:rFonts w:ascii="宋体" w:hAnsi="宋体" w:cs="宋体"/>
                <w:color w:val="000000"/>
                <w:kern w:val="0"/>
                <w:sz w:val="24"/>
              </w:rPr>
            </w:pPr>
            <w:r>
              <w:rPr>
                <w:rFonts w:hint="eastAsia" w:ascii="宋体" w:hAnsi="宋体" w:cs="宋体"/>
                <w:color w:val="000000"/>
                <w:kern w:val="0"/>
                <w:sz w:val="24"/>
              </w:rPr>
              <w:t>要求增加社康机构管理</w:t>
            </w:r>
          </w:p>
        </w:tc>
      </w:tr>
      <w:tr w14:paraId="34CB0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80" w:type="dxa"/>
            <w:shd w:val="clear" w:color="auto" w:fill="auto"/>
            <w:vAlign w:val="center"/>
          </w:tcPr>
          <w:p w14:paraId="139F015E">
            <w:pPr>
              <w:widowControl/>
              <w:jc w:val="center"/>
              <w:rPr>
                <w:rFonts w:ascii="宋体" w:hAnsi="宋体" w:cs="宋体"/>
                <w:color w:val="000000"/>
                <w:kern w:val="0"/>
                <w:sz w:val="24"/>
              </w:rPr>
            </w:pPr>
            <w:r>
              <w:rPr>
                <w:rFonts w:hint="eastAsia" w:ascii="宋体" w:hAnsi="宋体" w:cs="宋体"/>
                <w:color w:val="000000"/>
                <w:kern w:val="0"/>
                <w:sz w:val="24"/>
              </w:rPr>
              <w:t>13</w:t>
            </w:r>
          </w:p>
        </w:tc>
        <w:tc>
          <w:tcPr>
            <w:tcW w:w="1181" w:type="dxa"/>
            <w:vMerge w:val="continue"/>
            <w:vAlign w:val="center"/>
          </w:tcPr>
          <w:p w14:paraId="1177CED9">
            <w:pPr>
              <w:widowControl/>
              <w:jc w:val="left"/>
              <w:rPr>
                <w:rFonts w:ascii="宋体" w:hAnsi="宋体" w:cs="宋体"/>
                <w:color w:val="000000"/>
                <w:kern w:val="0"/>
                <w:sz w:val="24"/>
              </w:rPr>
            </w:pPr>
          </w:p>
        </w:tc>
        <w:tc>
          <w:tcPr>
            <w:tcW w:w="1407" w:type="dxa"/>
            <w:vMerge w:val="continue"/>
            <w:vAlign w:val="center"/>
          </w:tcPr>
          <w:p w14:paraId="0A8574C3">
            <w:pPr>
              <w:widowControl/>
              <w:jc w:val="left"/>
              <w:rPr>
                <w:rFonts w:ascii="宋体" w:hAnsi="宋体" w:cs="宋体"/>
                <w:color w:val="000000"/>
                <w:kern w:val="0"/>
                <w:sz w:val="24"/>
              </w:rPr>
            </w:pPr>
          </w:p>
        </w:tc>
        <w:tc>
          <w:tcPr>
            <w:tcW w:w="4997" w:type="dxa"/>
            <w:shd w:val="clear" w:color="auto" w:fill="auto"/>
            <w:vAlign w:val="center"/>
          </w:tcPr>
          <w:p w14:paraId="6B53D449">
            <w:pPr>
              <w:widowControl/>
              <w:jc w:val="left"/>
              <w:rPr>
                <w:rFonts w:ascii="宋体" w:hAnsi="宋体" w:cs="宋体"/>
                <w:color w:val="000000"/>
                <w:kern w:val="0"/>
                <w:sz w:val="24"/>
              </w:rPr>
            </w:pPr>
            <w:r>
              <w:rPr>
                <w:rFonts w:hint="eastAsia" w:ascii="宋体" w:hAnsi="宋体" w:cs="宋体"/>
                <w:color w:val="000000"/>
                <w:kern w:val="0"/>
                <w:sz w:val="24"/>
              </w:rPr>
              <w:t>要求增加社康人员管理</w:t>
            </w:r>
          </w:p>
        </w:tc>
      </w:tr>
      <w:tr w14:paraId="20767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80" w:type="dxa"/>
            <w:shd w:val="clear" w:color="auto" w:fill="auto"/>
            <w:vAlign w:val="center"/>
          </w:tcPr>
          <w:p w14:paraId="39BF48C2">
            <w:pPr>
              <w:widowControl/>
              <w:jc w:val="center"/>
              <w:rPr>
                <w:rFonts w:ascii="宋体" w:hAnsi="宋体" w:cs="宋体"/>
                <w:color w:val="000000"/>
                <w:kern w:val="0"/>
                <w:sz w:val="24"/>
              </w:rPr>
            </w:pPr>
            <w:r>
              <w:rPr>
                <w:rFonts w:hint="eastAsia" w:ascii="宋体" w:hAnsi="宋体" w:cs="宋体"/>
                <w:color w:val="000000"/>
                <w:kern w:val="0"/>
                <w:sz w:val="24"/>
              </w:rPr>
              <w:t>14</w:t>
            </w:r>
          </w:p>
        </w:tc>
        <w:tc>
          <w:tcPr>
            <w:tcW w:w="1181" w:type="dxa"/>
            <w:vMerge w:val="continue"/>
            <w:vAlign w:val="center"/>
          </w:tcPr>
          <w:p w14:paraId="6E621A1A">
            <w:pPr>
              <w:widowControl/>
              <w:jc w:val="left"/>
              <w:rPr>
                <w:rFonts w:ascii="宋体" w:hAnsi="宋体" w:cs="宋体"/>
                <w:color w:val="000000"/>
                <w:kern w:val="0"/>
                <w:sz w:val="24"/>
              </w:rPr>
            </w:pPr>
          </w:p>
        </w:tc>
        <w:tc>
          <w:tcPr>
            <w:tcW w:w="1407" w:type="dxa"/>
            <w:vMerge w:val="continue"/>
            <w:vAlign w:val="center"/>
          </w:tcPr>
          <w:p w14:paraId="41A80657">
            <w:pPr>
              <w:widowControl/>
              <w:jc w:val="left"/>
              <w:rPr>
                <w:rFonts w:ascii="宋体" w:hAnsi="宋体" w:cs="宋体"/>
                <w:color w:val="000000"/>
                <w:kern w:val="0"/>
                <w:sz w:val="24"/>
              </w:rPr>
            </w:pPr>
          </w:p>
        </w:tc>
        <w:tc>
          <w:tcPr>
            <w:tcW w:w="4997" w:type="dxa"/>
            <w:shd w:val="clear" w:color="auto" w:fill="auto"/>
            <w:vAlign w:val="center"/>
          </w:tcPr>
          <w:p w14:paraId="3FD36FB0">
            <w:pPr>
              <w:widowControl/>
              <w:jc w:val="left"/>
              <w:rPr>
                <w:rFonts w:ascii="宋体" w:hAnsi="宋体" w:cs="宋体"/>
                <w:color w:val="000000"/>
                <w:kern w:val="0"/>
                <w:sz w:val="24"/>
              </w:rPr>
            </w:pPr>
            <w:r>
              <w:rPr>
                <w:rFonts w:hint="eastAsia" w:ascii="宋体" w:hAnsi="宋体" w:cs="宋体"/>
                <w:color w:val="000000"/>
                <w:kern w:val="0"/>
                <w:sz w:val="24"/>
              </w:rPr>
              <w:t>要求增加社康角色管理</w:t>
            </w:r>
          </w:p>
        </w:tc>
      </w:tr>
      <w:tr w14:paraId="0E295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80" w:type="dxa"/>
            <w:shd w:val="clear" w:color="auto" w:fill="auto"/>
            <w:vAlign w:val="center"/>
          </w:tcPr>
          <w:p w14:paraId="66DD71ED">
            <w:pPr>
              <w:widowControl/>
              <w:jc w:val="center"/>
              <w:rPr>
                <w:rFonts w:ascii="宋体" w:hAnsi="宋体" w:cs="宋体"/>
                <w:color w:val="000000"/>
                <w:kern w:val="0"/>
                <w:sz w:val="24"/>
              </w:rPr>
            </w:pPr>
            <w:r>
              <w:rPr>
                <w:rFonts w:hint="eastAsia" w:ascii="宋体" w:hAnsi="宋体" w:cs="宋体"/>
                <w:color w:val="000000"/>
                <w:kern w:val="0"/>
                <w:sz w:val="24"/>
              </w:rPr>
              <w:t>15</w:t>
            </w:r>
          </w:p>
        </w:tc>
        <w:tc>
          <w:tcPr>
            <w:tcW w:w="1181" w:type="dxa"/>
            <w:vMerge w:val="restart"/>
            <w:shd w:val="clear" w:color="auto" w:fill="auto"/>
            <w:vAlign w:val="center"/>
          </w:tcPr>
          <w:p w14:paraId="147CF73E">
            <w:pPr>
              <w:widowControl/>
              <w:rPr>
                <w:rFonts w:ascii="宋体" w:hAnsi="宋体" w:cs="宋体"/>
                <w:color w:val="000000"/>
                <w:kern w:val="0"/>
                <w:sz w:val="24"/>
              </w:rPr>
            </w:pPr>
            <w:r>
              <w:rPr>
                <w:rFonts w:hint="eastAsia" w:ascii="宋体" w:hAnsi="宋体" w:cs="宋体"/>
                <w:color w:val="000000"/>
                <w:kern w:val="0"/>
                <w:sz w:val="24"/>
              </w:rPr>
              <w:t>接口开发对接</w:t>
            </w:r>
          </w:p>
        </w:tc>
        <w:tc>
          <w:tcPr>
            <w:tcW w:w="1407" w:type="dxa"/>
            <w:shd w:val="clear" w:color="auto" w:fill="auto"/>
            <w:vAlign w:val="center"/>
          </w:tcPr>
          <w:p w14:paraId="4E664E72">
            <w:pPr>
              <w:widowControl/>
              <w:jc w:val="left"/>
              <w:rPr>
                <w:rFonts w:ascii="宋体" w:hAnsi="宋体" w:cs="宋体"/>
                <w:color w:val="000000"/>
                <w:kern w:val="0"/>
                <w:sz w:val="24"/>
              </w:rPr>
            </w:pPr>
            <w:r>
              <w:rPr>
                <w:rFonts w:hint="eastAsia" w:ascii="宋体" w:hAnsi="宋体" w:cs="宋体"/>
                <w:color w:val="000000"/>
                <w:kern w:val="0"/>
                <w:sz w:val="24"/>
              </w:rPr>
              <w:t>线上支付接口</w:t>
            </w:r>
          </w:p>
        </w:tc>
        <w:tc>
          <w:tcPr>
            <w:tcW w:w="4997" w:type="dxa"/>
            <w:shd w:val="clear" w:color="auto" w:fill="auto"/>
            <w:vAlign w:val="center"/>
          </w:tcPr>
          <w:p w14:paraId="05DD2046">
            <w:pPr>
              <w:widowControl/>
              <w:jc w:val="left"/>
              <w:rPr>
                <w:rFonts w:ascii="宋体" w:hAnsi="宋体" w:cs="宋体"/>
                <w:color w:val="000000"/>
                <w:kern w:val="0"/>
                <w:sz w:val="24"/>
              </w:rPr>
            </w:pPr>
            <w:r>
              <w:rPr>
                <w:rFonts w:hint="eastAsia" w:ascii="宋体" w:hAnsi="宋体" w:cs="宋体"/>
                <w:color w:val="000000"/>
                <w:kern w:val="0"/>
                <w:sz w:val="24"/>
              </w:rPr>
              <w:t>要求提供线上支付接口，包括订单支付、订单退费、订单查询接口供第三方平台调用。</w:t>
            </w:r>
          </w:p>
        </w:tc>
      </w:tr>
      <w:tr w14:paraId="649E9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80" w:type="dxa"/>
            <w:shd w:val="clear" w:color="auto" w:fill="auto"/>
            <w:vAlign w:val="center"/>
          </w:tcPr>
          <w:p w14:paraId="1EE58ECD">
            <w:pPr>
              <w:widowControl/>
              <w:jc w:val="center"/>
              <w:rPr>
                <w:rFonts w:ascii="宋体" w:hAnsi="宋体" w:cs="宋体"/>
                <w:color w:val="000000"/>
                <w:kern w:val="0"/>
                <w:sz w:val="24"/>
              </w:rPr>
            </w:pPr>
            <w:r>
              <w:rPr>
                <w:rFonts w:hint="eastAsia" w:ascii="宋体" w:hAnsi="宋体" w:cs="宋体"/>
                <w:color w:val="000000"/>
                <w:kern w:val="0"/>
                <w:sz w:val="24"/>
              </w:rPr>
              <w:t>16</w:t>
            </w:r>
          </w:p>
        </w:tc>
        <w:tc>
          <w:tcPr>
            <w:tcW w:w="1181" w:type="dxa"/>
            <w:vMerge w:val="continue"/>
            <w:vAlign w:val="center"/>
          </w:tcPr>
          <w:p w14:paraId="205306DD">
            <w:pPr>
              <w:widowControl/>
              <w:jc w:val="left"/>
              <w:rPr>
                <w:rFonts w:ascii="宋体" w:hAnsi="宋体" w:cs="宋体"/>
                <w:color w:val="000000"/>
                <w:kern w:val="0"/>
                <w:sz w:val="24"/>
              </w:rPr>
            </w:pPr>
          </w:p>
        </w:tc>
        <w:tc>
          <w:tcPr>
            <w:tcW w:w="1407" w:type="dxa"/>
            <w:vMerge w:val="restart"/>
            <w:shd w:val="clear" w:color="auto" w:fill="auto"/>
            <w:vAlign w:val="center"/>
          </w:tcPr>
          <w:p w14:paraId="0D452A2F">
            <w:pPr>
              <w:widowControl/>
              <w:rPr>
                <w:rFonts w:ascii="宋体" w:hAnsi="宋体" w:cs="宋体"/>
                <w:color w:val="000000"/>
                <w:kern w:val="0"/>
                <w:sz w:val="24"/>
              </w:rPr>
            </w:pPr>
            <w:r>
              <w:rPr>
                <w:rFonts w:hint="eastAsia" w:ascii="宋体" w:hAnsi="宋体" w:cs="宋体"/>
                <w:color w:val="000000"/>
                <w:kern w:val="0"/>
                <w:sz w:val="24"/>
              </w:rPr>
              <w:t>当面付接口</w:t>
            </w:r>
          </w:p>
        </w:tc>
        <w:tc>
          <w:tcPr>
            <w:tcW w:w="4997" w:type="dxa"/>
            <w:shd w:val="clear" w:color="auto" w:fill="auto"/>
            <w:vAlign w:val="center"/>
          </w:tcPr>
          <w:p w14:paraId="52CF9BB9">
            <w:pPr>
              <w:widowControl/>
              <w:jc w:val="left"/>
              <w:rPr>
                <w:rFonts w:ascii="宋体" w:hAnsi="宋体" w:cs="宋体"/>
                <w:color w:val="000000"/>
                <w:kern w:val="0"/>
                <w:sz w:val="24"/>
              </w:rPr>
            </w:pPr>
            <w:r>
              <w:rPr>
                <w:rFonts w:hint="eastAsia" w:ascii="宋体" w:hAnsi="宋体" w:cs="宋体"/>
                <w:color w:val="000000"/>
                <w:kern w:val="0"/>
                <w:sz w:val="24"/>
              </w:rPr>
              <w:t>要求接收当面付订单支付信息接口</w:t>
            </w:r>
          </w:p>
        </w:tc>
      </w:tr>
      <w:tr w14:paraId="5F054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80" w:type="dxa"/>
            <w:shd w:val="clear" w:color="auto" w:fill="auto"/>
            <w:vAlign w:val="center"/>
          </w:tcPr>
          <w:p w14:paraId="156D5C10">
            <w:pPr>
              <w:widowControl/>
              <w:jc w:val="center"/>
              <w:rPr>
                <w:rFonts w:ascii="宋体" w:hAnsi="宋体" w:cs="宋体"/>
                <w:color w:val="000000"/>
                <w:kern w:val="0"/>
                <w:sz w:val="24"/>
              </w:rPr>
            </w:pPr>
            <w:r>
              <w:rPr>
                <w:rFonts w:hint="eastAsia" w:ascii="宋体" w:hAnsi="宋体" w:cs="宋体"/>
                <w:color w:val="000000"/>
                <w:kern w:val="0"/>
                <w:sz w:val="24"/>
              </w:rPr>
              <w:t>17</w:t>
            </w:r>
          </w:p>
        </w:tc>
        <w:tc>
          <w:tcPr>
            <w:tcW w:w="1181" w:type="dxa"/>
            <w:vMerge w:val="continue"/>
            <w:vAlign w:val="center"/>
          </w:tcPr>
          <w:p w14:paraId="5416D9F4">
            <w:pPr>
              <w:widowControl/>
              <w:jc w:val="left"/>
              <w:rPr>
                <w:rFonts w:ascii="宋体" w:hAnsi="宋体" w:cs="宋体"/>
                <w:color w:val="000000"/>
                <w:kern w:val="0"/>
                <w:sz w:val="24"/>
              </w:rPr>
            </w:pPr>
          </w:p>
        </w:tc>
        <w:tc>
          <w:tcPr>
            <w:tcW w:w="1407" w:type="dxa"/>
            <w:vMerge w:val="continue"/>
            <w:vAlign w:val="center"/>
          </w:tcPr>
          <w:p w14:paraId="14077B5E">
            <w:pPr>
              <w:widowControl/>
              <w:jc w:val="left"/>
              <w:rPr>
                <w:rFonts w:ascii="宋体" w:hAnsi="宋体" w:cs="宋体"/>
                <w:color w:val="000000"/>
                <w:kern w:val="0"/>
                <w:sz w:val="24"/>
              </w:rPr>
            </w:pPr>
          </w:p>
        </w:tc>
        <w:tc>
          <w:tcPr>
            <w:tcW w:w="4997" w:type="dxa"/>
            <w:shd w:val="clear" w:color="auto" w:fill="auto"/>
            <w:vAlign w:val="center"/>
          </w:tcPr>
          <w:p w14:paraId="37216770">
            <w:pPr>
              <w:widowControl/>
              <w:jc w:val="left"/>
              <w:rPr>
                <w:rFonts w:ascii="宋体" w:hAnsi="宋体" w:cs="宋体"/>
                <w:color w:val="000000"/>
                <w:kern w:val="0"/>
                <w:sz w:val="24"/>
              </w:rPr>
            </w:pPr>
            <w:r>
              <w:rPr>
                <w:rFonts w:hint="eastAsia" w:ascii="宋体" w:hAnsi="宋体" w:cs="宋体"/>
                <w:color w:val="000000"/>
                <w:kern w:val="0"/>
                <w:sz w:val="24"/>
              </w:rPr>
              <w:t>要求接收当面付订单查询信息接口</w:t>
            </w:r>
          </w:p>
        </w:tc>
      </w:tr>
      <w:tr w14:paraId="5FFF5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80" w:type="dxa"/>
            <w:shd w:val="clear" w:color="auto" w:fill="auto"/>
            <w:vAlign w:val="center"/>
          </w:tcPr>
          <w:p w14:paraId="44876927">
            <w:pPr>
              <w:widowControl/>
              <w:jc w:val="center"/>
              <w:rPr>
                <w:rFonts w:ascii="宋体" w:hAnsi="宋体" w:cs="宋体"/>
                <w:color w:val="000000"/>
                <w:kern w:val="0"/>
                <w:sz w:val="24"/>
              </w:rPr>
            </w:pPr>
            <w:r>
              <w:rPr>
                <w:rFonts w:hint="eastAsia" w:ascii="宋体" w:hAnsi="宋体" w:cs="宋体"/>
                <w:color w:val="000000"/>
                <w:kern w:val="0"/>
                <w:sz w:val="24"/>
              </w:rPr>
              <w:t>18</w:t>
            </w:r>
          </w:p>
        </w:tc>
        <w:tc>
          <w:tcPr>
            <w:tcW w:w="1181" w:type="dxa"/>
            <w:vMerge w:val="continue"/>
            <w:vAlign w:val="center"/>
          </w:tcPr>
          <w:p w14:paraId="632C9317">
            <w:pPr>
              <w:widowControl/>
              <w:jc w:val="left"/>
              <w:rPr>
                <w:rFonts w:ascii="宋体" w:hAnsi="宋体" w:cs="宋体"/>
                <w:color w:val="000000"/>
                <w:kern w:val="0"/>
                <w:sz w:val="24"/>
              </w:rPr>
            </w:pPr>
          </w:p>
        </w:tc>
        <w:tc>
          <w:tcPr>
            <w:tcW w:w="1407" w:type="dxa"/>
            <w:vMerge w:val="continue"/>
            <w:vAlign w:val="center"/>
          </w:tcPr>
          <w:p w14:paraId="116A3E36">
            <w:pPr>
              <w:widowControl/>
              <w:jc w:val="left"/>
              <w:rPr>
                <w:rFonts w:ascii="宋体" w:hAnsi="宋体" w:cs="宋体"/>
                <w:color w:val="000000"/>
                <w:kern w:val="0"/>
                <w:sz w:val="24"/>
              </w:rPr>
            </w:pPr>
          </w:p>
        </w:tc>
        <w:tc>
          <w:tcPr>
            <w:tcW w:w="4997" w:type="dxa"/>
            <w:shd w:val="clear" w:color="auto" w:fill="auto"/>
            <w:vAlign w:val="center"/>
          </w:tcPr>
          <w:p w14:paraId="6B7BFB25">
            <w:pPr>
              <w:widowControl/>
              <w:jc w:val="left"/>
              <w:rPr>
                <w:rFonts w:ascii="宋体" w:hAnsi="宋体" w:cs="宋体"/>
                <w:color w:val="000000"/>
                <w:kern w:val="0"/>
                <w:sz w:val="24"/>
              </w:rPr>
            </w:pPr>
            <w:r>
              <w:rPr>
                <w:rFonts w:hint="eastAsia" w:ascii="宋体" w:hAnsi="宋体" w:cs="宋体"/>
                <w:color w:val="000000"/>
                <w:kern w:val="0"/>
                <w:sz w:val="24"/>
              </w:rPr>
              <w:t>要求接收当面付订单撤销信息接口</w:t>
            </w:r>
          </w:p>
        </w:tc>
      </w:tr>
      <w:tr w14:paraId="3F02F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80" w:type="dxa"/>
            <w:shd w:val="clear" w:color="auto" w:fill="auto"/>
            <w:vAlign w:val="center"/>
          </w:tcPr>
          <w:p w14:paraId="26954277">
            <w:pPr>
              <w:widowControl/>
              <w:jc w:val="center"/>
              <w:rPr>
                <w:rFonts w:ascii="宋体" w:hAnsi="宋体" w:cs="宋体"/>
                <w:color w:val="000000"/>
                <w:kern w:val="0"/>
                <w:sz w:val="24"/>
              </w:rPr>
            </w:pPr>
            <w:r>
              <w:rPr>
                <w:rFonts w:hint="eastAsia" w:ascii="宋体" w:hAnsi="宋体" w:cs="宋体"/>
                <w:color w:val="000000"/>
                <w:kern w:val="0"/>
                <w:sz w:val="24"/>
              </w:rPr>
              <w:t>19</w:t>
            </w:r>
          </w:p>
        </w:tc>
        <w:tc>
          <w:tcPr>
            <w:tcW w:w="1181" w:type="dxa"/>
            <w:vMerge w:val="continue"/>
            <w:vAlign w:val="center"/>
          </w:tcPr>
          <w:p w14:paraId="002FC82E">
            <w:pPr>
              <w:widowControl/>
              <w:jc w:val="left"/>
              <w:rPr>
                <w:rFonts w:ascii="宋体" w:hAnsi="宋体" w:cs="宋体"/>
                <w:color w:val="000000"/>
                <w:kern w:val="0"/>
                <w:sz w:val="24"/>
              </w:rPr>
            </w:pPr>
          </w:p>
        </w:tc>
        <w:tc>
          <w:tcPr>
            <w:tcW w:w="1407" w:type="dxa"/>
            <w:vMerge w:val="restart"/>
            <w:shd w:val="clear" w:color="auto" w:fill="auto"/>
            <w:vAlign w:val="center"/>
          </w:tcPr>
          <w:p w14:paraId="223C4384">
            <w:pPr>
              <w:widowControl/>
              <w:rPr>
                <w:rFonts w:ascii="宋体" w:hAnsi="宋体" w:cs="宋体"/>
                <w:color w:val="000000"/>
                <w:kern w:val="0"/>
                <w:sz w:val="24"/>
              </w:rPr>
            </w:pPr>
            <w:r>
              <w:rPr>
                <w:rFonts w:hint="eastAsia" w:ascii="宋体" w:hAnsi="宋体" w:cs="宋体"/>
                <w:color w:val="000000"/>
                <w:kern w:val="0"/>
                <w:sz w:val="24"/>
              </w:rPr>
              <w:t>诊中缴费接口</w:t>
            </w:r>
          </w:p>
        </w:tc>
        <w:tc>
          <w:tcPr>
            <w:tcW w:w="4997" w:type="dxa"/>
            <w:shd w:val="clear" w:color="auto" w:fill="auto"/>
            <w:vAlign w:val="center"/>
          </w:tcPr>
          <w:p w14:paraId="287DECBD">
            <w:pPr>
              <w:widowControl/>
              <w:jc w:val="left"/>
              <w:rPr>
                <w:rFonts w:ascii="宋体" w:hAnsi="宋体" w:cs="宋体"/>
                <w:color w:val="000000"/>
                <w:kern w:val="0"/>
                <w:sz w:val="24"/>
              </w:rPr>
            </w:pPr>
            <w:r>
              <w:rPr>
                <w:rFonts w:hint="eastAsia" w:ascii="宋体" w:hAnsi="宋体" w:cs="宋体"/>
                <w:color w:val="000000"/>
                <w:kern w:val="0"/>
                <w:sz w:val="24"/>
              </w:rPr>
              <w:t>要求提供处方动态二维码接口</w:t>
            </w:r>
          </w:p>
        </w:tc>
      </w:tr>
      <w:tr w14:paraId="44DA6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80" w:type="dxa"/>
            <w:shd w:val="clear" w:color="auto" w:fill="auto"/>
            <w:vAlign w:val="center"/>
          </w:tcPr>
          <w:p w14:paraId="2B2F9938">
            <w:pPr>
              <w:widowControl/>
              <w:jc w:val="center"/>
              <w:rPr>
                <w:rFonts w:ascii="宋体" w:hAnsi="宋体" w:cs="宋体"/>
                <w:color w:val="000000"/>
                <w:kern w:val="0"/>
                <w:sz w:val="24"/>
              </w:rPr>
            </w:pPr>
            <w:r>
              <w:rPr>
                <w:rFonts w:hint="eastAsia" w:ascii="宋体" w:hAnsi="宋体" w:cs="宋体"/>
                <w:color w:val="000000"/>
                <w:kern w:val="0"/>
                <w:sz w:val="24"/>
              </w:rPr>
              <w:t>20</w:t>
            </w:r>
          </w:p>
        </w:tc>
        <w:tc>
          <w:tcPr>
            <w:tcW w:w="1181" w:type="dxa"/>
            <w:vMerge w:val="continue"/>
            <w:vAlign w:val="center"/>
          </w:tcPr>
          <w:p w14:paraId="25C70B6C">
            <w:pPr>
              <w:widowControl/>
              <w:jc w:val="left"/>
              <w:rPr>
                <w:rFonts w:ascii="宋体" w:hAnsi="宋体" w:cs="宋体"/>
                <w:color w:val="000000"/>
                <w:kern w:val="0"/>
                <w:sz w:val="24"/>
              </w:rPr>
            </w:pPr>
          </w:p>
        </w:tc>
        <w:tc>
          <w:tcPr>
            <w:tcW w:w="1407" w:type="dxa"/>
            <w:vMerge w:val="continue"/>
            <w:vAlign w:val="center"/>
          </w:tcPr>
          <w:p w14:paraId="7FAAE56C">
            <w:pPr>
              <w:widowControl/>
              <w:jc w:val="left"/>
              <w:rPr>
                <w:rFonts w:ascii="宋体" w:hAnsi="宋体" w:cs="宋体"/>
                <w:color w:val="000000"/>
                <w:kern w:val="0"/>
                <w:sz w:val="24"/>
              </w:rPr>
            </w:pPr>
          </w:p>
        </w:tc>
        <w:tc>
          <w:tcPr>
            <w:tcW w:w="4997" w:type="dxa"/>
            <w:shd w:val="clear" w:color="auto" w:fill="auto"/>
            <w:vAlign w:val="center"/>
          </w:tcPr>
          <w:p w14:paraId="514498C5">
            <w:pPr>
              <w:widowControl/>
              <w:jc w:val="left"/>
              <w:rPr>
                <w:rFonts w:ascii="宋体" w:hAnsi="宋体" w:cs="宋体"/>
                <w:color w:val="000000"/>
                <w:kern w:val="0"/>
                <w:sz w:val="24"/>
              </w:rPr>
            </w:pPr>
            <w:r>
              <w:rPr>
                <w:rFonts w:hint="eastAsia" w:ascii="宋体" w:hAnsi="宋体" w:cs="宋体"/>
                <w:color w:val="000000"/>
                <w:kern w:val="0"/>
                <w:sz w:val="24"/>
              </w:rPr>
              <w:t>要求接收待缴费信息推送信息接口</w:t>
            </w:r>
          </w:p>
        </w:tc>
      </w:tr>
      <w:tr w14:paraId="148BD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80" w:type="dxa"/>
            <w:shd w:val="clear" w:color="auto" w:fill="auto"/>
            <w:vAlign w:val="center"/>
          </w:tcPr>
          <w:p w14:paraId="5523F26C">
            <w:pPr>
              <w:widowControl/>
              <w:jc w:val="center"/>
              <w:rPr>
                <w:rFonts w:ascii="宋体" w:hAnsi="宋体" w:cs="宋体"/>
                <w:color w:val="000000"/>
                <w:kern w:val="0"/>
                <w:sz w:val="24"/>
              </w:rPr>
            </w:pPr>
            <w:r>
              <w:rPr>
                <w:rFonts w:hint="eastAsia" w:ascii="宋体" w:hAnsi="宋体" w:cs="宋体"/>
                <w:color w:val="000000"/>
                <w:kern w:val="0"/>
                <w:sz w:val="24"/>
              </w:rPr>
              <w:t>21</w:t>
            </w:r>
          </w:p>
        </w:tc>
        <w:tc>
          <w:tcPr>
            <w:tcW w:w="1181" w:type="dxa"/>
            <w:vMerge w:val="continue"/>
            <w:vAlign w:val="center"/>
          </w:tcPr>
          <w:p w14:paraId="6A9AE517">
            <w:pPr>
              <w:widowControl/>
              <w:jc w:val="left"/>
              <w:rPr>
                <w:rFonts w:ascii="宋体" w:hAnsi="宋体" w:cs="宋体"/>
                <w:color w:val="000000"/>
                <w:kern w:val="0"/>
                <w:sz w:val="24"/>
              </w:rPr>
            </w:pPr>
          </w:p>
        </w:tc>
        <w:tc>
          <w:tcPr>
            <w:tcW w:w="1407" w:type="dxa"/>
            <w:vMerge w:val="continue"/>
            <w:vAlign w:val="center"/>
          </w:tcPr>
          <w:p w14:paraId="4D494DC6">
            <w:pPr>
              <w:widowControl/>
              <w:jc w:val="left"/>
              <w:rPr>
                <w:rFonts w:ascii="宋体" w:hAnsi="宋体" w:cs="宋体"/>
                <w:color w:val="000000"/>
                <w:kern w:val="0"/>
                <w:sz w:val="24"/>
              </w:rPr>
            </w:pPr>
          </w:p>
        </w:tc>
        <w:tc>
          <w:tcPr>
            <w:tcW w:w="4997" w:type="dxa"/>
            <w:shd w:val="clear" w:color="auto" w:fill="auto"/>
            <w:vAlign w:val="center"/>
          </w:tcPr>
          <w:p w14:paraId="4533E71A">
            <w:pPr>
              <w:widowControl/>
              <w:jc w:val="left"/>
              <w:rPr>
                <w:rFonts w:ascii="宋体" w:hAnsi="宋体" w:cs="宋体"/>
                <w:color w:val="000000"/>
                <w:kern w:val="0"/>
                <w:sz w:val="24"/>
              </w:rPr>
            </w:pPr>
            <w:r>
              <w:rPr>
                <w:rFonts w:hint="eastAsia" w:ascii="宋体" w:hAnsi="宋体" w:cs="宋体"/>
                <w:color w:val="000000"/>
                <w:kern w:val="0"/>
                <w:sz w:val="24"/>
              </w:rPr>
              <w:t>要求接收待缴费列表查询信息接口</w:t>
            </w:r>
          </w:p>
        </w:tc>
      </w:tr>
      <w:tr w14:paraId="505DF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80" w:type="dxa"/>
            <w:shd w:val="clear" w:color="auto" w:fill="auto"/>
            <w:vAlign w:val="center"/>
          </w:tcPr>
          <w:p w14:paraId="5CA01452">
            <w:pPr>
              <w:widowControl/>
              <w:jc w:val="center"/>
              <w:rPr>
                <w:rFonts w:ascii="宋体" w:hAnsi="宋体" w:cs="宋体"/>
                <w:color w:val="000000"/>
                <w:kern w:val="0"/>
                <w:sz w:val="24"/>
              </w:rPr>
            </w:pPr>
            <w:r>
              <w:rPr>
                <w:rFonts w:hint="eastAsia" w:ascii="宋体" w:hAnsi="宋体" w:cs="宋体"/>
                <w:color w:val="000000"/>
                <w:kern w:val="0"/>
                <w:sz w:val="24"/>
              </w:rPr>
              <w:t>22</w:t>
            </w:r>
          </w:p>
        </w:tc>
        <w:tc>
          <w:tcPr>
            <w:tcW w:w="1181" w:type="dxa"/>
            <w:vMerge w:val="continue"/>
            <w:vAlign w:val="center"/>
          </w:tcPr>
          <w:p w14:paraId="670C635C">
            <w:pPr>
              <w:widowControl/>
              <w:jc w:val="left"/>
              <w:rPr>
                <w:rFonts w:ascii="宋体" w:hAnsi="宋体" w:cs="宋体"/>
                <w:color w:val="000000"/>
                <w:kern w:val="0"/>
                <w:sz w:val="24"/>
              </w:rPr>
            </w:pPr>
          </w:p>
        </w:tc>
        <w:tc>
          <w:tcPr>
            <w:tcW w:w="1407" w:type="dxa"/>
            <w:vMerge w:val="continue"/>
            <w:vAlign w:val="center"/>
          </w:tcPr>
          <w:p w14:paraId="6AC04302">
            <w:pPr>
              <w:widowControl/>
              <w:jc w:val="left"/>
              <w:rPr>
                <w:rFonts w:ascii="宋体" w:hAnsi="宋体" w:cs="宋体"/>
                <w:color w:val="000000"/>
                <w:kern w:val="0"/>
                <w:sz w:val="24"/>
              </w:rPr>
            </w:pPr>
          </w:p>
        </w:tc>
        <w:tc>
          <w:tcPr>
            <w:tcW w:w="4997" w:type="dxa"/>
            <w:shd w:val="clear" w:color="auto" w:fill="auto"/>
            <w:vAlign w:val="center"/>
          </w:tcPr>
          <w:p w14:paraId="542E9B71">
            <w:pPr>
              <w:widowControl/>
              <w:jc w:val="left"/>
              <w:rPr>
                <w:rFonts w:ascii="宋体" w:hAnsi="宋体" w:cs="宋体"/>
                <w:color w:val="000000"/>
                <w:kern w:val="0"/>
                <w:sz w:val="24"/>
              </w:rPr>
            </w:pPr>
            <w:r>
              <w:rPr>
                <w:rFonts w:hint="eastAsia" w:ascii="宋体" w:hAnsi="宋体" w:cs="宋体"/>
                <w:color w:val="000000"/>
                <w:kern w:val="0"/>
                <w:sz w:val="24"/>
              </w:rPr>
              <w:t>要求接收待缴费项目明细查询信息接口</w:t>
            </w:r>
          </w:p>
        </w:tc>
      </w:tr>
      <w:tr w14:paraId="284CB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80" w:type="dxa"/>
            <w:shd w:val="clear" w:color="auto" w:fill="auto"/>
            <w:vAlign w:val="center"/>
          </w:tcPr>
          <w:p w14:paraId="38CCAFAB">
            <w:pPr>
              <w:widowControl/>
              <w:jc w:val="center"/>
              <w:rPr>
                <w:rFonts w:ascii="宋体" w:hAnsi="宋体" w:cs="宋体"/>
                <w:color w:val="000000"/>
                <w:kern w:val="0"/>
                <w:sz w:val="24"/>
              </w:rPr>
            </w:pPr>
            <w:r>
              <w:rPr>
                <w:rFonts w:hint="eastAsia" w:ascii="宋体" w:hAnsi="宋体" w:cs="宋体"/>
                <w:color w:val="000000"/>
                <w:kern w:val="0"/>
                <w:sz w:val="24"/>
              </w:rPr>
              <w:t>23</w:t>
            </w:r>
          </w:p>
        </w:tc>
        <w:tc>
          <w:tcPr>
            <w:tcW w:w="1181" w:type="dxa"/>
            <w:vMerge w:val="continue"/>
            <w:vAlign w:val="center"/>
          </w:tcPr>
          <w:p w14:paraId="4F3C223C">
            <w:pPr>
              <w:widowControl/>
              <w:jc w:val="left"/>
              <w:rPr>
                <w:rFonts w:ascii="宋体" w:hAnsi="宋体" w:cs="宋体"/>
                <w:color w:val="000000"/>
                <w:kern w:val="0"/>
                <w:sz w:val="24"/>
              </w:rPr>
            </w:pPr>
          </w:p>
        </w:tc>
        <w:tc>
          <w:tcPr>
            <w:tcW w:w="1407" w:type="dxa"/>
            <w:vMerge w:val="continue"/>
            <w:vAlign w:val="center"/>
          </w:tcPr>
          <w:p w14:paraId="653E358D">
            <w:pPr>
              <w:widowControl/>
              <w:jc w:val="left"/>
              <w:rPr>
                <w:rFonts w:ascii="宋体" w:hAnsi="宋体" w:cs="宋体"/>
                <w:color w:val="000000"/>
                <w:kern w:val="0"/>
                <w:sz w:val="24"/>
              </w:rPr>
            </w:pPr>
          </w:p>
        </w:tc>
        <w:tc>
          <w:tcPr>
            <w:tcW w:w="4997" w:type="dxa"/>
            <w:shd w:val="clear" w:color="auto" w:fill="auto"/>
            <w:vAlign w:val="center"/>
          </w:tcPr>
          <w:p w14:paraId="6968C095">
            <w:pPr>
              <w:widowControl/>
              <w:jc w:val="left"/>
              <w:rPr>
                <w:rFonts w:ascii="宋体" w:hAnsi="宋体" w:cs="宋体"/>
                <w:color w:val="000000"/>
                <w:kern w:val="0"/>
                <w:sz w:val="24"/>
              </w:rPr>
            </w:pPr>
            <w:r>
              <w:rPr>
                <w:rFonts w:hint="eastAsia" w:ascii="宋体" w:hAnsi="宋体" w:cs="宋体"/>
                <w:color w:val="000000"/>
                <w:kern w:val="0"/>
                <w:sz w:val="24"/>
              </w:rPr>
              <w:t>要求提供发送缴费成功通知信息接口</w:t>
            </w:r>
          </w:p>
        </w:tc>
      </w:tr>
      <w:tr w14:paraId="78E4D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80" w:type="dxa"/>
            <w:shd w:val="clear" w:color="auto" w:fill="auto"/>
            <w:vAlign w:val="center"/>
          </w:tcPr>
          <w:p w14:paraId="687879FA">
            <w:pPr>
              <w:widowControl/>
              <w:jc w:val="center"/>
              <w:rPr>
                <w:rFonts w:ascii="宋体" w:hAnsi="宋体" w:cs="宋体"/>
                <w:color w:val="000000"/>
                <w:kern w:val="0"/>
                <w:sz w:val="24"/>
              </w:rPr>
            </w:pPr>
            <w:r>
              <w:rPr>
                <w:rFonts w:hint="eastAsia" w:ascii="宋体" w:hAnsi="宋体" w:cs="宋体"/>
                <w:color w:val="000000"/>
                <w:kern w:val="0"/>
                <w:sz w:val="24"/>
              </w:rPr>
              <w:t>24</w:t>
            </w:r>
          </w:p>
        </w:tc>
        <w:tc>
          <w:tcPr>
            <w:tcW w:w="1181" w:type="dxa"/>
            <w:vMerge w:val="continue"/>
            <w:vAlign w:val="center"/>
          </w:tcPr>
          <w:p w14:paraId="18C12D97">
            <w:pPr>
              <w:widowControl/>
              <w:jc w:val="left"/>
              <w:rPr>
                <w:rFonts w:ascii="宋体" w:hAnsi="宋体" w:cs="宋体"/>
                <w:color w:val="000000"/>
                <w:kern w:val="0"/>
                <w:sz w:val="24"/>
              </w:rPr>
            </w:pPr>
          </w:p>
        </w:tc>
        <w:tc>
          <w:tcPr>
            <w:tcW w:w="1407" w:type="dxa"/>
            <w:vMerge w:val="continue"/>
            <w:vAlign w:val="center"/>
          </w:tcPr>
          <w:p w14:paraId="28E7A982">
            <w:pPr>
              <w:widowControl/>
              <w:jc w:val="left"/>
              <w:rPr>
                <w:rFonts w:ascii="宋体" w:hAnsi="宋体" w:cs="宋体"/>
                <w:color w:val="000000"/>
                <w:kern w:val="0"/>
                <w:sz w:val="24"/>
              </w:rPr>
            </w:pPr>
          </w:p>
        </w:tc>
        <w:tc>
          <w:tcPr>
            <w:tcW w:w="4997" w:type="dxa"/>
            <w:shd w:val="clear" w:color="auto" w:fill="auto"/>
            <w:vAlign w:val="center"/>
          </w:tcPr>
          <w:p w14:paraId="486F02F1">
            <w:pPr>
              <w:widowControl/>
              <w:jc w:val="left"/>
              <w:rPr>
                <w:rFonts w:ascii="宋体" w:hAnsi="宋体" w:cs="宋体"/>
                <w:color w:val="000000"/>
                <w:kern w:val="0"/>
                <w:sz w:val="24"/>
              </w:rPr>
            </w:pPr>
            <w:r>
              <w:rPr>
                <w:rFonts w:hint="eastAsia" w:ascii="宋体" w:hAnsi="宋体" w:cs="宋体"/>
                <w:color w:val="000000"/>
                <w:kern w:val="0"/>
                <w:sz w:val="24"/>
              </w:rPr>
              <w:t>要求接收已缴费记录查询信息接口</w:t>
            </w:r>
          </w:p>
        </w:tc>
      </w:tr>
      <w:tr w14:paraId="73575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80" w:type="dxa"/>
            <w:shd w:val="clear" w:color="auto" w:fill="auto"/>
            <w:vAlign w:val="center"/>
          </w:tcPr>
          <w:p w14:paraId="53C504B8">
            <w:pPr>
              <w:widowControl/>
              <w:jc w:val="center"/>
              <w:rPr>
                <w:rFonts w:ascii="宋体" w:hAnsi="宋体" w:cs="宋体"/>
                <w:color w:val="000000"/>
                <w:kern w:val="0"/>
                <w:sz w:val="24"/>
              </w:rPr>
            </w:pPr>
            <w:r>
              <w:rPr>
                <w:rFonts w:hint="eastAsia" w:ascii="宋体" w:hAnsi="宋体" w:cs="宋体"/>
                <w:color w:val="000000"/>
                <w:kern w:val="0"/>
                <w:sz w:val="24"/>
              </w:rPr>
              <w:t>25</w:t>
            </w:r>
          </w:p>
        </w:tc>
        <w:tc>
          <w:tcPr>
            <w:tcW w:w="1181" w:type="dxa"/>
            <w:vMerge w:val="continue"/>
            <w:vAlign w:val="center"/>
          </w:tcPr>
          <w:p w14:paraId="2CC688AF">
            <w:pPr>
              <w:widowControl/>
              <w:jc w:val="left"/>
              <w:rPr>
                <w:rFonts w:ascii="宋体" w:hAnsi="宋体" w:cs="宋体"/>
                <w:color w:val="000000"/>
                <w:kern w:val="0"/>
                <w:sz w:val="24"/>
              </w:rPr>
            </w:pPr>
          </w:p>
        </w:tc>
        <w:tc>
          <w:tcPr>
            <w:tcW w:w="1407" w:type="dxa"/>
            <w:vMerge w:val="continue"/>
            <w:vAlign w:val="center"/>
          </w:tcPr>
          <w:p w14:paraId="21B15EAC">
            <w:pPr>
              <w:widowControl/>
              <w:jc w:val="left"/>
              <w:rPr>
                <w:rFonts w:ascii="宋体" w:hAnsi="宋体" w:cs="宋体"/>
                <w:color w:val="000000"/>
                <w:kern w:val="0"/>
                <w:sz w:val="24"/>
              </w:rPr>
            </w:pPr>
          </w:p>
        </w:tc>
        <w:tc>
          <w:tcPr>
            <w:tcW w:w="4997" w:type="dxa"/>
            <w:shd w:val="clear" w:color="auto" w:fill="auto"/>
            <w:vAlign w:val="center"/>
          </w:tcPr>
          <w:p w14:paraId="7BB7C27E">
            <w:pPr>
              <w:widowControl/>
              <w:jc w:val="left"/>
              <w:rPr>
                <w:rFonts w:ascii="宋体" w:hAnsi="宋体" w:cs="宋体"/>
                <w:color w:val="000000"/>
                <w:kern w:val="0"/>
                <w:sz w:val="24"/>
              </w:rPr>
            </w:pPr>
            <w:r>
              <w:rPr>
                <w:rFonts w:hint="eastAsia" w:ascii="宋体" w:hAnsi="宋体" w:cs="宋体"/>
                <w:color w:val="000000"/>
                <w:kern w:val="0"/>
                <w:sz w:val="24"/>
              </w:rPr>
              <w:t>要求接收退款申请信息接口</w:t>
            </w:r>
          </w:p>
        </w:tc>
      </w:tr>
      <w:tr w14:paraId="4EBCB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80" w:type="dxa"/>
            <w:shd w:val="clear" w:color="auto" w:fill="auto"/>
            <w:vAlign w:val="center"/>
          </w:tcPr>
          <w:p w14:paraId="66A7DF6B">
            <w:pPr>
              <w:widowControl/>
              <w:jc w:val="center"/>
              <w:rPr>
                <w:rFonts w:ascii="宋体" w:hAnsi="宋体" w:cs="宋体"/>
                <w:color w:val="000000"/>
                <w:kern w:val="0"/>
                <w:sz w:val="24"/>
              </w:rPr>
            </w:pPr>
            <w:r>
              <w:rPr>
                <w:rFonts w:hint="eastAsia" w:ascii="宋体" w:hAnsi="宋体" w:cs="宋体"/>
                <w:color w:val="000000"/>
                <w:kern w:val="0"/>
                <w:sz w:val="24"/>
              </w:rPr>
              <w:t>26</w:t>
            </w:r>
          </w:p>
        </w:tc>
        <w:tc>
          <w:tcPr>
            <w:tcW w:w="1181" w:type="dxa"/>
            <w:vMerge w:val="continue"/>
            <w:vAlign w:val="center"/>
          </w:tcPr>
          <w:p w14:paraId="6A279178">
            <w:pPr>
              <w:widowControl/>
              <w:jc w:val="left"/>
              <w:rPr>
                <w:rFonts w:ascii="宋体" w:hAnsi="宋体" w:cs="宋体"/>
                <w:color w:val="000000"/>
                <w:kern w:val="0"/>
                <w:sz w:val="24"/>
              </w:rPr>
            </w:pPr>
          </w:p>
        </w:tc>
        <w:tc>
          <w:tcPr>
            <w:tcW w:w="1407" w:type="dxa"/>
            <w:vMerge w:val="continue"/>
            <w:vAlign w:val="center"/>
          </w:tcPr>
          <w:p w14:paraId="5B9B9C8A">
            <w:pPr>
              <w:widowControl/>
              <w:jc w:val="left"/>
              <w:rPr>
                <w:rFonts w:ascii="宋体" w:hAnsi="宋体" w:cs="宋体"/>
                <w:color w:val="000000"/>
                <w:kern w:val="0"/>
                <w:sz w:val="24"/>
              </w:rPr>
            </w:pPr>
          </w:p>
        </w:tc>
        <w:tc>
          <w:tcPr>
            <w:tcW w:w="4997" w:type="dxa"/>
            <w:shd w:val="clear" w:color="auto" w:fill="auto"/>
            <w:vAlign w:val="center"/>
          </w:tcPr>
          <w:p w14:paraId="65CFD39B">
            <w:pPr>
              <w:widowControl/>
              <w:jc w:val="left"/>
              <w:rPr>
                <w:rFonts w:ascii="宋体" w:hAnsi="宋体" w:cs="宋体"/>
                <w:color w:val="000000"/>
                <w:kern w:val="0"/>
                <w:sz w:val="24"/>
              </w:rPr>
            </w:pPr>
            <w:r>
              <w:rPr>
                <w:rFonts w:hint="eastAsia" w:ascii="宋体" w:hAnsi="宋体" w:cs="宋体"/>
                <w:color w:val="000000"/>
                <w:kern w:val="0"/>
                <w:sz w:val="24"/>
              </w:rPr>
              <w:t>要求接收医保预结算信息接口</w:t>
            </w:r>
          </w:p>
        </w:tc>
      </w:tr>
      <w:tr w14:paraId="3B6F8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80" w:type="dxa"/>
            <w:shd w:val="clear" w:color="auto" w:fill="auto"/>
            <w:vAlign w:val="center"/>
          </w:tcPr>
          <w:p w14:paraId="083F39C8">
            <w:pPr>
              <w:widowControl/>
              <w:jc w:val="center"/>
              <w:rPr>
                <w:rFonts w:ascii="宋体" w:hAnsi="宋体" w:cs="宋体"/>
                <w:color w:val="000000"/>
                <w:kern w:val="0"/>
                <w:sz w:val="24"/>
              </w:rPr>
            </w:pPr>
            <w:r>
              <w:rPr>
                <w:rFonts w:hint="eastAsia" w:ascii="宋体" w:hAnsi="宋体" w:cs="宋体"/>
                <w:color w:val="000000"/>
                <w:kern w:val="0"/>
                <w:sz w:val="24"/>
              </w:rPr>
              <w:t>27</w:t>
            </w:r>
          </w:p>
        </w:tc>
        <w:tc>
          <w:tcPr>
            <w:tcW w:w="1181" w:type="dxa"/>
            <w:vMerge w:val="continue"/>
            <w:vAlign w:val="center"/>
          </w:tcPr>
          <w:p w14:paraId="74BA6878">
            <w:pPr>
              <w:widowControl/>
              <w:jc w:val="left"/>
              <w:rPr>
                <w:rFonts w:ascii="宋体" w:hAnsi="宋体" w:cs="宋体"/>
                <w:color w:val="000000"/>
                <w:kern w:val="0"/>
                <w:sz w:val="24"/>
              </w:rPr>
            </w:pPr>
          </w:p>
        </w:tc>
        <w:tc>
          <w:tcPr>
            <w:tcW w:w="1407" w:type="dxa"/>
            <w:vMerge w:val="continue"/>
            <w:vAlign w:val="center"/>
          </w:tcPr>
          <w:p w14:paraId="5317BF90">
            <w:pPr>
              <w:widowControl/>
              <w:jc w:val="left"/>
              <w:rPr>
                <w:rFonts w:ascii="宋体" w:hAnsi="宋体" w:cs="宋体"/>
                <w:color w:val="000000"/>
                <w:kern w:val="0"/>
                <w:sz w:val="24"/>
              </w:rPr>
            </w:pPr>
          </w:p>
        </w:tc>
        <w:tc>
          <w:tcPr>
            <w:tcW w:w="4997" w:type="dxa"/>
            <w:shd w:val="clear" w:color="auto" w:fill="auto"/>
            <w:vAlign w:val="center"/>
          </w:tcPr>
          <w:p w14:paraId="5D53FD51">
            <w:pPr>
              <w:widowControl/>
              <w:jc w:val="left"/>
              <w:rPr>
                <w:rFonts w:ascii="宋体" w:hAnsi="宋体" w:cs="宋体"/>
                <w:color w:val="000000"/>
                <w:kern w:val="0"/>
                <w:sz w:val="24"/>
              </w:rPr>
            </w:pPr>
            <w:r>
              <w:rPr>
                <w:rFonts w:hint="eastAsia" w:ascii="宋体" w:hAnsi="宋体" w:cs="宋体"/>
                <w:color w:val="000000"/>
                <w:kern w:val="0"/>
                <w:sz w:val="24"/>
              </w:rPr>
              <w:t>要求接收缴费医保补登记申请接口</w:t>
            </w:r>
          </w:p>
        </w:tc>
      </w:tr>
      <w:tr w14:paraId="2CB97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80" w:type="dxa"/>
            <w:shd w:val="clear" w:color="auto" w:fill="auto"/>
            <w:vAlign w:val="center"/>
          </w:tcPr>
          <w:p w14:paraId="04F77DD0">
            <w:pPr>
              <w:widowControl/>
              <w:jc w:val="center"/>
              <w:rPr>
                <w:rFonts w:ascii="宋体" w:hAnsi="宋体" w:cs="宋体"/>
                <w:color w:val="000000"/>
                <w:kern w:val="0"/>
                <w:sz w:val="24"/>
              </w:rPr>
            </w:pPr>
            <w:r>
              <w:rPr>
                <w:rFonts w:hint="eastAsia" w:ascii="宋体" w:hAnsi="宋体" w:cs="宋体"/>
                <w:color w:val="000000"/>
                <w:kern w:val="0"/>
                <w:sz w:val="24"/>
              </w:rPr>
              <w:t>28</w:t>
            </w:r>
          </w:p>
        </w:tc>
        <w:tc>
          <w:tcPr>
            <w:tcW w:w="1181" w:type="dxa"/>
            <w:vMerge w:val="continue"/>
            <w:vAlign w:val="center"/>
          </w:tcPr>
          <w:p w14:paraId="67F49A28">
            <w:pPr>
              <w:widowControl/>
              <w:jc w:val="left"/>
              <w:rPr>
                <w:rFonts w:ascii="宋体" w:hAnsi="宋体" w:cs="宋体"/>
                <w:color w:val="000000"/>
                <w:kern w:val="0"/>
                <w:sz w:val="24"/>
              </w:rPr>
            </w:pPr>
          </w:p>
        </w:tc>
        <w:tc>
          <w:tcPr>
            <w:tcW w:w="1407" w:type="dxa"/>
            <w:vMerge w:val="continue"/>
            <w:vAlign w:val="center"/>
          </w:tcPr>
          <w:p w14:paraId="341E29B1">
            <w:pPr>
              <w:widowControl/>
              <w:jc w:val="left"/>
              <w:rPr>
                <w:rFonts w:ascii="宋体" w:hAnsi="宋体" w:cs="宋体"/>
                <w:color w:val="000000"/>
                <w:kern w:val="0"/>
                <w:sz w:val="24"/>
              </w:rPr>
            </w:pPr>
          </w:p>
        </w:tc>
        <w:tc>
          <w:tcPr>
            <w:tcW w:w="4997" w:type="dxa"/>
            <w:shd w:val="clear" w:color="auto" w:fill="auto"/>
            <w:vAlign w:val="center"/>
          </w:tcPr>
          <w:p w14:paraId="0E3798B0">
            <w:pPr>
              <w:widowControl/>
              <w:jc w:val="left"/>
              <w:rPr>
                <w:rFonts w:ascii="宋体" w:hAnsi="宋体" w:cs="宋体"/>
                <w:color w:val="000000"/>
                <w:kern w:val="0"/>
                <w:sz w:val="24"/>
              </w:rPr>
            </w:pPr>
            <w:r>
              <w:rPr>
                <w:rFonts w:hint="eastAsia" w:ascii="宋体" w:hAnsi="宋体" w:cs="宋体"/>
                <w:color w:val="000000"/>
                <w:kern w:val="0"/>
                <w:sz w:val="24"/>
              </w:rPr>
              <w:t>要求接收缴费医保补登记成功通知接口</w:t>
            </w:r>
          </w:p>
        </w:tc>
      </w:tr>
      <w:tr w14:paraId="5F42F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80" w:type="dxa"/>
            <w:shd w:val="clear" w:color="auto" w:fill="auto"/>
            <w:vAlign w:val="center"/>
          </w:tcPr>
          <w:p w14:paraId="01915C2B">
            <w:pPr>
              <w:widowControl/>
              <w:jc w:val="center"/>
              <w:rPr>
                <w:rFonts w:ascii="宋体" w:hAnsi="宋体" w:cs="宋体"/>
                <w:color w:val="000000"/>
                <w:kern w:val="0"/>
                <w:sz w:val="24"/>
              </w:rPr>
            </w:pPr>
            <w:r>
              <w:rPr>
                <w:rFonts w:hint="eastAsia" w:ascii="宋体" w:hAnsi="宋体" w:cs="宋体"/>
                <w:color w:val="000000"/>
                <w:kern w:val="0"/>
                <w:sz w:val="24"/>
              </w:rPr>
              <w:t>29</w:t>
            </w:r>
          </w:p>
        </w:tc>
        <w:tc>
          <w:tcPr>
            <w:tcW w:w="1181" w:type="dxa"/>
            <w:vMerge w:val="continue"/>
            <w:vAlign w:val="center"/>
          </w:tcPr>
          <w:p w14:paraId="023DC96A">
            <w:pPr>
              <w:widowControl/>
              <w:jc w:val="left"/>
              <w:rPr>
                <w:rFonts w:ascii="宋体" w:hAnsi="宋体" w:cs="宋体"/>
                <w:color w:val="000000"/>
                <w:kern w:val="0"/>
                <w:sz w:val="24"/>
              </w:rPr>
            </w:pPr>
          </w:p>
        </w:tc>
        <w:tc>
          <w:tcPr>
            <w:tcW w:w="1407" w:type="dxa"/>
            <w:shd w:val="clear" w:color="auto" w:fill="auto"/>
            <w:vAlign w:val="center"/>
          </w:tcPr>
          <w:p w14:paraId="701E4AEA">
            <w:pPr>
              <w:widowControl/>
              <w:jc w:val="left"/>
              <w:rPr>
                <w:rFonts w:ascii="宋体" w:hAnsi="宋体" w:cs="宋体"/>
                <w:color w:val="000000"/>
                <w:kern w:val="0"/>
                <w:sz w:val="24"/>
              </w:rPr>
            </w:pPr>
            <w:r>
              <w:rPr>
                <w:rFonts w:hint="eastAsia" w:ascii="宋体" w:hAnsi="宋体" w:cs="宋体"/>
                <w:color w:val="000000"/>
                <w:kern w:val="0"/>
                <w:sz w:val="24"/>
              </w:rPr>
              <w:t>对账接口</w:t>
            </w:r>
          </w:p>
        </w:tc>
        <w:tc>
          <w:tcPr>
            <w:tcW w:w="4997" w:type="dxa"/>
            <w:shd w:val="clear" w:color="auto" w:fill="auto"/>
            <w:vAlign w:val="center"/>
          </w:tcPr>
          <w:p w14:paraId="3B4243A8">
            <w:pPr>
              <w:widowControl/>
              <w:jc w:val="left"/>
              <w:rPr>
                <w:rFonts w:ascii="宋体" w:hAnsi="宋体" w:cs="宋体"/>
                <w:color w:val="000000"/>
                <w:kern w:val="0"/>
                <w:sz w:val="24"/>
              </w:rPr>
            </w:pPr>
            <w:r>
              <w:rPr>
                <w:rFonts w:hint="eastAsia" w:ascii="宋体" w:hAnsi="宋体" w:cs="宋体"/>
                <w:color w:val="000000"/>
                <w:kern w:val="0"/>
                <w:sz w:val="24"/>
              </w:rPr>
              <w:t>要求根据对账业务需求，接收获取对账明细记录信息接口的开发及对接联调</w:t>
            </w:r>
          </w:p>
        </w:tc>
      </w:tr>
      <w:tr w14:paraId="09098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80" w:type="dxa"/>
            <w:shd w:val="clear" w:color="auto" w:fill="auto"/>
            <w:vAlign w:val="center"/>
          </w:tcPr>
          <w:p w14:paraId="59202AAE">
            <w:pPr>
              <w:widowControl/>
              <w:jc w:val="center"/>
              <w:rPr>
                <w:rFonts w:ascii="宋体" w:hAnsi="宋体" w:cs="宋体"/>
                <w:color w:val="000000"/>
                <w:kern w:val="0"/>
                <w:sz w:val="24"/>
              </w:rPr>
            </w:pPr>
            <w:r>
              <w:rPr>
                <w:rFonts w:hint="eastAsia" w:ascii="宋体" w:hAnsi="宋体" w:cs="宋体"/>
                <w:color w:val="000000"/>
                <w:kern w:val="0"/>
                <w:sz w:val="24"/>
              </w:rPr>
              <w:t>30</w:t>
            </w:r>
          </w:p>
        </w:tc>
        <w:tc>
          <w:tcPr>
            <w:tcW w:w="1181" w:type="dxa"/>
            <w:vMerge w:val="continue"/>
            <w:vAlign w:val="center"/>
          </w:tcPr>
          <w:p w14:paraId="102C561C">
            <w:pPr>
              <w:widowControl/>
              <w:jc w:val="left"/>
              <w:rPr>
                <w:rFonts w:ascii="宋体" w:hAnsi="宋体" w:cs="宋体"/>
                <w:color w:val="000000"/>
                <w:kern w:val="0"/>
                <w:sz w:val="24"/>
              </w:rPr>
            </w:pPr>
          </w:p>
        </w:tc>
        <w:tc>
          <w:tcPr>
            <w:tcW w:w="1407" w:type="dxa"/>
            <w:shd w:val="clear" w:color="auto" w:fill="auto"/>
            <w:vAlign w:val="center"/>
          </w:tcPr>
          <w:p w14:paraId="0F8881D6">
            <w:pPr>
              <w:widowControl/>
              <w:jc w:val="left"/>
              <w:rPr>
                <w:rFonts w:ascii="宋体" w:hAnsi="宋体" w:cs="宋体"/>
                <w:color w:val="000000"/>
                <w:kern w:val="0"/>
                <w:sz w:val="24"/>
              </w:rPr>
            </w:pPr>
            <w:r>
              <w:rPr>
                <w:rFonts w:hint="eastAsia" w:ascii="宋体" w:hAnsi="宋体" w:cs="宋体"/>
                <w:color w:val="000000"/>
                <w:kern w:val="0"/>
                <w:sz w:val="24"/>
              </w:rPr>
              <w:t>电子健康卡接口</w:t>
            </w:r>
          </w:p>
        </w:tc>
        <w:tc>
          <w:tcPr>
            <w:tcW w:w="4997" w:type="dxa"/>
            <w:shd w:val="clear" w:color="auto" w:fill="auto"/>
            <w:vAlign w:val="center"/>
          </w:tcPr>
          <w:p w14:paraId="33D76000">
            <w:pPr>
              <w:widowControl/>
              <w:jc w:val="left"/>
              <w:rPr>
                <w:rFonts w:ascii="宋体" w:hAnsi="宋体" w:cs="宋体"/>
                <w:color w:val="000000"/>
                <w:kern w:val="0"/>
                <w:sz w:val="24"/>
              </w:rPr>
            </w:pPr>
            <w:r>
              <w:rPr>
                <w:rFonts w:hint="eastAsia" w:ascii="宋体" w:hAnsi="宋体" w:cs="宋体"/>
                <w:color w:val="000000"/>
                <w:kern w:val="0"/>
                <w:sz w:val="24"/>
              </w:rPr>
              <w:t>要求实现对接注册电子健康卡接口及联调</w:t>
            </w:r>
          </w:p>
        </w:tc>
      </w:tr>
    </w:tbl>
    <w:p w14:paraId="350D750F">
      <w:pPr>
        <w:ind w:firstLine="480" w:firstLineChars="200"/>
        <w:rPr>
          <w:rFonts w:ascii="宋体" w:hAnsi="宋体" w:cs="宋体"/>
          <w:bCs/>
          <w:sz w:val="24"/>
        </w:rPr>
      </w:pPr>
      <w:r>
        <w:rPr>
          <w:rFonts w:hint="eastAsia" w:ascii="宋体" w:hAnsi="宋体" w:cs="宋体"/>
          <w:bCs/>
          <w:sz w:val="24"/>
        </w:rPr>
        <w:t>2）社康信息系统改造</w:t>
      </w:r>
    </w:p>
    <w:p w14:paraId="3708D261">
      <w:pPr>
        <w:ind w:firstLine="480" w:firstLineChars="200"/>
        <w:rPr>
          <w:rFonts w:ascii="宋体" w:hAnsi="宋体" w:cs="宋体"/>
          <w:bCs/>
          <w:sz w:val="24"/>
        </w:rPr>
      </w:pPr>
      <w:r>
        <w:rPr>
          <w:rFonts w:hint="eastAsia" w:ascii="宋体" w:hAnsi="宋体" w:cs="宋体"/>
          <w:bCs/>
          <w:sz w:val="24"/>
        </w:rPr>
        <w:t>社康信息系统要求根据社康移动支付业务需求进行改造。</w:t>
      </w:r>
    </w:p>
    <w:tbl>
      <w:tblPr>
        <w:tblStyle w:val="44"/>
        <w:tblW w:w="8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1454"/>
        <w:gridCol w:w="6131"/>
      </w:tblGrid>
      <w:tr w14:paraId="5746E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580" w:type="dxa"/>
            <w:shd w:val="clear" w:color="auto" w:fill="auto"/>
            <w:noWrap/>
            <w:vAlign w:val="center"/>
          </w:tcPr>
          <w:p w14:paraId="1ABBB771">
            <w:pPr>
              <w:widowControl/>
              <w:rPr>
                <w:rFonts w:ascii="宋体" w:hAnsi="宋体" w:cs="宋体"/>
                <w:color w:val="000000"/>
                <w:kern w:val="0"/>
                <w:sz w:val="24"/>
              </w:rPr>
            </w:pPr>
            <w:r>
              <w:rPr>
                <w:rFonts w:hint="eastAsia" w:ascii="宋体" w:hAnsi="宋体" w:cs="宋体"/>
                <w:color w:val="000000"/>
                <w:kern w:val="0"/>
                <w:sz w:val="24"/>
              </w:rPr>
              <w:t>序号</w:t>
            </w:r>
          </w:p>
        </w:tc>
        <w:tc>
          <w:tcPr>
            <w:tcW w:w="1454" w:type="dxa"/>
            <w:shd w:val="clear" w:color="auto" w:fill="auto"/>
            <w:noWrap/>
            <w:vAlign w:val="center"/>
          </w:tcPr>
          <w:p w14:paraId="55419193">
            <w:pPr>
              <w:widowControl/>
              <w:jc w:val="left"/>
              <w:rPr>
                <w:rFonts w:ascii="宋体" w:hAnsi="宋体" w:cs="宋体"/>
                <w:color w:val="000000"/>
                <w:kern w:val="0"/>
                <w:sz w:val="24"/>
              </w:rPr>
            </w:pPr>
            <w:r>
              <w:rPr>
                <w:rFonts w:hint="eastAsia" w:ascii="宋体" w:hAnsi="宋体" w:cs="宋体"/>
                <w:color w:val="000000"/>
                <w:kern w:val="0"/>
                <w:sz w:val="24"/>
              </w:rPr>
              <w:t>改造内容</w:t>
            </w:r>
          </w:p>
        </w:tc>
        <w:tc>
          <w:tcPr>
            <w:tcW w:w="6131" w:type="dxa"/>
            <w:shd w:val="clear" w:color="auto" w:fill="auto"/>
            <w:noWrap/>
            <w:vAlign w:val="center"/>
          </w:tcPr>
          <w:p w14:paraId="661E3656">
            <w:pPr>
              <w:widowControl/>
              <w:ind w:firstLine="480" w:firstLineChars="200"/>
              <w:jc w:val="left"/>
              <w:rPr>
                <w:rFonts w:ascii="宋体" w:hAnsi="宋体" w:cs="宋体"/>
                <w:color w:val="000000"/>
                <w:kern w:val="0"/>
                <w:sz w:val="24"/>
              </w:rPr>
            </w:pPr>
            <w:r>
              <w:rPr>
                <w:rFonts w:hint="eastAsia" w:ascii="宋体" w:hAnsi="宋体" w:cs="宋体"/>
                <w:color w:val="000000"/>
                <w:kern w:val="0"/>
                <w:sz w:val="24"/>
              </w:rPr>
              <w:t>主要功能及服务要求</w:t>
            </w:r>
          </w:p>
        </w:tc>
      </w:tr>
      <w:tr w14:paraId="226C5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80" w:type="dxa"/>
            <w:shd w:val="clear" w:color="auto" w:fill="auto"/>
            <w:noWrap/>
            <w:vAlign w:val="center"/>
          </w:tcPr>
          <w:p w14:paraId="72C7E098">
            <w:pPr>
              <w:widowControl/>
              <w:ind w:firstLine="480" w:firstLineChars="200"/>
              <w:jc w:val="center"/>
              <w:rPr>
                <w:rFonts w:ascii="宋体" w:hAnsi="宋体" w:cs="宋体"/>
                <w:color w:val="000000"/>
                <w:kern w:val="0"/>
                <w:sz w:val="24"/>
              </w:rPr>
            </w:pPr>
            <w:r>
              <w:rPr>
                <w:rFonts w:hint="eastAsia" w:ascii="宋体" w:hAnsi="宋体" w:cs="宋体"/>
                <w:color w:val="000000"/>
                <w:kern w:val="0"/>
                <w:sz w:val="24"/>
              </w:rPr>
              <w:t>1</w:t>
            </w:r>
          </w:p>
          <w:p w14:paraId="1D287D40">
            <w:pPr>
              <w:jc w:val="center"/>
            </w:pPr>
            <w:r>
              <w:rPr>
                <w:rFonts w:hint="eastAsia"/>
              </w:rPr>
              <w:t>1</w:t>
            </w:r>
          </w:p>
        </w:tc>
        <w:tc>
          <w:tcPr>
            <w:tcW w:w="1454" w:type="dxa"/>
            <w:vMerge w:val="restart"/>
            <w:shd w:val="clear" w:color="auto" w:fill="auto"/>
            <w:vAlign w:val="center"/>
          </w:tcPr>
          <w:p w14:paraId="2CF68E8E">
            <w:pPr>
              <w:widowControl/>
              <w:jc w:val="left"/>
              <w:rPr>
                <w:rFonts w:ascii="宋体" w:hAnsi="宋体" w:cs="宋体"/>
                <w:color w:val="000000"/>
                <w:kern w:val="0"/>
                <w:sz w:val="24"/>
              </w:rPr>
            </w:pPr>
            <w:r>
              <w:rPr>
                <w:rFonts w:hint="eastAsia" w:ascii="宋体" w:hAnsi="宋体" w:cs="宋体"/>
                <w:color w:val="000000"/>
                <w:kern w:val="0"/>
                <w:sz w:val="24"/>
              </w:rPr>
              <w:t>诊中缴费</w:t>
            </w:r>
          </w:p>
        </w:tc>
        <w:tc>
          <w:tcPr>
            <w:tcW w:w="6131" w:type="dxa"/>
            <w:shd w:val="clear" w:color="auto" w:fill="auto"/>
            <w:vAlign w:val="center"/>
          </w:tcPr>
          <w:p w14:paraId="4E9F3530">
            <w:pPr>
              <w:widowControl/>
              <w:ind w:firstLine="480" w:firstLineChars="200"/>
              <w:jc w:val="left"/>
              <w:rPr>
                <w:rFonts w:ascii="宋体" w:hAnsi="宋体" w:cs="宋体"/>
                <w:color w:val="000000"/>
                <w:kern w:val="0"/>
                <w:sz w:val="24"/>
              </w:rPr>
            </w:pPr>
            <w:r>
              <w:rPr>
                <w:rFonts w:hint="eastAsia" w:ascii="宋体" w:hAnsi="宋体" w:cs="宋体"/>
                <w:color w:val="000000"/>
                <w:kern w:val="0"/>
                <w:sz w:val="24"/>
              </w:rPr>
              <w:t>要求门诊处方上替换社康机构移动支付系统二维码改造</w:t>
            </w:r>
          </w:p>
        </w:tc>
      </w:tr>
      <w:tr w14:paraId="27ABB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580" w:type="dxa"/>
            <w:shd w:val="clear" w:color="auto" w:fill="auto"/>
            <w:noWrap/>
            <w:vAlign w:val="center"/>
          </w:tcPr>
          <w:p w14:paraId="78488FBD">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454" w:type="dxa"/>
            <w:vMerge w:val="continue"/>
            <w:vAlign w:val="center"/>
          </w:tcPr>
          <w:p w14:paraId="46614BF7">
            <w:pPr>
              <w:widowControl/>
              <w:ind w:firstLine="480" w:firstLineChars="200"/>
              <w:jc w:val="left"/>
              <w:rPr>
                <w:rFonts w:ascii="宋体" w:hAnsi="宋体" w:cs="宋体"/>
                <w:color w:val="000000"/>
                <w:kern w:val="0"/>
                <w:sz w:val="24"/>
              </w:rPr>
            </w:pPr>
          </w:p>
        </w:tc>
        <w:tc>
          <w:tcPr>
            <w:tcW w:w="6131" w:type="dxa"/>
            <w:shd w:val="clear" w:color="auto" w:fill="auto"/>
            <w:vAlign w:val="center"/>
          </w:tcPr>
          <w:p w14:paraId="3635858F">
            <w:pPr>
              <w:widowControl/>
              <w:ind w:firstLine="480" w:firstLineChars="200"/>
              <w:jc w:val="left"/>
              <w:rPr>
                <w:rFonts w:ascii="宋体" w:hAnsi="宋体" w:cs="宋体"/>
                <w:color w:val="000000"/>
                <w:kern w:val="0"/>
                <w:sz w:val="24"/>
              </w:rPr>
            </w:pPr>
            <w:r>
              <w:rPr>
                <w:rFonts w:hint="eastAsia" w:ascii="宋体" w:hAnsi="宋体" w:cs="宋体"/>
                <w:color w:val="000000"/>
                <w:kern w:val="0"/>
                <w:sz w:val="24"/>
              </w:rPr>
              <w:t>要求挂号、缴费时同步预约挂号信息、待缴费信息、待缴费列表、缴费明细到社康机构移动支付系统改造</w:t>
            </w:r>
          </w:p>
        </w:tc>
      </w:tr>
      <w:tr w14:paraId="752E7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80" w:type="dxa"/>
            <w:shd w:val="clear" w:color="auto" w:fill="auto"/>
            <w:noWrap/>
            <w:vAlign w:val="center"/>
          </w:tcPr>
          <w:p w14:paraId="598FC115">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1454" w:type="dxa"/>
            <w:shd w:val="clear" w:color="auto" w:fill="auto"/>
            <w:vAlign w:val="center"/>
          </w:tcPr>
          <w:p w14:paraId="10EF4862">
            <w:pPr>
              <w:widowControl/>
              <w:jc w:val="left"/>
              <w:rPr>
                <w:rFonts w:ascii="宋体" w:hAnsi="宋体" w:cs="宋体"/>
                <w:color w:val="000000"/>
                <w:kern w:val="0"/>
                <w:sz w:val="24"/>
              </w:rPr>
            </w:pPr>
            <w:r>
              <w:rPr>
                <w:rFonts w:hint="eastAsia" w:ascii="宋体" w:hAnsi="宋体" w:cs="宋体"/>
                <w:color w:val="000000"/>
                <w:kern w:val="0"/>
                <w:sz w:val="24"/>
              </w:rPr>
              <w:t>门诊退费</w:t>
            </w:r>
          </w:p>
        </w:tc>
        <w:tc>
          <w:tcPr>
            <w:tcW w:w="6131" w:type="dxa"/>
            <w:shd w:val="clear" w:color="auto" w:fill="auto"/>
            <w:vAlign w:val="center"/>
          </w:tcPr>
          <w:p w14:paraId="7A16BCEC">
            <w:pPr>
              <w:widowControl/>
              <w:ind w:firstLine="480" w:firstLineChars="200"/>
              <w:jc w:val="left"/>
              <w:rPr>
                <w:rFonts w:ascii="宋体" w:hAnsi="宋体" w:cs="宋体"/>
                <w:color w:val="000000"/>
                <w:kern w:val="0"/>
                <w:sz w:val="24"/>
              </w:rPr>
            </w:pPr>
            <w:r>
              <w:rPr>
                <w:rFonts w:hint="eastAsia" w:ascii="宋体" w:hAnsi="宋体" w:cs="宋体"/>
                <w:color w:val="000000"/>
                <w:kern w:val="0"/>
                <w:sz w:val="24"/>
              </w:rPr>
              <w:t>要求门诊退费时调用社康机构移动支付系统退款申请接口改造</w:t>
            </w:r>
          </w:p>
        </w:tc>
      </w:tr>
      <w:tr w14:paraId="49DFD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80" w:type="dxa"/>
            <w:shd w:val="clear" w:color="auto" w:fill="auto"/>
            <w:noWrap/>
            <w:vAlign w:val="center"/>
          </w:tcPr>
          <w:p w14:paraId="6F0E210E">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1454" w:type="dxa"/>
            <w:shd w:val="clear" w:color="auto" w:fill="auto"/>
            <w:vAlign w:val="center"/>
          </w:tcPr>
          <w:p w14:paraId="0484188B">
            <w:pPr>
              <w:widowControl/>
              <w:jc w:val="left"/>
              <w:rPr>
                <w:rFonts w:ascii="宋体" w:hAnsi="宋体" w:cs="宋体"/>
                <w:color w:val="000000"/>
                <w:kern w:val="0"/>
                <w:sz w:val="24"/>
              </w:rPr>
            </w:pPr>
            <w:r>
              <w:rPr>
                <w:rFonts w:hint="eastAsia" w:ascii="宋体" w:hAnsi="宋体" w:cs="宋体"/>
                <w:color w:val="000000"/>
                <w:kern w:val="0"/>
                <w:sz w:val="24"/>
              </w:rPr>
              <w:t>家床退费</w:t>
            </w:r>
          </w:p>
        </w:tc>
        <w:tc>
          <w:tcPr>
            <w:tcW w:w="6131" w:type="dxa"/>
            <w:shd w:val="clear" w:color="auto" w:fill="auto"/>
            <w:vAlign w:val="center"/>
          </w:tcPr>
          <w:p w14:paraId="1774637A">
            <w:pPr>
              <w:widowControl/>
              <w:ind w:firstLine="480" w:firstLineChars="200"/>
              <w:jc w:val="left"/>
              <w:rPr>
                <w:rFonts w:ascii="宋体" w:hAnsi="宋体" w:cs="宋体"/>
                <w:color w:val="000000"/>
                <w:kern w:val="0"/>
                <w:sz w:val="24"/>
              </w:rPr>
            </w:pPr>
            <w:r>
              <w:rPr>
                <w:rFonts w:hint="eastAsia" w:ascii="宋体" w:hAnsi="宋体" w:cs="宋体"/>
                <w:color w:val="000000"/>
                <w:kern w:val="0"/>
                <w:sz w:val="24"/>
              </w:rPr>
              <w:t>要求门诊退费时调用社康机构移动支付系统进行退费退款申请接口改造</w:t>
            </w:r>
          </w:p>
        </w:tc>
      </w:tr>
      <w:tr w14:paraId="4F5AC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80" w:type="dxa"/>
            <w:shd w:val="clear" w:color="auto" w:fill="auto"/>
            <w:noWrap/>
            <w:vAlign w:val="center"/>
          </w:tcPr>
          <w:p w14:paraId="5E9E70FB">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1454" w:type="dxa"/>
            <w:vMerge w:val="restart"/>
            <w:shd w:val="clear" w:color="auto" w:fill="auto"/>
            <w:vAlign w:val="center"/>
          </w:tcPr>
          <w:p w14:paraId="1C7FFEB1">
            <w:pPr>
              <w:widowControl/>
              <w:jc w:val="left"/>
              <w:rPr>
                <w:rFonts w:ascii="宋体" w:hAnsi="宋体" w:cs="宋体"/>
                <w:color w:val="000000"/>
                <w:kern w:val="0"/>
                <w:sz w:val="24"/>
              </w:rPr>
            </w:pPr>
            <w:r>
              <w:rPr>
                <w:rFonts w:hint="eastAsia" w:ascii="宋体" w:hAnsi="宋体" w:cs="宋体"/>
                <w:color w:val="000000"/>
                <w:kern w:val="0"/>
                <w:sz w:val="24"/>
              </w:rPr>
              <w:t>门诊当面付</w:t>
            </w:r>
          </w:p>
        </w:tc>
        <w:tc>
          <w:tcPr>
            <w:tcW w:w="6131" w:type="dxa"/>
            <w:shd w:val="clear" w:color="auto" w:fill="auto"/>
            <w:vAlign w:val="center"/>
          </w:tcPr>
          <w:p w14:paraId="7393924F">
            <w:pPr>
              <w:widowControl/>
              <w:ind w:firstLine="480" w:firstLineChars="200"/>
              <w:jc w:val="left"/>
              <w:rPr>
                <w:rFonts w:ascii="宋体" w:hAnsi="宋体" w:cs="宋体"/>
                <w:color w:val="000000"/>
                <w:kern w:val="0"/>
                <w:sz w:val="24"/>
              </w:rPr>
            </w:pPr>
            <w:r>
              <w:rPr>
                <w:rFonts w:hint="eastAsia" w:ascii="宋体" w:hAnsi="宋体" w:cs="宋体"/>
                <w:color w:val="000000"/>
                <w:kern w:val="0"/>
                <w:sz w:val="24"/>
              </w:rPr>
              <w:t>要求门诊当面付调用社康机构移动支付系统进行订单支付接口改造</w:t>
            </w:r>
          </w:p>
        </w:tc>
      </w:tr>
      <w:tr w14:paraId="6DAB6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80" w:type="dxa"/>
            <w:shd w:val="clear" w:color="auto" w:fill="auto"/>
            <w:noWrap/>
            <w:vAlign w:val="center"/>
          </w:tcPr>
          <w:p w14:paraId="7EC0D05C">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1454" w:type="dxa"/>
            <w:vMerge w:val="continue"/>
            <w:vAlign w:val="center"/>
          </w:tcPr>
          <w:p w14:paraId="11D99FF7">
            <w:pPr>
              <w:widowControl/>
              <w:ind w:firstLine="480" w:firstLineChars="200"/>
              <w:jc w:val="left"/>
              <w:rPr>
                <w:rFonts w:ascii="宋体" w:hAnsi="宋体" w:cs="宋体"/>
                <w:color w:val="000000"/>
                <w:kern w:val="0"/>
                <w:sz w:val="24"/>
              </w:rPr>
            </w:pPr>
          </w:p>
        </w:tc>
        <w:tc>
          <w:tcPr>
            <w:tcW w:w="6131" w:type="dxa"/>
            <w:shd w:val="clear" w:color="auto" w:fill="auto"/>
            <w:vAlign w:val="center"/>
          </w:tcPr>
          <w:p w14:paraId="4B3DE56A">
            <w:pPr>
              <w:widowControl/>
              <w:ind w:firstLine="480" w:firstLineChars="200"/>
              <w:jc w:val="left"/>
              <w:rPr>
                <w:rFonts w:ascii="宋体" w:hAnsi="宋体" w:cs="宋体"/>
                <w:color w:val="000000"/>
                <w:kern w:val="0"/>
                <w:sz w:val="24"/>
              </w:rPr>
            </w:pPr>
            <w:r>
              <w:rPr>
                <w:rFonts w:hint="eastAsia" w:ascii="宋体" w:hAnsi="宋体" w:cs="宋体"/>
                <w:color w:val="000000"/>
                <w:kern w:val="0"/>
                <w:sz w:val="24"/>
              </w:rPr>
              <w:t>要求门诊当面付调用社康机构移动支付系统进行订单查询接口改造</w:t>
            </w:r>
          </w:p>
        </w:tc>
      </w:tr>
      <w:tr w14:paraId="3159E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80" w:type="dxa"/>
            <w:shd w:val="clear" w:color="auto" w:fill="auto"/>
            <w:noWrap/>
            <w:vAlign w:val="center"/>
          </w:tcPr>
          <w:p w14:paraId="632C3451">
            <w:pPr>
              <w:widowControl/>
              <w:jc w:val="center"/>
              <w:rPr>
                <w:rFonts w:ascii="宋体" w:hAnsi="宋体" w:cs="宋体"/>
                <w:color w:val="000000"/>
                <w:kern w:val="0"/>
                <w:sz w:val="24"/>
              </w:rPr>
            </w:pPr>
            <w:r>
              <w:rPr>
                <w:rFonts w:hint="eastAsia" w:ascii="宋体" w:hAnsi="宋体" w:cs="宋体"/>
                <w:color w:val="000000"/>
                <w:kern w:val="0"/>
                <w:sz w:val="24"/>
              </w:rPr>
              <w:t>7</w:t>
            </w:r>
          </w:p>
        </w:tc>
        <w:tc>
          <w:tcPr>
            <w:tcW w:w="1454" w:type="dxa"/>
            <w:vMerge w:val="continue"/>
            <w:vAlign w:val="center"/>
          </w:tcPr>
          <w:p w14:paraId="58B8EF85">
            <w:pPr>
              <w:widowControl/>
              <w:ind w:firstLine="480" w:firstLineChars="200"/>
              <w:jc w:val="left"/>
              <w:rPr>
                <w:rFonts w:ascii="宋体" w:hAnsi="宋体" w:cs="宋体"/>
                <w:color w:val="000000"/>
                <w:kern w:val="0"/>
                <w:sz w:val="24"/>
              </w:rPr>
            </w:pPr>
          </w:p>
        </w:tc>
        <w:tc>
          <w:tcPr>
            <w:tcW w:w="6131" w:type="dxa"/>
            <w:shd w:val="clear" w:color="auto" w:fill="auto"/>
            <w:vAlign w:val="center"/>
          </w:tcPr>
          <w:p w14:paraId="786F8CFB">
            <w:pPr>
              <w:widowControl/>
              <w:ind w:firstLine="480" w:firstLineChars="200"/>
              <w:jc w:val="left"/>
              <w:rPr>
                <w:rFonts w:ascii="宋体" w:hAnsi="宋体" w:cs="宋体"/>
                <w:color w:val="000000"/>
                <w:kern w:val="0"/>
                <w:sz w:val="24"/>
              </w:rPr>
            </w:pPr>
            <w:r>
              <w:rPr>
                <w:rFonts w:hint="eastAsia" w:ascii="宋体" w:hAnsi="宋体" w:cs="宋体"/>
                <w:color w:val="000000"/>
                <w:kern w:val="0"/>
                <w:sz w:val="24"/>
              </w:rPr>
              <w:t>要求门诊当面付调用社康机构移动支付系统进行订单撤销接口改造</w:t>
            </w:r>
          </w:p>
        </w:tc>
      </w:tr>
      <w:tr w14:paraId="5FD4A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80" w:type="dxa"/>
            <w:shd w:val="clear" w:color="auto" w:fill="auto"/>
            <w:noWrap/>
            <w:vAlign w:val="center"/>
          </w:tcPr>
          <w:p w14:paraId="7DD3A6D0">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1454" w:type="dxa"/>
            <w:vMerge w:val="restart"/>
            <w:shd w:val="clear" w:color="auto" w:fill="auto"/>
            <w:vAlign w:val="center"/>
          </w:tcPr>
          <w:p w14:paraId="31F9EF89">
            <w:pPr>
              <w:widowControl/>
              <w:jc w:val="left"/>
              <w:rPr>
                <w:rFonts w:ascii="宋体" w:hAnsi="宋体" w:cs="宋体"/>
                <w:color w:val="000000"/>
                <w:kern w:val="0"/>
                <w:sz w:val="24"/>
              </w:rPr>
            </w:pPr>
            <w:r>
              <w:rPr>
                <w:rFonts w:hint="eastAsia" w:ascii="宋体" w:hAnsi="宋体" w:cs="宋体"/>
                <w:color w:val="000000"/>
                <w:kern w:val="0"/>
                <w:sz w:val="24"/>
              </w:rPr>
              <w:t>家床当面付</w:t>
            </w:r>
          </w:p>
        </w:tc>
        <w:tc>
          <w:tcPr>
            <w:tcW w:w="6131" w:type="dxa"/>
            <w:shd w:val="clear" w:color="auto" w:fill="auto"/>
            <w:vAlign w:val="center"/>
          </w:tcPr>
          <w:p w14:paraId="7E14E5A6">
            <w:pPr>
              <w:widowControl/>
              <w:ind w:firstLine="480" w:firstLineChars="200"/>
              <w:jc w:val="left"/>
              <w:rPr>
                <w:rFonts w:ascii="宋体" w:hAnsi="宋体" w:cs="宋体"/>
                <w:color w:val="000000"/>
                <w:kern w:val="0"/>
                <w:sz w:val="24"/>
              </w:rPr>
            </w:pPr>
            <w:r>
              <w:rPr>
                <w:rFonts w:hint="eastAsia" w:ascii="宋体" w:hAnsi="宋体" w:cs="宋体"/>
                <w:color w:val="000000"/>
                <w:kern w:val="0"/>
                <w:sz w:val="24"/>
              </w:rPr>
              <w:t>要求家床当面付调用社康机构移动支付系统进行订单支付接口改造</w:t>
            </w:r>
          </w:p>
        </w:tc>
      </w:tr>
      <w:tr w14:paraId="6FFEA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80" w:type="dxa"/>
            <w:shd w:val="clear" w:color="auto" w:fill="auto"/>
            <w:noWrap/>
            <w:vAlign w:val="center"/>
          </w:tcPr>
          <w:p w14:paraId="60139DD6">
            <w:pPr>
              <w:widowControl/>
              <w:jc w:val="center"/>
              <w:rPr>
                <w:rFonts w:ascii="宋体" w:hAnsi="宋体" w:cs="宋体"/>
                <w:color w:val="000000"/>
                <w:kern w:val="0"/>
                <w:sz w:val="24"/>
              </w:rPr>
            </w:pPr>
            <w:r>
              <w:rPr>
                <w:rFonts w:hint="eastAsia" w:ascii="宋体" w:hAnsi="宋体" w:cs="宋体"/>
                <w:color w:val="000000"/>
                <w:kern w:val="0"/>
                <w:sz w:val="24"/>
              </w:rPr>
              <w:t>9</w:t>
            </w:r>
          </w:p>
        </w:tc>
        <w:tc>
          <w:tcPr>
            <w:tcW w:w="1454" w:type="dxa"/>
            <w:vMerge w:val="continue"/>
            <w:vAlign w:val="center"/>
          </w:tcPr>
          <w:p w14:paraId="2EB5EF16">
            <w:pPr>
              <w:widowControl/>
              <w:ind w:firstLine="480" w:firstLineChars="200"/>
              <w:jc w:val="left"/>
              <w:rPr>
                <w:rFonts w:ascii="宋体" w:hAnsi="宋体" w:cs="宋体"/>
                <w:color w:val="000000"/>
                <w:kern w:val="0"/>
                <w:sz w:val="24"/>
              </w:rPr>
            </w:pPr>
          </w:p>
        </w:tc>
        <w:tc>
          <w:tcPr>
            <w:tcW w:w="6131" w:type="dxa"/>
            <w:shd w:val="clear" w:color="auto" w:fill="auto"/>
            <w:vAlign w:val="center"/>
          </w:tcPr>
          <w:p w14:paraId="6F70ADF6">
            <w:pPr>
              <w:widowControl/>
              <w:ind w:firstLine="480" w:firstLineChars="200"/>
              <w:jc w:val="left"/>
              <w:rPr>
                <w:rFonts w:ascii="宋体" w:hAnsi="宋体" w:cs="宋体"/>
                <w:color w:val="000000"/>
                <w:kern w:val="0"/>
                <w:sz w:val="24"/>
              </w:rPr>
            </w:pPr>
            <w:r>
              <w:rPr>
                <w:rFonts w:hint="eastAsia" w:ascii="宋体" w:hAnsi="宋体" w:cs="宋体"/>
                <w:color w:val="000000"/>
                <w:kern w:val="0"/>
                <w:sz w:val="24"/>
              </w:rPr>
              <w:t>要求家床当面付调用社康机构移动支付系统进行订单查询接口改造</w:t>
            </w:r>
          </w:p>
        </w:tc>
      </w:tr>
      <w:tr w14:paraId="6F369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80" w:type="dxa"/>
            <w:shd w:val="clear" w:color="auto" w:fill="auto"/>
            <w:noWrap/>
            <w:vAlign w:val="center"/>
          </w:tcPr>
          <w:p w14:paraId="6085BE43">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1454" w:type="dxa"/>
            <w:vMerge w:val="continue"/>
            <w:vAlign w:val="center"/>
          </w:tcPr>
          <w:p w14:paraId="20791574">
            <w:pPr>
              <w:widowControl/>
              <w:ind w:firstLine="480" w:firstLineChars="200"/>
              <w:jc w:val="left"/>
              <w:rPr>
                <w:rFonts w:ascii="宋体" w:hAnsi="宋体" w:cs="宋体"/>
                <w:color w:val="000000"/>
                <w:kern w:val="0"/>
                <w:sz w:val="24"/>
              </w:rPr>
            </w:pPr>
          </w:p>
        </w:tc>
        <w:tc>
          <w:tcPr>
            <w:tcW w:w="6131" w:type="dxa"/>
            <w:shd w:val="clear" w:color="auto" w:fill="auto"/>
            <w:vAlign w:val="center"/>
          </w:tcPr>
          <w:p w14:paraId="3555E2AA">
            <w:pPr>
              <w:widowControl/>
              <w:ind w:firstLine="480" w:firstLineChars="200"/>
              <w:jc w:val="left"/>
              <w:rPr>
                <w:rFonts w:ascii="宋体" w:hAnsi="宋体" w:cs="宋体"/>
                <w:color w:val="000000"/>
                <w:kern w:val="0"/>
                <w:sz w:val="24"/>
              </w:rPr>
            </w:pPr>
            <w:r>
              <w:rPr>
                <w:rFonts w:hint="eastAsia" w:ascii="宋体" w:hAnsi="宋体" w:cs="宋体"/>
                <w:color w:val="000000"/>
                <w:kern w:val="0"/>
                <w:sz w:val="24"/>
              </w:rPr>
              <w:t>要求家床当面付调用社康机构移动支付系统进行订单撤销接口改造</w:t>
            </w:r>
          </w:p>
        </w:tc>
      </w:tr>
    </w:tbl>
    <w:p w14:paraId="2A3269D9">
      <w:pPr>
        <w:pStyle w:val="36"/>
        <w:spacing w:line="240" w:lineRule="auto"/>
        <w:ind w:firstLine="480" w:firstLineChars="200"/>
        <w:rPr>
          <w:rFonts w:ascii="宋体" w:hAnsi="宋体" w:cs="宋体"/>
        </w:rPr>
      </w:pPr>
      <w:r>
        <w:rPr>
          <w:rFonts w:hint="eastAsia" w:ascii="宋体" w:hAnsi="宋体" w:cs="宋体"/>
        </w:rPr>
        <w:t>3）社康通对接改造</w:t>
      </w:r>
    </w:p>
    <w:p w14:paraId="6AF51F42">
      <w:pPr>
        <w:pStyle w:val="2"/>
        <w:spacing w:line="240" w:lineRule="auto"/>
        <w:ind w:firstLine="482" w:firstLineChars="200"/>
        <w:rPr>
          <w:rFonts w:ascii="宋体" w:hAnsi="宋体" w:cs="宋体"/>
        </w:rPr>
      </w:pPr>
      <w:r>
        <w:rPr>
          <w:rFonts w:hint="eastAsia" w:ascii="宋体" w:hAnsi="宋体" w:cs="宋体"/>
        </w:rPr>
        <w:t>社康通小程序缴费（挂号、缴费）要求调用龙岗区社康机构移动支付系统改造。</w:t>
      </w:r>
    </w:p>
    <w:tbl>
      <w:tblPr>
        <w:tblStyle w:val="44"/>
        <w:tblW w:w="8088" w:type="dxa"/>
        <w:tblInd w:w="0" w:type="dxa"/>
        <w:tblLayout w:type="fixed"/>
        <w:tblCellMar>
          <w:top w:w="0" w:type="dxa"/>
          <w:left w:w="108" w:type="dxa"/>
          <w:bottom w:w="0" w:type="dxa"/>
          <w:right w:w="108" w:type="dxa"/>
        </w:tblCellMar>
      </w:tblPr>
      <w:tblGrid>
        <w:gridCol w:w="540"/>
        <w:gridCol w:w="1690"/>
        <w:gridCol w:w="5858"/>
      </w:tblGrid>
      <w:tr w14:paraId="48AE110D">
        <w:tblPrEx>
          <w:tblCellMar>
            <w:top w:w="0" w:type="dxa"/>
            <w:left w:w="108" w:type="dxa"/>
            <w:bottom w:w="0" w:type="dxa"/>
            <w:right w:w="108" w:type="dxa"/>
          </w:tblCellMar>
        </w:tblPrEx>
        <w:trPr>
          <w:trHeight w:val="280" w:hRule="atLeas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8812AB">
            <w:pPr>
              <w:widowControl/>
              <w:ind w:firstLine="480" w:firstLineChars="200"/>
              <w:jc w:val="center"/>
              <w:rPr>
                <w:rFonts w:ascii="宋体" w:hAnsi="宋体" w:cs="宋体"/>
                <w:color w:val="000000"/>
                <w:kern w:val="0"/>
                <w:sz w:val="24"/>
              </w:rPr>
            </w:pPr>
            <w:r>
              <w:rPr>
                <w:rFonts w:hint="eastAsia" w:ascii="宋体" w:hAnsi="宋体" w:cs="宋体"/>
                <w:color w:val="000000"/>
                <w:kern w:val="0"/>
                <w:sz w:val="24"/>
              </w:rPr>
              <w:t>序号</w:t>
            </w:r>
          </w:p>
        </w:tc>
        <w:tc>
          <w:tcPr>
            <w:tcW w:w="1690" w:type="dxa"/>
            <w:tcBorders>
              <w:top w:val="single" w:color="auto" w:sz="4" w:space="0"/>
              <w:left w:val="nil"/>
              <w:bottom w:val="single" w:color="auto" w:sz="4" w:space="0"/>
              <w:right w:val="single" w:color="auto" w:sz="4" w:space="0"/>
            </w:tcBorders>
            <w:shd w:val="clear" w:color="auto" w:fill="auto"/>
            <w:noWrap/>
            <w:vAlign w:val="center"/>
          </w:tcPr>
          <w:p w14:paraId="2C925508">
            <w:pPr>
              <w:widowControl/>
              <w:jc w:val="left"/>
              <w:rPr>
                <w:rFonts w:ascii="宋体" w:hAnsi="宋体" w:cs="宋体"/>
                <w:color w:val="000000"/>
                <w:kern w:val="0"/>
                <w:sz w:val="24"/>
              </w:rPr>
            </w:pPr>
            <w:r>
              <w:rPr>
                <w:rFonts w:hint="eastAsia" w:ascii="宋体" w:hAnsi="宋体" w:cs="宋体"/>
                <w:color w:val="000000"/>
                <w:kern w:val="0"/>
                <w:sz w:val="24"/>
              </w:rPr>
              <w:t>改造内容</w:t>
            </w:r>
          </w:p>
        </w:tc>
        <w:tc>
          <w:tcPr>
            <w:tcW w:w="5858" w:type="dxa"/>
            <w:tcBorders>
              <w:top w:val="single" w:color="auto" w:sz="4" w:space="0"/>
              <w:left w:val="nil"/>
              <w:bottom w:val="single" w:color="auto" w:sz="4" w:space="0"/>
              <w:right w:val="single" w:color="auto" w:sz="4" w:space="0"/>
            </w:tcBorders>
            <w:shd w:val="clear" w:color="auto" w:fill="auto"/>
            <w:noWrap/>
            <w:vAlign w:val="center"/>
          </w:tcPr>
          <w:p w14:paraId="25C6F515">
            <w:pPr>
              <w:widowControl/>
              <w:ind w:firstLine="480" w:firstLineChars="200"/>
              <w:jc w:val="left"/>
              <w:rPr>
                <w:rFonts w:ascii="宋体" w:hAnsi="宋体" w:cs="宋体"/>
                <w:color w:val="000000"/>
                <w:kern w:val="0"/>
                <w:sz w:val="24"/>
              </w:rPr>
            </w:pPr>
            <w:r>
              <w:rPr>
                <w:rFonts w:hint="eastAsia" w:ascii="宋体" w:hAnsi="宋体" w:cs="宋体"/>
                <w:color w:val="000000"/>
                <w:kern w:val="0"/>
                <w:sz w:val="24"/>
              </w:rPr>
              <w:t>主要功能及服务要求</w:t>
            </w:r>
          </w:p>
        </w:tc>
      </w:tr>
      <w:tr w14:paraId="30D6541D">
        <w:tblPrEx>
          <w:tblCellMar>
            <w:top w:w="0" w:type="dxa"/>
            <w:left w:w="108" w:type="dxa"/>
            <w:bottom w:w="0" w:type="dxa"/>
            <w:right w:w="108" w:type="dxa"/>
          </w:tblCellMar>
        </w:tblPrEx>
        <w:trPr>
          <w:trHeight w:val="78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8E18F4D">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690" w:type="dxa"/>
            <w:vMerge w:val="restart"/>
            <w:tcBorders>
              <w:top w:val="nil"/>
              <w:left w:val="single" w:color="auto" w:sz="4" w:space="0"/>
              <w:bottom w:val="single" w:color="auto" w:sz="4" w:space="0"/>
              <w:right w:val="single" w:color="auto" w:sz="4" w:space="0"/>
            </w:tcBorders>
            <w:shd w:val="clear" w:color="auto" w:fill="auto"/>
            <w:vAlign w:val="center"/>
          </w:tcPr>
          <w:p w14:paraId="6590428F">
            <w:pPr>
              <w:widowControl/>
              <w:rPr>
                <w:rFonts w:ascii="宋体" w:hAnsi="宋体" w:cs="宋体"/>
                <w:color w:val="000000"/>
                <w:kern w:val="0"/>
                <w:sz w:val="24"/>
              </w:rPr>
            </w:pPr>
            <w:r>
              <w:rPr>
                <w:rFonts w:hint="eastAsia" w:ascii="宋体" w:hAnsi="宋体" w:cs="宋体"/>
                <w:color w:val="000000"/>
                <w:kern w:val="0"/>
                <w:sz w:val="24"/>
              </w:rPr>
              <w:t>社康通小程序缴费（挂号、缴费）调用社康机构移动支付系统改造</w:t>
            </w:r>
          </w:p>
        </w:tc>
        <w:tc>
          <w:tcPr>
            <w:tcW w:w="5858" w:type="dxa"/>
            <w:tcBorders>
              <w:top w:val="nil"/>
              <w:left w:val="nil"/>
              <w:bottom w:val="single" w:color="auto" w:sz="4" w:space="0"/>
              <w:right w:val="single" w:color="auto" w:sz="4" w:space="0"/>
            </w:tcBorders>
            <w:shd w:val="clear" w:color="auto" w:fill="auto"/>
            <w:vAlign w:val="center"/>
          </w:tcPr>
          <w:p w14:paraId="04AA54C9">
            <w:pPr>
              <w:widowControl/>
              <w:ind w:firstLine="480" w:firstLineChars="200"/>
              <w:jc w:val="left"/>
              <w:rPr>
                <w:rFonts w:ascii="宋体" w:hAnsi="宋体" w:cs="宋体"/>
                <w:color w:val="000000"/>
                <w:kern w:val="0"/>
                <w:sz w:val="24"/>
              </w:rPr>
            </w:pPr>
            <w:r>
              <w:rPr>
                <w:rFonts w:hint="eastAsia" w:ascii="宋体" w:hAnsi="宋体" w:cs="宋体"/>
                <w:color w:val="000000"/>
                <w:kern w:val="0"/>
                <w:sz w:val="24"/>
              </w:rPr>
              <w:t>要求挂号、缴费时将待支付订单信息传到社康移动支付系统</w:t>
            </w:r>
          </w:p>
        </w:tc>
      </w:tr>
      <w:tr w14:paraId="07B74B5E">
        <w:tblPrEx>
          <w:tblCellMar>
            <w:top w:w="0" w:type="dxa"/>
            <w:left w:w="108" w:type="dxa"/>
            <w:bottom w:w="0" w:type="dxa"/>
            <w:right w:w="108" w:type="dxa"/>
          </w:tblCellMar>
        </w:tblPrEx>
        <w:trPr>
          <w:trHeight w:val="78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32985D6">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690" w:type="dxa"/>
            <w:vMerge w:val="continue"/>
            <w:tcBorders>
              <w:top w:val="nil"/>
              <w:left w:val="single" w:color="auto" w:sz="4" w:space="0"/>
              <w:bottom w:val="single" w:color="auto" w:sz="4" w:space="0"/>
              <w:right w:val="single" w:color="auto" w:sz="4" w:space="0"/>
            </w:tcBorders>
            <w:vAlign w:val="center"/>
          </w:tcPr>
          <w:p w14:paraId="429899F7">
            <w:pPr>
              <w:widowControl/>
              <w:ind w:firstLine="480" w:firstLineChars="200"/>
              <w:jc w:val="left"/>
              <w:rPr>
                <w:rFonts w:ascii="宋体" w:hAnsi="宋体" w:cs="宋体"/>
                <w:color w:val="000000"/>
                <w:kern w:val="0"/>
                <w:sz w:val="24"/>
              </w:rPr>
            </w:pPr>
          </w:p>
        </w:tc>
        <w:tc>
          <w:tcPr>
            <w:tcW w:w="5858" w:type="dxa"/>
            <w:tcBorders>
              <w:top w:val="nil"/>
              <w:left w:val="nil"/>
              <w:bottom w:val="single" w:color="auto" w:sz="4" w:space="0"/>
              <w:right w:val="single" w:color="auto" w:sz="4" w:space="0"/>
            </w:tcBorders>
            <w:shd w:val="clear" w:color="auto" w:fill="auto"/>
            <w:vAlign w:val="center"/>
          </w:tcPr>
          <w:p w14:paraId="66426E17">
            <w:pPr>
              <w:widowControl/>
              <w:ind w:firstLine="480" w:firstLineChars="200"/>
              <w:jc w:val="left"/>
              <w:rPr>
                <w:rFonts w:ascii="宋体" w:hAnsi="宋体" w:cs="宋体"/>
                <w:color w:val="000000"/>
                <w:kern w:val="0"/>
                <w:sz w:val="24"/>
              </w:rPr>
            </w:pPr>
            <w:r>
              <w:rPr>
                <w:rFonts w:hint="eastAsia" w:ascii="宋体" w:hAnsi="宋体" w:cs="宋体"/>
                <w:color w:val="000000"/>
                <w:kern w:val="0"/>
                <w:sz w:val="24"/>
              </w:rPr>
              <w:t>要求接收社康移动支付系统支付成功、失败消息</w:t>
            </w:r>
          </w:p>
        </w:tc>
      </w:tr>
    </w:tbl>
    <w:p w14:paraId="24FF925F">
      <w:pPr>
        <w:pStyle w:val="2"/>
        <w:spacing w:line="240" w:lineRule="auto"/>
        <w:rPr>
          <w:rFonts w:ascii="宋体" w:hAnsi="宋体" w:cs="宋体"/>
          <w:b w:val="0"/>
          <w:bCs w:val="0"/>
          <w:highlight w:val="yellow"/>
        </w:rPr>
      </w:pPr>
    </w:p>
    <w:p w14:paraId="602F3D24">
      <w:pPr>
        <w:pStyle w:val="2"/>
        <w:keepNext w:val="0"/>
        <w:keepLines w:val="0"/>
        <w:pageBreakBefore w:val="0"/>
        <w:widowControl w:val="0"/>
        <w:numPr>
          <w:ilvl w:val="0"/>
          <w:numId w:val="9"/>
        </w:numPr>
        <w:kinsoku/>
        <w:wordWrap/>
        <w:overflowPunct/>
        <w:topLinePunct w:val="0"/>
        <w:autoSpaceDE/>
        <w:autoSpaceDN/>
        <w:bidi w:val="0"/>
        <w:adjustRightInd/>
        <w:snapToGrid/>
        <w:spacing w:line="240" w:lineRule="auto"/>
        <w:textAlignment w:val="auto"/>
        <w:rPr>
          <w:rFonts w:ascii="宋体" w:hAnsi="宋体" w:cs="宋体"/>
          <w:b w:val="0"/>
          <w:bCs w:val="0"/>
          <w:highlight w:val="yellow"/>
        </w:rPr>
      </w:pPr>
      <w:r>
        <w:rPr>
          <w:rFonts w:hint="eastAsia" w:ascii="宋体" w:hAnsi="宋体" w:cs="宋体"/>
          <w:b w:val="0"/>
          <w:bCs w:val="0"/>
          <w:highlight w:val="yellow"/>
        </w:rPr>
        <w:t>接口要求：★数据接口（主要为社康机构缴费订单交易数据，线上缴费数据）费用包含在投标报价中，采购人不另外支付。</w:t>
      </w:r>
    </w:p>
    <w:p w14:paraId="1D714AC6">
      <w:pPr>
        <w:pStyle w:val="36"/>
        <w:keepNext w:val="0"/>
        <w:keepLines w:val="0"/>
        <w:pageBreakBefore w:val="0"/>
        <w:widowControl w:val="0"/>
        <w:numPr>
          <w:ilvl w:val="0"/>
          <w:numId w:val="9"/>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kern w:val="2"/>
          <w:sz w:val="24"/>
          <w:szCs w:val="24"/>
          <w:highlight w:val="yellow"/>
          <w:lang w:val="en-US" w:eastAsia="zh-CN" w:bidi="ar-SA"/>
        </w:rPr>
      </w:pPr>
      <w:r>
        <w:rPr>
          <w:rFonts w:hint="eastAsia" w:ascii="宋体" w:hAnsi="宋体" w:eastAsia="宋体" w:cs="宋体"/>
          <w:b w:val="0"/>
          <w:bCs w:val="0"/>
          <w:kern w:val="2"/>
          <w:sz w:val="24"/>
          <w:szCs w:val="24"/>
          <w:highlight w:val="yellow"/>
          <w:lang w:val="en-US" w:eastAsia="zh-CN" w:bidi="ar-SA"/>
        </w:rPr>
        <w:t>其他要求：★在项目实施及运维服务期间，若采购方有新增的社康机构，投标人需免费为这些新增社康机构提供本项目所建设的移动支付系统的对接服务。免费质保期外社康新增费用包含在维保费中，具体费用双方另行协商。</w:t>
      </w:r>
    </w:p>
    <w:p w14:paraId="0E9A86A4">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）人员要求</w:t>
      </w:r>
    </w:p>
    <w:p w14:paraId="609B7447">
      <w:pPr>
        <w:pStyle w:val="2"/>
        <w:spacing w:line="240" w:lineRule="auto"/>
        <w:jc w:val="center"/>
        <w:rPr>
          <w:rFonts w:asciiTheme="minorEastAsia" w:hAnsiTheme="minorEastAsia" w:eastAsiaTheme="minorEastAsia" w:cstheme="minorEastAsia"/>
        </w:rPr>
      </w:pPr>
      <w:r>
        <w:rPr>
          <w:rFonts w:asciiTheme="minorEastAsia" w:hAnsiTheme="minorEastAsia" w:eastAsiaTheme="minorEastAsia" w:cstheme="minorEastAsia"/>
        </w:rPr>
        <w:t>项目人员需求表</w:t>
      </w:r>
    </w:p>
    <w:tbl>
      <w:tblPr>
        <w:tblStyle w:val="45"/>
        <w:tblW w:w="8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1462"/>
        <w:gridCol w:w="1091"/>
        <w:gridCol w:w="1746"/>
        <w:gridCol w:w="3661"/>
      </w:tblGrid>
      <w:tr w14:paraId="79E78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47" w:type="dxa"/>
            <w:vAlign w:val="center"/>
          </w:tcPr>
          <w:p w14:paraId="645C1D2B">
            <w:pPr>
              <w:pStyle w:val="2"/>
              <w:spacing w:line="240" w:lineRule="auto"/>
              <w:jc w:val="center"/>
              <w:rPr>
                <w:rFonts w:ascii="宋体" w:hAnsi="宋体" w:cs="宋体"/>
                <w:b w:val="0"/>
                <w:highlight w:val="yellow"/>
              </w:rPr>
            </w:pPr>
            <w:r>
              <w:rPr>
                <w:rFonts w:hint="eastAsia" w:ascii="宋体" w:hAnsi="宋体" w:cs="宋体"/>
                <w:b w:val="0"/>
                <w:highlight w:val="yellow"/>
              </w:rPr>
              <w:t>序号</w:t>
            </w:r>
          </w:p>
        </w:tc>
        <w:tc>
          <w:tcPr>
            <w:tcW w:w="1462" w:type="dxa"/>
            <w:vAlign w:val="center"/>
          </w:tcPr>
          <w:p w14:paraId="05DC3987">
            <w:pPr>
              <w:pStyle w:val="2"/>
              <w:spacing w:line="240" w:lineRule="auto"/>
              <w:jc w:val="center"/>
              <w:rPr>
                <w:rFonts w:ascii="宋体" w:hAnsi="宋体" w:cs="宋体"/>
                <w:b w:val="0"/>
                <w:highlight w:val="yellow"/>
              </w:rPr>
            </w:pPr>
            <w:r>
              <w:rPr>
                <w:rFonts w:hint="eastAsia" w:ascii="宋体" w:hAnsi="宋体" w:cs="宋体"/>
                <w:b w:val="0"/>
                <w:highlight w:val="yellow"/>
              </w:rPr>
              <w:t>★人员类别</w:t>
            </w:r>
          </w:p>
        </w:tc>
        <w:tc>
          <w:tcPr>
            <w:tcW w:w="1091" w:type="dxa"/>
            <w:vAlign w:val="center"/>
          </w:tcPr>
          <w:p w14:paraId="78961DD1">
            <w:pPr>
              <w:pStyle w:val="2"/>
              <w:spacing w:line="240" w:lineRule="auto"/>
              <w:jc w:val="center"/>
              <w:rPr>
                <w:rFonts w:ascii="宋体" w:hAnsi="宋体" w:cs="宋体"/>
                <w:b w:val="0"/>
                <w:highlight w:val="yellow"/>
              </w:rPr>
            </w:pPr>
            <w:r>
              <w:rPr>
                <w:rFonts w:hint="eastAsia" w:ascii="宋体" w:hAnsi="宋体" w:cs="宋体"/>
                <w:b w:val="0"/>
                <w:highlight w:val="yellow"/>
              </w:rPr>
              <w:t>★人员数量</w:t>
            </w:r>
          </w:p>
        </w:tc>
        <w:tc>
          <w:tcPr>
            <w:tcW w:w="1746" w:type="dxa"/>
            <w:vAlign w:val="center"/>
          </w:tcPr>
          <w:p w14:paraId="4186A9E1">
            <w:pPr>
              <w:pStyle w:val="2"/>
              <w:spacing w:line="240" w:lineRule="auto"/>
              <w:jc w:val="center"/>
              <w:rPr>
                <w:rFonts w:ascii="宋体" w:hAnsi="宋体" w:cs="宋体"/>
                <w:b w:val="0"/>
                <w:highlight w:val="yellow"/>
              </w:rPr>
            </w:pPr>
            <w:r>
              <w:rPr>
                <w:rFonts w:hint="eastAsia" w:ascii="宋体" w:hAnsi="宋体" w:cs="宋体"/>
                <w:b w:val="0"/>
                <w:highlight w:val="yellow"/>
              </w:rPr>
              <w:t>★人员必须具备条件</w:t>
            </w:r>
          </w:p>
        </w:tc>
        <w:tc>
          <w:tcPr>
            <w:tcW w:w="3661" w:type="dxa"/>
            <w:vAlign w:val="center"/>
          </w:tcPr>
          <w:p w14:paraId="4D12E736">
            <w:pPr>
              <w:pStyle w:val="2"/>
              <w:spacing w:line="240" w:lineRule="auto"/>
              <w:jc w:val="center"/>
              <w:rPr>
                <w:rFonts w:ascii="宋体" w:hAnsi="宋体" w:cs="宋体"/>
                <w:b w:val="0"/>
                <w:highlight w:val="yellow"/>
              </w:rPr>
            </w:pPr>
            <w:r>
              <w:rPr>
                <w:rFonts w:hint="eastAsia" w:ascii="宋体" w:hAnsi="宋体" w:cs="宋体"/>
                <w:b w:val="0"/>
                <w:bCs w:val="0"/>
              </w:rPr>
              <w:t>人员可偏离条件</w:t>
            </w:r>
          </w:p>
        </w:tc>
      </w:tr>
      <w:tr w14:paraId="587A3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547" w:type="dxa"/>
            <w:vAlign w:val="center"/>
          </w:tcPr>
          <w:p w14:paraId="75609DF4">
            <w:pPr>
              <w:pStyle w:val="2"/>
              <w:spacing w:line="240" w:lineRule="auto"/>
              <w:jc w:val="center"/>
              <w:rPr>
                <w:rFonts w:ascii="宋体" w:hAnsi="宋体" w:cs="宋体"/>
                <w:b w:val="0"/>
              </w:rPr>
            </w:pPr>
            <w:r>
              <w:rPr>
                <w:rFonts w:hint="eastAsia" w:ascii="宋体" w:hAnsi="宋体" w:cs="宋体"/>
                <w:b w:val="0"/>
              </w:rPr>
              <w:t>1</w:t>
            </w:r>
          </w:p>
        </w:tc>
        <w:tc>
          <w:tcPr>
            <w:tcW w:w="1462" w:type="dxa"/>
            <w:vAlign w:val="center"/>
          </w:tcPr>
          <w:p w14:paraId="1F815209">
            <w:pPr>
              <w:pStyle w:val="2"/>
              <w:spacing w:line="240" w:lineRule="auto"/>
              <w:jc w:val="center"/>
              <w:rPr>
                <w:rFonts w:ascii="宋体" w:hAnsi="宋体" w:cs="宋体"/>
                <w:b w:val="0"/>
              </w:rPr>
            </w:pPr>
            <w:r>
              <w:rPr>
                <w:rFonts w:hint="eastAsia" w:ascii="宋体" w:hAnsi="宋体" w:cs="宋体"/>
                <w:b w:val="0"/>
              </w:rPr>
              <w:t>项目负责人</w:t>
            </w:r>
          </w:p>
        </w:tc>
        <w:tc>
          <w:tcPr>
            <w:tcW w:w="1091" w:type="dxa"/>
            <w:vAlign w:val="center"/>
          </w:tcPr>
          <w:p w14:paraId="3A30B75A">
            <w:pPr>
              <w:pStyle w:val="2"/>
              <w:spacing w:line="240" w:lineRule="auto"/>
              <w:jc w:val="center"/>
              <w:rPr>
                <w:rFonts w:ascii="宋体" w:hAnsi="宋体" w:cs="宋体"/>
                <w:b w:val="0"/>
              </w:rPr>
            </w:pPr>
            <w:r>
              <w:rPr>
                <w:rFonts w:hint="eastAsia" w:ascii="宋体" w:hAnsi="宋体" w:cs="宋体"/>
                <w:b w:val="0"/>
              </w:rPr>
              <w:t>1</w:t>
            </w:r>
          </w:p>
        </w:tc>
        <w:tc>
          <w:tcPr>
            <w:tcW w:w="1746" w:type="dxa"/>
            <w:vAlign w:val="center"/>
          </w:tcPr>
          <w:p w14:paraId="6DB722E6">
            <w:pPr>
              <w:pStyle w:val="2"/>
              <w:spacing w:line="240" w:lineRule="auto"/>
              <w:jc w:val="center"/>
              <w:rPr>
                <w:rFonts w:ascii="宋体" w:hAnsi="宋体" w:cs="宋体"/>
                <w:b w:val="0"/>
              </w:rPr>
            </w:pPr>
            <w:r>
              <w:rPr>
                <w:rFonts w:hint="eastAsia" w:ascii="宋体" w:hAnsi="宋体" w:cs="宋体"/>
                <w:b w:val="0"/>
              </w:rPr>
              <w:t>投标人自有员工</w:t>
            </w:r>
          </w:p>
        </w:tc>
        <w:tc>
          <w:tcPr>
            <w:tcW w:w="3661" w:type="dxa"/>
            <w:vAlign w:val="center"/>
          </w:tcPr>
          <w:p w14:paraId="57CF228D">
            <w:pPr>
              <w:wordWrap w:val="0"/>
              <w:rPr>
                <w:rFonts w:ascii="宋体" w:hAnsi="宋体" w:cs="宋体"/>
                <w:color w:val="000000"/>
                <w:sz w:val="24"/>
              </w:rPr>
            </w:pPr>
            <w:r>
              <w:rPr>
                <w:rFonts w:hint="eastAsia" w:ascii="宋体" w:hAnsi="宋体" w:cs="宋体"/>
                <w:color w:val="000000"/>
                <w:sz w:val="24"/>
              </w:rPr>
              <w:t>1.具有软件工程类专业本科或以上学历；</w:t>
            </w:r>
          </w:p>
          <w:p w14:paraId="4CD5F08D">
            <w:pPr>
              <w:wordWrap w:val="0"/>
              <w:rPr>
                <w:rFonts w:ascii="宋体" w:hAnsi="宋体" w:cs="宋体"/>
                <w:sz w:val="24"/>
              </w:rPr>
            </w:pPr>
            <w:r>
              <w:rPr>
                <w:rFonts w:hint="eastAsia" w:ascii="宋体" w:hAnsi="宋体" w:cs="宋体"/>
                <w:sz w:val="24"/>
              </w:rPr>
              <w:t>2.具有信息系统项目管理师证书（计算机技术与软件（高级）专业技术资格）或具有系统集成项目管理工程师证书（计算机技术与软件（中级）专业技术资格）；</w:t>
            </w:r>
          </w:p>
          <w:p w14:paraId="6A1C9606">
            <w:pPr>
              <w:wordWrap w:val="0"/>
              <w:rPr>
                <w:rFonts w:ascii="宋体" w:hAnsi="宋体" w:cs="宋体"/>
              </w:rPr>
            </w:pPr>
            <w:r>
              <w:rPr>
                <w:rFonts w:hint="eastAsia" w:ascii="宋体" w:hAnsi="宋体" w:cs="宋体"/>
                <w:sz w:val="24"/>
              </w:rPr>
              <w:t>3.具有同类医疗信息化项目管理经验。</w:t>
            </w:r>
          </w:p>
        </w:tc>
      </w:tr>
      <w:tr w14:paraId="58A98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547" w:type="dxa"/>
            <w:vAlign w:val="center"/>
          </w:tcPr>
          <w:p w14:paraId="70F6A81D">
            <w:pPr>
              <w:pStyle w:val="2"/>
              <w:spacing w:line="240" w:lineRule="auto"/>
              <w:jc w:val="center"/>
              <w:rPr>
                <w:rFonts w:ascii="宋体" w:hAnsi="宋体" w:cs="宋体"/>
                <w:b w:val="0"/>
              </w:rPr>
            </w:pPr>
            <w:r>
              <w:rPr>
                <w:rFonts w:hint="eastAsia" w:ascii="宋体" w:hAnsi="宋体" w:cs="宋体"/>
                <w:b w:val="0"/>
              </w:rPr>
              <w:t>2</w:t>
            </w:r>
          </w:p>
        </w:tc>
        <w:tc>
          <w:tcPr>
            <w:tcW w:w="1462" w:type="dxa"/>
            <w:vAlign w:val="center"/>
          </w:tcPr>
          <w:p w14:paraId="47CB8B30">
            <w:pPr>
              <w:pStyle w:val="2"/>
              <w:spacing w:line="240" w:lineRule="auto"/>
              <w:jc w:val="center"/>
              <w:rPr>
                <w:rFonts w:ascii="宋体" w:hAnsi="宋体" w:cs="宋体"/>
                <w:b w:val="0"/>
              </w:rPr>
            </w:pPr>
            <w:r>
              <w:rPr>
                <w:rFonts w:hint="eastAsia" w:ascii="宋体" w:hAnsi="宋体" w:cs="宋体"/>
                <w:b w:val="0"/>
              </w:rPr>
              <w:t>项目团队成员</w:t>
            </w:r>
          </w:p>
        </w:tc>
        <w:tc>
          <w:tcPr>
            <w:tcW w:w="1091" w:type="dxa"/>
            <w:vAlign w:val="center"/>
          </w:tcPr>
          <w:p w14:paraId="4845FF30">
            <w:pPr>
              <w:pStyle w:val="2"/>
              <w:spacing w:line="240" w:lineRule="auto"/>
              <w:jc w:val="center"/>
              <w:rPr>
                <w:rFonts w:ascii="宋体" w:hAnsi="宋体" w:cs="宋体"/>
                <w:b w:val="0"/>
              </w:rPr>
            </w:pPr>
            <w:r>
              <w:rPr>
                <w:rFonts w:hint="eastAsia" w:ascii="宋体" w:hAnsi="宋体" w:cs="宋体"/>
                <w:b w:val="0"/>
              </w:rPr>
              <w:t>4</w:t>
            </w:r>
          </w:p>
        </w:tc>
        <w:tc>
          <w:tcPr>
            <w:tcW w:w="1746" w:type="dxa"/>
            <w:vAlign w:val="center"/>
          </w:tcPr>
          <w:p w14:paraId="5F0DB2B3">
            <w:pPr>
              <w:pStyle w:val="2"/>
              <w:spacing w:line="240" w:lineRule="auto"/>
              <w:jc w:val="center"/>
              <w:rPr>
                <w:rFonts w:ascii="宋体" w:hAnsi="宋体" w:cs="宋体"/>
                <w:b w:val="0"/>
              </w:rPr>
            </w:pPr>
            <w:r>
              <w:rPr>
                <w:rFonts w:hint="eastAsia" w:ascii="宋体" w:hAnsi="宋体" w:cs="宋体"/>
                <w:b w:val="0"/>
              </w:rPr>
              <w:t>投标人自有员工</w:t>
            </w:r>
          </w:p>
        </w:tc>
        <w:tc>
          <w:tcPr>
            <w:tcW w:w="3661" w:type="dxa"/>
            <w:vAlign w:val="center"/>
          </w:tcPr>
          <w:p w14:paraId="66BFE9C3">
            <w:pPr>
              <w:rPr>
                <w:rFonts w:ascii="宋体" w:hAnsi="宋体" w:cs="宋体"/>
                <w:color w:val="000000"/>
                <w:sz w:val="24"/>
              </w:rPr>
            </w:pPr>
            <w:r>
              <w:rPr>
                <w:rFonts w:hint="eastAsia" w:ascii="宋体" w:hAnsi="宋体" w:cs="宋体"/>
                <w:color w:val="000000"/>
                <w:sz w:val="24"/>
              </w:rPr>
              <w:t>1.具有计算机相关专业本科（或以上）学历；</w:t>
            </w:r>
          </w:p>
          <w:p w14:paraId="19DE4A34">
            <w:pPr>
              <w:spacing w:line="276" w:lineRule="auto"/>
              <w:jc w:val="left"/>
              <w:rPr>
                <w:rFonts w:ascii="宋体" w:hAnsi="宋体" w:cs="宋体"/>
              </w:rPr>
            </w:pPr>
            <w:r>
              <w:rPr>
                <w:rFonts w:hint="eastAsia" w:ascii="宋体" w:hAnsi="宋体" w:cs="宋体"/>
                <w:color w:val="000000"/>
                <w:sz w:val="24"/>
              </w:rPr>
              <w:t>2.具备计算机技术与软件专业技术资格中级网络工程师证书或高级网络规划设计师证书或中级软件设计师证书。</w:t>
            </w:r>
          </w:p>
        </w:tc>
      </w:tr>
      <w:tr w14:paraId="0A087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47" w:type="dxa"/>
            <w:vAlign w:val="center"/>
          </w:tcPr>
          <w:p w14:paraId="41C50413">
            <w:pPr>
              <w:pStyle w:val="2"/>
              <w:spacing w:line="240" w:lineRule="auto"/>
              <w:jc w:val="center"/>
              <w:rPr>
                <w:rFonts w:ascii="宋体" w:hAnsi="宋体" w:cs="宋体"/>
                <w:bCs w:val="0"/>
              </w:rPr>
            </w:pPr>
            <w:r>
              <w:rPr>
                <w:rFonts w:hint="eastAsia" w:ascii="宋体" w:hAnsi="宋体" w:cs="宋体"/>
                <w:bCs w:val="0"/>
              </w:rPr>
              <w:t>合计</w:t>
            </w:r>
          </w:p>
        </w:tc>
        <w:tc>
          <w:tcPr>
            <w:tcW w:w="1462" w:type="dxa"/>
            <w:vAlign w:val="center"/>
          </w:tcPr>
          <w:p w14:paraId="71EEB61C">
            <w:pPr>
              <w:pStyle w:val="2"/>
              <w:spacing w:line="240" w:lineRule="auto"/>
              <w:jc w:val="center"/>
              <w:rPr>
                <w:rFonts w:ascii="宋体" w:hAnsi="宋体" w:cs="宋体"/>
                <w:bCs w:val="0"/>
              </w:rPr>
            </w:pPr>
            <w:r>
              <w:rPr>
                <w:rFonts w:hint="eastAsia" w:ascii="宋体" w:hAnsi="宋体" w:cs="宋体"/>
                <w:bCs w:val="0"/>
              </w:rPr>
              <w:t>/</w:t>
            </w:r>
          </w:p>
        </w:tc>
        <w:tc>
          <w:tcPr>
            <w:tcW w:w="1091" w:type="dxa"/>
            <w:vAlign w:val="center"/>
          </w:tcPr>
          <w:p w14:paraId="7E53AE7F">
            <w:pPr>
              <w:pStyle w:val="2"/>
              <w:spacing w:line="240" w:lineRule="auto"/>
              <w:jc w:val="center"/>
              <w:rPr>
                <w:rFonts w:ascii="宋体" w:hAnsi="宋体" w:cs="宋体"/>
                <w:bCs w:val="0"/>
              </w:rPr>
            </w:pPr>
            <w:r>
              <w:rPr>
                <w:rFonts w:hint="eastAsia" w:ascii="宋体" w:hAnsi="宋体" w:cs="宋体"/>
                <w:bCs w:val="0"/>
              </w:rPr>
              <w:t>5</w:t>
            </w:r>
          </w:p>
        </w:tc>
        <w:tc>
          <w:tcPr>
            <w:tcW w:w="1746" w:type="dxa"/>
            <w:vAlign w:val="center"/>
          </w:tcPr>
          <w:p w14:paraId="581A488E">
            <w:pPr>
              <w:pStyle w:val="2"/>
              <w:spacing w:line="240" w:lineRule="auto"/>
              <w:jc w:val="center"/>
              <w:rPr>
                <w:rFonts w:ascii="宋体" w:hAnsi="宋体" w:cs="宋体"/>
                <w:bCs w:val="0"/>
              </w:rPr>
            </w:pPr>
            <w:r>
              <w:rPr>
                <w:rFonts w:hint="eastAsia" w:ascii="宋体" w:hAnsi="宋体" w:cs="宋体"/>
                <w:bCs w:val="0"/>
              </w:rPr>
              <w:t>/</w:t>
            </w:r>
          </w:p>
        </w:tc>
        <w:tc>
          <w:tcPr>
            <w:tcW w:w="3661" w:type="dxa"/>
            <w:vAlign w:val="center"/>
          </w:tcPr>
          <w:p w14:paraId="586E2C75">
            <w:pPr>
              <w:pStyle w:val="2"/>
              <w:spacing w:line="240" w:lineRule="auto"/>
              <w:jc w:val="center"/>
              <w:rPr>
                <w:rFonts w:ascii="宋体" w:hAnsi="宋体" w:cs="宋体"/>
                <w:bCs w:val="0"/>
              </w:rPr>
            </w:pPr>
          </w:p>
        </w:tc>
      </w:tr>
    </w:tbl>
    <w:p w14:paraId="49022D30">
      <w:pPr>
        <w:pStyle w:val="2"/>
        <w:spacing w:line="240" w:lineRule="auto"/>
      </w:pPr>
    </w:p>
    <w:p w14:paraId="59E4965A">
      <w:pPr>
        <w:rPr>
          <w:rFonts w:ascii="宋体" w:hAnsi="宋体" w:cs="宋体"/>
          <w:sz w:val="24"/>
        </w:rPr>
      </w:pPr>
    </w:p>
    <w:p w14:paraId="008AC8DB">
      <w:pPr>
        <w:rPr>
          <w:rFonts w:ascii="宋体" w:hAnsi="宋体" w:cs="宋体"/>
          <w:sz w:val="24"/>
        </w:rPr>
      </w:pPr>
    </w:p>
    <w:p w14:paraId="1A1C5E8C">
      <w:pPr>
        <w:pStyle w:val="6"/>
        <w:spacing w:before="0" w:after="0"/>
        <w:ind w:firstLine="482" w:firstLineChars="200"/>
        <w:rPr>
          <w:rFonts w:cs="宋体"/>
          <w:szCs w:val="24"/>
        </w:rPr>
      </w:pPr>
      <w:r>
        <w:rPr>
          <w:rFonts w:hint="eastAsia" w:cs="宋体"/>
          <w:szCs w:val="24"/>
        </w:rPr>
        <w:t>六、商务要求</w:t>
      </w:r>
    </w:p>
    <w:p w14:paraId="7AA8ACDD">
      <w:pPr>
        <w:pStyle w:val="2"/>
        <w:spacing w:line="240" w:lineRule="auto"/>
        <w:ind w:firstLine="480" w:firstLineChars="200"/>
        <w:rPr>
          <w:bCs w:val="0"/>
          <w:highlight w:val="yellow"/>
        </w:rPr>
      </w:pPr>
      <w:r>
        <w:rPr>
          <w:rFonts w:hint="eastAsia" w:ascii="汉仪叶叶相思体简" w:hAnsi="汉仪叶叶相思体简" w:eastAsia="汉仪叶叶相思体简" w:cs="汉仪叶叶相思体简"/>
          <w:b w:val="0"/>
        </w:rPr>
        <w:t>★</w:t>
      </w:r>
      <w:r>
        <w:rPr>
          <w:rFonts w:hint="eastAsia"/>
          <w:bCs w:val="0"/>
          <w:highlight w:val="yellow"/>
        </w:rPr>
        <w:t>（一）服务期限</w:t>
      </w:r>
    </w:p>
    <w:p w14:paraId="44190C17">
      <w:pPr>
        <w:pStyle w:val="2"/>
        <w:spacing w:line="240" w:lineRule="auto"/>
        <w:ind w:firstLine="480" w:firstLineChars="200"/>
        <w:rPr>
          <w:rFonts w:ascii="宋体" w:hAnsi="宋体"/>
          <w:b w:val="0"/>
          <w:bCs w:val="0"/>
          <w:szCs w:val="21"/>
          <w:highlight w:val="yellow"/>
        </w:rPr>
      </w:pPr>
      <w:r>
        <w:rPr>
          <w:rFonts w:hint="eastAsia" w:ascii="宋体" w:hAnsi="宋体"/>
          <w:b w:val="0"/>
          <w:bCs w:val="0"/>
          <w:szCs w:val="21"/>
          <w:highlight w:val="yellow"/>
        </w:rPr>
        <w:t>自签订合同之日起180日内完成项目验收。</w:t>
      </w:r>
    </w:p>
    <w:p w14:paraId="44EF1F1C">
      <w:pPr>
        <w:pStyle w:val="2"/>
        <w:spacing w:line="240" w:lineRule="auto"/>
        <w:ind w:firstLine="482" w:firstLineChars="200"/>
        <w:rPr>
          <w:bCs w:val="0"/>
        </w:rPr>
      </w:pPr>
      <w:r>
        <w:rPr>
          <w:rFonts w:hint="eastAsia"/>
          <w:bCs w:val="0"/>
        </w:rPr>
        <w:t>（二）服务地点</w:t>
      </w:r>
    </w:p>
    <w:p w14:paraId="1C91359B">
      <w:pPr>
        <w:pStyle w:val="2"/>
        <w:spacing w:line="240" w:lineRule="auto"/>
        <w:ind w:firstLine="480" w:firstLineChars="200"/>
        <w:rPr>
          <w:rFonts w:ascii="宋体" w:hAnsi="宋体"/>
          <w:b w:val="0"/>
          <w:bCs w:val="0"/>
          <w:szCs w:val="21"/>
        </w:rPr>
      </w:pPr>
      <w:r>
        <w:rPr>
          <w:rFonts w:hint="eastAsia" w:ascii="宋体" w:hAnsi="宋体"/>
          <w:b w:val="0"/>
          <w:bCs w:val="0"/>
          <w:szCs w:val="21"/>
        </w:rPr>
        <w:t>龙岗区卫生健康局、公立医院及下属社康机构</w:t>
      </w:r>
    </w:p>
    <w:p w14:paraId="58EF7BC7">
      <w:pPr>
        <w:pStyle w:val="2"/>
        <w:spacing w:line="240" w:lineRule="auto"/>
        <w:ind w:firstLine="482" w:firstLineChars="200"/>
        <w:rPr>
          <w:bCs w:val="0"/>
        </w:rPr>
      </w:pPr>
      <w:r>
        <w:rPr>
          <w:rFonts w:hint="eastAsia"/>
          <w:bCs w:val="0"/>
        </w:rPr>
        <w:t>（三）付款方式</w:t>
      </w:r>
    </w:p>
    <w:p w14:paraId="7E0600C9">
      <w:pPr>
        <w:pStyle w:val="36"/>
        <w:spacing w:line="240" w:lineRule="auto"/>
        <w:ind w:firstLine="480" w:firstLineChars="200"/>
      </w:pPr>
      <w:r>
        <w:rPr>
          <w:rFonts w:hint="eastAsia"/>
        </w:rPr>
        <w:t>采购人按照合同金额分2期支付，中标人需提前开具正式发票并送到采购人。因付款审批程序或政策变动等原因而导致价款不能及时到账的，采购人不承担违约责任，中标人不得以此拒绝或怠于履行合同义务。</w:t>
      </w:r>
    </w:p>
    <w:p w14:paraId="5CEC898C">
      <w:pPr>
        <w:pStyle w:val="36"/>
        <w:spacing w:line="240" w:lineRule="auto"/>
        <w:ind w:firstLine="480" w:firstLineChars="200"/>
      </w:pPr>
      <w:r>
        <w:rPr>
          <w:rFonts w:hint="eastAsia"/>
        </w:rPr>
        <w:t>1）第一次付款，合同签订后，在采购人收到中标人发票后按照相应时间规定，采购人向中标人支付合同总额的30%；</w:t>
      </w:r>
    </w:p>
    <w:p w14:paraId="078F6FB2">
      <w:pPr>
        <w:pStyle w:val="36"/>
        <w:spacing w:line="240" w:lineRule="auto"/>
        <w:ind w:firstLine="480" w:firstLineChars="200"/>
      </w:pPr>
      <w:r>
        <w:rPr>
          <w:rFonts w:hint="eastAsia"/>
        </w:rPr>
        <w:t>2）第二次付款，安装调试完成后经采购人及第三方监理公司验收合格后，在采购人收到中标人发票后按照相应时间规定，采购人向中标人支付合同总额的70%。</w:t>
      </w:r>
    </w:p>
    <w:p w14:paraId="60E43B26">
      <w:pPr>
        <w:pStyle w:val="36"/>
        <w:spacing w:line="240" w:lineRule="auto"/>
        <w:ind w:firstLine="482" w:firstLineChars="200"/>
        <w:rPr>
          <w:b/>
        </w:rPr>
      </w:pPr>
      <w:r>
        <w:rPr>
          <w:rFonts w:hint="eastAsia"/>
          <w:b/>
          <w:lang w:val="zh-CN"/>
        </w:rPr>
        <w:t>（</w:t>
      </w:r>
      <w:r>
        <w:rPr>
          <w:b/>
        </w:rPr>
        <w:t>四</w:t>
      </w:r>
      <w:r>
        <w:rPr>
          <w:rFonts w:hint="eastAsia"/>
          <w:b/>
          <w:lang w:val="zh-CN"/>
        </w:rPr>
        <w:t>）</w:t>
      </w:r>
      <w:r>
        <w:rPr>
          <w:rFonts w:hint="eastAsia"/>
          <w:b/>
        </w:rPr>
        <w:t>验收要求</w:t>
      </w:r>
    </w:p>
    <w:p w14:paraId="02DC8A2D">
      <w:pPr>
        <w:pStyle w:val="36"/>
        <w:spacing w:line="240" w:lineRule="auto"/>
        <w:ind w:firstLine="480" w:firstLineChars="200"/>
        <w:rPr>
          <w:bCs/>
        </w:rPr>
      </w:pPr>
      <w:r>
        <w:rPr>
          <w:rFonts w:hint="eastAsia"/>
          <w:bCs/>
        </w:rPr>
        <w:t>服务经过双方检验认可后，签署验收报告。</w:t>
      </w:r>
    </w:p>
    <w:p w14:paraId="5799C453">
      <w:pPr>
        <w:pStyle w:val="36"/>
        <w:spacing w:line="240" w:lineRule="auto"/>
        <w:ind w:firstLine="480" w:firstLineChars="200"/>
        <w:rPr>
          <w:bCs/>
        </w:rPr>
      </w:pPr>
      <w:r>
        <w:rPr>
          <w:rFonts w:hint="eastAsia"/>
          <w:bCs/>
        </w:rPr>
        <w:t>2）当满足以下条件时，使用部门向中标人签发验收报告：</w:t>
      </w:r>
    </w:p>
    <w:p w14:paraId="3B18CD06">
      <w:pPr>
        <w:pStyle w:val="36"/>
        <w:spacing w:line="240" w:lineRule="auto"/>
        <w:ind w:firstLine="480" w:firstLineChars="200"/>
        <w:rPr>
          <w:rFonts w:hint="eastAsia" w:eastAsia="宋体"/>
          <w:bCs/>
          <w:lang w:eastAsia="zh-CN"/>
        </w:rPr>
      </w:pPr>
      <w:r>
        <w:rPr>
          <w:rFonts w:hint="eastAsia"/>
          <w:bCs/>
        </w:rPr>
        <w:t>a、中标人已按照合同规定提供了全部技术资料</w:t>
      </w:r>
      <w:r>
        <w:rPr>
          <w:rFonts w:hint="eastAsia"/>
          <w:bCs/>
          <w:lang w:eastAsia="zh-CN"/>
        </w:rPr>
        <w:t>；</w:t>
      </w:r>
    </w:p>
    <w:p w14:paraId="7ED55531">
      <w:pPr>
        <w:pStyle w:val="36"/>
        <w:spacing w:line="240" w:lineRule="auto"/>
        <w:ind w:firstLine="480" w:firstLineChars="200"/>
        <w:rPr>
          <w:rFonts w:hint="eastAsia"/>
          <w:bCs/>
          <w:lang w:eastAsia="zh-CN"/>
        </w:rPr>
      </w:pPr>
      <w:r>
        <w:rPr>
          <w:rFonts w:hint="eastAsia"/>
          <w:bCs/>
        </w:rPr>
        <w:t>b、服务项目符合招标文件的服务要求</w:t>
      </w:r>
      <w:r>
        <w:rPr>
          <w:rFonts w:hint="eastAsia"/>
          <w:bCs/>
          <w:lang w:eastAsia="zh-CN"/>
        </w:rPr>
        <w:t>。</w:t>
      </w:r>
    </w:p>
    <w:p w14:paraId="67531050">
      <w:pPr>
        <w:pStyle w:val="36"/>
        <w:spacing w:line="240" w:lineRule="auto"/>
        <w:ind w:firstLine="482" w:firstLineChars="200"/>
        <w:rPr>
          <w:rFonts w:hint="eastAsia"/>
          <w:bCs/>
          <w:highlight w:val="yellow"/>
          <w:lang w:eastAsia="zh-CN"/>
        </w:rPr>
      </w:pPr>
      <w:r>
        <w:rPr>
          <w:rFonts w:hint="eastAsia"/>
          <w:b/>
          <w:bCs w:val="0"/>
          <w:highlight w:val="yellow"/>
          <w:lang w:eastAsia="zh-CN"/>
        </w:rPr>
        <w:t>（</w:t>
      </w:r>
      <w:r>
        <w:rPr>
          <w:rFonts w:hint="eastAsia"/>
          <w:b/>
          <w:bCs w:val="0"/>
          <w:highlight w:val="yellow"/>
          <w:lang w:val="en-US" w:eastAsia="zh-CN"/>
        </w:rPr>
        <w:t>五</w:t>
      </w:r>
      <w:r>
        <w:rPr>
          <w:rFonts w:hint="eastAsia"/>
          <w:b/>
          <w:bCs w:val="0"/>
          <w:highlight w:val="yellow"/>
          <w:lang w:eastAsia="zh-CN"/>
        </w:rPr>
        <w:t>）</w:t>
      </w:r>
      <w:r>
        <w:rPr>
          <w:rFonts w:hint="eastAsia" w:hAnsi="宋体"/>
          <w:b/>
          <w:bCs/>
          <w:kern w:val="0"/>
          <w:highlight w:val="yellow"/>
        </w:rPr>
        <w:t>免费质保期：</w:t>
      </w:r>
      <w:r>
        <w:rPr>
          <w:rFonts w:hint="eastAsia" w:ascii="宋体" w:hAnsi="宋体" w:cs="宋体"/>
          <w:b w:val="0"/>
          <w:bCs w:val="0"/>
          <w:highlight w:val="yellow"/>
        </w:rPr>
        <w:t>★</w:t>
      </w:r>
      <w:r>
        <w:rPr>
          <w:rFonts w:hint="eastAsia" w:hAnsi="宋体"/>
          <w:b w:val="0"/>
          <w:bCs w:val="0"/>
          <w:kern w:val="0"/>
          <w:highlight w:val="yellow"/>
        </w:rPr>
        <w:t>软件类免费质保期至少2年，时间自最终验收合格并交付使用之日起计算，由中标人提供验收文件。</w:t>
      </w:r>
    </w:p>
    <w:p w14:paraId="4339B69E">
      <w:pPr>
        <w:pStyle w:val="5"/>
      </w:pPr>
    </w:p>
    <w:p w14:paraId="7ECD42CF">
      <w:pPr>
        <w:pStyle w:val="6"/>
        <w:spacing w:before="120" w:beforeLines="50" w:after="120" w:afterLines="50"/>
        <w:rPr>
          <w:szCs w:val="24"/>
        </w:rPr>
      </w:pPr>
      <w:r>
        <w:rPr>
          <w:rFonts w:hint="eastAsia"/>
          <w:szCs w:val="24"/>
        </w:rPr>
        <w:t>七、其他重要条款</w:t>
      </w:r>
    </w:p>
    <w:p w14:paraId="2203BA50">
      <w:pPr>
        <w:pStyle w:val="22"/>
        <w:ind w:firstLine="480" w:firstLineChars="200"/>
        <w:rPr>
          <w:rFonts w:hAnsi="宋体" w:cs="宋体"/>
          <w:color w:val="000000"/>
          <w:sz w:val="24"/>
          <w:szCs w:val="24"/>
        </w:rPr>
      </w:pPr>
      <w:bookmarkStart w:id="37" w:name="_Hlk72257111"/>
      <w:r>
        <w:rPr>
          <w:rFonts w:hint="eastAsia" w:hAnsi="宋体" w:cs="宋体"/>
          <w:color w:val="000000"/>
          <w:sz w:val="24"/>
          <w:szCs w:val="24"/>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208D7105">
      <w:pPr>
        <w:pStyle w:val="22"/>
        <w:ind w:firstLine="480" w:firstLineChars="200"/>
        <w:rPr>
          <w:rFonts w:hAnsi="宋体" w:cs="宋体"/>
          <w:color w:val="000000"/>
          <w:sz w:val="24"/>
          <w:szCs w:val="24"/>
        </w:rPr>
      </w:pPr>
      <w:r>
        <w:rPr>
          <w:rFonts w:hint="eastAsia" w:hAnsi="宋体" w:cs="宋体"/>
          <w:color w:val="000000"/>
          <w:sz w:val="24"/>
          <w:szCs w:val="24"/>
        </w:rPr>
        <w:t>2、投标人应充分了解项目的位置、情况、道路及任何其它足以影响投标报价的情况，任何因忽视或误解项目情况而导致的索赔或服务期限延长申请将不获批准。</w:t>
      </w:r>
    </w:p>
    <w:p w14:paraId="3533E9EF">
      <w:pPr>
        <w:pStyle w:val="22"/>
        <w:ind w:firstLine="480" w:firstLineChars="200"/>
        <w:rPr>
          <w:rFonts w:hAnsi="宋体" w:cs="宋体"/>
          <w:color w:val="000000"/>
          <w:sz w:val="24"/>
          <w:szCs w:val="24"/>
        </w:rPr>
      </w:pPr>
      <w:r>
        <w:rPr>
          <w:rFonts w:hint="eastAsia" w:hAnsi="宋体" w:cs="宋体"/>
          <w:color w:val="000000"/>
          <w:sz w:val="24"/>
          <w:szCs w:val="24"/>
        </w:rPr>
        <w:t>3、投标人不得期望通过索赔等方式获取补偿，否则，除可能遭到拒绝外，还可能将被作为不良行为记录在案，并可能影响其以后参加政府采购的项目投标。各投标人在投标报价时，应充分考虑投标报价的风险。</w:t>
      </w:r>
    </w:p>
    <w:p w14:paraId="28262C65">
      <w:pPr>
        <w:pStyle w:val="22"/>
        <w:ind w:firstLine="480" w:firstLineChars="200"/>
        <w:rPr>
          <w:rFonts w:hAnsi="宋体" w:cs="宋体"/>
          <w:color w:val="000000"/>
          <w:sz w:val="24"/>
          <w:szCs w:val="24"/>
        </w:rPr>
      </w:pPr>
      <w:r>
        <w:rPr>
          <w:rFonts w:hint="eastAsia" w:hAnsi="宋体" w:cs="宋体"/>
          <w:color w:val="000000"/>
          <w:sz w:val="24"/>
          <w:szCs w:val="24"/>
        </w:rPr>
        <w:t>4、除政府采购合同继续履行将损害国家利益和社会公共利益外，双方当事人不得擅自变更、中止或者终止合同。</w:t>
      </w:r>
    </w:p>
    <w:p w14:paraId="3E5470BB">
      <w:pPr>
        <w:pStyle w:val="8"/>
        <w:spacing w:before="60" w:beforeLines="25"/>
        <w:ind w:firstLine="448" w:firstLineChars="187"/>
      </w:pPr>
      <w:r>
        <w:rPr>
          <w:rFonts w:hint="eastAsia" w:ascii="宋体" w:hAnsi="宋体" w:cs="宋体"/>
          <w:color w:val="000000"/>
          <w:sz w:val="24"/>
          <w:szCs w:val="24"/>
        </w:rPr>
        <w:t>5、“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bookmarkEnd w:id="37"/>
    </w:p>
    <w:p w14:paraId="42752F42">
      <w:pPr>
        <w:pStyle w:val="25"/>
        <w:spacing w:before="120" w:after="120"/>
      </w:pPr>
    </w:p>
    <w:p w14:paraId="6D9D943A">
      <w:pPr>
        <w:pStyle w:val="6"/>
        <w:rPr>
          <w:kern w:val="2"/>
        </w:rPr>
      </w:pPr>
      <w:r>
        <w:rPr>
          <w:rFonts w:hint="eastAsia"/>
          <w:kern w:val="2"/>
        </w:rPr>
        <w:t>第四章 投标文件组成要求及格式</w:t>
      </w:r>
    </w:p>
    <w:p w14:paraId="3AFA1BAC">
      <w:pPr>
        <w:rPr>
          <w:rStyle w:val="68"/>
          <w:sz w:val="24"/>
        </w:rPr>
      </w:pPr>
      <w:r>
        <w:rPr>
          <w:rStyle w:val="68"/>
          <w:rFonts w:hint="eastAsia"/>
          <w:sz w:val="24"/>
        </w:rPr>
        <w:t>特别提醒：</w:t>
      </w:r>
    </w:p>
    <w:p w14:paraId="30F693B4">
      <w:pPr>
        <w:ind w:firstLine="480" w:firstLineChars="200"/>
        <w:rPr>
          <w:rFonts w:ascii="仿宋_GB2312" w:eastAsia="仿宋_GB2312"/>
          <w:sz w:val="24"/>
        </w:rPr>
      </w:pPr>
      <w:r>
        <w:rPr>
          <w:rFonts w:hint="eastAsia" w:ascii="仿宋_GB2312" w:eastAsia="仿宋_GB2312"/>
          <w:sz w:val="24"/>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14:paraId="037D473A">
      <w:pPr>
        <w:rPr>
          <w:rFonts w:ascii="仿宋_GB2312" w:eastAsia="仿宋_GB2312"/>
          <w:sz w:val="24"/>
        </w:rPr>
      </w:pPr>
      <w:r>
        <w:rPr>
          <w:rFonts w:hint="eastAsia" w:ascii="仿宋_GB2312" w:eastAsia="仿宋_GB2312"/>
          <w:sz w:val="24"/>
        </w:rPr>
        <w:t>投标文件正文（信息公开部分）必须编制于“正文（公开部分）”，投标文件附件（非信息公开部分）必须编制于“附件（不公开部分）”，如下图所示。</w:t>
      </w:r>
    </w:p>
    <w:p w14:paraId="79D9C198">
      <w:pPr>
        <w:rPr>
          <w:rFonts w:ascii="仿宋_GB2312" w:eastAsia="仿宋_GB2312"/>
          <w:sz w:val="24"/>
        </w:rPr>
      </w:pPr>
    </w:p>
    <w:p w14:paraId="4FDA5229">
      <w:pPr>
        <w:widowControl/>
        <w:jc w:val="left"/>
        <w:rPr>
          <w:rFonts w:ascii="宋体" w:hAnsi="宋体" w:cs="宋体"/>
          <w:kern w:val="0"/>
          <w:sz w:val="24"/>
        </w:rPr>
      </w:pPr>
      <w:r>
        <w:drawing>
          <wp:inline distT="0" distB="0" distL="114300" distR="114300">
            <wp:extent cx="5113020" cy="3582670"/>
            <wp:effectExtent l="0" t="0" r="11430" b="17780"/>
            <wp:docPr id="8" name="图片 1" descr="c66f322b8feee32c1a3f0d48f365c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c66f322b8feee32c1a3f0d48f365c82"/>
                    <pic:cNvPicPr>
                      <a:picLocks noChangeAspect="1"/>
                    </pic:cNvPicPr>
                  </pic:nvPicPr>
                  <pic:blipFill>
                    <a:blip r:embed="rId11"/>
                    <a:stretch>
                      <a:fillRect/>
                    </a:stretch>
                  </pic:blipFill>
                  <pic:spPr>
                    <a:xfrm>
                      <a:off x="0" y="0"/>
                      <a:ext cx="5113020" cy="3582670"/>
                    </a:xfrm>
                    <a:prstGeom prst="rect">
                      <a:avLst/>
                    </a:prstGeom>
                  </pic:spPr>
                </pic:pic>
              </a:graphicData>
            </a:graphic>
          </wp:inline>
        </w:drawing>
      </w:r>
    </w:p>
    <w:p w14:paraId="5AFB8812">
      <w:pPr>
        <w:jc w:val="center"/>
        <w:rPr>
          <w:rFonts w:ascii="仿宋_GB2312" w:eastAsia="仿宋_GB2312"/>
          <w:sz w:val="24"/>
        </w:rPr>
      </w:pPr>
    </w:p>
    <w:p w14:paraId="15ACFE11">
      <w:pPr>
        <w:ind w:firstLine="480" w:firstLineChars="200"/>
        <w:rPr>
          <w:rFonts w:ascii="仿宋_GB2312" w:eastAsia="仿宋_GB2312"/>
          <w:sz w:val="24"/>
        </w:rPr>
      </w:pPr>
      <w:r>
        <w:rPr>
          <w:rFonts w:hint="eastAsia" w:ascii="仿宋_GB2312" w:eastAsia="仿宋_GB2312"/>
          <w:sz w:val="24"/>
        </w:rPr>
        <w:t>政府集中采购机构公布投标文件正文（信息公开部分）时为计算机截取信息自动公布，</w:t>
      </w:r>
      <w:r>
        <w:rPr>
          <w:rFonts w:hint="eastAsia" w:ascii="仿宋_GB2312" w:eastAsia="仿宋_GB2312"/>
          <w:b/>
          <w:bCs/>
          <w:sz w:val="24"/>
        </w:rPr>
        <w:t>如投标人误将涉及个人隐私的信息放入投标文件正文，相关后果由投标人自负；</w:t>
      </w:r>
      <w:r>
        <w:rPr>
          <w:rFonts w:hint="eastAsia" w:ascii="仿宋_GB2312" w:eastAsia="仿宋_GB2312"/>
          <w:sz w:val="24"/>
        </w:rPr>
        <w:t>如投标人将必须放于投标文件正文（信息公开部分）的内容放入投标文件附件（非信息公开部分），将作投标无效处理。</w:t>
      </w:r>
    </w:p>
    <w:p w14:paraId="5D16E375">
      <w:pPr>
        <w:ind w:firstLine="480" w:firstLineChars="200"/>
        <w:rPr>
          <w:rFonts w:ascii="仿宋_GB2312" w:eastAsia="仿宋_GB2312"/>
          <w:sz w:val="24"/>
        </w:rPr>
      </w:pPr>
    </w:p>
    <w:p w14:paraId="7EA5B941">
      <w:pPr>
        <w:ind w:firstLine="482" w:firstLineChars="200"/>
        <w:rPr>
          <w:rFonts w:ascii="宋体" w:hAnsi="宋体"/>
          <w:b/>
          <w:sz w:val="24"/>
        </w:rPr>
      </w:pPr>
    </w:p>
    <w:p w14:paraId="385D3399">
      <w:pPr>
        <w:rPr>
          <w:rFonts w:ascii="宋体" w:hAnsi="宋体"/>
          <w:sz w:val="24"/>
        </w:rPr>
      </w:pPr>
      <w:r>
        <w:rPr>
          <w:rFonts w:hint="eastAsia" w:ascii="宋体" w:hAnsi="宋体"/>
          <w:sz w:val="24"/>
        </w:rPr>
        <w:t>投标文件组成：</w:t>
      </w:r>
    </w:p>
    <w:p w14:paraId="01219374">
      <w:pPr>
        <w:ind w:firstLine="1200" w:firstLineChars="500"/>
        <w:outlineLvl w:val="0"/>
        <w:rPr>
          <w:rFonts w:ascii="宋体" w:hAnsi="宋体"/>
          <w:sz w:val="24"/>
        </w:rPr>
      </w:pPr>
      <w:r>
        <w:rPr>
          <w:rFonts w:hint="eastAsia" w:ascii="宋体" w:hAnsi="宋体"/>
          <w:sz w:val="24"/>
        </w:rPr>
        <w:t>1.投标文件附件</w:t>
      </w:r>
      <w:r>
        <w:rPr>
          <w:rFonts w:hint="eastAsia" w:ascii="宋体" w:hAnsi="宋体"/>
          <w:b/>
          <w:color w:val="FF0000"/>
          <w:sz w:val="24"/>
        </w:rPr>
        <w:t>（信息公开部分）</w:t>
      </w:r>
      <w:r>
        <w:rPr>
          <w:rFonts w:hint="eastAsia" w:ascii="宋体" w:hAnsi="宋体"/>
          <w:sz w:val="24"/>
        </w:rPr>
        <w:t>：主要包括以下内容：</w:t>
      </w:r>
    </w:p>
    <w:p w14:paraId="3B74554B">
      <w:pPr>
        <w:ind w:left="718" w:leftChars="342" w:firstLine="1620" w:firstLineChars="675"/>
        <w:rPr>
          <w:sz w:val="24"/>
          <w:szCs w:val="21"/>
        </w:rPr>
      </w:pPr>
      <w:r>
        <w:rPr>
          <w:rFonts w:hint="eastAsia"/>
          <w:sz w:val="24"/>
          <w:szCs w:val="21"/>
        </w:rPr>
        <w:t>（1）投标函</w:t>
      </w:r>
    </w:p>
    <w:p w14:paraId="3DE29662">
      <w:pPr>
        <w:ind w:left="718" w:leftChars="342" w:firstLine="1620" w:firstLineChars="675"/>
        <w:rPr>
          <w:sz w:val="24"/>
          <w:szCs w:val="21"/>
        </w:rPr>
      </w:pPr>
      <w:r>
        <w:rPr>
          <w:rFonts w:hint="eastAsia"/>
          <w:sz w:val="24"/>
          <w:szCs w:val="21"/>
        </w:rPr>
        <w:t>（2）政府采购投标及履约承诺函</w:t>
      </w:r>
    </w:p>
    <w:p w14:paraId="1FA97590">
      <w:pPr>
        <w:ind w:left="718" w:leftChars="342" w:firstLine="1620" w:firstLineChars="675"/>
        <w:rPr>
          <w:sz w:val="24"/>
          <w:szCs w:val="21"/>
        </w:rPr>
      </w:pPr>
      <w:r>
        <w:rPr>
          <w:rFonts w:hint="eastAsia"/>
          <w:sz w:val="24"/>
          <w:szCs w:val="21"/>
        </w:rPr>
        <w:t>（3）投标人情况及资格证明文件</w:t>
      </w:r>
    </w:p>
    <w:p w14:paraId="5E76675E">
      <w:pPr>
        <w:ind w:left="718" w:leftChars="342" w:firstLine="1620" w:firstLineChars="675"/>
        <w:rPr>
          <w:sz w:val="24"/>
          <w:szCs w:val="21"/>
        </w:rPr>
      </w:pPr>
      <w:r>
        <w:rPr>
          <w:rFonts w:hint="eastAsia"/>
          <w:sz w:val="24"/>
          <w:szCs w:val="21"/>
        </w:rPr>
        <w:t>（4）中小企业声明函、残疾人福利性单位声明函及监狱企业声明函</w:t>
      </w:r>
    </w:p>
    <w:p w14:paraId="0D2D4371">
      <w:pPr>
        <w:ind w:left="718" w:leftChars="342" w:firstLine="1620" w:firstLineChars="675"/>
        <w:rPr>
          <w:sz w:val="24"/>
          <w:szCs w:val="21"/>
        </w:rPr>
      </w:pPr>
      <w:r>
        <w:rPr>
          <w:rFonts w:hint="eastAsia"/>
          <w:sz w:val="24"/>
          <w:szCs w:val="21"/>
        </w:rPr>
        <w:t>（5）项目详细报价</w:t>
      </w:r>
    </w:p>
    <w:p w14:paraId="697ADC9C">
      <w:pPr>
        <w:ind w:left="718" w:leftChars="342" w:firstLine="1620" w:firstLineChars="675"/>
        <w:rPr>
          <w:sz w:val="24"/>
          <w:szCs w:val="21"/>
        </w:rPr>
      </w:pPr>
      <w:r>
        <w:rPr>
          <w:rFonts w:hint="eastAsia"/>
          <w:sz w:val="24"/>
          <w:szCs w:val="21"/>
        </w:rPr>
        <w:t>（6）投标人通过相关认证情况</w:t>
      </w:r>
    </w:p>
    <w:p w14:paraId="23400F6E">
      <w:pPr>
        <w:ind w:left="718" w:leftChars="342" w:firstLine="1620" w:firstLineChars="675"/>
        <w:rPr>
          <w:sz w:val="24"/>
          <w:szCs w:val="21"/>
        </w:rPr>
      </w:pPr>
      <w:r>
        <w:rPr>
          <w:rFonts w:hint="eastAsia"/>
          <w:sz w:val="24"/>
          <w:szCs w:val="21"/>
        </w:rPr>
        <w:t>（7）投标人同类项目业绩情况</w:t>
      </w:r>
    </w:p>
    <w:p w14:paraId="07C5FA8C">
      <w:pPr>
        <w:ind w:left="718" w:leftChars="342" w:firstLine="1620" w:firstLineChars="675"/>
        <w:rPr>
          <w:sz w:val="24"/>
          <w:szCs w:val="21"/>
        </w:rPr>
      </w:pPr>
      <w:r>
        <w:rPr>
          <w:rFonts w:hint="eastAsia"/>
          <w:sz w:val="24"/>
          <w:szCs w:val="21"/>
        </w:rPr>
        <w:t>（8）投标人获奖情况</w:t>
      </w:r>
    </w:p>
    <w:p w14:paraId="079B61E6">
      <w:pPr>
        <w:ind w:left="718" w:leftChars="342" w:firstLine="1620" w:firstLineChars="675"/>
        <w:rPr>
          <w:sz w:val="24"/>
          <w:szCs w:val="21"/>
        </w:rPr>
      </w:pPr>
      <w:r>
        <w:rPr>
          <w:rFonts w:hint="eastAsia"/>
          <w:sz w:val="24"/>
          <w:szCs w:val="21"/>
        </w:rPr>
        <w:t>（9）知识产权产品（创新、设计）情况</w:t>
      </w:r>
    </w:p>
    <w:p w14:paraId="1D911404">
      <w:pPr>
        <w:ind w:left="718" w:leftChars="342" w:firstLine="1620" w:firstLineChars="675"/>
        <w:rPr>
          <w:rFonts w:ascii="宋体" w:hAnsi="宋体" w:cs="宋体"/>
          <w:sz w:val="24"/>
        </w:rPr>
      </w:pPr>
      <w:r>
        <w:rPr>
          <w:rFonts w:hint="eastAsia" w:ascii="宋体" w:hAnsi="宋体" w:cs="宋体"/>
          <w:sz w:val="24"/>
        </w:rPr>
        <w:t>（10）</w:t>
      </w:r>
      <w:r>
        <w:rPr>
          <w:rFonts w:hint="eastAsia" w:ascii="宋体" w:hAnsi="宋体" w:cs="宋体"/>
          <w:spacing w:val="6"/>
          <w:sz w:val="24"/>
        </w:rPr>
        <w:t>招</w:t>
      </w:r>
      <w:r>
        <w:rPr>
          <w:rFonts w:hint="eastAsia"/>
          <w:sz w:val="24"/>
          <w:szCs w:val="21"/>
        </w:rPr>
        <w:t>标文件要求的其他内容及投标人认为需要加以说明的其他内容</w:t>
      </w:r>
      <w:r>
        <w:rPr>
          <w:rFonts w:hint="eastAsia"/>
          <w:color w:val="FF0000"/>
          <w:sz w:val="24"/>
          <w:szCs w:val="21"/>
        </w:rPr>
        <w:t>（公开部分）</w:t>
      </w:r>
    </w:p>
    <w:p w14:paraId="225421B1">
      <w:pPr>
        <w:ind w:firstLine="1200" w:firstLineChars="500"/>
        <w:outlineLvl w:val="0"/>
        <w:rPr>
          <w:rFonts w:ascii="宋体" w:hAnsi="宋体"/>
          <w:sz w:val="24"/>
        </w:rPr>
      </w:pPr>
      <w:r>
        <w:rPr>
          <w:rFonts w:hint="eastAsia" w:ascii="宋体" w:hAnsi="宋体"/>
          <w:sz w:val="24"/>
        </w:rPr>
        <w:t>2.投标文件附件</w:t>
      </w:r>
      <w:r>
        <w:rPr>
          <w:rFonts w:hint="eastAsia" w:ascii="宋体" w:hAnsi="宋体"/>
          <w:b/>
          <w:color w:val="FF0000"/>
          <w:sz w:val="24"/>
        </w:rPr>
        <w:t>（信息不公开部分）</w:t>
      </w:r>
      <w:r>
        <w:rPr>
          <w:rFonts w:hint="eastAsia" w:ascii="宋体" w:hAnsi="宋体"/>
          <w:sz w:val="24"/>
        </w:rPr>
        <w:t>：主要包括以下内容：</w:t>
      </w:r>
    </w:p>
    <w:p w14:paraId="6580BC58">
      <w:pPr>
        <w:ind w:left="718" w:leftChars="342" w:firstLine="1620" w:firstLineChars="675"/>
        <w:rPr>
          <w:sz w:val="24"/>
          <w:szCs w:val="21"/>
        </w:rPr>
      </w:pPr>
      <w:r>
        <w:rPr>
          <w:rFonts w:hint="eastAsia"/>
          <w:sz w:val="24"/>
          <w:szCs w:val="21"/>
        </w:rPr>
        <w:t>（1）法定代表人证明书</w:t>
      </w:r>
    </w:p>
    <w:p w14:paraId="5527369F">
      <w:pPr>
        <w:ind w:left="718" w:leftChars="342" w:firstLine="1620" w:firstLineChars="675"/>
        <w:rPr>
          <w:sz w:val="24"/>
          <w:szCs w:val="21"/>
        </w:rPr>
      </w:pPr>
      <w:r>
        <w:rPr>
          <w:rFonts w:hint="eastAsia"/>
          <w:sz w:val="24"/>
          <w:szCs w:val="21"/>
        </w:rPr>
        <w:t>（2）投标文件签署授权委托书</w:t>
      </w:r>
    </w:p>
    <w:p w14:paraId="46528286">
      <w:pPr>
        <w:ind w:left="718" w:leftChars="342" w:firstLine="1620" w:firstLineChars="675"/>
        <w:rPr>
          <w:sz w:val="24"/>
          <w:szCs w:val="21"/>
        </w:rPr>
      </w:pPr>
      <w:r>
        <w:rPr>
          <w:rFonts w:hint="eastAsia"/>
          <w:sz w:val="24"/>
          <w:szCs w:val="21"/>
        </w:rPr>
        <w:t>（3）</w:t>
      </w:r>
      <w:r>
        <w:rPr>
          <w:sz w:val="24"/>
          <w:szCs w:val="21"/>
        </w:rPr>
        <w:t>实质性条款响应情况表</w:t>
      </w:r>
    </w:p>
    <w:p w14:paraId="4C1B557D">
      <w:pPr>
        <w:ind w:left="718" w:leftChars="342" w:firstLine="1620" w:firstLineChars="675"/>
        <w:rPr>
          <w:sz w:val="24"/>
          <w:szCs w:val="21"/>
        </w:rPr>
      </w:pPr>
      <w:r>
        <w:rPr>
          <w:rFonts w:hint="eastAsia"/>
          <w:sz w:val="24"/>
          <w:szCs w:val="21"/>
        </w:rPr>
        <w:t>（4）实施方案</w:t>
      </w:r>
    </w:p>
    <w:p w14:paraId="0C3287B3">
      <w:pPr>
        <w:ind w:left="718" w:leftChars="342" w:firstLine="1620" w:firstLineChars="675"/>
        <w:rPr>
          <w:sz w:val="24"/>
          <w:szCs w:val="21"/>
        </w:rPr>
      </w:pPr>
      <w:r>
        <w:rPr>
          <w:rFonts w:hint="eastAsia"/>
          <w:sz w:val="24"/>
          <w:szCs w:val="21"/>
        </w:rPr>
        <w:t>（5）</w:t>
      </w:r>
      <w:r>
        <w:rPr>
          <w:rFonts w:hint="eastAsia" w:ascii="宋体" w:hAnsi="宋体" w:cs="宋体"/>
          <w:sz w:val="24"/>
        </w:rPr>
        <w:t>项目重点难点分析、应对措施及相关的合理化建议</w:t>
      </w:r>
    </w:p>
    <w:p w14:paraId="702BD05A">
      <w:pPr>
        <w:ind w:left="718" w:leftChars="342" w:firstLine="1620" w:firstLineChars="675"/>
        <w:rPr>
          <w:sz w:val="24"/>
          <w:szCs w:val="21"/>
        </w:rPr>
      </w:pPr>
      <w:r>
        <w:rPr>
          <w:rFonts w:hint="eastAsia"/>
          <w:sz w:val="24"/>
          <w:szCs w:val="21"/>
        </w:rPr>
        <w:t>（6）</w:t>
      </w:r>
      <w:r>
        <w:rPr>
          <w:rFonts w:hint="eastAsia" w:ascii="宋体" w:hAnsi="宋体" w:cs="宋体"/>
          <w:sz w:val="24"/>
        </w:rPr>
        <w:t>质量保障措施及方案</w:t>
      </w:r>
    </w:p>
    <w:p w14:paraId="1C530212">
      <w:pPr>
        <w:ind w:left="718" w:leftChars="342" w:firstLine="1620" w:firstLineChars="675"/>
        <w:rPr>
          <w:rFonts w:hint="eastAsia" w:eastAsia="宋体"/>
          <w:sz w:val="24"/>
          <w:szCs w:val="21"/>
          <w:lang w:val="en-US" w:eastAsia="zh-CN"/>
        </w:rPr>
      </w:pPr>
      <w:r>
        <w:rPr>
          <w:rFonts w:hint="eastAsia"/>
          <w:sz w:val="24"/>
          <w:szCs w:val="21"/>
        </w:rPr>
        <w:t>（7）项目完成（服务期满）后的服务承诺</w:t>
      </w:r>
      <w:r>
        <w:rPr>
          <w:rFonts w:hint="eastAsia"/>
          <w:sz w:val="24"/>
          <w:szCs w:val="21"/>
          <w:lang w:val="en-US" w:eastAsia="zh-CN"/>
        </w:rPr>
        <w:t xml:space="preserve"> </w:t>
      </w:r>
    </w:p>
    <w:p w14:paraId="23FE8A7E">
      <w:pPr>
        <w:ind w:left="718" w:leftChars="342" w:firstLine="1620" w:firstLineChars="675"/>
        <w:rPr>
          <w:sz w:val="24"/>
          <w:szCs w:val="21"/>
        </w:rPr>
      </w:pPr>
      <w:r>
        <w:rPr>
          <w:rFonts w:hint="eastAsia"/>
          <w:sz w:val="24"/>
          <w:szCs w:val="21"/>
        </w:rPr>
        <w:t>（8）</w:t>
      </w:r>
      <w:r>
        <w:rPr>
          <w:rFonts w:hint="eastAsia" w:ascii="宋体" w:hAnsi="宋体" w:cs="宋体"/>
          <w:sz w:val="24"/>
        </w:rPr>
        <w:t>拟安排的项目负责人情况（仅限一人）</w:t>
      </w:r>
    </w:p>
    <w:p w14:paraId="51FBD4B3">
      <w:pPr>
        <w:ind w:left="718" w:leftChars="342" w:firstLine="1620" w:firstLineChars="675"/>
        <w:rPr>
          <w:sz w:val="24"/>
          <w:szCs w:val="21"/>
        </w:rPr>
      </w:pPr>
      <w:r>
        <w:rPr>
          <w:rFonts w:hint="eastAsia"/>
          <w:sz w:val="24"/>
          <w:szCs w:val="21"/>
        </w:rPr>
        <w:t>（9）</w:t>
      </w:r>
      <w:r>
        <w:rPr>
          <w:rFonts w:hint="eastAsia" w:ascii="宋体" w:hAnsi="宋体" w:cs="宋体"/>
          <w:sz w:val="24"/>
        </w:rPr>
        <w:t>拟安排的项目团队成员情况（项目负责人除外）</w:t>
      </w:r>
    </w:p>
    <w:p w14:paraId="018F930A">
      <w:pPr>
        <w:ind w:left="718" w:leftChars="342" w:firstLine="1620" w:firstLineChars="675"/>
        <w:rPr>
          <w:sz w:val="24"/>
          <w:szCs w:val="21"/>
        </w:rPr>
      </w:pPr>
      <w:r>
        <w:rPr>
          <w:rFonts w:hint="eastAsia"/>
          <w:sz w:val="24"/>
          <w:szCs w:val="21"/>
        </w:rPr>
        <w:t>（10）政府采购违法行为风险知悉确认书</w:t>
      </w:r>
    </w:p>
    <w:p w14:paraId="22F32CA0">
      <w:pPr>
        <w:ind w:left="718" w:leftChars="342" w:firstLine="1620" w:firstLineChars="675"/>
        <w:rPr>
          <w:rFonts w:ascii="宋体" w:hAnsi="宋体"/>
          <w:szCs w:val="21"/>
        </w:rPr>
      </w:pPr>
      <w:r>
        <w:rPr>
          <w:sz w:val="24"/>
          <w:szCs w:val="21"/>
        </w:rPr>
        <w:t>（</w:t>
      </w:r>
      <w:r>
        <w:rPr>
          <w:rFonts w:hint="eastAsia"/>
          <w:sz w:val="24"/>
          <w:szCs w:val="21"/>
        </w:rPr>
        <w:t>11</w:t>
      </w:r>
      <w:r>
        <w:rPr>
          <w:sz w:val="24"/>
          <w:szCs w:val="21"/>
        </w:rPr>
        <w:t>）</w:t>
      </w:r>
      <w:r>
        <w:rPr>
          <w:rFonts w:hint="eastAsia"/>
          <w:sz w:val="24"/>
          <w:szCs w:val="21"/>
        </w:rPr>
        <w:t>招标文件要求的其他内容及投标人认为需要加以说明的其他内容</w:t>
      </w:r>
      <w:r>
        <w:rPr>
          <w:rFonts w:hint="eastAsia"/>
          <w:color w:val="FF0000"/>
          <w:sz w:val="24"/>
          <w:szCs w:val="21"/>
        </w:rPr>
        <w:t>（不公开部分）</w:t>
      </w:r>
    </w:p>
    <w:p w14:paraId="02E47F6D">
      <w:pPr>
        <w:rPr>
          <w:rFonts w:ascii="仿宋_GB2312" w:eastAsia="仿宋_GB2312"/>
          <w:sz w:val="24"/>
        </w:rPr>
      </w:pPr>
    </w:p>
    <w:p w14:paraId="1A8E40EC">
      <w:pPr>
        <w:ind w:firstLine="426" w:firstLineChars="202"/>
        <w:rPr>
          <w:rFonts w:ascii="宋体" w:hAnsi="宋体"/>
          <w:b/>
          <w:szCs w:val="21"/>
        </w:rPr>
      </w:pPr>
      <w:r>
        <w:rPr>
          <w:rFonts w:hint="eastAsia" w:ascii="宋体" w:hAnsi="宋体"/>
          <w:b/>
          <w:szCs w:val="21"/>
        </w:rPr>
        <w:t>备注：</w:t>
      </w:r>
    </w:p>
    <w:p w14:paraId="22D68326">
      <w:pPr>
        <w:ind w:firstLine="426" w:firstLineChars="202"/>
        <w:rPr>
          <w:rFonts w:ascii="宋体" w:hAnsi="宋体"/>
          <w:b/>
          <w:szCs w:val="21"/>
        </w:rPr>
      </w:pPr>
      <w:r>
        <w:rPr>
          <w:rFonts w:hint="eastAsia" w:ascii="宋体" w:hAnsi="宋体"/>
          <w:b/>
          <w:szCs w:val="21"/>
        </w:rPr>
        <w:t>1.本项目为网上电子投标项目，投标文件不需法人或授权委托人另行签字，无需加盖单位公章，招标文件另有规定的除外。</w:t>
      </w:r>
    </w:p>
    <w:p w14:paraId="26895260">
      <w:pPr>
        <w:ind w:firstLine="426" w:firstLineChars="202"/>
        <w:rPr>
          <w:rFonts w:ascii="宋体" w:hAnsi="宋体"/>
          <w:b/>
          <w:szCs w:val="21"/>
        </w:rPr>
      </w:pPr>
      <w:r>
        <w:rPr>
          <w:rFonts w:hint="eastAsia" w:ascii="宋体" w:hAnsi="宋体"/>
          <w:b/>
          <w:szCs w:val="21"/>
        </w:rPr>
        <w:t>2.关于填写“开标一览表”的说明：“开标一览表”中除“投标总价”外，其他信息不作评审依据。</w:t>
      </w:r>
    </w:p>
    <w:p w14:paraId="21A26688">
      <w:pPr>
        <w:jc w:val="left"/>
        <w:rPr>
          <w:rFonts w:ascii="宋体" w:hAnsi="宋体"/>
          <w:b/>
          <w:color w:val="FF0000"/>
          <w:sz w:val="36"/>
          <w:szCs w:val="36"/>
        </w:rPr>
      </w:pPr>
      <w:r>
        <w:rPr>
          <w:rFonts w:hint="eastAsia" w:ascii="宋体" w:hAnsi="宋体"/>
          <w:b/>
          <w:color w:val="FF0000"/>
          <w:sz w:val="36"/>
          <w:szCs w:val="36"/>
        </w:rPr>
        <w:br w:type="page"/>
      </w:r>
    </w:p>
    <w:p w14:paraId="3186C992">
      <w:pPr>
        <w:outlineLvl w:val="1"/>
        <w:rPr>
          <w:rFonts w:ascii="宋体" w:hAnsi="宋体"/>
          <w:b/>
          <w:color w:val="FF0000"/>
          <w:sz w:val="28"/>
          <w:szCs w:val="28"/>
        </w:rPr>
      </w:pPr>
      <w:r>
        <w:rPr>
          <w:rFonts w:hint="eastAsia" w:ascii="宋体" w:hAnsi="宋体"/>
          <w:b/>
          <w:color w:val="FF0000"/>
          <w:sz w:val="28"/>
          <w:szCs w:val="28"/>
        </w:rPr>
        <w:t>投标文件正文（信息公开部分）</w:t>
      </w:r>
    </w:p>
    <w:p w14:paraId="4447AA40">
      <w:pPr>
        <w:pStyle w:val="4"/>
        <w:jc w:val="center"/>
        <w:rPr>
          <w:rFonts w:cs="宋体"/>
          <w:bCs w:val="0"/>
          <w:kern w:val="0"/>
          <w:sz w:val="24"/>
          <w:szCs w:val="24"/>
        </w:rPr>
      </w:pPr>
      <w:r>
        <w:rPr>
          <w:rFonts w:hint="eastAsia" w:cs="宋体"/>
          <w:bCs w:val="0"/>
          <w:kern w:val="0"/>
          <w:sz w:val="24"/>
          <w:szCs w:val="24"/>
        </w:rPr>
        <w:t>一、投标函</w:t>
      </w:r>
    </w:p>
    <w:p w14:paraId="27FA99BF">
      <w:pPr>
        <w:rPr>
          <w:rFonts w:ascii="宋体" w:hAnsi="宋体" w:cs="宋体"/>
          <w:sz w:val="24"/>
        </w:rPr>
      </w:pPr>
      <w:r>
        <w:rPr>
          <w:rFonts w:hint="eastAsia" w:ascii="宋体" w:hAnsi="宋体" w:cs="宋体"/>
          <w:sz w:val="24"/>
        </w:rPr>
        <w:t>致：</w:t>
      </w:r>
      <w:r>
        <w:rPr>
          <w:rFonts w:hint="eastAsia" w:ascii="宋体" w:hAnsi="宋体" w:cs="宋体"/>
          <w:color w:val="FF0000"/>
          <w:sz w:val="24"/>
          <w:u w:val="single"/>
        </w:rPr>
        <w:t>深圳公共资源交易中心</w:t>
      </w:r>
    </w:p>
    <w:p w14:paraId="0B9E7ED1">
      <w:pPr>
        <w:ind w:firstLine="480" w:firstLineChars="200"/>
        <w:rPr>
          <w:rFonts w:ascii="宋体" w:hAnsi="宋体" w:cs="宋体"/>
          <w:sz w:val="24"/>
        </w:rPr>
      </w:pPr>
      <w:bookmarkStart w:id="38" w:name="_Hlk73818812"/>
      <w:r>
        <w:rPr>
          <w:rFonts w:hint="eastAsia" w:ascii="宋体" w:hAnsi="宋体" w:cs="宋体"/>
          <w:sz w:val="24"/>
        </w:rPr>
        <w:t>1、根据已收到贵单位的</w:t>
      </w:r>
      <w:r>
        <w:rPr>
          <w:rFonts w:hint="eastAsia" w:ascii="宋体" w:hAnsi="宋体" w:cs="宋体"/>
          <w:sz w:val="24"/>
          <w:u w:val="single"/>
        </w:rPr>
        <w:t xml:space="preserve">           </w:t>
      </w:r>
      <w:r>
        <w:rPr>
          <w:rFonts w:hint="eastAsia" w:ascii="宋体" w:hAnsi="宋体" w:cs="宋体"/>
          <w:sz w:val="24"/>
        </w:rPr>
        <w:t>项目编号为</w:t>
      </w:r>
      <w:r>
        <w:rPr>
          <w:rFonts w:hint="eastAsia" w:ascii="宋体" w:hAnsi="宋体" w:cs="宋体"/>
          <w:sz w:val="24"/>
          <w:u w:val="single"/>
        </w:rPr>
        <w:t xml:space="preserve">          </w:t>
      </w:r>
      <w:r>
        <w:rPr>
          <w:rFonts w:hint="eastAsia" w:ascii="宋体" w:hAnsi="宋体" w:cs="宋体"/>
          <w:sz w:val="24"/>
        </w:rPr>
        <w:t>的项目的招标文件，遵照《深圳经济特区政府采购条例》和《深圳网上政府采购管理暂行办法》等有关规定，我单位经研究上述招标文件的专用条款及通用条款后，</w:t>
      </w:r>
      <w:bookmarkStart w:id="39" w:name="_Hlk72263588"/>
      <w:r>
        <w:rPr>
          <w:rFonts w:hint="eastAsia" w:ascii="宋体" w:hAnsi="宋体" w:cs="宋体"/>
          <w:sz w:val="24"/>
        </w:rPr>
        <w:t>愿意按照招标文件要求承包上述项目并修补其任何缺陷。</w:t>
      </w:r>
      <w:bookmarkEnd w:id="39"/>
    </w:p>
    <w:p w14:paraId="0A951BCF">
      <w:pPr>
        <w:ind w:firstLine="480" w:firstLineChars="200"/>
        <w:rPr>
          <w:rFonts w:ascii="宋体" w:hAnsi="宋体" w:cs="宋体"/>
          <w:sz w:val="24"/>
        </w:rPr>
      </w:pPr>
      <w:r>
        <w:rPr>
          <w:rFonts w:hint="eastAsia" w:ascii="宋体" w:hAnsi="宋体" w:cs="宋体"/>
          <w:sz w:val="24"/>
        </w:rPr>
        <w:t>2、投标价格见投标书编制软件中《开标一览表》中填写的投标总价。</w:t>
      </w:r>
    </w:p>
    <w:p w14:paraId="57FDFA72">
      <w:pPr>
        <w:ind w:firstLine="480" w:firstLineChars="200"/>
        <w:rPr>
          <w:rFonts w:ascii="宋体" w:hAnsi="宋体" w:cs="宋体"/>
          <w:sz w:val="24"/>
        </w:rPr>
      </w:pPr>
      <w:r>
        <w:rPr>
          <w:rFonts w:hint="eastAsia" w:ascii="宋体" w:hAnsi="宋体" w:cs="宋体"/>
          <w:sz w:val="24"/>
        </w:rPr>
        <w:t>3、如果我单位中标，我单位将按照招标文件的要求足额提交履约担保。</w:t>
      </w:r>
    </w:p>
    <w:p w14:paraId="2283AB37">
      <w:pPr>
        <w:ind w:firstLine="480" w:firstLineChars="200"/>
        <w:rPr>
          <w:rFonts w:ascii="宋体" w:hAnsi="宋体" w:cs="宋体"/>
          <w:sz w:val="24"/>
        </w:rPr>
      </w:pPr>
      <w:r>
        <w:rPr>
          <w:rFonts w:hint="eastAsia" w:ascii="宋体" w:hAnsi="宋体" w:cs="宋体"/>
          <w:sz w:val="24"/>
        </w:rPr>
        <w:t>4、我单位同意所递交的投标文件在“对通用条款的补充内容”中明确的投标有效期内有效，在此期间内我单位的投标有可能中标，我方将受此约束。</w:t>
      </w:r>
    </w:p>
    <w:p w14:paraId="5F1B4A4C">
      <w:pPr>
        <w:ind w:firstLine="480" w:firstLineChars="200"/>
        <w:rPr>
          <w:rFonts w:ascii="宋体" w:hAnsi="宋体" w:cs="宋体"/>
          <w:sz w:val="24"/>
        </w:rPr>
      </w:pPr>
      <w:r>
        <w:rPr>
          <w:rFonts w:hint="eastAsia" w:ascii="宋体" w:hAnsi="宋体" w:cs="宋体"/>
          <w:sz w:val="24"/>
        </w:rPr>
        <w:t>5、除非另外达成协议并生效，贵单位的中标通知书和本投标文件将构成合同的重要内容。</w:t>
      </w:r>
    </w:p>
    <w:p w14:paraId="2206B766">
      <w:pPr>
        <w:ind w:left="420" w:leftChars="200"/>
        <w:rPr>
          <w:rFonts w:ascii="宋体" w:hAnsi="宋体" w:cs="宋体"/>
          <w:sz w:val="24"/>
        </w:rPr>
      </w:pPr>
      <w:r>
        <w:rPr>
          <w:rFonts w:hint="eastAsia" w:ascii="宋体" w:hAnsi="宋体" w:cs="宋体"/>
          <w:sz w:val="24"/>
        </w:rPr>
        <w:t>6、我单位理解贵单位将不受必须接受所收到的最低报价或其它任何投标文件的约束。</w:t>
      </w:r>
      <w:bookmarkEnd w:id="38"/>
    </w:p>
    <w:p w14:paraId="12A58D43">
      <w:pPr>
        <w:ind w:left="420" w:leftChars="200"/>
        <w:rPr>
          <w:rFonts w:ascii="宋体" w:hAnsi="宋体" w:cs="宋体"/>
          <w:b/>
          <w:sz w:val="24"/>
        </w:rPr>
      </w:pPr>
      <w:r>
        <w:rPr>
          <w:rFonts w:hint="eastAsia" w:ascii="宋体" w:hAnsi="宋体" w:cs="宋体"/>
          <w:b/>
          <w:sz w:val="24"/>
        </w:rPr>
        <w:t>7、如我单位提交样品，且未在规定时间内取回样品的，视同放弃取回，同意深圳公共资源交易中心对我单位提交的样品进行清理。</w:t>
      </w:r>
    </w:p>
    <w:p w14:paraId="5524297B">
      <w:pPr>
        <w:ind w:left="420" w:leftChars="200" w:firstLine="240" w:firstLineChars="100"/>
        <w:rPr>
          <w:rFonts w:ascii="宋体" w:hAnsi="宋体" w:cs="宋体"/>
          <w:sz w:val="24"/>
        </w:rPr>
      </w:pPr>
      <w:r>
        <w:rPr>
          <w:rFonts w:hint="eastAsia" w:ascii="宋体" w:hAnsi="宋体" w:cs="宋体"/>
          <w:sz w:val="24"/>
        </w:rPr>
        <w:t>投标人：</w:t>
      </w:r>
      <w:r>
        <w:rPr>
          <w:rFonts w:hint="eastAsia" w:ascii="宋体" w:hAnsi="宋体" w:cs="宋体"/>
          <w:sz w:val="24"/>
          <w:u w:val="thick"/>
        </w:rPr>
        <w:t xml:space="preserve">       </w:t>
      </w:r>
      <w:r>
        <w:rPr>
          <w:rFonts w:hint="eastAsia" w:ascii="宋体" w:hAnsi="宋体" w:cs="宋体"/>
          <w:sz w:val="24"/>
        </w:rPr>
        <w:t>；  单位地址：</w:t>
      </w:r>
      <w:r>
        <w:rPr>
          <w:rFonts w:hint="eastAsia" w:ascii="宋体" w:hAnsi="宋体" w:cs="宋体"/>
          <w:sz w:val="24"/>
          <w:u w:val="thick"/>
        </w:rPr>
        <w:t xml:space="preserve">                    </w:t>
      </w:r>
      <w:r>
        <w:rPr>
          <w:rFonts w:hint="eastAsia" w:ascii="宋体" w:hAnsi="宋体" w:cs="宋体"/>
          <w:sz w:val="24"/>
        </w:rPr>
        <w:t>；</w:t>
      </w:r>
    </w:p>
    <w:p w14:paraId="44CD0BF7">
      <w:pPr>
        <w:ind w:left="420" w:leftChars="200" w:firstLine="240" w:firstLineChars="100"/>
        <w:rPr>
          <w:rFonts w:ascii="宋体" w:hAnsi="宋体" w:cs="宋体"/>
          <w:sz w:val="24"/>
        </w:rPr>
      </w:pPr>
      <w:r>
        <w:rPr>
          <w:rFonts w:hint="eastAsia" w:ascii="宋体" w:hAnsi="宋体" w:cs="宋体"/>
          <w:sz w:val="24"/>
        </w:rPr>
        <w:t>法定代表人（负责人）或其授权委托代理人：</w:t>
      </w:r>
      <w:r>
        <w:rPr>
          <w:rFonts w:hint="eastAsia" w:ascii="宋体" w:hAnsi="宋体" w:cs="宋体"/>
          <w:sz w:val="24"/>
          <w:u w:val="thick"/>
        </w:rPr>
        <w:t xml:space="preserve">         </w:t>
      </w:r>
      <w:r>
        <w:rPr>
          <w:rFonts w:hint="eastAsia" w:ascii="宋体" w:hAnsi="宋体" w:cs="宋体"/>
          <w:sz w:val="24"/>
        </w:rPr>
        <w:t>；</w:t>
      </w:r>
    </w:p>
    <w:p w14:paraId="4E383535">
      <w:pPr>
        <w:ind w:left="420" w:leftChars="200" w:firstLine="240" w:firstLineChars="100"/>
        <w:rPr>
          <w:rFonts w:ascii="宋体" w:hAnsi="宋体" w:cs="宋体"/>
          <w:sz w:val="24"/>
        </w:rPr>
      </w:pPr>
      <w:r>
        <w:rPr>
          <w:rFonts w:hint="eastAsia" w:ascii="宋体" w:hAnsi="宋体" w:cs="宋体"/>
          <w:sz w:val="24"/>
        </w:rPr>
        <w:t>电话：</w:t>
      </w:r>
      <w:r>
        <w:rPr>
          <w:rFonts w:hint="eastAsia" w:ascii="宋体" w:hAnsi="宋体" w:cs="宋体"/>
          <w:sz w:val="24"/>
          <w:u w:val="thick"/>
        </w:rPr>
        <w:t xml:space="preserve">         </w:t>
      </w:r>
      <w:r>
        <w:rPr>
          <w:rFonts w:hint="eastAsia" w:ascii="宋体" w:hAnsi="宋体" w:cs="宋体"/>
          <w:sz w:val="24"/>
        </w:rPr>
        <w:t xml:space="preserve"> ；     </w:t>
      </w:r>
    </w:p>
    <w:p w14:paraId="334B3BEC">
      <w:pPr>
        <w:ind w:firstLine="720" w:firstLineChars="300"/>
        <w:rPr>
          <w:rFonts w:ascii="宋体" w:hAnsi="宋体" w:cs="宋体"/>
          <w:sz w:val="24"/>
        </w:rPr>
      </w:pPr>
      <w:r>
        <w:rPr>
          <w:rFonts w:hint="eastAsia" w:ascii="宋体" w:hAnsi="宋体" w:cs="宋体"/>
          <w:sz w:val="24"/>
        </w:rPr>
        <w:t>日期：</w:t>
      </w:r>
      <w:r>
        <w:rPr>
          <w:rFonts w:hint="eastAsia" w:ascii="宋体" w:hAnsi="宋体" w:cs="宋体"/>
          <w:sz w:val="24"/>
          <w:u w:val="thick"/>
        </w:rPr>
        <w:t xml:space="preserve">       </w:t>
      </w:r>
      <w:r>
        <w:rPr>
          <w:rFonts w:hint="eastAsia" w:ascii="宋体" w:hAnsi="宋体" w:cs="宋体"/>
          <w:sz w:val="24"/>
        </w:rPr>
        <w:t>年</w:t>
      </w:r>
      <w:r>
        <w:rPr>
          <w:rFonts w:hint="eastAsia" w:ascii="宋体" w:hAnsi="宋体" w:cs="宋体"/>
          <w:sz w:val="24"/>
          <w:u w:val="thick"/>
        </w:rPr>
        <w:t xml:space="preserve">     </w:t>
      </w:r>
      <w:r>
        <w:rPr>
          <w:rFonts w:hint="eastAsia" w:ascii="宋体" w:hAnsi="宋体" w:cs="宋体"/>
          <w:sz w:val="24"/>
        </w:rPr>
        <w:t>月</w:t>
      </w:r>
      <w:r>
        <w:rPr>
          <w:rFonts w:hint="eastAsia" w:ascii="宋体" w:hAnsi="宋体" w:cs="宋体"/>
          <w:sz w:val="24"/>
          <w:u w:val="thick"/>
        </w:rPr>
        <w:t xml:space="preserve">    </w:t>
      </w:r>
      <w:r>
        <w:rPr>
          <w:rFonts w:hint="eastAsia" w:ascii="宋体" w:hAnsi="宋体" w:cs="宋体"/>
          <w:sz w:val="24"/>
        </w:rPr>
        <w:t xml:space="preserve">日 </w:t>
      </w:r>
    </w:p>
    <w:p w14:paraId="3079B24D">
      <w:pPr>
        <w:rPr>
          <w:rFonts w:ascii="宋体" w:hAnsi="宋体" w:cs="宋体"/>
          <w:sz w:val="24"/>
        </w:rPr>
      </w:pPr>
    </w:p>
    <w:p w14:paraId="1A2D19C0">
      <w:pPr>
        <w:rPr>
          <w:rFonts w:ascii="宋体" w:hAnsi="宋体" w:cs="宋体"/>
          <w:sz w:val="24"/>
        </w:rPr>
      </w:pPr>
    </w:p>
    <w:p w14:paraId="2583A574">
      <w:pPr>
        <w:rPr>
          <w:rFonts w:ascii="宋体" w:hAnsi="宋体" w:cs="宋体"/>
          <w:sz w:val="24"/>
        </w:rPr>
      </w:pPr>
    </w:p>
    <w:p w14:paraId="2B05C982">
      <w:pPr>
        <w:rPr>
          <w:rFonts w:ascii="宋体" w:hAnsi="宋体" w:cs="宋体"/>
          <w:sz w:val="24"/>
        </w:rPr>
      </w:pPr>
    </w:p>
    <w:p w14:paraId="4A6E8297">
      <w:pPr>
        <w:pStyle w:val="4"/>
        <w:jc w:val="center"/>
        <w:rPr>
          <w:rFonts w:cs="宋体"/>
          <w:bCs w:val="0"/>
          <w:kern w:val="0"/>
          <w:sz w:val="24"/>
          <w:szCs w:val="24"/>
        </w:rPr>
      </w:pPr>
      <w:r>
        <w:rPr>
          <w:rFonts w:hint="eastAsia" w:cs="宋体"/>
          <w:bCs w:val="0"/>
          <w:kern w:val="0"/>
          <w:sz w:val="24"/>
          <w:szCs w:val="24"/>
        </w:rPr>
        <w:t>二、政府采购投标及履约承诺函</w:t>
      </w:r>
    </w:p>
    <w:p w14:paraId="2D26D92B">
      <w:pPr>
        <w:rPr>
          <w:rFonts w:ascii="宋体" w:hAnsi="宋体" w:cs="宋体"/>
          <w:sz w:val="24"/>
        </w:rPr>
      </w:pPr>
    </w:p>
    <w:p w14:paraId="2DD4EEFC">
      <w:pPr>
        <w:rPr>
          <w:rFonts w:ascii="宋体" w:hAnsi="宋体" w:cs="宋体"/>
          <w:color w:val="FF0000"/>
          <w:sz w:val="24"/>
        </w:rPr>
      </w:pPr>
      <w:r>
        <w:rPr>
          <w:rFonts w:hint="eastAsia" w:ascii="宋体" w:hAnsi="宋体" w:cs="宋体"/>
          <w:color w:val="FF0000"/>
          <w:sz w:val="24"/>
        </w:rPr>
        <w:t>致：</w:t>
      </w:r>
      <w:r>
        <w:rPr>
          <w:rFonts w:hint="eastAsia" w:ascii="宋体" w:hAnsi="宋体" w:cs="宋体"/>
          <w:color w:val="FF0000"/>
          <w:sz w:val="24"/>
          <w:u w:val="single"/>
        </w:rPr>
        <w:t>深圳公共资源交易中心</w:t>
      </w:r>
    </w:p>
    <w:p w14:paraId="7CDE4687">
      <w:pPr>
        <w:ind w:right="-815" w:firstLine="480" w:firstLineChars="200"/>
        <w:rPr>
          <w:rFonts w:ascii="宋体" w:hAnsi="宋体" w:cs="宋体"/>
          <w:sz w:val="24"/>
        </w:rPr>
      </w:pPr>
      <w:r>
        <w:rPr>
          <w:rFonts w:hint="eastAsia" w:ascii="宋体" w:hAnsi="宋体" w:cs="宋体"/>
          <w:sz w:val="24"/>
        </w:rPr>
        <w:t>我单位承诺：</w:t>
      </w:r>
    </w:p>
    <w:p w14:paraId="1F50E57A">
      <w:pPr>
        <w:ind w:firstLine="480" w:firstLineChars="200"/>
        <w:rPr>
          <w:rFonts w:ascii="宋体" w:hAnsi="宋体" w:cs="宋体"/>
          <w:sz w:val="24"/>
        </w:rPr>
      </w:pPr>
      <w:r>
        <w:rPr>
          <w:rFonts w:hint="eastAsia" w:ascii="宋体" w:hAnsi="宋体" w:cs="宋体"/>
          <w:sz w:val="24"/>
        </w:rPr>
        <w:t>1.我单位参与本项目所投标（响应）的货物、工程或服务，不存在侵犯知识产权的情况。</w:t>
      </w:r>
    </w:p>
    <w:p w14:paraId="241EF6DA">
      <w:pPr>
        <w:ind w:firstLine="480" w:firstLineChars="200"/>
        <w:rPr>
          <w:rFonts w:ascii="宋体" w:hAnsi="宋体" w:cs="宋体"/>
          <w:sz w:val="24"/>
        </w:rPr>
      </w:pPr>
      <w:r>
        <w:rPr>
          <w:rFonts w:hint="eastAsia" w:ascii="宋体" w:hAnsi="宋体" w:cs="宋体"/>
          <w:sz w:val="24"/>
        </w:rPr>
        <w:t>2.我单位参与本项目政府采购活动时不存在被有关部门禁止参与政府采购活动且在有效期内的情况。</w:t>
      </w:r>
    </w:p>
    <w:p w14:paraId="1D5E66A2">
      <w:pPr>
        <w:ind w:firstLine="480" w:firstLineChars="200"/>
        <w:rPr>
          <w:rFonts w:ascii="宋体" w:hAnsi="宋体" w:cs="宋体"/>
          <w:sz w:val="24"/>
        </w:rPr>
      </w:pPr>
      <w:r>
        <w:rPr>
          <w:rFonts w:hint="eastAsia" w:ascii="宋体" w:hAnsi="宋体" w:cs="宋体"/>
          <w:sz w:val="24"/>
        </w:rPr>
        <w:t>3.我单位具备《中华人民共和国政府采购法》第二十二条第一款规定的六项条件。</w:t>
      </w:r>
    </w:p>
    <w:p w14:paraId="7A349A30">
      <w:pPr>
        <w:ind w:firstLine="480" w:firstLineChars="200"/>
        <w:rPr>
          <w:rFonts w:ascii="宋体" w:hAnsi="宋体" w:cs="宋体"/>
          <w:sz w:val="24"/>
        </w:rPr>
      </w:pPr>
      <w:r>
        <w:rPr>
          <w:rFonts w:hint="eastAsia" w:ascii="宋体" w:hAnsi="宋体" w:cs="宋体"/>
          <w:sz w:val="24"/>
        </w:rPr>
        <w:t>4.我单位未被列入失信被执行人、重大税收违法失信主体、政府采购严重违法失信行为记录名单。</w:t>
      </w:r>
    </w:p>
    <w:p w14:paraId="7C3A6861">
      <w:pPr>
        <w:ind w:firstLine="480" w:firstLineChars="200"/>
        <w:rPr>
          <w:rFonts w:ascii="宋体" w:hAnsi="宋体" w:cs="宋体"/>
          <w:sz w:val="24"/>
        </w:rPr>
      </w:pPr>
      <w:r>
        <w:rPr>
          <w:rFonts w:hint="eastAsia" w:ascii="宋体" w:hAnsi="宋体" w:cs="宋体"/>
          <w:color w:val="FF0000"/>
          <w:sz w:val="24"/>
        </w:rPr>
        <w:t>5.我单位不存在《深圳市财政局政府采购供应商信用信息管理办法》（深财规〔2023〕3号）列明的严重违法失信行为。</w:t>
      </w:r>
    </w:p>
    <w:p w14:paraId="4F05D43C">
      <w:pPr>
        <w:ind w:firstLine="480" w:firstLineChars="200"/>
        <w:rPr>
          <w:rFonts w:ascii="宋体" w:hAnsi="宋体" w:cs="宋体"/>
          <w:sz w:val="24"/>
        </w:rPr>
      </w:pPr>
      <w:r>
        <w:rPr>
          <w:rFonts w:hint="eastAsia" w:ascii="宋体" w:hAnsi="宋体" w:cs="宋体"/>
          <w:sz w:val="24"/>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3FA04149">
      <w:pPr>
        <w:ind w:firstLine="480" w:firstLineChars="200"/>
        <w:rPr>
          <w:rFonts w:ascii="宋体" w:hAnsi="宋体" w:cs="宋体"/>
          <w:sz w:val="24"/>
        </w:rPr>
      </w:pPr>
      <w:r>
        <w:rPr>
          <w:rFonts w:hint="eastAsia" w:ascii="宋体" w:hAnsi="宋体" w:cs="宋体"/>
          <w:sz w:val="24"/>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65B70683">
      <w:pPr>
        <w:ind w:firstLine="480" w:firstLineChars="200"/>
        <w:rPr>
          <w:rFonts w:ascii="宋体" w:hAnsi="宋体" w:cs="宋体"/>
          <w:sz w:val="24"/>
        </w:rPr>
      </w:pPr>
      <w:r>
        <w:rPr>
          <w:rFonts w:hint="eastAsia" w:ascii="宋体" w:hAnsi="宋体" w:cs="宋体"/>
          <w:sz w:val="24"/>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3E2D0B69">
      <w:pPr>
        <w:ind w:firstLine="480" w:firstLineChars="200"/>
        <w:rPr>
          <w:rFonts w:ascii="宋体" w:hAnsi="宋体" w:cs="宋体"/>
          <w:sz w:val="24"/>
        </w:rPr>
      </w:pPr>
      <w:r>
        <w:rPr>
          <w:rFonts w:hint="eastAsia" w:ascii="宋体" w:hAnsi="宋体" w:cs="宋体"/>
          <w:sz w:val="24"/>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0C6EA0A4">
      <w:pPr>
        <w:ind w:firstLine="480" w:firstLineChars="200"/>
        <w:rPr>
          <w:rFonts w:ascii="宋体" w:hAnsi="宋体" w:cs="宋体"/>
          <w:sz w:val="24"/>
        </w:rPr>
      </w:pPr>
      <w:r>
        <w:rPr>
          <w:rFonts w:hint="eastAsia" w:ascii="宋体" w:hAnsi="宋体" w:cs="宋体"/>
          <w:sz w:val="24"/>
        </w:rPr>
        <w:t>9.我单位承诺中标后项目不转包，未经采购人同意不进行分包。</w:t>
      </w:r>
    </w:p>
    <w:p w14:paraId="4B75B86A">
      <w:pPr>
        <w:ind w:firstLine="480" w:firstLineChars="200"/>
        <w:rPr>
          <w:rFonts w:ascii="宋体" w:hAnsi="宋体" w:cs="宋体"/>
          <w:sz w:val="24"/>
        </w:rPr>
      </w:pPr>
      <w:r>
        <w:rPr>
          <w:rFonts w:hint="eastAsia" w:ascii="宋体" w:hAnsi="宋体" w:cs="宋体"/>
          <w:sz w:val="24"/>
        </w:rPr>
        <w:t>10.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2D2A220E">
      <w:pPr>
        <w:ind w:firstLine="480" w:firstLineChars="200"/>
        <w:rPr>
          <w:rFonts w:ascii="宋体" w:hAnsi="宋体" w:cs="宋体"/>
          <w:b/>
          <w:kern w:val="0"/>
          <w:sz w:val="24"/>
        </w:rPr>
      </w:pPr>
      <w:r>
        <w:rPr>
          <w:rFonts w:hint="eastAsia" w:ascii="宋体" w:hAnsi="宋体" w:cs="宋体"/>
          <w:sz w:val="24"/>
        </w:rPr>
        <w:t>11.</w:t>
      </w:r>
      <w:r>
        <w:rPr>
          <w:rFonts w:ascii="宋体" w:hAnsi="宋体" w:cs="宋体"/>
          <w:sz w:val="24"/>
        </w:rPr>
        <w:t>我单位保证，若所投货物涉及《财政部生态环境部关于印发节能产品政府采购品目清单的通知》（财库〔2019〕19号）列明的政府采购</w:t>
      </w:r>
      <w:r>
        <w:rPr>
          <w:rFonts w:hint="eastAsia" w:ascii="宋体" w:hAnsi="宋体" w:cs="宋体"/>
          <w:sz w:val="24"/>
          <w:lang w:eastAsia="zh-CN"/>
        </w:rPr>
        <w:t>强制性产品</w:t>
      </w:r>
      <w:r>
        <w:rPr>
          <w:rFonts w:ascii="宋体" w:hAnsi="宋体" w:cs="宋体"/>
          <w:sz w:val="24"/>
        </w:rPr>
        <w:t>，则所投该产品符合节能产品的认证要求。若所投产品包括数据中心相关设备的，应满足财政部《绿色数据中心政府采购需求标准（试行）》（财办库〔2023〕7号）要求。</w:t>
      </w:r>
    </w:p>
    <w:p w14:paraId="75FF482D">
      <w:pPr>
        <w:ind w:firstLine="480" w:firstLineChars="200"/>
        <w:rPr>
          <w:rFonts w:ascii="宋体" w:hAnsi="宋体" w:cs="宋体"/>
          <w:bCs/>
          <w:sz w:val="24"/>
        </w:rPr>
      </w:pPr>
      <w:r>
        <w:rPr>
          <w:rFonts w:hint="eastAsia" w:ascii="宋体" w:hAnsi="宋体" w:cs="宋体"/>
          <w:bCs/>
          <w:kern w:val="0"/>
          <w:sz w:val="24"/>
        </w:rPr>
        <w:t>12.</w:t>
      </w:r>
      <w:r>
        <w:rPr>
          <w:rFonts w:hint="eastAsia" w:ascii="宋体" w:hAnsi="宋体" w:cs="宋体"/>
          <w:bCs/>
          <w:sz w:val="24"/>
        </w:rPr>
        <w:t>我单位已知悉并同意中标（成交）结果信息公示（公开）的内容。</w:t>
      </w:r>
    </w:p>
    <w:p w14:paraId="1227302E">
      <w:pPr>
        <w:ind w:firstLine="480" w:firstLineChars="200"/>
        <w:rPr>
          <w:rFonts w:ascii="宋体" w:hAnsi="宋体" w:cs="宋体"/>
          <w:bCs/>
          <w:sz w:val="24"/>
        </w:rPr>
      </w:pPr>
      <w:r>
        <w:rPr>
          <w:rFonts w:hint="eastAsia" w:ascii="宋体" w:hAnsi="宋体" w:cs="宋体"/>
          <w:bCs/>
          <w:sz w:val="24"/>
        </w:rPr>
        <w:t>13.我单位保证，符合《中华人民共和国政府采购法实施条例》第十八条规定，与其他投标供应商不存在单位负责人为同一人或者存在直接控股、管理关系；不存在为本次采购项目提供整体设计、规范编制或者项目管理、监理、检测等服务的情形。若存在“不同供应商的董事、股东或其他高级管理人员为同一人的”情形的，我单位保证不存在串通投标、恶意串通或者视为串通投标的情形。</w:t>
      </w:r>
    </w:p>
    <w:p w14:paraId="78608E56">
      <w:pPr>
        <w:ind w:firstLine="482" w:firstLineChars="200"/>
        <w:rPr>
          <w:rFonts w:ascii="宋体" w:hAnsi="宋体" w:cs="宋体"/>
          <w:b/>
          <w:sz w:val="24"/>
        </w:rPr>
      </w:pPr>
      <w:r>
        <w:rPr>
          <w:rFonts w:hint="eastAsia" w:ascii="宋体" w:hAnsi="宋体" w:cs="宋体"/>
          <w:b/>
          <w:sz w:val="24"/>
        </w:rPr>
        <w:t>14.我单位清楚，如存在违反投标承诺行为情节严重的，将根据《深圳市财政局关于印发&lt;深圳市财政局政府采购供应商信用信息管理办法&gt;的通知》，依法被列入失信信息。</w:t>
      </w:r>
    </w:p>
    <w:p w14:paraId="27FA49C4">
      <w:pPr>
        <w:pStyle w:val="2"/>
        <w:spacing w:line="240" w:lineRule="auto"/>
        <w:ind w:firstLine="482" w:firstLineChars="200"/>
        <w:rPr>
          <w:rFonts w:ascii="宋体" w:hAnsi="宋体" w:cs="宋体"/>
        </w:rPr>
      </w:pPr>
    </w:p>
    <w:p w14:paraId="61A6C9EC">
      <w:pPr>
        <w:ind w:firstLine="480" w:firstLineChars="200"/>
        <w:rPr>
          <w:rFonts w:ascii="宋体" w:hAnsi="宋体" w:cs="宋体"/>
          <w:sz w:val="24"/>
        </w:rPr>
      </w:pPr>
      <w:r>
        <w:rPr>
          <w:rFonts w:hint="eastAsia" w:ascii="宋体" w:hAnsi="宋体" w:cs="宋体"/>
          <w:sz w:val="24"/>
        </w:rPr>
        <w:t>以上承诺，如有违反，愿依照国家相关法律法规处理，并承担由此给采购人带来的损失。</w:t>
      </w:r>
    </w:p>
    <w:p w14:paraId="19E844CB">
      <w:pPr>
        <w:spacing w:before="60" w:beforeLines="25" w:after="60" w:afterLines="25"/>
        <w:ind w:firstLine="6240" w:firstLineChars="2600"/>
        <w:rPr>
          <w:color w:val="FF0000"/>
          <w:sz w:val="24"/>
        </w:rPr>
      </w:pPr>
      <w:r>
        <w:rPr>
          <w:rFonts w:hint="eastAsia"/>
          <w:color w:val="FF0000"/>
          <w:sz w:val="24"/>
        </w:rPr>
        <w:t>投标人：</w:t>
      </w:r>
      <w:r>
        <w:rPr>
          <w:rFonts w:hint="eastAsia"/>
          <w:color w:val="FF0000"/>
          <w:sz w:val="24"/>
          <w:u w:val="single"/>
        </w:rPr>
        <w:t xml:space="preserve">              </w:t>
      </w:r>
    </w:p>
    <w:p w14:paraId="75A8ED6A">
      <w:pPr>
        <w:ind w:firstLine="645"/>
        <w:rPr>
          <w:rFonts w:ascii="宋体" w:hAnsi="宋体"/>
          <w:color w:val="FF0000"/>
          <w:sz w:val="24"/>
        </w:rPr>
      </w:pPr>
      <w:r>
        <w:rPr>
          <w:rFonts w:hint="eastAsia" w:ascii="宋体" w:hAnsi="宋体"/>
          <w:color w:val="FF0000"/>
          <w:sz w:val="24"/>
        </w:rPr>
        <w:t xml:space="preserve">                                          日期：</w:t>
      </w:r>
      <w:r>
        <w:rPr>
          <w:rFonts w:hint="eastAsia" w:ascii="宋体" w:hAnsi="宋体"/>
          <w:color w:val="FF0000"/>
          <w:sz w:val="24"/>
          <w:u w:val="single"/>
        </w:rPr>
        <w:t xml:space="preserve">    </w:t>
      </w:r>
      <w:r>
        <w:rPr>
          <w:rFonts w:hint="eastAsia" w:ascii="宋体" w:hAnsi="宋体"/>
          <w:color w:val="FF0000"/>
          <w:sz w:val="24"/>
        </w:rPr>
        <w:t>年</w:t>
      </w:r>
      <w:r>
        <w:rPr>
          <w:rFonts w:hint="eastAsia" w:ascii="宋体" w:hAnsi="宋体"/>
          <w:color w:val="FF0000"/>
          <w:sz w:val="24"/>
          <w:u w:val="single"/>
        </w:rPr>
        <w:t xml:space="preserve">   </w:t>
      </w:r>
      <w:r>
        <w:rPr>
          <w:rFonts w:hint="eastAsia" w:ascii="宋体" w:hAnsi="宋体"/>
          <w:color w:val="FF0000"/>
          <w:sz w:val="24"/>
        </w:rPr>
        <w:t>月</w:t>
      </w:r>
      <w:r>
        <w:rPr>
          <w:rFonts w:hint="eastAsia" w:ascii="宋体" w:hAnsi="宋体"/>
          <w:color w:val="FF0000"/>
          <w:sz w:val="24"/>
          <w:u w:val="single"/>
        </w:rPr>
        <w:t xml:space="preserve">   </w:t>
      </w:r>
      <w:r>
        <w:rPr>
          <w:rFonts w:hint="eastAsia" w:ascii="宋体" w:hAnsi="宋体"/>
          <w:color w:val="FF0000"/>
          <w:sz w:val="24"/>
        </w:rPr>
        <w:t>日</w:t>
      </w:r>
    </w:p>
    <w:p w14:paraId="000584D9">
      <w:pPr>
        <w:rPr>
          <w:rFonts w:ascii="宋体" w:hAnsi="宋体" w:cs="宋体"/>
          <w:sz w:val="24"/>
        </w:rPr>
      </w:pPr>
    </w:p>
    <w:p w14:paraId="4CBF212D">
      <w:pPr>
        <w:rPr>
          <w:rFonts w:ascii="宋体" w:hAnsi="宋体" w:cs="宋体"/>
          <w:sz w:val="24"/>
        </w:rPr>
      </w:pPr>
    </w:p>
    <w:p w14:paraId="7F2EF2E1">
      <w:pPr>
        <w:rPr>
          <w:rFonts w:ascii="宋体" w:hAnsi="宋体" w:cs="宋体"/>
          <w:sz w:val="24"/>
        </w:rPr>
      </w:pPr>
    </w:p>
    <w:p w14:paraId="6BFC2422">
      <w:pPr>
        <w:rPr>
          <w:rFonts w:ascii="宋体" w:hAnsi="宋体" w:cs="宋体"/>
          <w:sz w:val="24"/>
        </w:rPr>
      </w:pPr>
    </w:p>
    <w:p w14:paraId="4C96D296">
      <w:pPr>
        <w:rPr>
          <w:rFonts w:ascii="宋体" w:hAnsi="宋体" w:cs="宋体"/>
          <w:sz w:val="24"/>
        </w:rPr>
      </w:pPr>
    </w:p>
    <w:p w14:paraId="0AA6BC48">
      <w:pPr>
        <w:pStyle w:val="4"/>
        <w:spacing w:before="120" w:after="120"/>
        <w:jc w:val="center"/>
        <w:rPr>
          <w:rFonts w:cs="宋体"/>
          <w:bCs w:val="0"/>
          <w:kern w:val="0"/>
          <w:sz w:val="24"/>
          <w:szCs w:val="24"/>
        </w:rPr>
      </w:pPr>
    </w:p>
    <w:p w14:paraId="0A738092">
      <w:pPr>
        <w:pStyle w:val="4"/>
        <w:spacing w:before="120" w:after="120"/>
        <w:jc w:val="center"/>
        <w:rPr>
          <w:rFonts w:cs="宋体"/>
          <w:bCs w:val="0"/>
          <w:kern w:val="0"/>
          <w:sz w:val="24"/>
          <w:szCs w:val="24"/>
        </w:rPr>
      </w:pPr>
      <w:r>
        <w:rPr>
          <w:rFonts w:hint="eastAsia" w:cs="宋体"/>
          <w:bCs w:val="0"/>
          <w:kern w:val="0"/>
          <w:sz w:val="24"/>
          <w:szCs w:val="24"/>
        </w:rPr>
        <w:t>三、投标人情况及资格证明文件</w:t>
      </w:r>
    </w:p>
    <w:p w14:paraId="7443BE65">
      <w:pPr>
        <w:ind w:firstLine="2650" w:firstLineChars="1100"/>
        <w:outlineLvl w:val="3"/>
        <w:rPr>
          <w:rFonts w:ascii="宋体" w:hAnsi="宋体" w:cs="宋体"/>
          <w:b/>
          <w:kern w:val="0"/>
          <w:sz w:val="24"/>
        </w:rPr>
      </w:pPr>
      <w:r>
        <w:rPr>
          <w:rFonts w:hint="eastAsia" w:ascii="宋体" w:hAnsi="宋体" w:cs="宋体"/>
          <w:b/>
          <w:kern w:val="0"/>
          <w:sz w:val="24"/>
        </w:rPr>
        <w:t>（一）投标人资格证明文件</w:t>
      </w:r>
    </w:p>
    <w:p w14:paraId="3818DD29">
      <w:pPr>
        <w:spacing w:before="120" w:beforeLines="50"/>
        <w:ind w:firstLine="482" w:firstLineChars="200"/>
        <w:rPr>
          <w:rFonts w:ascii="宋体" w:hAnsi="宋体" w:cs="宋体"/>
          <w:b/>
          <w:bCs/>
          <w:color w:val="FF0000"/>
          <w:sz w:val="24"/>
        </w:rPr>
      </w:pPr>
      <w:r>
        <w:rPr>
          <w:rFonts w:hint="eastAsia" w:ascii="宋体" w:hAnsi="宋体" w:cs="宋体"/>
          <w:b/>
          <w:bCs/>
          <w:color w:val="FF0000"/>
          <w:sz w:val="24"/>
        </w:rPr>
        <w:t>（特别提示：投标人须按本招标文件第一册第一章招标公告“申请人的资格要求”（即投标人资格要求）提供相关的资格证明资料，未提供或提供不完整、不符合要求的，将作投标无效处理。）</w:t>
      </w:r>
    </w:p>
    <w:p w14:paraId="3C008913">
      <w:pPr>
        <w:ind w:firstLine="482" w:firstLineChars="200"/>
        <w:rPr>
          <w:rFonts w:ascii="宋体" w:hAnsi="宋体" w:cs="宋体"/>
          <w:b/>
          <w:sz w:val="24"/>
        </w:rPr>
      </w:pPr>
    </w:p>
    <w:p w14:paraId="75DA8991">
      <w:pPr>
        <w:ind w:firstLine="482" w:firstLineChars="200"/>
        <w:outlineLvl w:val="3"/>
        <w:rPr>
          <w:rFonts w:ascii="宋体" w:hAnsi="宋体" w:cs="宋体"/>
          <w:b/>
          <w:kern w:val="0"/>
          <w:sz w:val="24"/>
        </w:rPr>
      </w:pPr>
      <w:r>
        <w:rPr>
          <w:rFonts w:hint="eastAsia" w:ascii="宋体" w:hAnsi="宋体" w:cs="宋体"/>
          <w:b/>
          <w:kern w:val="0"/>
          <w:sz w:val="24"/>
        </w:rPr>
        <w:t>（二）中小企业声明函、残疾人福利性单位声明函及监狱企业声明函</w:t>
      </w:r>
    </w:p>
    <w:p w14:paraId="4550C244">
      <w:pPr>
        <w:jc w:val="left"/>
        <w:outlineLvl w:val="3"/>
        <w:rPr>
          <w:rFonts w:ascii="宋体" w:hAnsi="宋体" w:cs="宋体"/>
          <w:bCs/>
          <w:kern w:val="0"/>
          <w:sz w:val="24"/>
        </w:rPr>
      </w:pPr>
    </w:p>
    <w:p w14:paraId="55B4DAF8">
      <w:pPr>
        <w:ind w:firstLine="480" w:firstLineChars="200"/>
        <w:rPr>
          <w:rFonts w:ascii="宋体" w:hAnsi="宋体" w:cs="宋体"/>
          <w:bCs/>
          <w:color w:val="FF0000"/>
          <w:kern w:val="0"/>
          <w:sz w:val="24"/>
        </w:rPr>
      </w:pPr>
      <w:r>
        <w:rPr>
          <w:rFonts w:hint="eastAsia" w:ascii="宋体" w:hAnsi="宋体" w:cs="宋体"/>
          <w:bCs/>
          <w:color w:val="FF0000"/>
          <w:kern w:val="0"/>
          <w:sz w:val="24"/>
        </w:rPr>
        <w:t>填写指引：</w:t>
      </w:r>
    </w:p>
    <w:p w14:paraId="072EE85E">
      <w:pPr>
        <w:ind w:firstLine="480" w:firstLineChars="200"/>
        <w:rPr>
          <w:rFonts w:ascii="宋体" w:hAnsi="宋体" w:cs="宋体"/>
          <w:bCs/>
          <w:color w:val="FF0000"/>
          <w:kern w:val="0"/>
          <w:sz w:val="24"/>
        </w:rPr>
      </w:pPr>
      <w:r>
        <w:rPr>
          <w:rFonts w:hint="eastAsia" w:ascii="宋体" w:hAnsi="宋体" w:cs="宋体"/>
          <w:bCs/>
          <w:color w:val="FF0000"/>
          <w:kern w:val="0"/>
          <w:sz w:val="24"/>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14:paraId="4C720855">
      <w:pPr>
        <w:ind w:firstLine="480" w:firstLineChars="200"/>
        <w:rPr>
          <w:rFonts w:ascii="宋体" w:hAnsi="宋体" w:cs="宋体"/>
          <w:bCs/>
          <w:color w:val="FF0000"/>
          <w:kern w:val="0"/>
          <w:sz w:val="24"/>
        </w:rPr>
      </w:pPr>
      <w:r>
        <w:rPr>
          <w:rFonts w:hint="eastAsia" w:ascii="宋体" w:hAnsi="宋体" w:cs="宋体"/>
          <w:bCs/>
          <w:color w:val="FF0000"/>
          <w:kern w:val="0"/>
          <w:sz w:val="24"/>
        </w:rPr>
        <w:t>2、该部分内容填写需要参考的相关文件：</w:t>
      </w:r>
    </w:p>
    <w:p w14:paraId="502618A7">
      <w:pPr>
        <w:ind w:firstLine="480" w:firstLineChars="200"/>
        <w:rPr>
          <w:rFonts w:ascii="宋体" w:hAnsi="宋体" w:cs="宋体"/>
          <w:bCs/>
          <w:color w:val="FF0000"/>
          <w:kern w:val="0"/>
          <w:sz w:val="24"/>
        </w:rPr>
      </w:pPr>
      <w:r>
        <w:rPr>
          <w:rFonts w:hint="eastAsia" w:ascii="宋体" w:hAnsi="宋体" w:cs="宋体"/>
          <w:bCs/>
          <w:color w:val="FF0000"/>
          <w:kern w:val="0"/>
          <w:sz w:val="24"/>
        </w:rPr>
        <w:t>(1)财政部《政府采购促进中小企业发展管理办法》（财库〔2020〕46号）</w:t>
      </w:r>
    </w:p>
    <w:p w14:paraId="2A957FAA">
      <w:pPr>
        <w:ind w:firstLine="480" w:firstLineChars="200"/>
        <w:rPr>
          <w:rFonts w:ascii="宋体" w:hAnsi="宋体" w:cs="宋体"/>
          <w:bCs/>
          <w:color w:val="FF0000"/>
          <w:kern w:val="0"/>
          <w:sz w:val="24"/>
        </w:rPr>
      </w:pPr>
      <w:r>
        <w:rPr>
          <w:rFonts w:hint="eastAsia" w:ascii="宋体" w:hAnsi="宋体" w:cs="宋体"/>
          <w:bCs/>
          <w:color w:val="FF0000"/>
          <w:kern w:val="0"/>
          <w:sz w:val="24"/>
        </w:rPr>
        <w:t>(2)《工业和信息化部、国家统计局、国家发展和改革委员会、财政部关于印发中小企业划型标准规定的通知》（工信部联企业〔2011〕300 号，以下简称300号文）</w:t>
      </w:r>
    </w:p>
    <w:p w14:paraId="2E3E1FBD">
      <w:pPr>
        <w:ind w:firstLine="480" w:firstLineChars="200"/>
        <w:rPr>
          <w:rFonts w:ascii="宋体" w:hAnsi="宋体" w:cs="宋体"/>
          <w:bCs/>
          <w:color w:val="FF0000"/>
          <w:kern w:val="0"/>
          <w:sz w:val="24"/>
        </w:rPr>
      </w:pPr>
      <w:r>
        <w:rPr>
          <w:rFonts w:hint="eastAsia" w:ascii="宋体" w:hAnsi="宋体" w:cs="宋体"/>
          <w:bCs/>
          <w:color w:val="FF0000"/>
          <w:kern w:val="0"/>
          <w:sz w:val="24"/>
        </w:rPr>
        <w:t>(3)《统计上大中小微型企业划分办法(2017)》（国统字〔2017〕213 号）</w:t>
      </w:r>
    </w:p>
    <w:p w14:paraId="6EAEE4E7">
      <w:pPr>
        <w:ind w:firstLine="480" w:firstLineChars="200"/>
        <w:rPr>
          <w:rFonts w:ascii="宋体" w:hAnsi="宋体" w:cs="宋体"/>
          <w:bCs/>
          <w:color w:val="FF0000"/>
          <w:kern w:val="0"/>
          <w:sz w:val="24"/>
        </w:rPr>
      </w:pPr>
      <w:r>
        <w:rPr>
          <w:rFonts w:hint="eastAsia" w:ascii="宋体" w:hAnsi="宋体" w:cs="宋体"/>
          <w:bCs/>
          <w:color w:val="FF0000"/>
          <w:kern w:val="0"/>
          <w:sz w:val="24"/>
        </w:rPr>
        <w:t>(4)《关于促进残疾人就业政府采购政策的通知》（财库〔2017〕141号）</w:t>
      </w:r>
    </w:p>
    <w:p w14:paraId="0B3D9D8B">
      <w:pPr>
        <w:ind w:firstLine="480" w:firstLineChars="200"/>
        <w:rPr>
          <w:rFonts w:ascii="宋体" w:hAnsi="宋体" w:cs="宋体"/>
          <w:bCs/>
          <w:color w:val="FF0000"/>
          <w:kern w:val="0"/>
          <w:sz w:val="24"/>
        </w:rPr>
      </w:pPr>
      <w:r>
        <w:rPr>
          <w:rFonts w:hint="eastAsia" w:ascii="宋体" w:hAnsi="宋体" w:cs="宋体"/>
          <w:bCs/>
          <w:color w:val="FF0000"/>
          <w:kern w:val="0"/>
          <w:sz w:val="24"/>
        </w:rPr>
        <w:t>(5)《关于政府采购支持监狱企业发展有关问题的通知》（财库〔2014〕68号）</w:t>
      </w:r>
    </w:p>
    <w:p w14:paraId="46D85F57">
      <w:pPr>
        <w:ind w:firstLine="480" w:firstLineChars="200"/>
        <w:rPr>
          <w:rFonts w:ascii="宋体" w:hAnsi="宋体" w:cs="宋体"/>
          <w:bCs/>
          <w:color w:val="FF0000"/>
          <w:kern w:val="0"/>
          <w:sz w:val="24"/>
        </w:rPr>
      </w:pPr>
      <w:r>
        <w:rPr>
          <w:rFonts w:hint="eastAsia" w:ascii="宋体" w:hAnsi="宋体" w:cs="宋体"/>
          <w:bCs/>
          <w:color w:val="FF0000"/>
          <w:kern w:val="0"/>
          <w:sz w:val="24"/>
        </w:rPr>
        <w:t>3、请依照提供的格式和内容填写声明函，不要随意变更格式；声明函不需要盖章或签字；满足多项优惠政策的投标人，不重复享受多项价格扣除政策。</w:t>
      </w:r>
    </w:p>
    <w:p w14:paraId="2A8140F0">
      <w:pPr>
        <w:ind w:firstLine="480" w:firstLineChars="200"/>
        <w:rPr>
          <w:rFonts w:ascii="宋体" w:hAnsi="宋体" w:cs="宋体"/>
          <w:bCs/>
          <w:color w:val="FF0000"/>
          <w:kern w:val="0"/>
          <w:sz w:val="24"/>
        </w:rPr>
      </w:pPr>
      <w:r>
        <w:rPr>
          <w:rFonts w:hint="eastAsia" w:ascii="宋体" w:hAnsi="宋体" w:cs="宋体"/>
          <w:bCs/>
          <w:color w:val="FF0000"/>
          <w:kern w:val="0"/>
          <w:sz w:val="24"/>
        </w:rPr>
        <w:t>4、声明函具体填写要求：</w:t>
      </w:r>
    </w:p>
    <w:p w14:paraId="4F0F5B56">
      <w:pPr>
        <w:ind w:firstLine="480" w:firstLineChars="200"/>
        <w:rPr>
          <w:rFonts w:ascii="宋体" w:hAnsi="宋体" w:cs="宋体"/>
          <w:bCs/>
          <w:color w:val="FF0000"/>
          <w:kern w:val="0"/>
          <w:sz w:val="24"/>
        </w:rPr>
      </w:pPr>
      <w:r>
        <w:rPr>
          <w:rFonts w:hint="eastAsia" w:ascii="宋体" w:hAnsi="宋体" w:cs="宋体"/>
          <w:bCs/>
          <w:color w:val="FF0000"/>
          <w:kern w:val="0"/>
          <w:sz w:val="24"/>
        </w:rPr>
        <w:t>（1）声明是中小企业须填写《中小企业声明函》的以下内容：</w:t>
      </w:r>
    </w:p>
    <w:p w14:paraId="4AAAA520">
      <w:pPr>
        <w:ind w:firstLine="480" w:firstLineChars="200"/>
        <w:rPr>
          <w:rFonts w:ascii="宋体" w:hAnsi="宋体" w:cs="宋体"/>
          <w:bCs/>
          <w:color w:val="FF0000"/>
          <w:kern w:val="0"/>
          <w:sz w:val="24"/>
        </w:rPr>
      </w:pPr>
      <w:r>
        <w:rPr>
          <w:rFonts w:hint="eastAsia" w:ascii="宋体" w:hAnsi="宋体" w:cs="宋体"/>
          <w:bCs/>
          <w:color w:val="FF0000"/>
          <w:kern w:val="0"/>
          <w:sz w:val="24"/>
        </w:rPr>
        <w:t>第一处，在“单位名称”下划线处如实填写采购人名称（深圳公共资源交易中心不是本项目的采购人，而是组织实施机构）；</w:t>
      </w:r>
    </w:p>
    <w:p w14:paraId="27822934">
      <w:pPr>
        <w:ind w:firstLine="480" w:firstLineChars="200"/>
        <w:rPr>
          <w:rFonts w:ascii="宋体" w:hAnsi="宋体" w:cs="宋体"/>
          <w:bCs/>
          <w:color w:val="FF0000"/>
          <w:kern w:val="0"/>
          <w:sz w:val="24"/>
        </w:rPr>
      </w:pPr>
      <w:r>
        <w:rPr>
          <w:rFonts w:hint="eastAsia" w:ascii="宋体" w:hAnsi="宋体" w:cs="宋体"/>
          <w:bCs/>
          <w:color w:val="FF0000"/>
          <w:kern w:val="0"/>
          <w:sz w:val="24"/>
        </w:rPr>
        <w:t>第二处，在“项目名称”下划线处如实填写采购项目名称；</w:t>
      </w:r>
    </w:p>
    <w:p w14:paraId="43FF5DD6">
      <w:pPr>
        <w:ind w:firstLine="480" w:firstLineChars="200"/>
        <w:rPr>
          <w:rFonts w:ascii="宋体" w:hAnsi="宋体" w:cs="宋体"/>
          <w:bCs/>
          <w:color w:val="FF0000"/>
          <w:kern w:val="0"/>
          <w:sz w:val="24"/>
        </w:rPr>
      </w:pPr>
      <w:r>
        <w:rPr>
          <w:rFonts w:hint="eastAsia" w:ascii="宋体" w:hAnsi="宋体" w:cs="宋体"/>
          <w:bCs/>
          <w:color w:val="FF0000"/>
          <w:kern w:val="0"/>
          <w:sz w:val="24"/>
        </w:rPr>
        <w:t>第三处，在“标的名称”下划线处填写所采购服务（标的）的具体名称（以招标文件第一册第三章用户需求书“服务需求明细”的“服务需求名称”一栏为准）；如果涉及多项服务（标的）为同一企业制造，“标的名称”下划线处可以如实填写多项服务；</w:t>
      </w:r>
    </w:p>
    <w:p w14:paraId="0A6ECB20">
      <w:pPr>
        <w:ind w:firstLine="480" w:firstLineChars="200"/>
        <w:rPr>
          <w:rFonts w:ascii="宋体" w:hAnsi="宋体" w:cs="宋体"/>
          <w:bCs/>
          <w:color w:val="FF0000"/>
          <w:kern w:val="0"/>
          <w:sz w:val="24"/>
        </w:rPr>
      </w:pPr>
      <w:r>
        <w:rPr>
          <w:rFonts w:hint="eastAsia" w:ascii="宋体" w:hAnsi="宋体" w:cs="宋体"/>
          <w:bCs/>
          <w:color w:val="FF0000"/>
          <w:kern w:val="0"/>
          <w:sz w:val="24"/>
        </w:rPr>
        <w:t>第四处，在“招标文件中明确的所属行业”下划线处填写采购标的对应的中小企业划分标准所属行业（所属行业可在招标文件第一册第二章“对通用条款的补充内容及其他关键信息”章节查看）；</w:t>
      </w:r>
    </w:p>
    <w:p w14:paraId="5333C988">
      <w:pPr>
        <w:ind w:firstLine="480" w:firstLineChars="200"/>
        <w:rPr>
          <w:rFonts w:ascii="宋体" w:hAnsi="宋体" w:cs="宋体"/>
          <w:bCs/>
          <w:color w:val="FF0000"/>
          <w:kern w:val="0"/>
          <w:sz w:val="24"/>
        </w:rPr>
      </w:pPr>
      <w:r>
        <w:rPr>
          <w:rFonts w:hint="eastAsia" w:ascii="宋体" w:hAnsi="宋体" w:cs="宋体"/>
          <w:bCs/>
          <w:color w:val="FF0000"/>
          <w:kern w:val="0"/>
          <w:sz w:val="24"/>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中小企业声明函》中供应商所属行业应当与招标文件要求的行业相一致，供应商如有疑问，可根据《国民经济行业分类》（GB/T4754-2017），结合《关于印发中小企业划型标准规定的通知》（工信部联企业〔2011〕300号）进行判断。事业单位、社会组织等非企业主体不享受中小企业扶持政策。</w:t>
      </w:r>
    </w:p>
    <w:p w14:paraId="3DB7CE35">
      <w:pPr>
        <w:ind w:firstLine="480" w:firstLineChars="200"/>
        <w:rPr>
          <w:rFonts w:ascii="宋体" w:hAnsi="宋体" w:cs="宋体"/>
          <w:bCs/>
          <w:color w:val="FF0000"/>
          <w:kern w:val="0"/>
          <w:sz w:val="24"/>
        </w:rPr>
      </w:pPr>
      <w:r>
        <w:rPr>
          <w:rFonts w:hint="eastAsia" w:ascii="宋体" w:hAnsi="宋体" w:cs="宋体"/>
          <w:bCs/>
          <w:color w:val="FF0000"/>
          <w:kern w:val="0"/>
          <w:sz w:val="24"/>
        </w:rPr>
        <w:t>（2）声明是残疾人福利性单位须填写《残疾人福利性单位声明函》的相关内容，具体参照以上《中小企业声明函》填写要求执行。</w:t>
      </w:r>
    </w:p>
    <w:p w14:paraId="4FD30F60">
      <w:pPr>
        <w:ind w:firstLine="480" w:firstLineChars="200"/>
        <w:rPr>
          <w:rFonts w:ascii="宋体" w:hAnsi="宋体" w:cs="宋体"/>
          <w:bCs/>
          <w:color w:val="FF0000"/>
          <w:kern w:val="0"/>
          <w:sz w:val="24"/>
        </w:rPr>
      </w:pPr>
      <w:r>
        <w:rPr>
          <w:rFonts w:hint="eastAsia" w:ascii="宋体" w:hAnsi="宋体" w:cs="宋体"/>
          <w:bCs/>
          <w:color w:val="FF0000"/>
          <w:kern w:val="0"/>
          <w:sz w:val="24"/>
        </w:rPr>
        <w:t>（3）声明是监狱企业须填写《监狱企业声明函》的三项内容（填写位置的字体已加粗），具体参照以上《中小企业声明函》填写要求执行。</w:t>
      </w:r>
    </w:p>
    <w:p w14:paraId="1E76B37B">
      <w:pPr>
        <w:ind w:firstLine="480" w:firstLineChars="200"/>
        <w:rPr>
          <w:rFonts w:ascii="宋体" w:hAnsi="宋体" w:cs="宋体"/>
          <w:bCs/>
          <w:color w:val="FF0000"/>
          <w:kern w:val="0"/>
          <w:sz w:val="24"/>
        </w:rPr>
      </w:pPr>
      <w:r>
        <w:rPr>
          <w:rFonts w:hint="eastAsia" w:ascii="宋体" w:hAnsi="宋体" w:cs="宋体"/>
          <w:bCs/>
          <w:color w:val="FF0000"/>
          <w:kern w:val="0"/>
          <w:sz w:val="24"/>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0BD6824E">
      <w:pPr>
        <w:ind w:firstLine="480" w:firstLineChars="200"/>
        <w:rPr>
          <w:rFonts w:ascii="宋体" w:hAnsi="宋体" w:cs="宋体"/>
          <w:bCs/>
          <w:color w:val="FF0000"/>
          <w:kern w:val="0"/>
          <w:sz w:val="24"/>
        </w:rPr>
      </w:pPr>
      <w:r>
        <w:rPr>
          <w:rFonts w:hint="eastAsia" w:ascii="宋体" w:hAnsi="宋体" w:cs="宋体"/>
          <w:bCs/>
          <w:color w:val="FF0000"/>
          <w:kern w:val="0"/>
          <w:sz w:val="24"/>
        </w:rPr>
        <w:t>6、本项目属于服务类项目，相关服务的承接商应当为中小企业或残疾人福利性单位或监狱企业，如包含硬件设备、产品等货物采购的，不再对其中涉及的货物的制造商作出要求。</w:t>
      </w:r>
    </w:p>
    <w:p w14:paraId="701ABED1">
      <w:pPr>
        <w:pStyle w:val="2"/>
      </w:pPr>
    </w:p>
    <w:p w14:paraId="4A73444F">
      <w:pPr>
        <w:jc w:val="center"/>
        <w:outlineLvl w:val="3"/>
        <w:rPr>
          <w:rFonts w:ascii="宋体" w:hAnsi="宋体" w:cs="宋体"/>
          <w:b/>
          <w:sz w:val="24"/>
        </w:rPr>
      </w:pPr>
      <w:r>
        <w:rPr>
          <w:rFonts w:hint="eastAsia" w:ascii="宋体" w:hAnsi="宋体" w:cs="宋体"/>
          <w:b/>
          <w:sz w:val="24"/>
        </w:rPr>
        <w:t>1、中小企业声明函（服务）</w:t>
      </w:r>
    </w:p>
    <w:p w14:paraId="52B1B59F">
      <w:pPr>
        <w:pStyle w:val="2"/>
        <w:spacing w:line="240" w:lineRule="auto"/>
      </w:pPr>
    </w:p>
    <w:p w14:paraId="323BC94F">
      <w:pPr>
        <w:ind w:firstLine="480" w:firstLineChars="200"/>
        <w:outlineLvl w:val="3"/>
        <w:rPr>
          <w:rFonts w:ascii="宋体" w:hAnsi="宋体" w:cs="宋体"/>
          <w:sz w:val="24"/>
        </w:rPr>
      </w:pPr>
      <w:r>
        <w:rPr>
          <w:rFonts w:hint="eastAsia" w:ascii="宋体" w:hAnsi="宋体" w:cs="宋体"/>
          <w:sz w:val="24"/>
        </w:rPr>
        <w:t>本公司（联合体）郑重声明，根据《政府采购促进中小企业发展管理办法》（财库﹝2020﹞46号）的规定，本公司（联合体）参加</w:t>
      </w:r>
      <w:r>
        <w:rPr>
          <w:rFonts w:hint="eastAsia" w:ascii="宋体" w:hAnsi="宋体" w:cs="宋体"/>
          <w:b/>
          <w:bCs/>
          <w:sz w:val="24"/>
          <w:u w:val="single"/>
        </w:rPr>
        <w:t xml:space="preserve">    （单位名称）    </w:t>
      </w:r>
      <w:r>
        <w:rPr>
          <w:rFonts w:hint="eastAsia" w:ascii="宋体" w:hAnsi="宋体" w:cs="宋体"/>
          <w:sz w:val="24"/>
        </w:rPr>
        <w:t>的</w:t>
      </w:r>
      <w:r>
        <w:rPr>
          <w:rFonts w:hint="eastAsia" w:ascii="宋体" w:hAnsi="宋体" w:cs="宋体"/>
          <w:b/>
          <w:bCs/>
          <w:sz w:val="24"/>
          <w:u w:val="single"/>
        </w:rPr>
        <w:t xml:space="preserve">    （项目名称）    </w:t>
      </w:r>
      <w:r>
        <w:rPr>
          <w:rFonts w:hint="eastAsia" w:ascii="宋体" w:hAnsi="宋体" w:cs="宋体"/>
          <w:sz w:val="24"/>
        </w:rPr>
        <w:t>采购活动，服务全部由符合政策要求的中小企业承接。相关企业（含联合体中的中小企业、签订分包意向协议的中小企业）的具体情况如下：</w:t>
      </w:r>
    </w:p>
    <w:p w14:paraId="7E57D852">
      <w:pPr>
        <w:ind w:firstLine="480" w:firstLineChars="200"/>
        <w:outlineLvl w:val="3"/>
        <w:rPr>
          <w:rFonts w:ascii="宋体" w:hAnsi="宋体" w:cs="宋体"/>
          <w:sz w:val="24"/>
        </w:rPr>
      </w:pPr>
      <w:r>
        <w:rPr>
          <w:rFonts w:hint="eastAsia" w:ascii="宋体" w:hAnsi="宋体" w:cs="宋体"/>
          <w:sz w:val="24"/>
        </w:rPr>
        <w:t>1.</w:t>
      </w:r>
      <w:r>
        <w:rPr>
          <w:rFonts w:hint="eastAsia" w:ascii="宋体" w:hAnsi="宋体" w:cs="宋体"/>
          <w:b/>
          <w:bCs/>
          <w:sz w:val="24"/>
          <w:u w:val="single"/>
        </w:rPr>
        <w:t xml:space="preserve">    （标的名称）     </w:t>
      </w:r>
      <w:r>
        <w:rPr>
          <w:rFonts w:hint="eastAsia" w:ascii="宋体" w:hAnsi="宋体" w:cs="宋体"/>
          <w:sz w:val="24"/>
        </w:rPr>
        <w:t>，属于</w:t>
      </w:r>
      <w:r>
        <w:rPr>
          <w:rFonts w:hint="eastAsia" w:ascii="宋体" w:hAnsi="宋体" w:cs="宋体"/>
          <w:b/>
          <w:bCs/>
          <w:sz w:val="24"/>
          <w:u w:val="single"/>
        </w:rPr>
        <w:t xml:space="preserve">    （采购文件中明确的所属行业）    </w:t>
      </w:r>
      <w:r>
        <w:rPr>
          <w:rFonts w:hint="eastAsia" w:ascii="宋体" w:hAnsi="宋体" w:cs="宋体"/>
          <w:sz w:val="24"/>
        </w:rPr>
        <w:t>行业；承接企业为</w:t>
      </w:r>
      <w:r>
        <w:rPr>
          <w:rFonts w:hint="eastAsia" w:ascii="宋体" w:hAnsi="宋体" w:cs="宋体"/>
          <w:b/>
          <w:bCs/>
          <w:sz w:val="24"/>
          <w:u w:val="single"/>
        </w:rPr>
        <w:t xml:space="preserve">    （企业名称，要求承接企业本身所属行业应当与招标文件要求的行业相一致）    </w:t>
      </w:r>
      <w:r>
        <w:rPr>
          <w:rFonts w:hint="eastAsia" w:ascii="宋体" w:hAnsi="宋体" w:cs="宋体"/>
          <w:sz w:val="24"/>
        </w:rPr>
        <w:t>，从业人员</w:t>
      </w:r>
      <w:r>
        <w:rPr>
          <w:rFonts w:hint="eastAsia" w:ascii="宋体" w:hAnsi="宋体" w:cs="宋体"/>
          <w:b/>
          <w:bCs/>
          <w:sz w:val="24"/>
          <w:u w:val="single"/>
        </w:rPr>
        <w:t xml:space="preserve">        </w:t>
      </w:r>
      <w:r>
        <w:rPr>
          <w:rFonts w:hint="eastAsia" w:ascii="宋体" w:hAnsi="宋体" w:cs="宋体"/>
          <w:sz w:val="24"/>
        </w:rPr>
        <w:t>人，营业收入为</w:t>
      </w:r>
      <w:r>
        <w:rPr>
          <w:rFonts w:hint="eastAsia" w:ascii="宋体" w:hAnsi="宋体" w:cs="宋体"/>
          <w:b/>
          <w:bCs/>
          <w:sz w:val="24"/>
          <w:u w:val="single"/>
        </w:rPr>
        <w:t xml:space="preserve">        </w:t>
      </w:r>
      <w:r>
        <w:rPr>
          <w:rFonts w:hint="eastAsia" w:ascii="宋体" w:hAnsi="宋体" w:cs="宋体"/>
          <w:sz w:val="24"/>
        </w:rPr>
        <w:t>万元，资产总额为</w:t>
      </w:r>
      <w:r>
        <w:rPr>
          <w:rFonts w:hint="eastAsia" w:ascii="宋体" w:hAnsi="宋体" w:cs="宋体"/>
          <w:b/>
          <w:bCs/>
          <w:sz w:val="24"/>
          <w:u w:val="single"/>
        </w:rPr>
        <w:t xml:space="preserve">        </w:t>
      </w:r>
      <w:r>
        <w:rPr>
          <w:rFonts w:hint="eastAsia" w:ascii="宋体" w:hAnsi="宋体" w:cs="宋体"/>
          <w:sz w:val="24"/>
        </w:rPr>
        <w:t>万元，属于</w:t>
      </w:r>
      <w:r>
        <w:rPr>
          <w:rFonts w:hint="eastAsia" w:ascii="宋体" w:hAnsi="宋体" w:cs="宋体"/>
          <w:b/>
          <w:bCs/>
          <w:sz w:val="24"/>
          <w:u w:val="single"/>
        </w:rPr>
        <w:t xml:space="preserve">    （中型企业、小型企业、微型企业）    </w:t>
      </w:r>
      <w:r>
        <w:rPr>
          <w:rFonts w:hint="eastAsia" w:ascii="宋体" w:hAnsi="宋体" w:cs="宋体"/>
          <w:sz w:val="24"/>
        </w:rPr>
        <w:t>；</w:t>
      </w:r>
    </w:p>
    <w:p w14:paraId="7A05F522">
      <w:pPr>
        <w:ind w:firstLine="480" w:firstLineChars="200"/>
        <w:outlineLvl w:val="3"/>
        <w:rPr>
          <w:rFonts w:ascii="宋体" w:hAnsi="宋体" w:cs="宋体"/>
          <w:sz w:val="24"/>
        </w:rPr>
      </w:pPr>
      <w:r>
        <w:rPr>
          <w:rFonts w:hint="eastAsia" w:ascii="宋体" w:hAnsi="宋体" w:cs="宋体"/>
          <w:sz w:val="24"/>
        </w:rPr>
        <w:t>2.</w:t>
      </w:r>
      <w:r>
        <w:rPr>
          <w:rFonts w:hint="eastAsia" w:ascii="宋体" w:hAnsi="宋体" w:cs="宋体"/>
          <w:b/>
          <w:bCs/>
          <w:sz w:val="24"/>
          <w:u w:val="single"/>
        </w:rPr>
        <w:t xml:space="preserve">    （标的名称）     </w:t>
      </w:r>
      <w:r>
        <w:rPr>
          <w:rFonts w:hint="eastAsia" w:ascii="宋体" w:hAnsi="宋体" w:cs="宋体"/>
          <w:sz w:val="24"/>
        </w:rPr>
        <w:t>，属于</w:t>
      </w:r>
      <w:r>
        <w:rPr>
          <w:rFonts w:hint="eastAsia" w:ascii="宋体" w:hAnsi="宋体" w:cs="宋体"/>
          <w:b/>
          <w:bCs/>
          <w:sz w:val="24"/>
          <w:u w:val="single"/>
        </w:rPr>
        <w:t xml:space="preserve">    （采购文件中明确的所属行业）    </w:t>
      </w:r>
      <w:r>
        <w:rPr>
          <w:rFonts w:hint="eastAsia" w:ascii="宋体" w:hAnsi="宋体" w:cs="宋体"/>
          <w:sz w:val="24"/>
        </w:rPr>
        <w:t>行业；承接企业为</w:t>
      </w:r>
      <w:r>
        <w:rPr>
          <w:rFonts w:hint="eastAsia" w:ascii="宋体" w:hAnsi="宋体" w:cs="宋体"/>
          <w:b/>
          <w:bCs/>
          <w:sz w:val="24"/>
          <w:u w:val="single"/>
        </w:rPr>
        <w:t xml:space="preserve">    （企业名称，要求承接企业本身所属行业应当与招标文件要求的行业相一致）    </w:t>
      </w:r>
      <w:r>
        <w:rPr>
          <w:rFonts w:hint="eastAsia" w:ascii="宋体" w:hAnsi="宋体" w:cs="宋体"/>
          <w:sz w:val="24"/>
        </w:rPr>
        <w:t>，从业人员</w:t>
      </w:r>
      <w:r>
        <w:rPr>
          <w:rFonts w:hint="eastAsia" w:ascii="宋体" w:hAnsi="宋体" w:cs="宋体"/>
          <w:b/>
          <w:bCs/>
          <w:sz w:val="24"/>
          <w:u w:val="single"/>
        </w:rPr>
        <w:t xml:space="preserve">        </w:t>
      </w:r>
      <w:r>
        <w:rPr>
          <w:rFonts w:hint="eastAsia" w:ascii="宋体" w:hAnsi="宋体" w:cs="宋体"/>
          <w:sz w:val="24"/>
        </w:rPr>
        <w:t>人，营业收入为</w:t>
      </w:r>
      <w:r>
        <w:rPr>
          <w:rFonts w:hint="eastAsia" w:ascii="宋体" w:hAnsi="宋体" w:cs="宋体"/>
          <w:b/>
          <w:bCs/>
          <w:sz w:val="24"/>
          <w:u w:val="single"/>
        </w:rPr>
        <w:t xml:space="preserve">        </w:t>
      </w:r>
      <w:r>
        <w:rPr>
          <w:rFonts w:hint="eastAsia" w:ascii="宋体" w:hAnsi="宋体" w:cs="宋体"/>
          <w:sz w:val="24"/>
        </w:rPr>
        <w:t>万元，资产总额为</w:t>
      </w:r>
      <w:r>
        <w:rPr>
          <w:rFonts w:hint="eastAsia" w:ascii="宋体" w:hAnsi="宋体" w:cs="宋体"/>
          <w:b/>
          <w:bCs/>
          <w:sz w:val="24"/>
          <w:u w:val="single"/>
        </w:rPr>
        <w:t xml:space="preserve">        </w:t>
      </w:r>
      <w:r>
        <w:rPr>
          <w:rFonts w:hint="eastAsia" w:ascii="宋体" w:hAnsi="宋体" w:cs="宋体"/>
          <w:sz w:val="24"/>
        </w:rPr>
        <w:t>万元，属于</w:t>
      </w:r>
      <w:r>
        <w:rPr>
          <w:rFonts w:hint="eastAsia" w:ascii="宋体" w:hAnsi="宋体" w:cs="宋体"/>
          <w:b/>
          <w:bCs/>
          <w:sz w:val="24"/>
          <w:u w:val="single"/>
        </w:rPr>
        <w:t xml:space="preserve">    （中型企业、小型企业、微型企业）    </w:t>
      </w:r>
      <w:r>
        <w:rPr>
          <w:rFonts w:hint="eastAsia" w:ascii="宋体" w:hAnsi="宋体" w:cs="宋体"/>
          <w:sz w:val="24"/>
        </w:rPr>
        <w:t>；</w:t>
      </w:r>
    </w:p>
    <w:p w14:paraId="7AA8AE12">
      <w:pPr>
        <w:ind w:firstLine="480" w:firstLineChars="200"/>
        <w:outlineLvl w:val="3"/>
        <w:rPr>
          <w:rFonts w:ascii="宋体" w:hAnsi="宋体" w:cs="宋体"/>
          <w:sz w:val="24"/>
        </w:rPr>
      </w:pPr>
      <w:r>
        <w:rPr>
          <w:rFonts w:hint="eastAsia" w:ascii="宋体" w:hAnsi="宋体" w:cs="宋体"/>
          <w:sz w:val="24"/>
        </w:rPr>
        <w:t>……</w:t>
      </w:r>
    </w:p>
    <w:p w14:paraId="7269E12D">
      <w:pPr>
        <w:ind w:firstLine="480" w:firstLineChars="200"/>
        <w:outlineLvl w:val="3"/>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65A29B76">
      <w:pPr>
        <w:ind w:firstLine="480" w:firstLineChars="200"/>
        <w:jc w:val="left"/>
        <w:outlineLvl w:val="3"/>
        <w:rPr>
          <w:rFonts w:ascii="宋体" w:hAnsi="宋体" w:cs="宋体"/>
          <w:sz w:val="24"/>
        </w:rPr>
      </w:pPr>
      <w:r>
        <w:rPr>
          <w:rFonts w:hint="eastAsia" w:ascii="宋体" w:hAnsi="宋体" w:cs="宋体"/>
          <w:sz w:val="24"/>
        </w:rPr>
        <w:t>本企业对上述声明内容的真实性负责。如有虚假，将依法承担相应责任。</w:t>
      </w:r>
    </w:p>
    <w:p w14:paraId="6F527D35">
      <w:pPr>
        <w:jc w:val="left"/>
        <w:outlineLvl w:val="3"/>
        <w:rPr>
          <w:rFonts w:ascii="宋体" w:hAnsi="宋体" w:cs="宋体"/>
          <w:b/>
          <w:sz w:val="24"/>
        </w:rPr>
      </w:pPr>
      <w:r>
        <w:rPr>
          <w:rFonts w:hint="eastAsia" w:ascii="宋体" w:hAnsi="宋体" w:cs="宋体"/>
          <w:sz w:val="24"/>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w:t>
      </w:r>
      <w:r>
        <w:rPr>
          <w:rFonts w:hint="eastAsia" w:ascii="宋体" w:hAnsi="宋体" w:cs="宋体"/>
          <w:sz w:val="24"/>
          <w:lang w:eastAsia="zh-CN"/>
        </w:rPr>
        <w:t>中华人民共和国政府采购法</w:t>
      </w:r>
      <w:r>
        <w:rPr>
          <w:rFonts w:hint="eastAsia" w:ascii="宋体" w:hAnsi="宋体" w:cs="宋体"/>
          <w:sz w:val="24"/>
        </w:rPr>
        <w:t>》等政府采购有关法律法规规定追究相应责任。</w:t>
      </w:r>
    </w:p>
    <w:p w14:paraId="25F810B7">
      <w:pPr>
        <w:jc w:val="center"/>
        <w:outlineLvl w:val="3"/>
        <w:rPr>
          <w:rFonts w:ascii="宋体" w:hAnsi="宋体" w:cs="宋体"/>
          <w:b/>
          <w:sz w:val="24"/>
        </w:rPr>
      </w:pPr>
    </w:p>
    <w:p w14:paraId="542C9BFD">
      <w:pPr>
        <w:jc w:val="center"/>
        <w:rPr>
          <w:rFonts w:ascii="宋体" w:hAnsi="宋体" w:cs="宋体"/>
          <w:b/>
          <w:sz w:val="24"/>
        </w:rPr>
      </w:pPr>
      <w:r>
        <w:rPr>
          <w:rFonts w:hint="eastAsia" w:ascii="宋体" w:hAnsi="宋体" w:cs="宋体"/>
          <w:b/>
          <w:sz w:val="24"/>
        </w:rPr>
        <w:t>2、残疾人福利性单位声明函（服务类）</w:t>
      </w:r>
    </w:p>
    <w:p w14:paraId="2818D32E">
      <w:pPr>
        <w:ind w:firstLine="480" w:firstLineChars="200"/>
        <w:rPr>
          <w:rFonts w:ascii="宋体" w:hAnsi="宋体" w:cs="宋体"/>
          <w:bCs/>
          <w:sz w:val="24"/>
        </w:rPr>
      </w:pPr>
      <w:r>
        <w:rPr>
          <w:rFonts w:hint="eastAsia" w:ascii="宋体" w:hAnsi="宋体" w:cs="宋体"/>
          <w:bCs/>
          <w:sz w:val="24"/>
        </w:rPr>
        <w:t xml:space="preserve">本单位郑重声明，根据《财政部 民政部 中国残疾人联合会关于促进残疾人就业政府采购政策的通知》（财库〔2017〕141号）的规定，本单位为符合条件的残疾人福利性单位，且本单位参加 </w:t>
      </w:r>
      <w:r>
        <w:rPr>
          <w:rFonts w:hint="eastAsia" w:ascii="宋体" w:hAnsi="宋体" w:cs="宋体"/>
          <w:bCs/>
          <w:sz w:val="24"/>
          <w:u w:val="single"/>
        </w:rPr>
        <w:t xml:space="preserve">   （单位名称）    </w:t>
      </w:r>
      <w:r>
        <w:rPr>
          <w:rFonts w:hint="eastAsia" w:ascii="宋体" w:hAnsi="宋体" w:cs="宋体"/>
          <w:bCs/>
          <w:sz w:val="24"/>
        </w:rPr>
        <w:t>单位的</w:t>
      </w:r>
      <w:r>
        <w:rPr>
          <w:rFonts w:hint="eastAsia" w:ascii="宋体" w:hAnsi="宋体" w:cs="宋体"/>
          <w:bCs/>
          <w:sz w:val="24"/>
          <w:u w:val="single"/>
        </w:rPr>
        <w:t xml:space="preserve">    （项目名称）    </w:t>
      </w:r>
      <w:r>
        <w:rPr>
          <w:rFonts w:hint="eastAsia" w:ascii="宋体" w:hAnsi="宋体" w:cs="宋体"/>
          <w:bCs/>
          <w:sz w:val="24"/>
        </w:rPr>
        <w:t>项目采购活动由本单位提供服务。</w:t>
      </w:r>
    </w:p>
    <w:p w14:paraId="5BF7AF28">
      <w:pPr>
        <w:ind w:firstLine="480" w:firstLineChars="200"/>
        <w:rPr>
          <w:rFonts w:ascii="宋体" w:hAnsi="宋体" w:cs="宋体"/>
          <w:bCs/>
          <w:sz w:val="24"/>
        </w:rPr>
      </w:pPr>
      <w:r>
        <w:rPr>
          <w:rFonts w:hint="eastAsia" w:ascii="宋体" w:hAnsi="宋体" w:cs="宋体"/>
          <w:bCs/>
          <w:sz w:val="24"/>
        </w:rPr>
        <w:t>本单位对上述声明的真实性负责。如有虚假，将依法承担相应责任。</w:t>
      </w:r>
    </w:p>
    <w:p w14:paraId="6D1B0230">
      <w:pPr>
        <w:ind w:firstLine="480" w:firstLineChars="200"/>
        <w:rPr>
          <w:rFonts w:ascii="宋体" w:hAnsi="宋体" w:cs="宋体"/>
          <w:bCs/>
          <w:sz w:val="24"/>
        </w:rPr>
      </w:pPr>
      <w:r>
        <w:rPr>
          <w:rFonts w:hint="eastAsia" w:ascii="宋体" w:hAnsi="宋体" w:cs="宋体"/>
          <w:bCs/>
          <w:sz w:val="24"/>
        </w:rPr>
        <w:t>本投标人已知悉《财政部民政部中国残疾人联合会关于促进残疾人就业政府采购政策的通知》（财库〔2017〕141号）的规定，承诺提供的声明函内容是真实的，如提供声明函内容不实，则依法追究相关法律责任。</w:t>
      </w:r>
    </w:p>
    <w:p w14:paraId="5C7EF731">
      <w:pPr>
        <w:rPr>
          <w:rFonts w:ascii="宋体" w:hAnsi="宋体" w:cs="宋体"/>
          <w:bCs/>
          <w:sz w:val="24"/>
        </w:rPr>
      </w:pPr>
    </w:p>
    <w:p w14:paraId="763C8B9F">
      <w:pPr>
        <w:rPr>
          <w:rFonts w:ascii="宋体" w:hAnsi="宋体" w:cs="宋体"/>
          <w:bCs/>
          <w:sz w:val="24"/>
        </w:rPr>
      </w:pPr>
    </w:p>
    <w:p w14:paraId="235BDE7F">
      <w:pPr>
        <w:rPr>
          <w:rFonts w:ascii="宋体" w:hAnsi="宋体" w:cs="宋体"/>
          <w:bCs/>
          <w:sz w:val="24"/>
        </w:rPr>
      </w:pPr>
    </w:p>
    <w:p w14:paraId="0A373215">
      <w:pPr>
        <w:ind w:firstLine="240" w:firstLineChars="100"/>
        <w:rPr>
          <w:rFonts w:ascii="宋体" w:hAnsi="宋体" w:cs="宋体"/>
          <w:b/>
          <w:sz w:val="24"/>
        </w:rPr>
      </w:pPr>
      <w:r>
        <w:rPr>
          <w:rFonts w:hint="eastAsia" w:ascii="宋体" w:hAnsi="宋体" w:cs="宋体"/>
          <w:bCs/>
          <w:sz w:val="24"/>
        </w:rPr>
        <w:t>3、</w:t>
      </w:r>
      <w:r>
        <w:rPr>
          <w:rFonts w:hint="eastAsia" w:ascii="宋体" w:hAnsi="宋体" w:cs="宋体"/>
          <w:b/>
          <w:sz w:val="24"/>
        </w:rPr>
        <w:t>监狱企业声明函【服务类，监狱企业如需享受优惠政策，还须另行提供省级以上监狱管理局、戒毒管理局（含新疆生产建设兵团）出具的监狱企业证明文件】</w:t>
      </w:r>
    </w:p>
    <w:p w14:paraId="0FF9F7F9">
      <w:pPr>
        <w:ind w:firstLine="480" w:firstLineChars="200"/>
        <w:rPr>
          <w:rFonts w:ascii="宋体" w:hAnsi="宋体" w:cs="宋体"/>
          <w:bCs/>
          <w:sz w:val="24"/>
        </w:rPr>
      </w:pPr>
      <w:r>
        <w:rPr>
          <w:rFonts w:hint="eastAsia" w:ascii="宋体" w:hAnsi="宋体" w:cs="宋体"/>
          <w:bCs/>
          <w:sz w:val="24"/>
        </w:rPr>
        <w:t>本投标人郑重声明，根据《财政部司法部关于政府采购支持监狱企业发展有关问题的通知》（财库〔2014〕68号）的规定，本投标人参加</w:t>
      </w:r>
      <w:r>
        <w:rPr>
          <w:rFonts w:hint="eastAsia" w:ascii="宋体" w:hAnsi="宋体" w:cs="宋体"/>
          <w:b/>
          <w:sz w:val="24"/>
          <w:u w:val="single"/>
        </w:rPr>
        <w:t>（采购人名称）的（项目名称）</w:t>
      </w:r>
      <w:r>
        <w:rPr>
          <w:rFonts w:hint="eastAsia" w:ascii="宋体" w:hAnsi="宋体" w:cs="宋体"/>
          <w:bCs/>
          <w:sz w:val="24"/>
        </w:rPr>
        <w:t>采购活动，服务全部由符合政策要求的监狱企业承接。相关监狱企业的具体情况如下：</w:t>
      </w:r>
    </w:p>
    <w:p w14:paraId="2837A556">
      <w:pPr>
        <w:ind w:firstLine="480" w:firstLineChars="200"/>
        <w:rPr>
          <w:rFonts w:ascii="宋体" w:hAnsi="宋体" w:cs="宋体"/>
          <w:bCs/>
          <w:sz w:val="24"/>
        </w:rPr>
      </w:pPr>
      <w:r>
        <w:rPr>
          <w:rFonts w:hint="eastAsia" w:ascii="宋体" w:hAnsi="宋体" w:cs="宋体"/>
          <w:bCs/>
          <w:sz w:val="24"/>
        </w:rPr>
        <w:t xml:space="preserve">1. </w:t>
      </w:r>
      <w:r>
        <w:rPr>
          <w:rFonts w:hint="eastAsia" w:ascii="宋体" w:hAnsi="宋体" w:cs="宋体"/>
          <w:b/>
          <w:sz w:val="24"/>
          <w:u w:val="single"/>
        </w:rPr>
        <w:t>（标的名称） ，</w:t>
      </w:r>
      <w:r>
        <w:rPr>
          <w:rFonts w:hint="eastAsia" w:ascii="宋体" w:hAnsi="宋体" w:cs="宋体"/>
          <w:bCs/>
          <w:sz w:val="24"/>
        </w:rPr>
        <w:t>承接单位为</w:t>
      </w:r>
      <w:r>
        <w:rPr>
          <w:rFonts w:hint="eastAsia" w:ascii="宋体" w:hAnsi="宋体" w:cs="宋体"/>
          <w:b/>
          <w:sz w:val="24"/>
          <w:u w:val="single"/>
        </w:rPr>
        <w:t>（企业名称）</w:t>
      </w:r>
      <w:r>
        <w:rPr>
          <w:rFonts w:hint="eastAsia" w:ascii="宋体" w:hAnsi="宋体" w:cs="宋体"/>
          <w:bCs/>
          <w:sz w:val="24"/>
        </w:rPr>
        <w:t>，属于</w:t>
      </w:r>
      <w:r>
        <w:rPr>
          <w:rFonts w:hint="eastAsia" w:ascii="宋体" w:hAnsi="宋体" w:cs="宋体"/>
          <w:b/>
          <w:sz w:val="24"/>
          <w:u w:val="single"/>
        </w:rPr>
        <w:t>监狱企业</w:t>
      </w:r>
      <w:r>
        <w:rPr>
          <w:rFonts w:hint="eastAsia" w:ascii="宋体" w:hAnsi="宋体" w:cs="宋体"/>
          <w:b/>
          <w:sz w:val="24"/>
        </w:rPr>
        <w:t>；</w:t>
      </w:r>
    </w:p>
    <w:p w14:paraId="730DCE71">
      <w:pPr>
        <w:ind w:firstLine="480" w:firstLineChars="200"/>
        <w:rPr>
          <w:rFonts w:ascii="宋体" w:hAnsi="宋体" w:cs="宋体"/>
          <w:bCs/>
          <w:sz w:val="24"/>
        </w:rPr>
      </w:pPr>
      <w:r>
        <w:rPr>
          <w:rFonts w:hint="eastAsia" w:ascii="宋体" w:hAnsi="宋体" w:cs="宋体"/>
          <w:bCs/>
          <w:sz w:val="24"/>
        </w:rPr>
        <w:t xml:space="preserve">2.  </w:t>
      </w:r>
      <w:r>
        <w:rPr>
          <w:rFonts w:hint="eastAsia" w:ascii="宋体" w:hAnsi="宋体" w:cs="宋体"/>
          <w:b/>
          <w:sz w:val="24"/>
          <w:u w:val="single"/>
        </w:rPr>
        <w:t>（标的名称） ，</w:t>
      </w:r>
      <w:r>
        <w:rPr>
          <w:rFonts w:hint="eastAsia" w:ascii="宋体" w:hAnsi="宋体" w:cs="宋体"/>
          <w:bCs/>
          <w:sz w:val="24"/>
        </w:rPr>
        <w:t>承接单位为</w:t>
      </w:r>
      <w:r>
        <w:rPr>
          <w:rFonts w:hint="eastAsia" w:ascii="宋体" w:hAnsi="宋体" w:cs="宋体"/>
          <w:b/>
          <w:sz w:val="24"/>
          <w:u w:val="single"/>
        </w:rPr>
        <w:t>（企业名称）</w:t>
      </w:r>
      <w:r>
        <w:rPr>
          <w:rFonts w:hint="eastAsia" w:ascii="宋体" w:hAnsi="宋体" w:cs="宋体"/>
          <w:bCs/>
          <w:sz w:val="24"/>
        </w:rPr>
        <w:t>，属于</w:t>
      </w:r>
      <w:r>
        <w:rPr>
          <w:rFonts w:hint="eastAsia" w:ascii="宋体" w:hAnsi="宋体" w:cs="宋体"/>
          <w:b/>
          <w:sz w:val="24"/>
          <w:u w:val="single"/>
        </w:rPr>
        <w:t>监狱企业</w:t>
      </w:r>
      <w:r>
        <w:rPr>
          <w:rFonts w:hint="eastAsia" w:ascii="宋体" w:hAnsi="宋体" w:cs="宋体"/>
          <w:b/>
          <w:sz w:val="24"/>
        </w:rPr>
        <w:t>；</w:t>
      </w:r>
    </w:p>
    <w:p w14:paraId="6E44DEB6">
      <w:pPr>
        <w:ind w:firstLine="720" w:firstLineChars="300"/>
        <w:rPr>
          <w:rFonts w:ascii="宋体" w:hAnsi="宋体" w:cs="宋体"/>
          <w:bCs/>
          <w:sz w:val="24"/>
        </w:rPr>
      </w:pPr>
      <w:r>
        <w:rPr>
          <w:rFonts w:hint="eastAsia" w:ascii="宋体" w:hAnsi="宋体" w:cs="宋体"/>
          <w:bCs/>
          <w:sz w:val="24"/>
        </w:rPr>
        <w:t xml:space="preserve">…… </w:t>
      </w:r>
    </w:p>
    <w:p w14:paraId="1478AB82">
      <w:pPr>
        <w:ind w:firstLine="480" w:firstLineChars="200"/>
        <w:rPr>
          <w:rFonts w:ascii="宋体" w:hAnsi="宋体" w:cs="宋体"/>
          <w:bCs/>
          <w:sz w:val="24"/>
        </w:rPr>
      </w:pPr>
      <w:r>
        <w:rPr>
          <w:rFonts w:hint="eastAsia" w:ascii="宋体" w:hAnsi="宋体" w:cs="宋体"/>
          <w:bCs/>
          <w:sz w:val="24"/>
        </w:rPr>
        <w:t>本投标人对上述声明内容的真实性负责。如有虚假，将依法承担相应责任。</w:t>
      </w:r>
    </w:p>
    <w:p w14:paraId="24F428F3">
      <w:pPr>
        <w:rPr>
          <w:rFonts w:ascii="宋体" w:hAnsi="宋体" w:cs="宋体"/>
          <w:b/>
          <w:sz w:val="24"/>
        </w:rPr>
      </w:pPr>
      <w:r>
        <w:rPr>
          <w:rFonts w:hint="eastAsia" w:ascii="宋体" w:hAnsi="宋体" w:cs="宋体"/>
          <w:bCs/>
          <w:sz w:val="24"/>
        </w:rPr>
        <w:t>附：省级以上监狱管理局、戒毒管理局（含新疆生产建设兵团）出具的监狱企业证明文件。</w:t>
      </w:r>
    </w:p>
    <w:p w14:paraId="5DCC5539">
      <w:pPr>
        <w:pStyle w:val="4"/>
        <w:jc w:val="center"/>
        <w:rPr>
          <w:rFonts w:cs="宋体"/>
          <w:bCs w:val="0"/>
          <w:sz w:val="24"/>
          <w:szCs w:val="24"/>
        </w:rPr>
      </w:pPr>
      <w:r>
        <w:rPr>
          <w:rFonts w:hint="eastAsia" w:cs="宋体"/>
          <w:bCs w:val="0"/>
          <w:sz w:val="24"/>
          <w:szCs w:val="24"/>
        </w:rPr>
        <w:t>四、项目详细报价</w:t>
      </w:r>
    </w:p>
    <w:p w14:paraId="72F99FB1">
      <w:pPr>
        <w:tabs>
          <w:tab w:val="left" w:pos="720"/>
        </w:tabs>
        <w:ind w:firstLine="3132" w:firstLineChars="1300"/>
        <w:rPr>
          <w:rFonts w:ascii="宋体" w:hAnsi="宋体" w:cs="宋体"/>
          <w:b/>
          <w:sz w:val="24"/>
        </w:rPr>
      </w:pPr>
      <w:r>
        <w:rPr>
          <w:rFonts w:hint="eastAsia" w:ascii="宋体" w:hAnsi="宋体" w:cs="宋体"/>
          <w:b/>
          <w:sz w:val="24"/>
        </w:rPr>
        <w:t>（一）分项报价表</w:t>
      </w:r>
    </w:p>
    <w:tbl>
      <w:tblPr>
        <w:tblStyle w:val="44"/>
        <w:tblpPr w:leftFromText="180" w:rightFromText="180" w:vertAnchor="text" w:horzAnchor="margin" w:tblpY="173"/>
        <w:tblW w:w="79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2017"/>
        <w:gridCol w:w="2074"/>
        <w:gridCol w:w="1615"/>
        <w:gridCol w:w="1615"/>
      </w:tblGrid>
      <w:tr w14:paraId="1850C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68" w:type="dxa"/>
            <w:vAlign w:val="center"/>
          </w:tcPr>
          <w:p w14:paraId="748CFA1E">
            <w:pPr>
              <w:keepNext w:val="0"/>
              <w:keepLines w:val="0"/>
              <w:suppressLineNumbers w:val="0"/>
              <w:spacing w:before="0" w:beforeAutospacing="0" w:after="0" w:afterAutospacing="0"/>
              <w:ind w:left="0" w:right="0"/>
              <w:jc w:val="center"/>
              <w:rPr>
                <w:rFonts w:hint="default" w:ascii="宋体" w:hAnsi="宋体" w:cs="宋体"/>
                <w:bCs/>
                <w:sz w:val="24"/>
              </w:rPr>
            </w:pPr>
            <w:r>
              <w:rPr>
                <w:rFonts w:hint="eastAsia" w:ascii="宋体" w:hAnsi="宋体" w:cs="宋体"/>
                <w:bCs/>
                <w:sz w:val="24"/>
              </w:rPr>
              <w:t>序号</w:t>
            </w:r>
          </w:p>
        </w:tc>
        <w:tc>
          <w:tcPr>
            <w:tcW w:w="2017" w:type="dxa"/>
            <w:vAlign w:val="center"/>
          </w:tcPr>
          <w:p w14:paraId="0E9A0970">
            <w:pPr>
              <w:keepNext w:val="0"/>
              <w:keepLines w:val="0"/>
              <w:suppressLineNumbers w:val="0"/>
              <w:spacing w:before="0" w:beforeAutospacing="0" w:after="0" w:afterAutospacing="0"/>
              <w:ind w:left="0" w:right="0"/>
              <w:jc w:val="center"/>
              <w:rPr>
                <w:rFonts w:hint="default" w:ascii="宋体" w:hAnsi="宋体" w:cs="宋体"/>
                <w:bCs/>
                <w:sz w:val="24"/>
              </w:rPr>
            </w:pPr>
            <w:r>
              <w:rPr>
                <w:rFonts w:hint="eastAsia" w:ascii="宋体" w:hAnsi="宋体" w:cs="宋体"/>
                <w:bCs/>
                <w:sz w:val="24"/>
              </w:rPr>
              <w:t>采购项目名称</w:t>
            </w:r>
          </w:p>
        </w:tc>
        <w:tc>
          <w:tcPr>
            <w:tcW w:w="2074" w:type="dxa"/>
            <w:vAlign w:val="center"/>
          </w:tcPr>
          <w:p w14:paraId="4E6BA9AA">
            <w:pPr>
              <w:keepNext w:val="0"/>
              <w:keepLines w:val="0"/>
              <w:suppressLineNumbers w:val="0"/>
              <w:spacing w:before="0" w:beforeAutospacing="0" w:after="0" w:afterAutospacing="0"/>
              <w:ind w:left="0" w:right="0"/>
              <w:jc w:val="center"/>
              <w:rPr>
                <w:rFonts w:hint="default" w:ascii="宋体" w:hAnsi="宋体" w:eastAsia="宋体" w:cs="宋体"/>
                <w:bCs/>
                <w:sz w:val="24"/>
                <w:lang w:val="en-US" w:eastAsia="zh-CN"/>
              </w:rPr>
            </w:pPr>
            <w:r>
              <w:rPr>
                <w:rFonts w:hint="eastAsia" w:ascii="宋体" w:hAnsi="宋体" w:cs="宋体"/>
                <w:bCs/>
                <w:sz w:val="24"/>
                <w:lang w:val="en-US" w:eastAsia="zh-CN"/>
              </w:rPr>
              <w:t>单位名称</w:t>
            </w:r>
          </w:p>
        </w:tc>
        <w:tc>
          <w:tcPr>
            <w:tcW w:w="1615" w:type="dxa"/>
            <w:vAlign w:val="center"/>
          </w:tcPr>
          <w:p w14:paraId="115C2937">
            <w:pPr>
              <w:keepNext w:val="0"/>
              <w:keepLines w:val="0"/>
              <w:suppressLineNumbers w:val="0"/>
              <w:spacing w:before="0" w:beforeAutospacing="0" w:after="0" w:afterAutospacing="0"/>
              <w:ind w:left="0" w:right="0"/>
              <w:jc w:val="center"/>
              <w:rPr>
                <w:rFonts w:hint="default" w:ascii="宋体" w:hAnsi="宋体" w:cs="宋体"/>
                <w:b/>
                <w:bCs/>
                <w:color w:val="FF0000"/>
                <w:sz w:val="24"/>
              </w:rPr>
            </w:pPr>
            <w:r>
              <w:rPr>
                <w:rFonts w:hint="eastAsia" w:ascii="宋体" w:hAnsi="宋体" w:cs="宋体"/>
                <w:b/>
                <w:bCs/>
                <w:color w:val="FF0000"/>
                <w:sz w:val="24"/>
              </w:rPr>
              <w:t>财政预算限额（元）</w:t>
            </w:r>
          </w:p>
        </w:tc>
        <w:tc>
          <w:tcPr>
            <w:tcW w:w="1615" w:type="dxa"/>
            <w:vAlign w:val="center"/>
          </w:tcPr>
          <w:p w14:paraId="6C2F30BD">
            <w:pPr>
              <w:keepNext w:val="0"/>
              <w:keepLines w:val="0"/>
              <w:suppressLineNumbers w:val="0"/>
              <w:spacing w:before="0" w:beforeAutospacing="0" w:after="0" w:afterAutospacing="0"/>
              <w:ind w:left="0" w:right="0"/>
              <w:jc w:val="center"/>
              <w:rPr>
                <w:rFonts w:hint="default" w:ascii="宋体" w:hAnsi="宋体" w:eastAsia="宋体" w:cs="宋体"/>
                <w:b/>
                <w:bCs/>
                <w:color w:val="FF0000"/>
                <w:sz w:val="24"/>
                <w:lang w:val="en-US" w:eastAsia="zh-CN"/>
              </w:rPr>
            </w:pPr>
            <w:r>
              <w:rPr>
                <w:rFonts w:hint="eastAsia" w:ascii="宋体" w:hAnsi="宋体" w:cs="宋体"/>
                <w:b/>
                <w:bCs/>
                <w:color w:val="FF0000"/>
                <w:sz w:val="24"/>
                <w:lang w:val="en-US" w:eastAsia="zh-CN"/>
              </w:rPr>
              <w:t>投标报价（元）</w:t>
            </w:r>
          </w:p>
        </w:tc>
      </w:tr>
      <w:tr w14:paraId="62F00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68" w:type="dxa"/>
            <w:vAlign w:val="center"/>
          </w:tcPr>
          <w:p w14:paraId="124AFBB6">
            <w:pPr>
              <w:keepNext w:val="0"/>
              <w:keepLines w:val="0"/>
              <w:suppressLineNumbers w:val="0"/>
              <w:spacing w:before="0" w:beforeAutospacing="0" w:after="0" w:afterAutospacing="0"/>
              <w:ind w:left="0" w:right="0"/>
              <w:jc w:val="center"/>
              <w:rPr>
                <w:rFonts w:hint="default" w:ascii="宋体" w:hAnsi="宋体" w:cs="宋体"/>
                <w:bCs/>
                <w:sz w:val="24"/>
              </w:rPr>
            </w:pPr>
            <w:r>
              <w:rPr>
                <w:rFonts w:hint="eastAsia" w:ascii="宋体" w:hAnsi="宋体" w:cs="宋体"/>
                <w:bCs/>
                <w:sz w:val="24"/>
              </w:rPr>
              <w:t>1</w:t>
            </w:r>
          </w:p>
        </w:tc>
        <w:tc>
          <w:tcPr>
            <w:tcW w:w="2017" w:type="dxa"/>
            <w:vMerge w:val="restart"/>
            <w:vAlign w:val="center"/>
          </w:tcPr>
          <w:p w14:paraId="0285A57A">
            <w:pPr>
              <w:keepNext w:val="0"/>
              <w:keepLines w:val="0"/>
              <w:suppressLineNumbers w:val="0"/>
              <w:spacing w:before="0" w:beforeAutospacing="0" w:after="0" w:afterAutospacing="0"/>
              <w:ind w:left="0" w:right="0"/>
              <w:jc w:val="center"/>
              <w:rPr>
                <w:rFonts w:hint="default" w:ascii="宋体" w:hAnsi="宋体" w:eastAsia="宋体" w:cs="宋体"/>
                <w:bCs/>
                <w:sz w:val="24"/>
                <w:lang w:val="en-US" w:eastAsia="zh-CN"/>
              </w:rPr>
            </w:pPr>
            <w:r>
              <w:rPr>
                <w:rFonts w:hint="eastAsia" w:ascii="宋体" w:hAnsi="宋体" w:cs="宋体"/>
                <w:bCs/>
                <w:sz w:val="24"/>
              </w:rPr>
              <w:t>龙岗区社康机构移动支付系统服务项目</w:t>
            </w:r>
          </w:p>
        </w:tc>
        <w:tc>
          <w:tcPr>
            <w:tcW w:w="2074" w:type="dxa"/>
            <w:vAlign w:val="top"/>
          </w:tcPr>
          <w:p w14:paraId="02CBF3ED">
            <w:pPr>
              <w:jc w:val="center"/>
              <w:rPr>
                <w:rFonts w:hint="default" w:ascii="宋体" w:hAnsi="宋体" w:eastAsia="宋体" w:cs="宋体"/>
                <w:bCs/>
                <w:sz w:val="24"/>
                <w:lang w:val="en-US" w:eastAsia="zh-CN"/>
              </w:rPr>
            </w:pPr>
            <w:r>
              <w:rPr>
                <w:rFonts w:hint="eastAsia" w:ascii="宋体" w:hAnsi="宋体" w:cs="宋体"/>
                <w:sz w:val="24"/>
              </w:rPr>
              <w:t>深圳市龙岗中心医院</w:t>
            </w:r>
          </w:p>
        </w:tc>
        <w:tc>
          <w:tcPr>
            <w:tcW w:w="1615" w:type="dxa"/>
            <w:vAlign w:val="center"/>
          </w:tcPr>
          <w:p w14:paraId="1ACFF1F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sz w:val="24"/>
                <w:lang w:val="en-US" w:eastAsia="zh-CN"/>
              </w:rPr>
            </w:pPr>
            <w:r>
              <w:rPr>
                <w:rFonts w:hint="eastAsia" w:ascii="宋体" w:hAnsi="宋体" w:eastAsia="宋体" w:cs="宋体"/>
                <w:b/>
                <w:bCs/>
                <w:i w:val="0"/>
                <w:iCs w:val="0"/>
                <w:color w:val="000000"/>
                <w:kern w:val="0"/>
                <w:sz w:val="22"/>
                <w:szCs w:val="22"/>
                <w:u w:val="none"/>
                <w:lang w:val="en-US" w:eastAsia="zh-CN" w:bidi="ar"/>
              </w:rPr>
              <w:t>38430</w:t>
            </w:r>
            <w:r>
              <w:rPr>
                <w:rFonts w:hint="eastAsia" w:ascii="宋体" w:hAnsi="宋体" w:cs="宋体"/>
                <w:b/>
                <w:bCs/>
                <w:i w:val="0"/>
                <w:iCs w:val="0"/>
                <w:color w:val="000000"/>
                <w:kern w:val="0"/>
                <w:sz w:val="22"/>
                <w:szCs w:val="22"/>
                <w:u w:val="none"/>
                <w:lang w:val="en-US" w:eastAsia="zh-CN" w:bidi="ar"/>
              </w:rPr>
              <w:t>0.00</w:t>
            </w:r>
          </w:p>
        </w:tc>
        <w:tc>
          <w:tcPr>
            <w:tcW w:w="1615" w:type="dxa"/>
            <w:vAlign w:val="center"/>
          </w:tcPr>
          <w:p w14:paraId="2C81A2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2"/>
                <w:szCs w:val="22"/>
                <w:u w:val="none"/>
                <w:lang w:val="en-US" w:eastAsia="zh-CN" w:bidi="ar"/>
              </w:rPr>
            </w:pPr>
          </w:p>
        </w:tc>
      </w:tr>
      <w:tr w14:paraId="5F437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68" w:type="dxa"/>
            <w:vAlign w:val="center"/>
          </w:tcPr>
          <w:p w14:paraId="6A947F28">
            <w:pPr>
              <w:keepNext w:val="0"/>
              <w:keepLines w:val="0"/>
              <w:suppressLineNumbers w:val="0"/>
              <w:spacing w:before="0" w:beforeAutospacing="0" w:after="0" w:afterAutospacing="0"/>
              <w:ind w:left="0" w:right="0"/>
              <w:jc w:val="center"/>
              <w:rPr>
                <w:rFonts w:hint="eastAsia" w:eastAsia="宋体"/>
                <w:lang w:val="en-US" w:eastAsia="zh-CN"/>
              </w:rPr>
            </w:pPr>
            <w:r>
              <w:rPr>
                <w:rFonts w:hint="eastAsia"/>
                <w:lang w:val="en-US" w:eastAsia="zh-CN"/>
              </w:rPr>
              <w:t>2</w:t>
            </w:r>
          </w:p>
        </w:tc>
        <w:tc>
          <w:tcPr>
            <w:tcW w:w="2017" w:type="dxa"/>
            <w:vMerge w:val="continue"/>
            <w:vAlign w:val="center"/>
          </w:tcPr>
          <w:p w14:paraId="67B3493E">
            <w:pPr>
              <w:keepNext w:val="0"/>
              <w:keepLines w:val="0"/>
              <w:suppressLineNumbers w:val="0"/>
              <w:spacing w:before="0" w:beforeAutospacing="0" w:after="0" w:afterAutospacing="0"/>
              <w:ind w:left="0" w:right="0"/>
              <w:jc w:val="center"/>
              <w:rPr>
                <w:rFonts w:hint="default"/>
              </w:rPr>
            </w:pPr>
          </w:p>
        </w:tc>
        <w:tc>
          <w:tcPr>
            <w:tcW w:w="2074" w:type="dxa"/>
            <w:vAlign w:val="top"/>
          </w:tcPr>
          <w:p w14:paraId="3F74A090">
            <w:pPr>
              <w:jc w:val="center"/>
              <w:rPr>
                <w:rFonts w:hint="default"/>
              </w:rPr>
            </w:pPr>
            <w:r>
              <w:rPr>
                <w:rFonts w:hint="eastAsia" w:ascii="宋体" w:hAnsi="宋体" w:eastAsia="宋体" w:cs="宋体"/>
                <w:color w:val="auto"/>
                <w:kern w:val="2"/>
                <w:sz w:val="24"/>
              </w:rPr>
              <w:t>北京中医药大学深圳医院（龙岗）</w:t>
            </w:r>
          </w:p>
        </w:tc>
        <w:tc>
          <w:tcPr>
            <w:tcW w:w="1615" w:type="dxa"/>
            <w:vAlign w:val="center"/>
          </w:tcPr>
          <w:p w14:paraId="55B0331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sz w:val="24"/>
                <w:lang w:val="en-US" w:eastAsia="zh-CN"/>
              </w:rPr>
            </w:pPr>
            <w:r>
              <w:rPr>
                <w:rFonts w:hint="eastAsia" w:ascii="宋体" w:hAnsi="宋体" w:eastAsia="宋体" w:cs="宋体"/>
                <w:b/>
                <w:bCs/>
                <w:i w:val="0"/>
                <w:iCs w:val="0"/>
                <w:color w:val="000000"/>
                <w:kern w:val="0"/>
                <w:sz w:val="22"/>
                <w:szCs w:val="22"/>
                <w:u w:val="none"/>
                <w:lang w:val="en-US" w:eastAsia="zh-CN" w:bidi="ar"/>
              </w:rPr>
              <w:t>1458</w:t>
            </w:r>
            <w:r>
              <w:rPr>
                <w:rFonts w:hint="eastAsia" w:ascii="宋体" w:hAnsi="宋体" w:cs="宋体"/>
                <w:b/>
                <w:bCs/>
                <w:i w:val="0"/>
                <w:iCs w:val="0"/>
                <w:color w:val="000000"/>
                <w:kern w:val="0"/>
                <w:sz w:val="22"/>
                <w:szCs w:val="22"/>
                <w:u w:val="none"/>
                <w:lang w:val="en-US" w:eastAsia="zh-CN" w:bidi="ar"/>
              </w:rPr>
              <w:t>00.00</w:t>
            </w:r>
          </w:p>
        </w:tc>
        <w:tc>
          <w:tcPr>
            <w:tcW w:w="1615" w:type="dxa"/>
            <w:vAlign w:val="center"/>
          </w:tcPr>
          <w:p w14:paraId="593146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2"/>
                <w:szCs w:val="22"/>
                <w:u w:val="none"/>
                <w:lang w:val="en-US" w:eastAsia="zh-CN" w:bidi="ar"/>
              </w:rPr>
            </w:pPr>
          </w:p>
        </w:tc>
      </w:tr>
      <w:tr w14:paraId="20210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68" w:type="dxa"/>
            <w:vAlign w:val="center"/>
          </w:tcPr>
          <w:p w14:paraId="2421FE5C">
            <w:pPr>
              <w:keepNext w:val="0"/>
              <w:keepLines w:val="0"/>
              <w:suppressLineNumbers w:val="0"/>
              <w:spacing w:before="0" w:beforeAutospacing="0" w:after="0" w:afterAutospacing="0"/>
              <w:ind w:left="0" w:right="0"/>
              <w:jc w:val="center"/>
              <w:rPr>
                <w:rFonts w:hint="default" w:ascii="宋体" w:hAnsi="宋体" w:eastAsia="宋体" w:cs="宋体"/>
                <w:bCs/>
                <w:sz w:val="24"/>
                <w:lang w:val="en-US" w:eastAsia="zh-CN"/>
              </w:rPr>
            </w:pPr>
            <w:r>
              <w:rPr>
                <w:rFonts w:hint="eastAsia" w:ascii="宋体" w:hAnsi="宋体" w:cs="宋体"/>
                <w:bCs/>
                <w:sz w:val="24"/>
                <w:lang w:val="en-US" w:eastAsia="zh-CN"/>
              </w:rPr>
              <w:t>3</w:t>
            </w:r>
          </w:p>
        </w:tc>
        <w:tc>
          <w:tcPr>
            <w:tcW w:w="2017" w:type="dxa"/>
            <w:vMerge w:val="continue"/>
            <w:vAlign w:val="center"/>
          </w:tcPr>
          <w:p w14:paraId="53644684">
            <w:pPr>
              <w:keepNext w:val="0"/>
              <w:keepLines w:val="0"/>
              <w:suppressLineNumbers w:val="0"/>
              <w:spacing w:before="0" w:beforeAutospacing="0" w:after="0" w:afterAutospacing="0"/>
              <w:ind w:left="0" w:right="0"/>
              <w:jc w:val="center"/>
              <w:rPr>
                <w:rFonts w:hint="eastAsia" w:ascii="宋体" w:hAnsi="宋体" w:eastAsia="宋体" w:cs="宋体"/>
                <w:bCs/>
                <w:sz w:val="24"/>
                <w:lang w:val="en-US" w:eastAsia="zh-CN"/>
              </w:rPr>
            </w:pPr>
          </w:p>
        </w:tc>
        <w:tc>
          <w:tcPr>
            <w:tcW w:w="2074" w:type="dxa"/>
            <w:vAlign w:val="top"/>
          </w:tcPr>
          <w:p w14:paraId="7F02264D">
            <w:pPr>
              <w:jc w:val="center"/>
              <w:rPr>
                <w:rFonts w:hint="eastAsia" w:ascii="宋体" w:hAnsi="宋体" w:eastAsia="宋体" w:cs="宋体"/>
                <w:bCs/>
                <w:sz w:val="24"/>
                <w:lang w:val="en-US" w:eastAsia="zh-CN"/>
              </w:rPr>
            </w:pPr>
            <w:r>
              <w:rPr>
                <w:rFonts w:hint="eastAsia" w:ascii="宋体" w:hAnsi="宋体" w:eastAsia="宋体" w:cs="宋体"/>
                <w:color w:val="auto"/>
                <w:kern w:val="2"/>
                <w:sz w:val="24"/>
              </w:rPr>
              <w:t>深圳市龙岗区妇幼保健院</w:t>
            </w:r>
          </w:p>
        </w:tc>
        <w:tc>
          <w:tcPr>
            <w:tcW w:w="1615" w:type="dxa"/>
            <w:vAlign w:val="center"/>
          </w:tcPr>
          <w:p w14:paraId="337C83A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sz w:val="24"/>
                <w:lang w:val="en-US" w:eastAsia="zh-CN"/>
              </w:rPr>
            </w:pPr>
            <w:r>
              <w:rPr>
                <w:rFonts w:hint="eastAsia" w:ascii="宋体" w:hAnsi="宋体" w:eastAsia="宋体" w:cs="宋体"/>
                <w:b/>
                <w:bCs/>
                <w:i w:val="0"/>
                <w:iCs w:val="0"/>
                <w:color w:val="000000"/>
                <w:kern w:val="0"/>
                <w:sz w:val="22"/>
                <w:szCs w:val="22"/>
                <w:u w:val="none"/>
                <w:lang w:val="en-US" w:eastAsia="zh-CN" w:bidi="ar"/>
              </w:rPr>
              <w:t>133</w:t>
            </w:r>
            <w:r>
              <w:rPr>
                <w:rFonts w:hint="eastAsia" w:ascii="宋体" w:hAnsi="宋体" w:cs="宋体"/>
                <w:b/>
                <w:bCs/>
                <w:i w:val="0"/>
                <w:iCs w:val="0"/>
                <w:color w:val="000000"/>
                <w:kern w:val="0"/>
                <w:sz w:val="22"/>
                <w:szCs w:val="22"/>
                <w:u w:val="none"/>
                <w:lang w:val="en-US" w:eastAsia="zh-CN" w:bidi="ar"/>
              </w:rPr>
              <w:t>00.00</w:t>
            </w:r>
          </w:p>
        </w:tc>
        <w:tc>
          <w:tcPr>
            <w:tcW w:w="1615" w:type="dxa"/>
            <w:vAlign w:val="center"/>
          </w:tcPr>
          <w:p w14:paraId="32C669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2"/>
                <w:szCs w:val="22"/>
                <w:u w:val="none"/>
                <w:lang w:val="en-US" w:eastAsia="zh-CN" w:bidi="ar"/>
              </w:rPr>
            </w:pPr>
          </w:p>
        </w:tc>
      </w:tr>
      <w:tr w14:paraId="749EE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68" w:type="dxa"/>
            <w:vAlign w:val="center"/>
          </w:tcPr>
          <w:p w14:paraId="165A954D">
            <w:pPr>
              <w:keepNext w:val="0"/>
              <w:keepLines w:val="0"/>
              <w:suppressLineNumbers w:val="0"/>
              <w:spacing w:before="0" w:beforeAutospacing="0" w:after="0" w:afterAutospacing="0"/>
              <w:ind w:left="0" w:right="0"/>
              <w:jc w:val="center"/>
              <w:rPr>
                <w:rFonts w:hint="default" w:ascii="宋体" w:hAnsi="宋体" w:eastAsia="宋体" w:cs="宋体"/>
                <w:bCs/>
                <w:sz w:val="24"/>
                <w:lang w:val="en-US" w:eastAsia="zh-CN"/>
              </w:rPr>
            </w:pPr>
            <w:r>
              <w:rPr>
                <w:rFonts w:hint="eastAsia" w:ascii="宋体" w:hAnsi="宋体" w:cs="宋体"/>
                <w:bCs/>
                <w:sz w:val="24"/>
                <w:lang w:val="en-US" w:eastAsia="zh-CN"/>
              </w:rPr>
              <w:t>4</w:t>
            </w:r>
          </w:p>
        </w:tc>
        <w:tc>
          <w:tcPr>
            <w:tcW w:w="2017" w:type="dxa"/>
            <w:vMerge w:val="continue"/>
            <w:vAlign w:val="center"/>
          </w:tcPr>
          <w:p w14:paraId="25517D72">
            <w:pPr>
              <w:keepNext w:val="0"/>
              <w:keepLines w:val="0"/>
              <w:suppressLineNumbers w:val="0"/>
              <w:spacing w:before="0" w:beforeAutospacing="0" w:after="0" w:afterAutospacing="0"/>
              <w:ind w:left="0" w:right="0"/>
              <w:jc w:val="center"/>
              <w:rPr>
                <w:rFonts w:hint="eastAsia" w:ascii="宋体" w:hAnsi="宋体" w:eastAsia="宋体" w:cs="宋体"/>
                <w:bCs/>
                <w:sz w:val="24"/>
                <w:lang w:val="en-US" w:eastAsia="zh-CN"/>
              </w:rPr>
            </w:pPr>
          </w:p>
        </w:tc>
        <w:tc>
          <w:tcPr>
            <w:tcW w:w="2074" w:type="dxa"/>
            <w:vAlign w:val="top"/>
          </w:tcPr>
          <w:p w14:paraId="3870EA4B">
            <w:pPr>
              <w:jc w:val="center"/>
              <w:rPr>
                <w:rFonts w:hint="eastAsia" w:ascii="宋体" w:hAnsi="宋体" w:eastAsia="宋体" w:cs="宋体"/>
                <w:bCs/>
                <w:sz w:val="24"/>
                <w:lang w:val="en-US" w:eastAsia="zh-CN"/>
              </w:rPr>
            </w:pPr>
            <w:r>
              <w:rPr>
                <w:rFonts w:hint="eastAsia" w:ascii="宋体" w:hAnsi="宋体" w:eastAsia="宋体" w:cs="宋体"/>
                <w:color w:val="auto"/>
                <w:kern w:val="2"/>
                <w:sz w:val="24"/>
              </w:rPr>
              <w:t>深圳市龙岗区人民医院</w:t>
            </w:r>
          </w:p>
        </w:tc>
        <w:tc>
          <w:tcPr>
            <w:tcW w:w="1615" w:type="dxa"/>
            <w:vAlign w:val="center"/>
          </w:tcPr>
          <w:p w14:paraId="3B6BD17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sz w:val="24"/>
                <w:lang w:val="en-US" w:eastAsia="zh-CN"/>
              </w:rPr>
            </w:pPr>
            <w:r>
              <w:rPr>
                <w:rFonts w:hint="eastAsia" w:ascii="宋体" w:hAnsi="宋体" w:eastAsia="宋体" w:cs="宋体"/>
                <w:b/>
                <w:bCs/>
                <w:i w:val="0"/>
                <w:iCs w:val="0"/>
                <w:color w:val="000000"/>
                <w:kern w:val="0"/>
                <w:sz w:val="22"/>
                <w:szCs w:val="22"/>
                <w:u w:val="none"/>
                <w:lang w:val="en-US" w:eastAsia="zh-CN" w:bidi="ar"/>
              </w:rPr>
              <w:t>2650</w:t>
            </w:r>
            <w:r>
              <w:rPr>
                <w:rFonts w:hint="eastAsia" w:ascii="宋体" w:hAnsi="宋体" w:cs="宋体"/>
                <w:b/>
                <w:bCs/>
                <w:i w:val="0"/>
                <w:iCs w:val="0"/>
                <w:color w:val="000000"/>
                <w:kern w:val="0"/>
                <w:sz w:val="22"/>
                <w:szCs w:val="22"/>
                <w:u w:val="none"/>
                <w:lang w:val="en-US" w:eastAsia="zh-CN" w:bidi="ar"/>
              </w:rPr>
              <w:t>00.00</w:t>
            </w:r>
          </w:p>
        </w:tc>
        <w:tc>
          <w:tcPr>
            <w:tcW w:w="1615" w:type="dxa"/>
            <w:vAlign w:val="center"/>
          </w:tcPr>
          <w:p w14:paraId="4188CD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2"/>
                <w:szCs w:val="22"/>
                <w:u w:val="none"/>
                <w:lang w:val="en-US" w:eastAsia="zh-CN" w:bidi="ar"/>
              </w:rPr>
            </w:pPr>
          </w:p>
        </w:tc>
      </w:tr>
      <w:tr w14:paraId="2687B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68" w:type="dxa"/>
            <w:vAlign w:val="center"/>
          </w:tcPr>
          <w:p w14:paraId="41D82C06">
            <w:pPr>
              <w:keepNext w:val="0"/>
              <w:keepLines w:val="0"/>
              <w:suppressLineNumbers w:val="0"/>
              <w:spacing w:before="0" w:beforeAutospacing="0" w:after="0" w:afterAutospacing="0"/>
              <w:ind w:left="0" w:right="0"/>
              <w:jc w:val="center"/>
              <w:rPr>
                <w:rFonts w:hint="default" w:ascii="宋体" w:hAnsi="宋体" w:eastAsia="宋体" w:cs="宋体"/>
                <w:bCs/>
                <w:sz w:val="24"/>
                <w:lang w:val="en-US" w:eastAsia="zh-CN"/>
              </w:rPr>
            </w:pPr>
            <w:r>
              <w:rPr>
                <w:rFonts w:hint="eastAsia" w:ascii="宋体" w:hAnsi="宋体" w:cs="宋体"/>
                <w:bCs/>
                <w:sz w:val="24"/>
                <w:lang w:val="en-US" w:eastAsia="zh-CN"/>
              </w:rPr>
              <w:t>5</w:t>
            </w:r>
          </w:p>
        </w:tc>
        <w:tc>
          <w:tcPr>
            <w:tcW w:w="2017" w:type="dxa"/>
            <w:vMerge w:val="continue"/>
            <w:vAlign w:val="center"/>
          </w:tcPr>
          <w:p w14:paraId="625382FE">
            <w:pPr>
              <w:keepNext w:val="0"/>
              <w:keepLines w:val="0"/>
              <w:suppressLineNumbers w:val="0"/>
              <w:spacing w:before="0" w:beforeAutospacing="0" w:after="0" w:afterAutospacing="0"/>
              <w:ind w:left="0" w:right="0"/>
              <w:jc w:val="center"/>
              <w:rPr>
                <w:rFonts w:hint="eastAsia" w:ascii="宋体" w:hAnsi="宋体" w:eastAsia="宋体" w:cs="宋体"/>
                <w:bCs/>
                <w:sz w:val="24"/>
                <w:lang w:val="en-US" w:eastAsia="zh-CN"/>
              </w:rPr>
            </w:pPr>
          </w:p>
        </w:tc>
        <w:tc>
          <w:tcPr>
            <w:tcW w:w="2074" w:type="dxa"/>
            <w:vAlign w:val="top"/>
          </w:tcPr>
          <w:p w14:paraId="540E5438">
            <w:pPr>
              <w:jc w:val="center"/>
              <w:rPr>
                <w:rFonts w:hint="eastAsia" w:ascii="宋体" w:hAnsi="宋体" w:eastAsia="宋体" w:cs="宋体"/>
                <w:bCs/>
                <w:sz w:val="24"/>
                <w:lang w:val="en-US" w:eastAsia="zh-CN"/>
              </w:rPr>
            </w:pPr>
            <w:r>
              <w:rPr>
                <w:rFonts w:hint="eastAsia" w:ascii="宋体" w:hAnsi="宋体" w:eastAsia="宋体" w:cs="宋体"/>
                <w:color w:val="auto"/>
                <w:kern w:val="2"/>
                <w:sz w:val="24"/>
              </w:rPr>
              <w:t>深圳市龙岗区第二人民医院</w:t>
            </w:r>
          </w:p>
        </w:tc>
        <w:tc>
          <w:tcPr>
            <w:tcW w:w="1615" w:type="dxa"/>
            <w:vAlign w:val="center"/>
          </w:tcPr>
          <w:p w14:paraId="18AF5D5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sz w:val="24"/>
                <w:lang w:val="en-US" w:eastAsia="zh-CN"/>
              </w:rPr>
            </w:pPr>
            <w:r>
              <w:rPr>
                <w:rFonts w:hint="eastAsia" w:ascii="宋体" w:hAnsi="宋体" w:eastAsia="宋体" w:cs="宋体"/>
                <w:b/>
                <w:bCs/>
                <w:i w:val="0"/>
                <w:iCs w:val="0"/>
                <w:color w:val="000000"/>
                <w:kern w:val="0"/>
                <w:sz w:val="22"/>
                <w:szCs w:val="22"/>
                <w:u w:val="none"/>
                <w:lang w:val="en-US" w:eastAsia="zh-CN" w:bidi="ar"/>
              </w:rPr>
              <w:t>3419</w:t>
            </w:r>
            <w:r>
              <w:rPr>
                <w:rFonts w:hint="eastAsia" w:ascii="宋体" w:hAnsi="宋体" w:cs="宋体"/>
                <w:b/>
                <w:bCs/>
                <w:i w:val="0"/>
                <w:iCs w:val="0"/>
                <w:color w:val="000000"/>
                <w:kern w:val="0"/>
                <w:sz w:val="22"/>
                <w:szCs w:val="22"/>
                <w:u w:val="none"/>
                <w:lang w:val="en-US" w:eastAsia="zh-CN" w:bidi="ar"/>
              </w:rPr>
              <w:t>00.00</w:t>
            </w:r>
          </w:p>
        </w:tc>
        <w:tc>
          <w:tcPr>
            <w:tcW w:w="1615" w:type="dxa"/>
            <w:vAlign w:val="center"/>
          </w:tcPr>
          <w:p w14:paraId="535F61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2"/>
                <w:szCs w:val="22"/>
                <w:u w:val="none"/>
                <w:lang w:val="en-US" w:eastAsia="zh-CN" w:bidi="ar"/>
              </w:rPr>
            </w:pPr>
          </w:p>
        </w:tc>
      </w:tr>
      <w:tr w14:paraId="6E877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68" w:type="dxa"/>
            <w:vAlign w:val="center"/>
          </w:tcPr>
          <w:p w14:paraId="036D5DDE">
            <w:pPr>
              <w:keepNext w:val="0"/>
              <w:keepLines w:val="0"/>
              <w:suppressLineNumbers w:val="0"/>
              <w:spacing w:before="0" w:beforeAutospacing="0" w:after="0" w:afterAutospacing="0"/>
              <w:ind w:left="0" w:right="0"/>
              <w:jc w:val="center"/>
              <w:rPr>
                <w:rFonts w:hint="default" w:ascii="宋体" w:hAnsi="宋体" w:eastAsia="宋体" w:cs="宋体"/>
                <w:bCs/>
                <w:sz w:val="24"/>
                <w:lang w:val="en-US" w:eastAsia="zh-CN"/>
              </w:rPr>
            </w:pPr>
            <w:r>
              <w:rPr>
                <w:rFonts w:hint="eastAsia" w:ascii="宋体" w:hAnsi="宋体" w:cs="宋体"/>
                <w:bCs/>
                <w:sz w:val="24"/>
                <w:lang w:val="en-US" w:eastAsia="zh-CN"/>
              </w:rPr>
              <w:t>6</w:t>
            </w:r>
          </w:p>
        </w:tc>
        <w:tc>
          <w:tcPr>
            <w:tcW w:w="2017" w:type="dxa"/>
            <w:vMerge w:val="continue"/>
            <w:vAlign w:val="center"/>
          </w:tcPr>
          <w:p w14:paraId="5314D5AC">
            <w:pPr>
              <w:keepNext w:val="0"/>
              <w:keepLines w:val="0"/>
              <w:suppressLineNumbers w:val="0"/>
              <w:spacing w:before="0" w:beforeAutospacing="0" w:after="0" w:afterAutospacing="0"/>
              <w:ind w:left="0" w:right="0"/>
              <w:jc w:val="center"/>
              <w:rPr>
                <w:rFonts w:hint="eastAsia" w:ascii="宋体" w:hAnsi="宋体" w:eastAsia="宋体" w:cs="宋体"/>
                <w:bCs/>
                <w:sz w:val="24"/>
                <w:lang w:val="en-US" w:eastAsia="zh-CN"/>
              </w:rPr>
            </w:pPr>
          </w:p>
        </w:tc>
        <w:tc>
          <w:tcPr>
            <w:tcW w:w="2074" w:type="dxa"/>
            <w:vAlign w:val="top"/>
          </w:tcPr>
          <w:p w14:paraId="690EE2D2">
            <w:pPr>
              <w:jc w:val="center"/>
              <w:rPr>
                <w:rFonts w:hint="eastAsia" w:ascii="宋体" w:hAnsi="宋体" w:eastAsia="宋体" w:cs="宋体"/>
                <w:bCs/>
                <w:sz w:val="24"/>
                <w:lang w:val="en-US" w:eastAsia="zh-CN"/>
              </w:rPr>
            </w:pPr>
            <w:r>
              <w:rPr>
                <w:rFonts w:hint="eastAsia" w:ascii="宋体" w:hAnsi="宋体" w:eastAsia="宋体" w:cs="宋体"/>
                <w:color w:val="auto"/>
                <w:kern w:val="2"/>
                <w:sz w:val="24"/>
              </w:rPr>
              <w:t>深圳市龙岗区第三人民医院</w:t>
            </w:r>
          </w:p>
        </w:tc>
        <w:tc>
          <w:tcPr>
            <w:tcW w:w="1615" w:type="dxa"/>
            <w:vAlign w:val="center"/>
          </w:tcPr>
          <w:p w14:paraId="2E1A73B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sz w:val="24"/>
                <w:lang w:val="en-US" w:eastAsia="zh-CN"/>
              </w:rPr>
            </w:pPr>
            <w:r>
              <w:rPr>
                <w:rFonts w:hint="eastAsia" w:ascii="宋体" w:hAnsi="宋体" w:eastAsia="宋体" w:cs="宋体"/>
                <w:b/>
                <w:bCs/>
                <w:i w:val="0"/>
                <w:iCs w:val="0"/>
                <w:color w:val="000000"/>
                <w:kern w:val="0"/>
                <w:sz w:val="22"/>
                <w:szCs w:val="22"/>
                <w:u w:val="none"/>
                <w:lang w:val="en-US" w:eastAsia="zh-CN" w:bidi="ar"/>
              </w:rPr>
              <w:t>1590</w:t>
            </w:r>
            <w:r>
              <w:rPr>
                <w:rFonts w:hint="eastAsia" w:ascii="宋体" w:hAnsi="宋体" w:cs="宋体"/>
                <w:b/>
                <w:bCs/>
                <w:i w:val="0"/>
                <w:iCs w:val="0"/>
                <w:color w:val="000000"/>
                <w:kern w:val="0"/>
                <w:sz w:val="22"/>
                <w:szCs w:val="22"/>
                <w:u w:val="none"/>
                <w:lang w:val="en-US" w:eastAsia="zh-CN" w:bidi="ar"/>
              </w:rPr>
              <w:t>00.00</w:t>
            </w:r>
          </w:p>
        </w:tc>
        <w:tc>
          <w:tcPr>
            <w:tcW w:w="1615" w:type="dxa"/>
            <w:vAlign w:val="center"/>
          </w:tcPr>
          <w:p w14:paraId="59971D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2"/>
                <w:szCs w:val="22"/>
                <w:u w:val="none"/>
                <w:lang w:val="en-US" w:eastAsia="zh-CN" w:bidi="ar"/>
              </w:rPr>
            </w:pPr>
          </w:p>
        </w:tc>
      </w:tr>
      <w:tr w14:paraId="1A670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68" w:type="dxa"/>
            <w:vAlign w:val="center"/>
          </w:tcPr>
          <w:p w14:paraId="08E74586">
            <w:pPr>
              <w:keepNext w:val="0"/>
              <w:keepLines w:val="0"/>
              <w:suppressLineNumbers w:val="0"/>
              <w:spacing w:before="0" w:beforeAutospacing="0" w:after="0" w:afterAutospacing="0"/>
              <w:ind w:left="0" w:right="0"/>
              <w:jc w:val="center"/>
              <w:rPr>
                <w:rFonts w:hint="default" w:ascii="宋体" w:hAnsi="宋体" w:eastAsia="宋体" w:cs="宋体"/>
                <w:bCs/>
                <w:sz w:val="24"/>
                <w:lang w:val="en-US" w:eastAsia="zh-CN"/>
              </w:rPr>
            </w:pPr>
            <w:r>
              <w:rPr>
                <w:rFonts w:hint="eastAsia" w:ascii="宋体" w:hAnsi="宋体" w:cs="宋体"/>
                <w:bCs/>
                <w:sz w:val="24"/>
                <w:lang w:val="en-US" w:eastAsia="zh-CN"/>
              </w:rPr>
              <w:t>7</w:t>
            </w:r>
          </w:p>
        </w:tc>
        <w:tc>
          <w:tcPr>
            <w:tcW w:w="2017" w:type="dxa"/>
            <w:vMerge w:val="continue"/>
            <w:vAlign w:val="center"/>
          </w:tcPr>
          <w:p w14:paraId="1119E835">
            <w:pPr>
              <w:keepNext w:val="0"/>
              <w:keepLines w:val="0"/>
              <w:suppressLineNumbers w:val="0"/>
              <w:spacing w:before="0" w:beforeAutospacing="0" w:after="0" w:afterAutospacing="0"/>
              <w:ind w:left="0" w:right="0"/>
              <w:jc w:val="center"/>
              <w:rPr>
                <w:rFonts w:hint="eastAsia" w:ascii="宋体" w:hAnsi="宋体" w:eastAsia="宋体" w:cs="宋体"/>
                <w:bCs/>
                <w:sz w:val="24"/>
                <w:lang w:val="en-US" w:eastAsia="zh-CN"/>
              </w:rPr>
            </w:pPr>
          </w:p>
        </w:tc>
        <w:tc>
          <w:tcPr>
            <w:tcW w:w="2074" w:type="dxa"/>
            <w:vAlign w:val="top"/>
          </w:tcPr>
          <w:p w14:paraId="783EC49F">
            <w:pPr>
              <w:jc w:val="center"/>
              <w:rPr>
                <w:rFonts w:hint="eastAsia" w:ascii="宋体" w:hAnsi="宋体" w:eastAsia="宋体" w:cs="宋体"/>
                <w:bCs/>
                <w:sz w:val="24"/>
                <w:lang w:val="en-US" w:eastAsia="zh-CN"/>
              </w:rPr>
            </w:pPr>
            <w:r>
              <w:rPr>
                <w:rFonts w:hint="eastAsia" w:ascii="宋体" w:hAnsi="宋体" w:eastAsia="宋体" w:cs="宋体"/>
                <w:color w:val="auto"/>
                <w:kern w:val="2"/>
                <w:sz w:val="24"/>
              </w:rPr>
              <w:t>深圳市龙岗区第四人民医院</w:t>
            </w:r>
          </w:p>
        </w:tc>
        <w:tc>
          <w:tcPr>
            <w:tcW w:w="1615" w:type="dxa"/>
            <w:vAlign w:val="center"/>
          </w:tcPr>
          <w:p w14:paraId="1C04C0C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sz w:val="24"/>
                <w:lang w:val="en-US" w:eastAsia="zh-CN"/>
              </w:rPr>
            </w:pPr>
            <w:r>
              <w:rPr>
                <w:rFonts w:hint="eastAsia" w:ascii="宋体" w:hAnsi="宋体" w:eastAsia="宋体" w:cs="宋体"/>
                <w:b/>
                <w:bCs/>
                <w:i w:val="0"/>
                <w:iCs w:val="0"/>
                <w:color w:val="000000"/>
                <w:kern w:val="0"/>
                <w:sz w:val="22"/>
                <w:szCs w:val="22"/>
                <w:u w:val="none"/>
                <w:lang w:val="en-US" w:eastAsia="zh-CN" w:bidi="ar"/>
              </w:rPr>
              <w:t>530</w:t>
            </w:r>
            <w:r>
              <w:rPr>
                <w:rFonts w:hint="eastAsia" w:ascii="宋体" w:hAnsi="宋体" w:cs="宋体"/>
                <w:b/>
                <w:bCs/>
                <w:i w:val="0"/>
                <w:iCs w:val="0"/>
                <w:color w:val="000000"/>
                <w:kern w:val="0"/>
                <w:sz w:val="22"/>
                <w:szCs w:val="22"/>
                <w:u w:val="none"/>
                <w:lang w:val="en-US" w:eastAsia="zh-CN" w:bidi="ar"/>
              </w:rPr>
              <w:t>00.00</w:t>
            </w:r>
          </w:p>
        </w:tc>
        <w:tc>
          <w:tcPr>
            <w:tcW w:w="1615" w:type="dxa"/>
            <w:vAlign w:val="center"/>
          </w:tcPr>
          <w:p w14:paraId="43A978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2"/>
                <w:szCs w:val="22"/>
                <w:u w:val="none"/>
                <w:lang w:val="en-US" w:eastAsia="zh-CN" w:bidi="ar"/>
              </w:rPr>
            </w:pPr>
          </w:p>
        </w:tc>
      </w:tr>
      <w:tr w14:paraId="523D5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68" w:type="dxa"/>
            <w:vAlign w:val="center"/>
          </w:tcPr>
          <w:p w14:paraId="5FCF66A6">
            <w:pPr>
              <w:keepNext w:val="0"/>
              <w:keepLines w:val="0"/>
              <w:suppressLineNumbers w:val="0"/>
              <w:spacing w:before="0" w:beforeAutospacing="0" w:after="0" w:afterAutospacing="0"/>
              <w:ind w:left="0" w:right="0"/>
              <w:jc w:val="center"/>
              <w:rPr>
                <w:rFonts w:hint="default" w:ascii="宋体" w:hAnsi="宋体" w:eastAsia="宋体" w:cs="宋体"/>
                <w:bCs/>
                <w:sz w:val="24"/>
                <w:lang w:val="en-US" w:eastAsia="zh-CN"/>
              </w:rPr>
            </w:pPr>
            <w:r>
              <w:rPr>
                <w:rFonts w:hint="eastAsia" w:ascii="宋体" w:hAnsi="宋体" w:cs="宋体"/>
                <w:bCs/>
                <w:sz w:val="24"/>
                <w:lang w:val="en-US" w:eastAsia="zh-CN"/>
              </w:rPr>
              <w:t>8</w:t>
            </w:r>
          </w:p>
        </w:tc>
        <w:tc>
          <w:tcPr>
            <w:tcW w:w="2017" w:type="dxa"/>
            <w:vMerge w:val="continue"/>
            <w:vAlign w:val="center"/>
          </w:tcPr>
          <w:p w14:paraId="57ED60AD">
            <w:pPr>
              <w:keepNext w:val="0"/>
              <w:keepLines w:val="0"/>
              <w:suppressLineNumbers w:val="0"/>
              <w:spacing w:before="0" w:beforeAutospacing="0" w:after="0" w:afterAutospacing="0"/>
              <w:ind w:left="0" w:right="0"/>
              <w:jc w:val="center"/>
              <w:rPr>
                <w:rFonts w:hint="eastAsia" w:ascii="宋体" w:hAnsi="宋体" w:eastAsia="宋体" w:cs="宋体"/>
                <w:bCs/>
                <w:sz w:val="24"/>
                <w:lang w:val="en-US" w:eastAsia="zh-CN"/>
              </w:rPr>
            </w:pPr>
          </w:p>
        </w:tc>
        <w:tc>
          <w:tcPr>
            <w:tcW w:w="2074" w:type="dxa"/>
            <w:vAlign w:val="top"/>
          </w:tcPr>
          <w:p w14:paraId="328BBFC7">
            <w:pPr>
              <w:jc w:val="center"/>
              <w:rPr>
                <w:rFonts w:hint="eastAsia" w:ascii="宋体" w:hAnsi="宋体" w:eastAsia="宋体" w:cs="宋体"/>
                <w:bCs/>
                <w:sz w:val="24"/>
                <w:lang w:val="en-US" w:eastAsia="zh-CN"/>
              </w:rPr>
            </w:pPr>
            <w:r>
              <w:rPr>
                <w:rFonts w:hint="eastAsia" w:ascii="宋体" w:hAnsi="宋体" w:eastAsia="宋体" w:cs="宋体"/>
                <w:color w:val="auto"/>
                <w:kern w:val="2"/>
                <w:sz w:val="24"/>
              </w:rPr>
              <w:t>深圳市龙岗区第五人民医院</w:t>
            </w:r>
          </w:p>
        </w:tc>
        <w:tc>
          <w:tcPr>
            <w:tcW w:w="1615" w:type="dxa"/>
            <w:vAlign w:val="center"/>
          </w:tcPr>
          <w:p w14:paraId="4E3007D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sz w:val="24"/>
                <w:lang w:val="en-US" w:eastAsia="zh-CN"/>
              </w:rPr>
            </w:pPr>
            <w:r>
              <w:rPr>
                <w:rFonts w:hint="eastAsia" w:ascii="宋体" w:hAnsi="宋体" w:eastAsia="宋体" w:cs="宋体"/>
                <w:b/>
                <w:bCs/>
                <w:i w:val="0"/>
                <w:iCs w:val="0"/>
                <w:color w:val="000000"/>
                <w:kern w:val="0"/>
                <w:sz w:val="22"/>
                <w:szCs w:val="22"/>
                <w:u w:val="none"/>
                <w:lang w:val="en-US" w:eastAsia="zh-CN" w:bidi="ar"/>
              </w:rPr>
              <w:t>1193</w:t>
            </w:r>
            <w:r>
              <w:rPr>
                <w:rFonts w:hint="eastAsia" w:ascii="宋体" w:hAnsi="宋体" w:cs="宋体"/>
                <w:b/>
                <w:bCs/>
                <w:i w:val="0"/>
                <w:iCs w:val="0"/>
                <w:color w:val="000000"/>
                <w:kern w:val="0"/>
                <w:sz w:val="22"/>
                <w:szCs w:val="22"/>
                <w:u w:val="none"/>
                <w:lang w:val="en-US" w:eastAsia="zh-CN" w:bidi="ar"/>
              </w:rPr>
              <w:t>00.00</w:t>
            </w:r>
          </w:p>
        </w:tc>
        <w:tc>
          <w:tcPr>
            <w:tcW w:w="1615" w:type="dxa"/>
            <w:vAlign w:val="center"/>
          </w:tcPr>
          <w:p w14:paraId="2DBD72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2"/>
                <w:szCs w:val="22"/>
                <w:u w:val="none"/>
                <w:lang w:val="en-US" w:eastAsia="zh-CN" w:bidi="ar"/>
              </w:rPr>
            </w:pPr>
          </w:p>
        </w:tc>
      </w:tr>
      <w:tr w14:paraId="069E8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68" w:type="dxa"/>
            <w:vAlign w:val="center"/>
          </w:tcPr>
          <w:p w14:paraId="4923140E">
            <w:pPr>
              <w:keepNext w:val="0"/>
              <w:keepLines w:val="0"/>
              <w:suppressLineNumbers w:val="0"/>
              <w:spacing w:before="0" w:beforeAutospacing="0" w:after="0" w:afterAutospacing="0"/>
              <w:ind w:left="0" w:right="0"/>
              <w:jc w:val="center"/>
              <w:rPr>
                <w:rFonts w:hint="default" w:ascii="宋体" w:hAnsi="宋体" w:eastAsia="宋体" w:cs="宋体"/>
                <w:bCs/>
                <w:sz w:val="24"/>
                <w:lang w:val="en-US" w:eastAsia="zh-CN"/>
              </w:rPr>
            </w:pPr>
            <w:r>
              <w:rPr>
                <w:rFonts w:hint="eastAsia" w:ascii="宋体" w:hAnsi="宋体" w:cs="宋体"/>
                <w:bCs/>
                <w:sz w:val="24"/>
                <w:lang w:val="en-US" w:eastAsia="zh-CN"/>
              </w:rPr>
              <w:t>9</w:t>
            </w:r>
          </w:p>
        </w:tc>
        <w:tc>
          <w:tcPr>
            <w:tcW w:w="2017" w:type="dxa"/>
            <w:vMerge w:val="continue"/>
            <w:vAlign w:val="center"/>
          </w:tcPr>
          <w:p w14:paraId="56B96ACA">
            <w:pPr>
              <w:keepNext w:val="0"/>
              <w:keepLines w:val="0"/>
              <w:suppressLineNumbers w:val="0"/>
              <w:spacing w:before="0" w:beforeAutospacing="0" w:after="0" w:afterAutospacing="0"/>
              <w:ind w:left="0" w:right="0"/>
              <w:jc w:val="center"/>
              <w:rPr>
                <w:rFonts w:hint="eastAsia" w:ascii="宋体" w:hAnsi="宋体" w:eastAsia="宋体" w:cs="宋体"/>
                <w:bCs/>
                <w:sz w:val="24"/>
                <w:lang w:val="en-US" w:eastAsia="zh-CN"/>
              </w:rPr>
            </w:pPr>
          </w:p>
        </w:tc>
        <w:tc>
          <w:tcPr>
            <w:tcW w:w="2074" w:type="dxa"/>
            <w:vAlign w:val="top"/>
          </w:tcPr>
          <w:p w14:paraId="6EB238B4">
            <w:pPr>
              <w:jc w:val="center"/>
              <w:rPr>
                <w:rFonts w:hint="eastAsia" w:ascii="宋体" w:hAnsi="宋体" w:eastAsia="宋体" w:cs="宋体"/>
                <w:bCs/>
                <w:sz w:val="24"/>
                <w:lang w:val="en-US" w:eastAsia="zh-CN"/>
              </w:rPr>
            </w:pPr>
            <w:r>
              <w:rPr>
                <w:rFonts w:hint="eastAsia" w:ascii="宋体" w:hAnsi="宋体" w:eastAsia="宋体" w:cs="宋体"/>
                <w:color w:val="auto"/>
                <w:kern w:val="2"/>
                <w:sz w:val="24"/>
              </w:rPr>
              <w:t>深圳市龙岗区第六人民医院</w:t>
            </w:r>
          </w:p>
        </w:tc>
        <w:tc>
          <w:tcPr>
            <w:tcW w:w="1615" w:type="dxa"/>
            <w:vAlign w:val="center"/>
          </w:tcPr>
          <w:p w14:paraId="6240213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sz w:val="24"/>
                <w:lang w:val="en-US" w:eastAsia="zh-CN"/>
              </w:rPr>
            </w:pPr>
            <w:r>
              <w:rPr>
                <w:rFonts w:hint="eastAsia" w:ascii="宋体" w:hAnsi="宋体" w:eastAsia="宋体" w:cs="宋体"/>
                <w:b/>
                <w:bCs/>
                <w:i w:val="0"/>
                <w:iCs w:val="0"/>
                <w:color w:val="000000"/>
                <w:kern w:val="0"/>
                <w:sz w:val="22"/>
                <w:szCs w:val="22"/>
                <w:u w:val="none"/>
                <w:lang w:val="en-US" w:eastAsia="zh-CN" w:bidi="ar"/>
              </w:rPr>
              <w:t>875</w:t>
            </w:r>
            <w:r>
              <w:rPr>
                <w:rFonts w:hint="eastAsia" w:ascii="宋体" w:hAnsi="宋体" w:cs="宋体"/>
                <w:b/>
                <w:bCs/>
                <w:i w:val="0"/>
                <w:iCs w:val="0"/>
                <w:color w:val="000000"/>
                <w:kern w:val="0"/>
                <w:sz w:val="22"/>
                <w:szCs w:val="22"/>
                <w:u w:val="none"/>
                <w:lang w:val="en-US" w:eastAsia="zh-CN" w:bidi="ar"/>
              </w:rPr>
              <w:t>00.00</w:t>
            </w:r>
          </w:p>
        </w:tc>
        <w:tc>
          <w:tcPr>
            <w:tcW w:w="1615" w:type="dxa"/>
            <w:vAlign w:val="center"/>
          </w:tcPr>
          <w:p w14:paraId="26D6F6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2"/>
                <w:szCs w:val="22"/>
                <w:u w:val="none"/>
                <w:lang w:val="en-US" w:eastAsia="zh-CN" w:bidi="ar"/>
              </w:rPr>
            </w:pPr>
          </w:p>
        </w:tc>
      </w:tr>
      <w:tr w14:paraId="55668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68" w:type="dxa"/>
            <w:vAlign w:val="center"/>
          </w:tcPr>
          <w:p w14:paraId="60BED5EA">
            <w:pPr>
              <w:keepNext w:val="0"/>
              <w:keepLines w:val="0"/>
              <w:suppressLineNumbers w:val="0"/>
              <w:spacing w:before="0" w:beforeAutospacing="0" w:after="0" w:afterAutospacing="0"/>
              <w:ind w:left="0" w:right="0"/>
              <w:jc w:val="center"/>
              <w:rPr>
                <w:rFonts w:hint="default" w:ascii="宋体" w:hAnsi="宋体" w:eastAsia="宋体" w:cs="宋体"/>
                <w:bCs/>
                <w:sz w:val="24"/>
                <w:lang w:val="en-US" w:eastAsia="zh-CN"/>
              </w:rPr>
            </w:pPr>
            <w:r>
              <w:rPr>
                <w:rFonts w:hint="eastAsia" w:ascii="宋体" w:hAnsi="宋体" w:cs="宋体"/>
                <w:bCs/>
                <w:sz w:val="24"/>
                <w:lang w:val="en-US" w:eastAsia="zh-CN"/>
              </w:rPr>
              <w:t>10</w:t>
            </w:r>
          </w:p>
        </w:tc>
        <w:tc>
          <w:tcPr>
            <w:tcW w:w="2017" w:type="dxa"/>
            <w:vMerge w:val="continue"/>
            <w:vAlign w:val="center"/>
          </w:tcPr>
          <w:p w14:paraId="08D958B1">
            <w:pPr>
              <w:keepNext w:val="0"/>
              <w:keepLines w:val="0"/>
              <w:suppressLineNumbers w:val="0"/>
              <w:spacing w:before="0" w:beforeAutospacing="0" w:after="0" w:afterAutospacing="0"/>
              <w:ind w:left="0" w:right="0"/>
              <w:jc w:val="center"/>
              <w:rPr>
                <w:rFonts w:hint="eastAsia" w:ascii="宋体" w:hAnsi="宋体" w:eastAsia="宋体" w:cs="宋体"/>
                <w:bCs/>
                <w:sz w:val="24"/>
                <w:lang w:val="en-US" w:eastAsia="zh-CN"/>
              </w:rPr>
            </w:pPr>
          </w:p>
        </w:tc>
        <w:tc>
          <w:tcPr>
            <w:tcW w:w="2074" w:type="dxa"/>
            <w:vAlign w:val="top"/>
          </w:tcPr>
          <w:p w14:paraId="3E8E4343">
            <w:pPr>
              <w:jc w:val="center"/>
              <w:rPr>
                <w:rFonts w:hint="eastAsia" w:ascii="宋体" w:hAnsi="宋体" w:eastAsia="宋体" w:cs="宋体"/>
                <w:bCs/>
                <w:sz w:val="24"/>
                <w:lang w:val="en-US" w:eastAsia="zh-CN"/>
              </w:rPr>
            </w:pPr>
            <w:r>
              <w:rPr>
                <w:rFonts w:hint="eastAsia" w:ascii="宋体" w:hAnsi="宋体" w:eastAsia="宋体" w:cs="宋体"/>
                <w:color w:val="auto"/>
                <w:kern w:val="2"/>
                <w:sz w:val="24"/>
              </w:rPr>
              <w:t>深圳市龙岗区第七人民医院</w:t>
            </w:r>
          </w:p>
        </w:tc>
        <w:tc>
          <w:tcPr>
            <w:tcW w:w="1615" w:type="dxa"/>
            <w:vAlign w:val="center"/>
          </w:tcPr>
          <w:p w14:paraId="046C312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sz w:val="24"/>
                <w:lang w:val="en-US" w:eastAsia="zh-CN"/>
              </w:rPr>
            </w:pPr>
            <w:r>
              <w:rPr>
                <w:rFonts w:hint="eastAsia" w:ascii="宋体" w:hAnsi="宋体" w:eastAsia="宋体" w:cs="宋体"/>
                <w:b/>
                <w:bCs/>
                <w:i w:val="0"/>
                <w:iCs w:val="0"/>
                <w:color w:val="000000"/>
                <w:kern w:val="0"/>
                <w:sz w:val="22"/>
                <w:szCs w:val="22"/>
                <w:u w:val="none"/>
                <w:lang w:val="en-US" w:eastAsia="zh-CN" w:bidi="ar"/>
              </w:rPr>
              <w:t>477</w:t>
            </w:r>
            <w:r>
              <w:rPr>
                <w:rFonts w:hint="eastAsia" w:ascii="宋体" w:hAnsi="宋体" w:cs="宋体"/>
                <w:b/>
                <w:bCs/>
                <w:i w:val="0"/>
                <w:iCs w:val="0"/>
                <w:color w:val="000000"/>
                <w:kern w:val="0"/>
                <w:sz w:val="22"/>
                <w:szCs w:val="22"/>
                <w:u w:val="none"/>
                <w:lang w:val="en-US" w:eastAsia="zh-CN" w:bidi="ar"/>
              </w:rPr>
              <w:t>00.00</w:t>
            </w:r>
          </w:p>
        </w:tc>
        <w:tc>
          <w:tcPr>
            <w:tcW w:w="1615" w:type="dxa"/>
            <w:vAlign w:val="center"/>
          </w:tcPr>
          <w:p w14:paraId="1E5C4F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2"/>
                <w:szCs w:val="22"/>
                <w:u w:val="none"/>
                <w:lang w:val="en-US" w:eastAsia="zh-CN" w:bidi="ar"/>
              </w:rPr>
            </w:pPr>
          </w:p>
        </w:tc>
      </w:tr>
      <w:tr w14:paraId="30145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68" w:type="dxa"/>
            <w:vAlign w:val="center"/>
          </w:tcPr>
          <w:p w14:paraId="160B32DF">
            <w:pPr>
              <w:keepNext w:val="0"/>
              <w:keepLines w:val="0"/>
              <w:suppressLineNumbers w:val="0"/>
              <w:spacing w:before="0" w:beforeAutospacing="0" w:after="0" w:afterAutospacing="0"/>
              <w:ind w:left="0" w:right="0"/>
              <w:jc w:val="center"/>
              <w:rPr>
                <w:rFonts w:hint="default" w:ascii="宋体" w:hAnsi="宋体" w:eastAsia="宋体" w:cs="宋体"/>
                <w:bCs/>
                <w:sz w:val="24"/>
                <w:lang w:val="en-US" w:eastAsia="zh-CN"/>
              </w:rPr>
            </w:pPr>
            <w:r>
              <w:rPr>
                <w:rFonts w:hint="eastAsia" w:ascii="宋体" w:hAnsi="宋体" w:cs="宋体"/>
                <w:bCs/>
                <w:sz w:val="24"/>
                <w:lang w:val="en-US" w:eastAsia="zh-CN"/>
              </w:rPr>
              <w:t>11</w:t>
            </w:r>
          </w:p>
        </w:tc>
        <w:tc>
          <w:tcPr>
            <w:tcW w:w="2017" w:type="dxa"/>
            <w:vMerge w:val="continue"/>
            <w:vAlign w:val="center"/>
          </w:tcPr>
          <w:p w14:paraId="40032948">
            <w:pPr>
              <w:keepNext w:val="0"/>
              <w:keepLines w:val="0"/>
              <w:suppressLineNumbers w:val="0"/>
              <w:spacing w:before="0" w:beforeAutospacing="0" w:after="0" w:afterAutospacing="0"/>
              <w:ind w:left="0" w:right="0"/>
              <w:jc w:val="center"/>
              <w:rPr>
                <w:rFonts w:hint="eastAsia" w:ascii="宋体" w:hAnsi="宋体" w:eastAsia="宋体" w:cs="宋体"/>
                <w:bCs/>
                <w:sz w:val="24"/>
                <w:lang w:val="en-US" w:eastAsia="zh-CN"/>
              </w:rPr>
            </w:pPr>
          </w:p>
        </w:tc>
        <w:tc>
          <w:tcPr>
            <w:tcW w:w="2074" w:type="dxa"/>
            <w:vAlign w:val="top"/>
          </w:tcPr>
          <w:p w14:paraId="31A42BC8">
            <w:pPr>
              <w:jc w:val="center"/>
              <w:rPr>
                <w:rFonts w:hint="eastAsia" w:ascii="宋体" w:hAnsi="宋体" w:eastAsia="宋体" w:cs="宋体"/>
                <w:bCs/>
                <w:sz w:val="24"/>
                <w:lang w:val="en-US" w:eastAsia="zh-CN"/>
              </w:rPr>
            </w:pPr>
            <w:r>
              <w:rPr>
                <w:rFonts w:hint="eastAsia" w:ascii="宋体" w:hAnsi="宋体" w:cs="宋体"/>
                <w:sz w:val="24"/>
              </w:rPr>
              <w:t>深圳市龙岗区骨科医院</w:t>
            </w:r>
          </w:p>
        </w:tc>
        <w:tc>
          <w:tcPr>
            <w:tcW w:w="1615" w:type="dxa"/>
            <w:vAlign w:val="center"/>
          </w:tcPr>
          <w:p w14:paraId="4628ADF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sz w:val="24"/>
                <w:lang w:val="en-US" w:eastAsia="zh-CN"/>
              </w:rPr>
            </w:pPr>
            <w:r>
              <w:rPr>
                <w:rFonts w:hint="eastAsia" w:ascii="宋体" w:hAnsi="宋体" w:eastAsia="宋体" w:cs="宋体"/>
                <w:b/>
                <w:bCs/>
                <w:i w:val="0"/>
                <w:iCs w:val="0"/>
                <w:color w:val="000000"/>
                <w:kern w:val="0"/>
                <w:sz w:val="22"/>
                <w:szCs w:val="22"/>
                <w:u w:val="none"/>
                <w:lang w:val="en-US" w:eastAsia="zh-CN" w:bidi="ar"/>
              </w:rPr>
              <w:t>318</w:t>
            </w:r>
            <w:r>
              <w:rPr>
                <w:rFonts w:hint="eastAsia" w:ascii="宋体" w:hAnsi="宋体" w:cs="宋体"/>
                <w:b/>
                <w:bCs/>
                <w:i w:val="0"/>
                <w:iCs w:val="0"/>
                <w:color w:val="000000"/>
                <w:kern w:val="0"/>
                <w:sz w:val="22"/>
                <w:szCs w:val="22"/>
                <w:u w:val="none"/>
                <w:lang w:val="en-US" w:eastAsia="zh-CN" w:bidi="ar"/>
              </w:rPr>
              <w:t>00.00</w:t>
            </w:r>
          </w:p>
        </w:tc>
        <w:tc>
          <w:tcPr>
            <w:tcW w:w="1615" w:type="dxa"/>
            <w:vAlign w:val="center"/>
          </w:tcPr>
          <w:p w14:paraId="54DCC7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2"/>
                <w:szCs w:val="22"/>
                <w:u w:val="none"/>
                <w:lang w:val="en-US" w:eastAsia="zh-CN" w:bidi="ar"/>
              </w:rPr>
            </w:pPr>
          </w:p>
        </w:tc>
      </w:tr>
      <w:tr w14:paraId="66E74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668" w:type="dxa"/>
            <w:vAlign w:val="center"/>
          </w:tcPr>
          <w:p w14:paraId="14759E8B">
            <w:pPr>
              <w:keepNext w:val="0"/>
              <w:keepLines w:val="0"/>
              <w:suppressLineNumbers w:val="0"/>
              <w:spacing w:before="0" w:beforeAutospacing="0" w:after="0" w:afterAutospacing="0"/>
              <w:ind w:left="0" w:right="0"/>
              <w:jc w:val="center"/>
              <w:rPr>
                <w:rFonts w:hint="default" w:ascii="宋体" w:hAnsi="宋体" w:cs="宋体"/>
                <w:bCs/>
                <w:sz w:val="24"/>
              </w:rPr>
            </w:pPr>
            <w:r>
              <w:rPr>
                <w:rFonts w:hint="eastAsia" w:ascii="宋体" w:hAnsi="宋体" w:cs="宋体"/>
                <w:bCs/>
                <w:sz w:val="24"/>
                <w:lang w:val="en-US" w:eastAsia="zh-CN"/>
              </w:rPr>
              <w:t>1</w:t>
            </w:r>
            <w:r>
              <w:rPr>
                <w:rFonts w:hint="eastAsia" w:ascii="宋体" w:hAnsi="宋体" w:cs="宋体"/>
                <w:bCs/>
                <w:sz w:val="24"/>
              </w:rPr>
              <w:t>2</w:t>
            </w:r>
          </w:p>
        </w:tc>
        <w:tc>
          <w:tcPr>
            <w:tcW w:w="2017" w:type="dxa"/>
            <w:vMerge w:val="continue"/>
            <w:vAlign w:val="center"/>
          </w:tcPr>
          <w:p w14:paraId="320A37A1">
            <w:pPr>
              <w:keepNext w:val="0"/>
              <w:keepLines w:val="0"/>
              <w:suppressLineNumbers w:val="0"/>
              <w:spacing w:before="0" w:beforeAutospacing="0" w:after="0" w:afterAutospacing="0"/>
              <w:ind w:left="0" w:right="0"/>
              <w:jc w:val="center"/>
              <w:rPr>
                <w:rFonts w:hint="default" w:ascii="宋体" w:hAnsi="宋体" w:cs="宋体"/>
                <w:bCs/>
                <w:sz w:val="24"/>
              </w:rPr>
            </w:pPr>
          </w:p>
        </w:tc>
        <w:tc>
          <w:tcPr>
            <w:tcW w:w="2074" w:type="dxa"/>
            <w:vAlign w:val="center"/>
          </w:tcPr>
          <w:p w14:paraId="1E09914C">
            <w:pPr>
              <w:keepNext w:val="0"/>
              <w:keepLines w:val="0"/>
              <w:suppressLineNumbers w:val="0"/>
              <w:spacing w:before="0" w:beforeAutospacing="0" w:after="0" w:afterAutospacing="0"/>
              <w:ind w:left="0" w:right="0"/>
              <w:jc w:val="center"/>
              <w:rPr>
                <w:rFonts w:hint="default" w:ascii="宋体" w:hAnsi="宋体" w:eastAsia="宋体" w:cs="宋体"/>
                <w:bCs/>
                <w:sz w:val="24"/>
                <w:lang w:val="en-US" w:eastAsia="zh-CN"/>
              </w:rPr>
            </w:pPr>
            <w:r>
              <w:rPr>
                <w:rFonts w:hint="eastAsia" w:ascii="宋体" w:hAnsi="宋体" w:cs="宋体"/>
                <w:bCs/>
                <w:sz w:val="24"/>
                <w:lang w:val="en-US" w:eastAsia="zh-CN"/>
              </w:rPr>
              <w:t>合计</w:t>
            </w:r>
          </w:p>
        </w:tc>
        <w:tc>
          <w:tcPr>
            <w:tcW w:w="1615" w:type="dxa"/>
            <w:vAlign w:val="center"/>
          </w:tcPr>
          <w:p w14:paraId="160B4699">
            <w:pPr>
              <w:keepNext w:val="0"/>
              <w:keepLines w:val="0"/>
              <w:suppressLineNumbers w:val="0"/>
              <w:spacing w:before="0" w:beforeAutospacing="0" w:after="0" w:afterAutospacing="0"/>
              <w:ind w:left="0" w:right="0"/>
              <w:jc w:val="center"/>
              <w:rPr>
                <w:rFonts w:hint="default" w:ascii="宋体" w:hAnsi="宋体" w:eastAsia="宋体" w:cs="宋体"/>
                <w:bCs/>
                <w:sz w:val="24"/>
                <w:lang w:val="en-US" w:eastAsia="zh-CN"/>
              </w:rPr>
            </w:pPr>
            <w:r>
              <w:rPr>
                <w:rFonts w:hint="eastAsia" w:ascii="宋体" w:hAnsi="宋体" w:eastAsia="宋体" w:cs="宋体"/>
                <w:b/>
                <w:bCs/>
                <w:i w:val="0"/>
                <w:iCs w:val="0"/>
                <w:color w:val="000000"/>
                <w:kern w:val="0"/>
                <w:sz w:val="22"/>
                <w:szCs w:val="22"/>
                <w:u w:val="none"/>
                <w:lang w:val="en-US" w:eastAsia="zh-CN" w:bidi="ar"/>
              </w:rPr>
              <w:t>1648600</w:t>
            </w:r>
            <w:r>
              <w:rPr>
                <w:rFonts w:hint="eastAsia" w:ascii="宋体" w:hAnsi="宋体" w:cs="宋体"/>
                <w:b/>
                <w:bCs/>
                <w:i w:val="0"/>
                <w:iCs w:val="0"/>
                <w:color w:val="000000"/>
                <w:kern w:val="0"/>
                <w:sz w:val="22"/>
                <w:szCs w:val="22"/>
                <w:u w:val="none"/>
                <w:lang w:val="en-US" w:eastAsia="zh-CN" w:bidi="ar"/>
              </w:rPr>
              <w:t>.00</w:t>
            </w:r>
          </w:p>
        </w:tc>
        <w:tc>
          <w:tcPr>
            <w:tcW w:w="1615" w:type="dxa"/>
            <w:vAlign w:val="center"/>
          </w:tcPr>
          <w:p w14:paraId="6F8D39EB">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kern w:val="0"/>
                <w:sz w:val="22"/>
                <w:szCs w:val="22"/>
                <w:u w:val="none"/>
                <w:lang w:val="en-US" w:eastAsia="zh-CN" w:bidi="ar"/>
              </w:rPr>
            </w:pPr>
          </w:p>
        </w:tc>
      </w:tr>
    </w:tbl>
    <w:p w14:paraId="7FF21692">
      <w:pPr>
        <w:keepNext w:val="0"/>
        <w:keepLines w:val="0"/>
        <w:suppressLineNumbers w:val="0"/>
        <w:spacing w:before="0" w:beforeAutospacing="0" w:after="0" w:afterAutospacing="0"/>
        <w:ind w:left="0" w:leftChars="0" w:right="0" w:rightChars="0"/>
        <w:jc w:val="left"/>
        <w:rPr>
          <w:rFonts w:hint="eastAsia" w:ascii="宋体" w:hAnsi="宋体" w:eastAsia="宋体" w:cs="宋体"/>
          <w:bCs/>
          <w:sz w:val="24"/>
          <w:highlight w:val="yellow"/>
          <w:lang w:val="en-US" w:eastAsia="zh-CN"/>
        </w:rPr>
      </w:pPr>
      <w:r>
        <w:rPr>
          <w:rFonts w:hint="eastAsia" w:hAnsi="宋体"/>
          <w:b/>
          <w:bCs/>
          <w:color w:val="FF0000"/>
          <w:sz w:val="24"/>
          <w:highlight w:val="yellow"/>
          <w:lang w:val="en-US" w:eastAsia="zh-CN"/>
        </w:rPr>
        <w:t>注：</w:t>
      </w:r>
      <w:r>
        <w:rPr>
          <w:rFonts w:hint="eastAsia" w:ascii="宋体" w:hAnsi="宋体" w:eastAsia="宋体" w:cs="宋体"/>
          <w:bCs/>
          <w:sz w:val="24"/>
          <w:highlight w:val="yellow"/>
          <w:lang w:val="en-US" w:eastAsia="zh-CN"/>
        </w:rPr>
        <w:t>1、投标人的投标报价不得超过预算金额，投标总报价不得超过预算总额，否则将导致投标被否决。</w:t>
      </w:r>
    </w:p>
    <w:p w14:paraId="1343EA67">
      <w:pPr>
        <w:jc w:val="left"/>
        <w:rPr>
          <w:rFonts w:ascii="宋体" w:hAnsi="宋体" w:cs="宋体"/>
          <w:b/>
          <w:bCs/>
          <w:sz w:val="24"/>
        </w:rPr>
      </w:pPr>
      <w:r>
        <w:rPr>
          <w:rFonts w:hint="eastAsia" w:ascii="宋体" w:hAnsi="宋体" w:eastAsia="宋体" w:cs="宋体"/>
          <w:bCs/>
          <w:sz w:val="24"/>
          <w:highlight w:val="yellow"/>
          <w:lang w:val="en-US" w:eastAsia="zh-CN"/>
        </w:rPr>
        <w:t>2、投标报价需按上述表格填写，若投标人额外提供更详细的报价，各单位功能与参数一致的产品（服务）报价需保持一致，如报价不一致将导致投标无效。</w:t>
      </w:r>
    </w:p>
    <w:p w14:paraId="6C4C93A8">
      <w:pPr>
        <w:tabs>
          <w:tab w:val="left" w:pos="720"/>
        </w:tabs>
        <w:jc w:val="center"/>
        <w:rPr>
          <w:rFonts w:ascii="宋体" w:hAnsi="宋体" w:cs="宋体"/>
          <w:b/>
          <w:sz w:val="24"/>
        </w:rPr>
      </w:pPr>
    </w:p>
    <w:p w14:paraId="161D4205">
      <w:pPr>
        <w:tabs>
          <w:tab w:val="left" w:pos="720"/>
        </w:tabs>
        <w:jc w:val="center"/>
        <w:rPr>
          <w:rFonts w:ascii="宋体" w:hAnsi="宋体" w:cs="宋体"/>
          <w:b/>
          <w:sz w:val="24"/>
        </w:rPr>
      </w:pPr>
      <w:r>
        <w:rPr>
          <w:rFonts w:hint="eastAsia" w:ascii="宋体" w:hAnsi="宋体" w:cs="宋体"/>
          <w:b/>
          <w:sz w:val="24"/>
        </w:rPr>
        <w:t>（二）</w:t>
      </w:r>
      <w:bookmarkStart w:id="40" w:name="_Hlk72073235"/>
      <w:r>
        <w:rPr>
          <w:rFonts w:hint="eastAsia" w:ascii="宋体" w:hAnsi="宋体" w:cs="宋体"/>
          <w:b/>
          <w:sz w:val="24"/>
        </w:rPr>
        <w:t>投标人认为需要涉及的其他内容报价清单</w:t>
      </w:r>
      <w:bookmarkEnd w:id="40"/>
    </w:p>
    <w:p w14:paraId="68443477">
      <w:pPr>
        <w:pStyle w:val="4"/>
        <w:spacing w:before="120" w:after="120"/>
        <w:jc w:val="center"/>
        <w:rPr>
          <w:rFonts w:cs="宋体"/>
          <w:spacing w:val="6"/>
          <w:sz w:val="24"/>
          <w:szCs w:val="24"/>
        </w:rPr>
      </w:pPr>
      <w:r>
        <w:rPr>
          <w:rFonts w:hint="eastAsia" w:cs="宋体"/>
          <w:bCs w:val="0"/>
          <w:kern w:val="0"/>
          <w:sz w:val="24"/>
          <w:szCs w:val="24"/>
        </w:rPr>
        <w:t>五、</w:t>
      </w:r>
      <w:r>
        <w:rPr>
          <w:rFonts w:hint="eastAsia" w:cs="宋体"/>
          <w:spacing w:val="6"/>
          <w:sz w:val="24"/>
          <w:szCs w:val="24"/>
        </w:rPr>
        <w:t>投标人通过相关认证情况</w:t>
      </w:r>
    </w:p>
    <w:p w14:paraId="3D758EC7"/>
    <w:p w14:paraId="447B29D8">
      <w:pPr>
        <w:pStyle w:val="4"/>
        <w:spacing w:before="120" w:after="120"/>
        <w:jc w:val="center"/>
        <w:rPr>
          <w:rFonts w:cs="宋体"/>
          <w:bCs w:val="0"/>
          <w:kern w:val="0"/>
          <w:sz w:val="24"/>
          <w:szCs w:val="24"/>
        </w:rPr>
      </w:pPr>
      <w:r>
        <w:rPr>
          <w:rFonts w:hint="eastAsia" w:cs="宋体"/>
          <w:bCs w:val="0"/>
          <w:kern w:val="0"/>
          <w:sz w:val="24"/>
          <w:szCs w:val="24"/>
        </w:rPr>
        <w:t>六、</w:t>
      </w:r>
      <w:r>
        <w:rPr>
          <w:rFonts w:hint="eastAsia" w:cs="宋体"/>
          <w:spacing w:val="7"/>
          <w:sz w:val="24"/>
          <w:szCs w:val="24"/>
        </w:rPr>
        <w:t>投标人同类项目业绩情况</w:t>
      </w:r>
    </w:p>
    <w:p w14:paraId="3ADC6A52">
      <w:pPr>
        <w:pStyle w:val="4"/>
        <w:spacing w:before="120" w:after="120"/>
        <w:jc w:val="center"/>
        <w:rPr>
          <w:rFonts w:cs="宋体"/>
          <w:bCs w:val="0"/>
          <w:kern w:val="0"/>
          <w:sz w:val="24"/>
          <w:szCs w:val="24"/>
        </w:rPr>
      </w:pPr>
    </w:p>
    <w:p w14:paraId="22565C3F">
      <w:pPr>
        <w:pStyle w:val="4"/>
        <w:numPr>
          <w:ilvl w:val="0"/>
          <w:numId w:val="10"/>
        </w:numPr>
        <w:spacing w:before="120" w:after="120"/>
        <w:jc w:val="center"/>
        <w:rPr>
          <w:rFonts w:cs="宋体"/>
          <w:spacing w:val="6"/>
          <w:sz w:val="24"/>
          <w:szCs w:val="24"/>
        </w:rPr>
      </w:pPr>
      <w:r>
        <w:rPr>
          <w:rFonts w:hint="eastAsia" w:cs="宋体"/>
          <w:sz w:val="24"/>
        </w:rPr>
        <w:t>投标人获奖情况</w:t>
      </w:r>
    </w:p>
    <w:p w14:paraId="790ECB7D"/>
    <w:p w14:paraId="1E805CDA">
      <w:pPr>
        <w:pStyle w:val="2"/>
        <w:jc w:val="center"/>
        <w:rPr>
          <w:rFonts w:ascii="宋体" w:hAnsi="宋体" w:cs="宋体"/>
          <w:spacing w:val="7"/>
        </w:rPr>
      </w:pPr>
      <w:r>
        <w:rPr>
          <w:rFonts w:hint="eastAsia" w:ascii="宋体" w:hAnsi="宋体" w:cs="宋体"/>
          <w:spacing w:val="7"/>
        </w:rPr>
        <w:t>八、</w:t>
      </w:r>
      <w:r>
        <w:rPr>
          <w:rFonts w:hint="eastAsia" w:ascii="宋体" w:hAnsi="宋体" w:cs="宋体"/>
        </w:rPr>
        <w:t>知识产权产品（创新、设计）情况</w:t>
      </w:r>
    </w:p>
    <w:p w14:paraId="3ED79F68"/>
    <w:p w14:paraId="422A7DA0">
      <w:pPr>
        <w:pStyle w:val="4"/>
        <w:spacing w:before="120" w:after="120"/>
        <w:jc w:val="center"/>
        <w:rPr>
          <w:rFonts w:cs="宋体"/>
          <w:bCs w:val="0"/>
          <w:sz w:val="24"/>
          <w:szCs w:val="24"/>
        </w:rPr>
      </w:pPr>
      <w:r>
        <w:rPr>
          <w:rFonts w:hint="eastAsia" w:cs="宋体"/>
          <w:bCs w:val="0"/>
          <w:kern w:val="0"/>
          <w:sz w:val="24"/>
          <w:szCs w:val="24"/>
        </w:rPr>
        <w:t>九、招标文件要求的其他内容及投标人认为需要加以说明的其他内容（公开部分）</w:t>
      </w:r>
    </w:p>
    <w:p w14:paraId="5B085DC5"/>
    <w:p w14:paraId="28D9E546">
      <w:pPr>
        <w:ind w:firstLine="1446" w:firstLineChars="600"/>
        <w:rPr>
          <w:b/>
          <w:color w:val="FF0000"/>
          <w:sz w:val="24"/>
        </w:rPr>
      </w:pPr>
      <w:r>
        <w:rPr>
          <w:rFonts w:hint="eastAsia"/>
          <w:b/>
          <w:color w:val="FF0000"/>
          <w:sz w:val="24"/>
        </w:rPr>
        <w:t>（信息公开部分的内容到此为止！以下为信息不公开部分。）</w:t>
      </w:r>
    </w:p>
    <w:p w14:paraId="58294D15"/>
    <w:p w14:paraId="3BCB3324">
      <w:pPr>
        <w:rPr>
          <w:rFonts w:ascii="宋体" w:hAnsi="宋体"/>
          <w:b/>
          <w:color w:val="FF0000"/>
          <w:sz w:val="28"/>
          <w:szCs w:val="28"/>
        </w:rPr>
      </w:pPr>
      <w:r>
        <w:rPr>
          <w:rFonts w:hint="eastAsia" w:ascii="宋体" w:hAnsi="宋体"/>
          <w:b/>
          <w:color w:val="FF0000"/>
          <w:sz w:val="28"/>
          <w:szCs w:val="28"/>
        </w:rPr>
        <w:t>投标文件附件（信息不公开部分）</w:t>
      </w:r>
    </w:p>
    <w:p w14:paraId="50262CDF">
      <w:pPr>
        <w:rPr>
          <w:rFonts w:ascii="宋体" w:hAnsi="宋体"/>
          <w:b/>
          <w:color w:val="FF0000"/>
          <w:sz w:val="28"/>
          <w:szCs w:val="28"/>
        </w:rPr>
      </w:pPr>
    </w:p>
    <w:p w14:paraId="43D538A4">
      <w:pPr>
        <w:pStyle w:val="4"/>
        <w:numPr>
          <w:ilvl w:val="255"/>
          <w:numId w:val="0"/>
        </w:numPr>
        <w:spacing w:before="0" w:after="0"/>
        <w:jc w:val="center"/>
        <w:rPr>
          <w:rFonts w:ascii="黑体" w:eastAsia="黑体"/>
          <w:b w:val="0"/>
          <w:sz w:val="24"/>
        </w:rPr>
      </w:pPr>
      <w:bookmarkStart w:id="41" w:name="_Hlk72092499"/>
      <w:r>
        <w:rPr>
          <w:rFonts w:hint="eastAsia" w:ascii="黑体" w:eastAsia="黑体"/>
          <w:b w:val="0"/>
          <w:sz w:val="24"/>
        </w:rPr>
        <w:t>一</w:t>
      </w:r>
      <w:r>
        <w:rPr>
          <w:rFonts w:ascii="黑体" w:eastAsia="黑体"/>
          <w:b w:val="0"/>
          <w:sz w:val="24"/>
        </w:rPr>
        <w:t>、</w:t>
      </w:r>
      <w:r>
        <w:rPr>
          <w:rFonts w:hint="eastAsia" w:ascii="黑体" w:eastAsia="黑体"/>
          <w:b w:val="0"/>
          <w:sz w:val="24"/>
        </w:rPr>
        <w:t>法定代表人（负责人）证明书</w:t>
      </w:r>
      <w:bookmarkEnd w:id="41"/>
    </w:p>
    <w:p w14:paraId="0D7F6207"/>
    <w:p w14:paraId="3635B8F0">
      <w:pPr>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同志，现任我单位</w:t>
      </w:r>
      <w:r>
        <w:rPr>
          <w:rFonts w:hint="eastAsia" w:ascii="宋体" w:hAnsi="宋体" w:cs="宋体"/>
          <w:sz w:val="24"/>
          <w:u w:val="single"/>
        </w:rPr>
        <w:t xml:space="preserve">         </w:t>
      </w:r>
      <w:r>
        <w:rPr>
          <w:rFonts w:hint="eastAsia" w:ascii="宋体" w:hAnsi="宋体" w:cs="宋体"/>
          <w:sz w:val="24"/>
        </w:rPr>
        <w:t xml:space="preserve">职务，为法定代表人（负责人），身份证号：   </w:t>
      </w:r>
      <w:r>
        <w:rPr>
          <w:rFonts w:hint="eastAsia" w:ascii="宋体" w:hAnsi="宋体" w:cs="宋体"/>
          <w:sz w:val="24"/>
          <w:u w:val="single"/>
        </w:rPr>
        <w:t xml:space="preserve">                                  </w:t>
      </w:r>
      <w:r>
        <w:rPr>
          <w:rFonts w:hint="eastAsia" w:ascii="宋体" w:hAnsi="宋体" w:cs="宋体"/>
          <w:sz w:val="24"/>
        </w:rPr>
        <w:t>联系电话：</w:t>
      </w:r>
      <w:r>
        <w:rPr>
          <w:rFonts w:hint="eastAsia" w:ascii="宋体" w:hAnsi="宋体" w:cs="宋体"/>
          <w:sz w:val="24"/>
          <w:u w:val="single"/>
        </w:rPr>
        <w:t xml:space="preserve">         </w:t>
      </w:r>
      <w:r>
        <w:rPr>
          <w:rFonts w:hint="eastAsia" w:ascii="宋体" w:hAnsi="宋体" w:cs="宋体"/>
          <w:sz w:val="24"/>
        </w:rPr>
        <w:t>。</w:t>
      </w:r>
    </w:p>
    <w:p w14:paraId="0AFEA640">
      <w:pPr>
        <w:spacing w:line="360" w:lineRule="auto"/>
        <w:ind w:firstLine="480" w:firstLineChars="200"/>
        <w:rPr>
          <w:rFonts w:ascii="宋体" w:hAnsi="宋体" w:cs="宋体"/>
          <w:sz w:val="24"/>
        </w:rPr>
      </w:pPr>
      <w:r>
        <w:rPr>
          <w:rFonts w:hint="eastAsia" w:ascii="宋体" w:hAnsi="宋体" w:cs="宋体"/>
          <w:sz w:val="24"/>
        </w:rPr>
        <w:t>特此证明。</w:t>
      </w:r>
    </w:p>
    <w:p w14:paraId="0CACF6F9">
      <w:pPr>
        <w:spacing w:line="360" w:lineRule="auto"/>
        <w:rPr>
          <w:rFonts w:ascii="宋体" w:hAnsi="宋体" w:cs="宋体"/>
          <w:sz w:val="24"/>
        </w:rPr>
      </w:pPr>
      <w:r>
        <w:rPr>
          <w:rFonts w:hint="eastAsia" w:ascii="宋体" w:hAnsi="宋体" w:cs="宋体"/>
          <w:sz w:val="24"/>
        </w:rPr>
        <w:t xml:space="preserve">         </w:t>
      </w:r>
    </w:p>
    <w:p w14:paraId="37069FDB">
      <w:pPr>
        <w:spacing w:line="360" w:lineRule="auto"/>
        <w:rPr>
          <w:rFonts w:ascii="宋体" w:hAnsi="宋体" w:cs="宋体"/>
          <w:sz w:val="24"/>
        </w:rPr>
      </w:pPr>
      <w:r>
        <w:rPr>
          <w:rFonts w:hint="eastAsia" w:ascii="宋体" w:hAnsi="宋体" w:cs="宋体"/>
          <w:sz w:val="24"/>
        </w:rPr>
        <w:t>说明：1、法定代表人为投标人（企业事业单位、国家机关、社会团体）的主要行政负责人。</w:t>
      </w:r>
    </w:p>
    <w:p w14:paraId="695CE6B5">
      <w:pPr>
        <w:spacing w:line="360" w:lineRule="auto"/>
        <w:rPr>
          <w:rFonts w:ascii="宋体" w:hAnsi="宋体" w:cs="宋体"/>
          <w:sz w:val="24"/>
        </w:rPr>
      </w:pPr>
      <w:r>
        <w:rPr>
          <w:rFonts w:hint="eastAsia" w:ascii="宋体" w:hAnsi="宋体" w:cs="宋体"/>
          <w:sz w:val="24"/>
        </w:rPr>
        <w:t xml:space="preserve">      2、本证明书要求投标供应商同时提供法定代表人（负责人）的身份证扫描件（正反两面）作为附件方为有效。    </w:t>
      </w:r>
    </w:p>
    <w:p w14:paraId="4A6EBE49">
      <w:pPr>
        <w:spacing w:line="360" w:lineRule="auto"/>
        <w:ind w:firstLine="720" w:firstLineChars="300"/>
        <w:rPr>
          <w:rFonts w:ascii="宋体" w:hAnsi="宋体" w:cs="宋体"/>
          <w:sz w:val="24"/>
        </w:rPr>
      </w:pPr>
      <w:r>
        <w:rPr>
          <w:rFonts w:hint="eastAsia" w:ascii="宋体" w:hAnsi="宋体" w:cs="宋体"/>
          <w:sz w:val="24"/>
        </w:rPr>
        <w:t>3、本项目投标授权代表为法定代表人（负责人）的，无需提供《投标文件签署授权委托书》。</w:t>
      </w:r>
    </w:p>
    <w:tbl>
      <w:tblPr>
        <w:tblStyle w:val="45"/>
        <w:tblpPr w:leftFromText="180" w:rightFromText="180" w:vertAnchor="text" w:horzAnchor="page" w:tblpX="1791" w:tblpY="468"/>
        <w:tblOverlap w:val="never"/>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75B03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4AD2A9D5">
            <w:pPr>
              <w:jc w:val="center"/>
              <w:rPr>
                <w:sz w:val="24"/>
              </w:rPr>
            </w:pPr>
            <w:r>
              <w:rPr>
                <w:rFonts w:hint="eastAsia"/>
                <w:sz w:val="24"/>
              </w:rPr>
              <w:t>证件扫描件正面</w:t>
            </w:r>
          </w:p>
          <w:p w14:paraId="51669731">
            <w:pPr>
              <w:pStyle w:val="2"/>
              <w:jc w:val="center"/>
            </w:pPr>
          </w:p>
          <w:p w14:paraId="5EB8A5CC">
            <w:pPr>
              <w:pStyle w:val="36"/>
              <w:jc w:val="center"/>
            </w:pPr>
          </w:p>
        </w:tc>
        <w:tc>
          <w:tcPr>
            <w:tcW w:w="4265" w:type="dxa"/>
          </w:tcPr>
          <w:p w14:paraId="7DAA5676">
            <w:pPr>
              <w:jc w:val="center"/>
              <w:rPr>
                <w:sz w:val="24"/>
              </w:rPr>
            </w:pPr>
            <w:r>
              <w:rPr>
                <w:rFonts w:hint="eastAsia"/>
                <w:sz w:val="24"/>
              </w:rPr>
              <w:t>证件扫描件反面</w:t>
            </w:r>
          </w:p>
          <w:p w14:paraId="2DD51F37">
            <w:pPr>
              <w:pStyle w:val="2"/>
              <w:jc w:val="center"/>
            </w:pPr>
          </w:p>
          <w:p w14:paraId="616FCF34">
            <w:pPr>
              <w:pStyle w:val="36"/>
              <w:jc w:val="center"/>
            </w:pPr>
          </w:p>
        </w:tc>
      </w:tr>
    </w:tbl>
    <w:p w14:paraId="1619DB47">
      <w:pPr>
        <w:spacing w:line="360" w:lineRule="auto"/>
        <w:ind w:firstLine="720" w:firstLineChars="300"/>
        <w:rPr>
          <w:rFonts w:ascii="宋体" w:hAnsi="宋体" w:cs="宋体"/>
          <w:sz w:val="24"/>
        </w:rPr>
      </w:pPr>
      <w:r>
        <w:rPr>
          <w:rFonts w:hint="eastAsia" w:ascii="宋体" w:hAnsi="宋体" w:cs="宋体"/>
          <w:sz w:val="24"/>
        </w:rPr>
        <w:t>4、内容必须填写真实、清楚，涂改无效，不得转让、买卖。</w:t>
      </w:r>
    </w:p>
    <w:p w14:paraId="06DCE5F0">
      <w:pPr>
        <w:pStyle w:val="43"/>
        <w:ind w:left="0" w:leftChars="0" w:firstLine="0" w:firstLineChars="0"/>
        <w:rPr>
          <w:b/>
          <w:bCs/>
          <w:sz w:val="24"/>
        </w:rPr>
      </w:pPr>
    </w:p>
    <w:p w14:paraId="2E99F35A">
      <w:pPr>
        <w:pStyle w:val="43"/>
        <w:ind w:firstLine="482"/>
        <w:rPr>
          <w:b/>
          <w:bCs/>
          <w:sz w:val="24"/>
        </w:rPr>
      </w:pPr>
    </w:p>
    <w:p w14:paraId="6164F8B1">
      <w:pPr>
        <w:pStyle w:val="4"/>
        <w:spacing w:before="120" w:after="120"/>
        <w:jc w:val="center"/>
        <w:rPr>
          <w:rFonts w:ascii="黑体" w:eastAsia="黑体"/>
          <w:b w:val="0"/>
          <w:sz w:val="24"/>
        </w:rPr>
      </w:pPr>
      <w:r>
        <w:rPr>
          <w:rFonts w:hint="eastAsia" w:ascii="黑体" w:eastAsia="黑体"/>
          <w:b w:val="0"/>
          <w:sz w:val="24"/>
        </w:rPr>
        <w:t>二、投标文件签署授权委托书</w:t>
      </w:r>
    </w:p>
    <w:p w14:paraId="4E748397">
      <w:pPr>
        <w:spacing w:line="360" w:lineRule="auto"/>
        <w:ind w:firstLine="480" w:firstLineChars="200"/>
        <w:rPr>
          <w:rFonts w:ascii="宋体" w:hAnsi="宋体" w:cs="宋体"/>
          <w:sz w:val="24"/>
        </w:rPr>
      </w:pPr>
      <w:r>
        <w:rPr>
          <w:rFonts w:hint="eastAsia" w:ascii="宋体" w:hAnsi="宋体" w:cs="宋体"/>
          <w:sz w:val="24"/>
        </w:rPr>
        <w:t>本授权委托书声明：我</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（投标人名称）的法定代表人（负责人），现授权委托</w:t>
      </w:r>
      <w:r>
        <w:rPr>
          <w:rFonts w:hint="eastAsia" w:ascii="宋体" w:hAnsi="宋体" w:cs="宋体"/>
          <w:sz w:val="24"/>
          <w:u w:val="single"/>
        </w:rPr>
        <w:t xml:space="preserve">            </w:t>
      </w:r>
      <w:r>
        <w:rPr>
          <w:rFonts w:hint="eastAsia" w:ascii="宋体" w:hAnsi="宋体" w:cs="宋体"/>
          <w:sz w:val="24"/>
        </w:rPr>
        <w:t>（姓名）为我单位签署本项目已递交的投标文件的法定代表人（负责人）的授权委托代理人，代理人全权代表我所签署的本项目已递交的投标文件内容我均承认。</w:t>
      </w:r>
    </w:p>
    <w:p w14:paraId="58662EBE">
      <w:pPr>
        <w:pStyle w:val="8"/>
        <w:spacing w:line="360" w:lineRule="auto"/>
        <w:rPr>
          <w:rFonts w:ascii="宋体" w:hAnsi="宋体" w:cs="宋体"/>
          <w:sz w:val="24"/>
          <w:szCs w:val="24"/>
        </w:rPr>
      </w:pPr>
      <w:r>
        <w:rPr>
          <w:rFonts w:hint="eastAsia" w:ascii="宋体" w:hAnsi="宋体" w:cs="宋体"/>
          <w:sz w:val="24"/>
          <w:szCs w:val="24"/>
        </w:rPr>
        <w:t>代理人无转委托权，特此委托。</w:t>
      </w:r>
    </w:p>
    <w:p w14:paraId="43CFF3AB">
      <w:pPr>
        <w:pStyle w:val="8"/>
        <w:spacing w:line="360" w:lineRule="auto"/>
        <w:rPr>
          <w:rFonts w:ascii="宋体" w:hAnsi="宋体" w:cs="宋体"/>
          <w:sz w:val="24"/>
          <w:szCs w:val="24"/>
        </w:rPr>
      </w:pPr>
    </w:p>
    <w:p w14:paraId="4571E737">
      <w:pPr>
        <w:spacing w:line="360" w:lineRule="auto"/>
        <w:ind w:left="540" w:leftChars="257"/>
        <w:rPr>
          <w:rFonts w:ascii="宋体" w:hAnsi="宋体" w:cs="宋体"/>
          <w:sz w:val="24"/>
        </w:rPr>
      </w:pPr>
      <w:r>
        <w:rPr>
          <w:rFonts w:hint="eastAsia" w:ascii="宋体" w:hAnsi="宋体" w:cs="宋体"/>
          <w:sz w:val="24"/>
        </w:rPr>
        <w:t>代理人：</w:t>
      </w:r>
      <w:r>
        <w:rPr>
          <w:rFonts w:hint="eastAsia" w:ascii="宋体" w:hAnsi="宋体" w:cs="宋体"/>
          <w:sz w:val="24"/>
          <w:u w:val="single"/>
        </w:rPr>
        <w:t xml:space="preserve">             </w:t>
      </w:r>
      <w:r>
        <w:rPr>
          <w:rFonts w:hint="eastAsia" w:ascii="宋体" w:hAnsi="宋体" w:cs="宋体"/>
          <w:sz w:val="24"/>
        </w:rPr>
        <w:t>；</w:t>
      </w:r>
    </w:p>
    <w:p w14:paraId="6A60CD3C">
      <w:pPr>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 xml:space="preserve">            </w:t>
      </w:r>
      <w:r>
        <w:rPr>
          <w:rFonts w:hint="eastAsia" w:ascii="宋体" w:hAnsi="宋体" w:cs="宋体"/>
          <w:sz w:val="24"/>
        </w:rPr>
        <w:t xml:space="preserve"> 手机：</w:t>
      </w:r>
      <w:r>
        <w:rPr>
          <w:rFonts w:hint="eastAsia" w:ascii="宋体" w:hAnsi="宋体" w:cs="宋体"/>
          <w:sz w:val="24"/>
          <w:u w:val="single"/>
        </w:rPr>
        <w:t xml:space="preserve">            </w:t>
      </w:r>
      <w:r>
        <w:rPr>
          <w:rFonts w:hint="eastAsia" w:ascii="宋体" w:hAnsi="宋体" w:cs="宋体"/>
          <w:sz w:val="24"/>
        </w:rPr>
        <w:t>；</w:t>
      </w:r>
      <w:r>
        <w:rPr>
          <w:rFonts w:hint="eastAsia"/>
          <w:szCs w:val="21"/>
        </w:rPr>
        <w:t>电子邮箱：</w:t>
      </w:r>
      <w:r>
        <w:rPr>
          <w:rFonts w:hint="eastAsia"/>
          <w:szCs w:val="21"/>
          <w:u w:val="single"/>
        </w:rPr>
        <w:t xml:space="preserve">                </w:t>
      </w:r>
      <w:r>
        <w:rPr>
          <w:rFonts w:hint="eastAsia"/>
          <w:szCs w:val="21"/>
        </w:rPr>
        <w:t>；</w:t>
      </w:r>
    </w:p>
    <w:p w14:paraId="4EF44A7B">
      <w:pPr>
        <w:spacing w:line="360" w:lineRule="auto"/>
        <w:ind w:left="540" w:leftChars="257"/>
        <w:rPr>
          <w:rFonts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 xml:space="preserve">       </w:t>
      </w:r>
      <w:r>
        <w:rPr>
          <w:rFonts w:hint="eastAsia" w:ascii="宋体" w:hAnsi="宋体" w:cs="宋体"/>
          <w:sz w:val="24"/>
        </w:rPr>
        <w:t>；</w:t>
      </w:r>
    </w:p>
    <w:p w14:paraId="508A691B">
      <w:pPr>
        <w:spacing w:line="360" w:lineRule="auto"/>
        <w:ind w:left="540" w:leftChars="257"/>
        <w:rPr>
          <w:rFonts w:ascii="宋体" w:hAnsi="宋体" w:cs="宋体"/>
          <w:sz w:val="24"/>
        </w:rPr>
      </w:pPr>
      <w:r>
        <w:rPr>
          <w:rFonts w:hint="eastAsia" w:ascii="宋体" w:hAnsi="宋体" w:cs="宋体"/>
          <w:sz w:val="24"/>
        </w:rPr>
        <w:t>授权委托日期：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 xml:space="preserve">月 </w:t>
      </w:r>
      <w:r>
        <w:rPr>
          <w:rFonts w:hint="eastAsia" w:ascii="宋体" w:hAnsi="宋体" w:cs="宋体"/>
          <w:sz w:val="24"/>
          <w:u w:val="single"/>
        </w:rPr>
        <w:t xml:space="preserve">      </w:t>
      </w:r>
      <w:r>
        <w:rPr>
          <w:rFonts w:hint="eastAsia" w:ascii="宋体" w:hAnsi="宋体" w:cs="宋体"/>
          <w:sz w:val="24"/>
        </w:rPr>
        <w:t>日。</w:t>
      </w:r>
    </w:p>
    <w:p w14:paraId="4070C3B5">
      <w:pPr>
        <w:spacing w:line="360" w:lineRule="auto"/>
        <w:ind w:left="540" w:leftChars="257"/>
        <w:rPr>
          <w:rFonts w:ascii="宋体" w:hAnsi="宋体" w:cs="宋体"/>
          <w:b/>
          <w:color w:val="FF0000"/>
          <w:sz w:val="24"/>
        </w:rPr>
      </w:pPr>
      <w:r>
        <w:rPr>
          <w:rFonts w:hint="eastAsia" w:ascii="宋体" w:hAnsi="宋体" w:cs="宋体"/>
          <w:b/>
          <w:color w:val="FF0000"/>
          <w:sz w:val="24"/>
        </w:rPr>
        <w:t>附： 1、请提供代理人身份证扫描件（正反两面）；非中国国籍管辖范围人员，可提供公安部门认可的身份证明材料扫描件。</w:t>
      </w:r>
    </w:p>
    <w:tbl>
      <w:tblPr>
        <w:tblStyle w:val="45"/>
        <w:tblpPr w:leftFromText="180" w:rightFromText="180" w:vertAnchor="text" w:horzAnchor="page" w:tblpX="1791" w:tblpY="468"/>
        <w:tblOverlap w:val="never"/>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15A82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4D11E3A7">
            <w:pPr>
              <w:pStyle w:val="2"/>
            </w:pPr>
            <w:r>
              <w:rPr>
                <w:rFonts w:hint="eastAsia"/>
              </w:rPr>
              <w:t>证件扫描件正面</w:t>
            </w:r>
          </w:p>
          <w:p w14:paraId="26716B2C">
            <w:pPr>
              <w:pStyle w:val="36"/>
            </w:pPr>
          </w:p>
        </w:tc>
        <w:tc>
          <w:tcPr>
            <w:tcW w:w="4265" w:type="dxa"/>
          </w:tcPr>
          <w:p w14:paraId="3DA079E5">
            <w:pPr>
              <w:pStyle w:val="2"/>
            </w:pPr>
            <w:r>
              <w:rPr>
                <w:rFonts w:hint="eastAsia"/>
              </w:rPr>
              <w:t>证件扫描件反面</w:t>
            </w:r>
          </w:p>
          <w:p w14:paraId="3F3B4BBE">
            <w:pPr>
              <w:pStyle w:val="36"/>
            </w:pPr>
          </w:p>
        </w:tc>
      </w:tr>
    </w:tbl>
    <w:p w14:paraId="58BF5157">
      <w:pPr>
        <w:pStyle w:val="4"/>
        <w:jc w:val="center"/>
        <w:rPr>
          <w:rFonts w:cs="宋体"/>
          <w:color w:val="FF0000"/>
          <w:sz w:val="24"/>
          <w:szCs w:val="24"/>
        </w:rPr>
      </w:pPr>
    </w:p>
    <w:p w14:paraId="775D655C">
      <w:pPr>
        <w:pStyle w:val="4"/>
        <w:jc w:val="center"/>
        <w:rPr>
          <w:rFonts w:ascii="黑体" w:eastAsia="黑体"/>
          <w:b w:val="0"/>
          <w:kern w:val="0"/>
          <w:sz w:val="24"/>
          <w:szCs w:val="24"/>
        </w:rPr>
      </w:pPr>
      <w:r>
        <w:rPr>
          <w:rFonts w:hint="eastAsia" w:ascii="黑体" w:eastAsia="黑体"/>
          <w:b w:val="0"/>
          <w:kern w:val="0"/>
          <w:sz w:val="24"/>
          <w:szCs w:val="24"/>
        </w:rPr>
        <w:t>三、</w:t>
      </w:r>
      <w:bookmarkStart w:id="42" w:name="_Hlk72092634"/>
      <w:r>
        <w:rPr>
          <w:rFonts w:hint="eastAsia" w:ascii="黑体" w:eastAsia="黑体"/>
          <w:b w:val="0"/>
          <w:kern w:val="0"/>
          <w:sz w:val="24"/>
          <w:szCs w:val="24"/>
        </w:rPr>
        <w:t>实质性条款响应情况表</w:t>
      </w:r>
      <w:bookmarkEnd w:id="42"/>
    </w:p>
    <w:tbl>
      <w:tblPr>
        <w:tblStyle w:val="44"/>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664"/>
        <w:gridCol w:w="1588"/>
        <w:gridCol w:w="1842"/>
        <w:gridCol w:w="1418"/>
      </w:tblGrid>
      <w:tr w14:paraId="2A4CE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14:paraId="721ACAD5">
            <w:pPr>
              <w:adjustRightInd w:val="0"/>
              <w:snapToGrid w:val="0"/>
              <w:spacing w:line="360" w:lineRule="auto"/>
              <w:jc w:val="center"/>
              <w:rPr>
                <w:rFonts w:ascii="宋体" w:hAnsi="宋体"/>
                <w:kern w:val="0"/>
                <w:sz w:val="24"/>
              </w:rPr>
            </w:pPr>
            <w:bookmarkStart w:id="43" w:name="_Hlk72092651"/>
            <w:r>
              <w:rPr>
                <w:rFonts w:hint="eastAsia" w:ascii="宋体" w:hAnsi="宋体"/>
                <w:kern w:val="0"/>
                <w:sz w:val="24"/>
              </w:rPr>
              <w:t>序号</w:t>
            </w:r>
          </w:p>
        </w:tc>
        <w:tc>
          <w:tcPr>
            <w:tcW w:w="2664" w:type="dxa"/>
            <w:vAlign w:val="center"/>
          </w:tcPr>
          <w:p w14:paraId="17C00ECF">
            <w:pPr>
              <w:adjustRightInd w:val="0"/>
              <w:snapToGrid w:val="0"/>
              <w:spacing w:line="360" w:lineRule="auto"/>
              <w:jc w:val="center"/>
              <w:rPr>
                <w:rFonts w:ascii="宋体" w:hAnsi="宋体"/>
                <w:kern w:val="0"/>
                <w:sz w:val="24"/>
              </w:rPr>
            </w:pPr>
            <w:r>
              <w:rPr>
                <w:rFonts w:hint="eastAsia" w:ascii="宋体" w:hAnsi="宋体"/>
                <w:kern w:val="0"/>
                <w:sz w:val="24"/>
              </w:rPr>
              <w:t>实质性条款具体内容</w:t>
            </w:r>
          </w:p>
        </w:tc>
        <w:tc>
          <w:tcPr>
            <w:tcW w:w="1588" w:type="dxa"/>
            <w:vAlign w:val="center"/>
          </w:tcPr>
          <w:p w14:paraId="72F82AB1">
            <w:pPr>
              <w:adjustRightInd w:val="0"/>
              <w:snapToGrid w:val="0"/>
              <w:spacing w:line="360" w:lineRule="auto"/>
              <w:jc w:val="center"/>
              <w:rPr>
                <w:rFonts w:ascii="宋体" w:hAnsi="宋体"/>
                <w:kern w:val="0"/>
                <w:sz w:val="24"/>
              </w:rPr>
            </w:pPr>
            <w:r>
              <w:rPr>
                <w:rFonts w:hint="eastAsia"/>
                <w:sz w:val="24"/>
              </w:rPr>
              <w:t>投标响应</w:t>
            </w:r>
          </w:p>
        </w:tc>
        <w:tc>
          <w:tcPr>
            <w:tcW w:w="1842" w:type="dxa"/>
            <w:vAlign w:val="center"/>
          </w:tcPr>
          <w:p w14:paraId="48DF61C5">
            <w:pPr>
              <w:adjustRightInd w:val="0"/>
              <w:snapToGrid w:val="0"/>
              <w:spacing w:line="360" w:lineRule="auto"/>
              <w:jc w:val="center"/>
              <w:rPr>
                <w:rFonts w:ascii="宋体" w:hAnsi="宋体"/>
                <w:kern w:val="0"/>
                <w:sz w:val="24"/>
              </w:rPr>
            </w:pPr>
            <w:r>
              <w:rPr>
                <w:rFonts w:hint="eastAsia"/>
                <w:sz w:val="24"/>
              </w:rPr>
              <w:t>偏离情况</w:t>
            </w:r>
          </w:p>
        </w:tc>
        <w:tc>
          <w:tcPr>
            <w:tcW w:w="1418" w:type="dxa"/>
            <w:vAlign w:val="center"/>
          </w:tcPr>
          <w:p w14:paraId="1E49FD6C">
            <w:pPr>
              <w:adjustRightInd w:val="0"/>
              <w:snapToGrid w:val="0"/>
              <w:spacing w:line="360" w:lineRule="auto"/>
              <w:jc w:val="center"/>
              <w:rPr>
                <w:rFonts w:ascii="宋体" w:hAnsi="宋体"/>
                <w:kern w:val="0"/>
                <w:sz w:val="24"/>
              </w:rPr>
            </w:pPr>
            <w:r>
              <w:rPr>
                <w:rFonts w:hint="eastAsia"/>
                <w:sz w:val="24"/>
              </w:rPr>
              <w:t>说明</w:t>
            </w:r>
          </w:p>
        </w:tc>
      </w:tr>
      <w:bookmarkEnd w:id="43"/>
      <w:tr w14:paraId="3536E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0E5F375F">
            <w:pPr>
              <w:adjustRightInd w:val="0"/>
              <w:snapToGrid w:val="0"/>
              <w:spacing w:line="360" w:lineRule="auto"/>
              <w:jc w:val="center"/>
              <w:rPr>
                <w:rFonts w:ascii="宋体" w:hAnsi="宋体"/>
                <w:kern w:val="0"/>
                <w:sz w:val="24"/>
              </w:rPr>
            </w:pPr>
            <w:r>
              <w:rPr>
                <w:rFonts w:hint="eastAsia" w:ascii="宋体" w:hAnsi="宋体"/>
                <w:kern w:val="0"/>
                <w:sz w:val="24"/>
              </w:rPr>
              <w:t>1</w:t>
            </w:r>
          </w:p>
        </w:tc>
        <w:tc>
          <w:tcPr>
            <w:tcW w:w="2664" w:type="dxa"/>
            <w:vAlign w:val="top"/>
          </w:tcPr>
          <w:p w14:paraId="05D619DF">
            <w:pPr>
              <w:adjustRightInd w:val="0"/>
              <w:snapToGrid w:val="0"/>
              <w:rPr>
                <w:rFonts w:hAnsi="宋体"/>
                <w:kern w:val="0"/>
                <w:sz w:val="24"/>
              </w:rPr>
            </w:pPr>
            <w:r>
              <w:rPr>
                <w:rFonts w:hint="eastAsia" w:ascii="宋体" w:hAnsi="宋体" w:cs="宋体"/>
                <w:b w:val="0"/>
                <w:bCs w:val="0"/>
              </w:rPr>
              <w:t>★</w:t>
            </w:r>
            <w:r>
              <w:rPr>
                <w:rFonts w:hint="eastAsia" w:ascii="宋体" w:hAnsi="宋体" w:cs="宋体"/>
                <w:sz w:val="24"/>
              </w:rPr>
              <w:t>服务期</w:t>
            </w:r>
            <w:r>
              <w:rPr>
                <w:rFonts w:hint="eastAsia" w:ascii="宋体" w:hAnsi="宋体" w:cs="宋体"/>
                <w:sz w:val="24"/>
                <w:lang w:val="en-US" w:eastAsia="zh-CN"/>
              </w:rPr>
              <w:t>限</w:t>
            </w:r>
            <w:r>
              <w:rPr>
                <w:rFonts w:hint="eastAsia" w:ascii="宋体" w:hAnsi="宋体" w:cs="宋体"/>
                <w:sz w:val="24"/>
              </w:rPr>
              <w:t>：自签订合同之日起180日内完成项目验收。</w:t>
            </w:r>
          </w:p>
        </w:tc>
        <w:tc>
          <w:tcPr>
            <w:tcW w:w="1588" w:type="dxa"/>
          </w:tcPr>
          <w:p w14:paraId="6AF1B8B5">
            <w:pPr>
              <w:adjustRightInd w:val="0"/>
              <w:snapToGrid w:val="0"/>
              <w:spacing w:line="360" w:lineRule="auto"/>
              <w:rPr>
                <w:rFonts w:ascii="宋体" w:hAnsi="宋体"/>
                <w:kern w:val="0"/>
                <w:sz w:val="24"/>
              </w:rPr>
            </w:pPr>
          </w:p>
        </w:tc>
        <w:tc>
          <w:tcPr>
            <w:tcW w:w="1842" w:type="dxa"/>
          </w:tcPr>
          <w:p w14:paraId="7D5D5A1E">
            <w:pPr>
              <w:adjustRightInd w:val="0"/>
              <w:snapToGrid w:val="0"/>
              <w:spacing w:line="360" w:lineRule="auto"/>
              <w:rPr>
                <w:rFonts w:ascii="宋体" w:hAnsi="宋体"/>
                <w:kern w:val="0"/>
                <w:sz w:val="24"/>
              </w:rPr>
            </w:pPr>
          </w:p>
        </w:tc>
        <w:tc>
          <w:tcPr>
            <w:tcW w:w="1418" w:type="dxa"/>
          </w:tcPr>
          <w:p w14:paraId="355CEABE">
            <w:pPr>
              <w:adjustRightInd w:val="0"/>
              <w:snapToGrid w:val="0"/>
              <w:spacing w:line="360" w:lineRule="auto"/>
              <w:rPr>
                <w:rFonts w:ascii="宋体" w:hAnsi="宋体"/>
                <w:kern w:val="0"/>
                <w:sz w:val="24"/>
              </w:rPr>
            </w:pPr>
          </w:p>
        </w:tc>
      </w:tr>
      <w:tr w14:paraId="2B8FC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55343ED5">
            <w:pPr>
              <w:adjustRightInd w:val="0"/>
              <w:snapToGrid w:val="0"/>
              <w:spacing w:line="360" w:lineRule="auto"/>
              <w:jc w:val="center"/>
              <w:rPr>
                <w:rFonts w:ascii="宋体" w:hAnsi="宋体"/>
                <w:kern w:val="0"/>
                <w:sz w:val="24"/>
              </w:rPr>
            </w:pPr>
            <w:r>
              <w:rPr>
                <w:rFonts w:hint="eastAsia" w:ascii="宋体" w:hAnsi="宋体"/>
                <w:kern w:val="0"/>
                <w:sz w:val="24"/>
              </w:rPr>
              <w:t>2</w:t>
            </w:r>
          </w:p>
        </w:tc>
        <w:tc>
          <w:tcPr>
            <w:tcW w:w="2664" w:type="dxa"/>
            <w:vAlign w:val="top"/>
          </w:tcPr>
          <w:p w14:paraId="77CBA408">
            <w:pPr>
              <w:pStyle w:val="2"/>
              <w:spacing w:line="240" w:lineRule="auto"/>
              <w:rPr>
                <w:rFonts w:hAnsi="宋体"/>
                <w:kern w:val="0"/>
              </w:rPr>
            </w:pPr>
            <w:r>
              <w:rPr>
                <w:rFonts w:hint="eastAsia" w:ascii="宋体" w:hAnsi="宋体" w:cs="宋体"/>
                <w:b w:val="0"/>
                <w:bCs w:val="0"/>
              </w:rPr>
              <w:t>接口要求：★数据接口（主要为社康机构缴费订单交易数据，线上缴费数据）费用包含在投标报价中，采购人不另外支付。</w:t>
            </w:r>
          </w:p>
        </w:tc>
        <w:tc>
          <w:tcPr>
            <w:tcW w:w="1588" w:type="dxa"/>
          </w:tcPr>
          <w:p w14:paraId="30A87154">
            <w:pPr>
              <w:adjustRightInd w:val="0"/>
              <w:snapToGrid w:val="0"/>
              <w:spacing w:line="360" w:lineRule="auto"/>
              <w:rPr>
                <w:rFonts w:ascii="宋体" w:hAnsi="宋体"/>
                <w:kern w:val="0"/>
                <w:sz w:val="24"/>
              </w:rPr>
            </w:pPr>
          </w:p>
        </w:tc>
        <w:tc>
          <w:tcPr>
            <w:tcW w:w="1842" w:type="dxa"/>
          </w:tcPr>
          <w:p w14:paraId="62BAE7B1">
            <w:pPr>
              <w:adjustRightInd w:val="0"/>
              <w:snapToGrid w:val="0"/>
              <w:spacing w:line="360" w:lineRule="auto"/>
              <w:rPr>
                <w:rFonts w:ascii="宋体" w:hAnsi="宋体"/>
                <w:kern w:val="0"/>
                <w:sz w:val="24"/>
              </w:rPr>
            </w:pPr>
          </w:p>
        </w:tc>
        <w:tc>
          <w:tcPr>
            <w:tcW w:w="1418" w:type="dxa"/>
          </w:tcPr>
          <w:p w14:paraId="705A9633">
            <w:pPr>
              <w:adjustRightInd w:val="0"/>
              <w:snapToGrid w:val="0"/>
              <w:spacing w:line="360" w:lineRule="auto"/>
              <w:rPr>
                <w:rFonts w:ascii="宋体" w:hAnsi="宋体"/>
                <w:kern w:val="0"/>
                <w:sz w:val="24"/>
              </w:rPr>
            </w:pPr>
          </w:p>
        </w:tc>
      </w:tr>
      <w:tr w14:paraId="142E0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2353305F">
            <w:pPr>
              <w:adjustRightInd w:val="0"/>
              <w:snapToGrid w:val="0"/>
              <w:spacing w:line="320" w:lineRule="exact"/>
              <w:jc w:val="center"/>
              <w:rPr>
                <w:rFonts w:ascii="宋体" w:hAnsi="宋体" w:cs="宋体"/>
                <w:kern w:val="0"/>
                <w:sz w:val="24"/>
              </w:rPr>
            </w:pPr>
            <w:r>
              <w:rPr>
                <w:rFonts w:ascii="宋体" w:hAnsi="宋体" w:cs="宋体"/>
                <w:kern w:val="0"/>
                <w:sz w:val="24"/>
              </w:rPr>
              <w:t>3</w:t>
            </w:r>
          </w:p>
        </w:tc>
        <w:tc>
          <w:tcPr>
            <w:tcW w:w="2664" w:type="dxa"/>
            <w:vAlign w:val="top"/>
          </w:tcPr>
          <w:p w14:paraId="7269AEFC">
            <w:pPr>
              <w:pStyle w:val="2"/>
              <w:spacing w:line="240" w:lineRule="auto"/>
              <w:rPr>
                <w:rFonts w:ascii="宋体" w:hAnsi="宋体" w:cs="宋体"/>
                <w:kern w:val="0"/>
              </w:rPr>
            </w:pPr>
            <w:r>
              <w:rPr>
                <w:rFonts w:hint="eastAsia" w:ascii="宋体" w:hAnsi="宋体" w:cs="宋体"/>
                <w:b w:val="0"/>
                <w:bCs w:val="0"/>
                <w:highlight w:val="none"/>
              </w:rPr>
              <w:t>★</w:t>
            </w:r>
            <w:r>
              <w:rPr>
                <w:rFonts w:hint="eastAsia"/>
                <w:b w:val="0"/>
                <w:bCs w:val="0"/>
              </w:rPr>
              <w:t>在项目实施及运维服务期间，若采购方有新增的社康机构，投标人需免费为这些新增社康机构提供本项目所建设的移动支付系统的对接服务。免费质保期外社康新增费用包含在维保费中，具体费用双方另行协商。</w:t>
            </w:r>
          </w:p>
        </w:tc>
        <w:tc>
          <w:tcPr>
            <w:tcW w:w="1588" w:type="dxa"/>
          </w:tcPr>
          <w:p w14:paraId="2DBDA5CD">
            <w:pPr>
              <w:adjustRightInd w:val="0"/>
              <w:snapToGrid w:val="0"/>
              <w:spacing w:line="360" w:lineRule="auto"/>
              <w:rPr>
                <w:rFonts w:ascii="宋体" w:hAnsi="宋体"/>
                <w:kern w:val="0"/>
                <w:sz w:val="24"/>
              </w:rPr>
            </w:pPr>
          </w:p>
        </w:tc>
        <w:tc>
          <w:tcPr>
            <w:tcW w:w="1842" w:type="dxa"/>
          </w:tcPr>
          <w:p w14:paraId="319E6DA5">
            <w:pPr>
              <w:adjustRightInd w:val="0"/>
              <w:snapToGrid w:val="0"/>
              <w:spacing w:line="360" w:lineRule="auto"/>
              <w:rPr>
                <w:rFonts w:ascii="宋体" w:hAnsi="宋体"/>
                <w:kern w:val="0"/>
                <w:sz w:val="24"/>
              </w:rPr>
            </w:pPr>
          </w:p>
        </w:tc>
        <w:tc>
          <w:tcPr>
            <w:tcW w:w="1418" w:type="dxa"/>
          </w:tcPr>
          <w:p w14:paraId="637EE7DD">
            <w:pPr>
              <w:adjustRightInd w:val="0"/>
              <w:snapToGrid w:val="0"/>
              <w:spacing w:line="360" w:lineRule="auto"/>
              <w:rPr>
                <w:rFonts w:ascii="宋体" w:hAnsi="宋体"/>
                <w:kern w:val="0"/>
                <w:sz w:val="24"/>
              </w:rPr>
            </w:pPr>
          </w:p>
        </w:tc>
      </w:tr>
      <w:tr w14:paraId="7D66F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7DCD293D">
            <w:pPr>
              <w:adjustRightInd w:val="0"/>
              <w:snapToGrid w:val="0"/>
              <w:spacing w:line="320" w:lineRule="exact"/>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4</w:t>
            </w:r>
          </w:p>
        </w:tc>
        <w:tc>
          <w:tcPr>
            <w:tcW w:w="2664" w:type="dxa"/>
            <w:vAlign w:val="top"/>
          </w:tcPr>
          <w:p w14:paraId="5FF3C326">
            <w:pPr>
              <w:pStyle w:val="2"/>
              <w:spacing w:line="240" w:lineRule="auto"/>
              <w:rPr>
                <w:rFonts w:hint="eastAsia" w:hAnsi="宋体"/>
                <w:b w:val="0"/>
                <w:bCs w:val="0"/>
                <w:kern w:val="0"/>
              </w:rPr>
            </w:pPr>
            <w:r>
              <w:rPr>
                <w:rFonts w:hint="eastAsia" w:hAnsi="宋体"/>
                <w:b w:val="0"/>
                <w:bCs w:val="0"/>
                <w:kern w:val="0"/>
              </w:rPr>
              <w:t>免费质保期：</w:t>
            </w:r>
            <w:r>
              <w:rPr>
                <w:rFonts w:hint="eastAsia" w:ascii="宋体" w:hAnsi="宋体" w:cs="宋体"/>
                <w:b w:val="0"/>
                <w:bCs w:val="0"/>
              </w:rPr>
              <w:t>★</w:t>
            </w:r>
            <w:r>
              <w:rPr>
                <w:rFonts w:hint="eastAsia" w:hAnsi="宋体"/>
                <w:b w:val="0"/>
                <w:bCs w:val="0"/>
                <w:kern w:val="0"/>
              </w:rPr>
              <w:t>软件类免费质保期至少 2 年， 时间自最终验收合格并交付使用之日起计算，由中标人提供验收文件。</w:t>
            </w:r>
          </w:p>
        </w:tc>
        <w:tc>
          <w:tcPr>
            <w:tcW w:w="1588" w:type="dxa"/>
          </w:tcPr>
          <w:p w14:paraId="25914154">
            <w:pPr>
              <w:adjustRightInd w:val="0"/>
              <w:snapToGrid w:val="0"/>
              <w:spacing w:line="360" w:lineRule="auto"/>
              <w:rPr>
                <w:rFonts w:ascii="宋体" w:hAnsi="宋体"/>
                <w:kern w:val="0"/>
                <w:sz w:val="24"/>
              </w:rPr>
            </w:pPr>
          </w:p>
        </w:tc>
        <w:tc>
          <w:tcPr>
            <w:tcW w:w="1842" w:type="dxa"/>
          </w:tcPr>
          <w:p w14:paraId="6A888DFD">
            <w:pPr>
              <w:adjustRightInd w:val="0"/>
              <w:snapToGrid w:val="0"/>
              <w:spacing w:line="360" w:lineRule="auto"/>
              <w:rPr>
                <w:rFonts w:ascii="宋体" w:hAnsi="宋体"/>
                <w:kern w:val="0"/>
                <w:sz w:val="24"/>
              </w:rPr>
            </w:pPr>
          </w:p>
        </w:tc>
        <w:tc>
          <w:tcPr>
            <w:tcW w:w="1418" w:type="dxa"/>
          </w:tcPr>
          <w:p w14:paraId="4F9766A5">
            <w:pPr>
              <w:adjustRightInd w:val="0"/>
              <w:snapToGrid w:val="0"/>
              <w:spacing w:line="360" w:lineRule="auto"/>
              <w:rPr>
                <w:rFonts w:ascii="宋体" w:hAnsi="宋体"/>
                <w:kern w:val="0"/>
                <w:sz w:val="24"/>
              </w:rPr>
            </w:pPr>
          </w:p>
        </w:tc>
      </w:tr>
      <w:tr w14:paraId="2814C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52B40EBD">
            <w:pPr>
              <w:adjustRightInd w:val="0"/>
              <w:snapToGrid w:val="0"/>
              <w:spacing w:line="320" w:lineRule="exact"/>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5</w:t>
            </w:r>
          </w:p>
        </w:tc>
        <w:tc>
          <w:tcPr>
            <w:tcW w:w="2664" w:type="dxa"/>
            <w:vAlign w:val="top"/>
          </w:tcPr>
          <w:p w14:paraId="19F49899">
            <w:pPr>
              <w:pStyle w:val="2"/>
              <w:spacing w:line="240" w:lineRule="auto"/>
              <w:rPr>
                <w:rFonts w:hint="eastAsia" w:hAnsi="宋体"/>
                <w:b w:val="0"/>
                <w:bCs w:val="0"/>
                <w:kern w:val="0"/>
              </w:rPr>
            </w:pPr>
            <w:r>
              <w:rPr>
                <w:rFonts w:hint="eastAsia" w:hAnsi="宋体"/>
                <w:b w:val="0"/>
                <w:bCs w:val="0"/>
                <w:kern w:val="0"/>
              </w:rPr>
              <w:t>项目人员需求中</w:t>
            </w:r>
            <w:r>
              <w:rPr>
                <w:rFonts w:hAnsi="宋体"/>
                <w:b w:val="0"/>
                <w:bCs w:val="0"/>
                <w:kern w:val="0"/>
              </w:rPr>
              <w:t>★人员类别，★人员数量，★人员必须具备条件。</w:t>
            </w:r>
          </w:p>
        </w:tc>
        <w:tc>
          <w:tcPr>
            <w:tcW w:w="1588" w:type="dxa"/>
          </w:tcPr>
          <w:p w14:paraId="00148CC0">
            <w:pPr>
              <w:adjustRightInd w:val="0"/>
              <w:snapToGrid w:val="0"/>
              <w:spacing w:line="360" w:lineRule="auto"/>
              <w:rPr>
                <w:rFonts w:ascii="宋体" w:hAnsi="宋体"/>
                <w:kern w:val="0"/>
                <w:sz w:val="24"/>
              </w:rPr>
            </w:pPr>
          </w:p>
        </w:tc>
        <w:tc>
          <w:tcPr>
            <w:tcW w:w="1842" w:type="dxa"/>
          </w:tcPr>
          <w:p w14:paraId="4A2FE42A">
            <w:pPr>
              <w:adjustRightInd w:val="0"/>
              <w:snapToGrid w:val="0"/>
              <w:spacing w:line="360" w:lineRule="auto"/>
              <w:rPr>
                <w:rFonts w:ascii="宋体" w:hAnsi="宋体"/>
                <w:kern w:val="0"/>
                <w:sz w:val="24"/>
              </w:rPr>
            </w:pPr>
          </w:p>
        </w:tc>
        <w:tc>
          <w:tcPr>
            <w:tcW w:w="1418" w:type="dxa"/>
          </w:tcPr>
          <w:p w14:paraId="3AFC0E81">
            <w:pPr>
              <w:adjustRightInd w:val="0"/>
              <w:snapToGrid w:val="0"/>
              <w:spacing w:line="360" w:lineRule="auto"/>
              <w:rPr>
                <w:rFonts w:ascii="宋体" w:hAnsi="宋体"/>
                <w:kern w:val="0"/>
                <w:sz w:val="24"/>
              </w:rPr>
            </w:pPr>
          </w:p>
        </w:tc>
      </w:tr>
    </w:tbl>
    <w:p w14:paraId="11B9995D">
      <w:pPr>
        <w:ind w:firstLine="482" w:firstLineChars="200"/>
        <w:rPr>
          <w:b/>
          <w:sz w:val="24"/>
          <w:szCs w:val="22"/>
        </w:rPr>
      </w:pPr>
    </w:p>
    <w:p w14:paraId="77EB087B">
      <w:pPr>
        <w:ind w:firstLine="482" w:firstLineChars="200"/>
        <w:rPr>
          <w:b/>
          <w:sz w:val="24"/>
          <w:szCs w:val="22"/>
        </w:rPr>
      </w:pPr>
      <w:r>
        <w:rPr>
          <w:rFonts w:hint="eastAsia"/>
          <w:b/>
          <w:sz w:val="24"/>
          <w:szCs w:val="22"/>
        </w:rPr>
        <w:t>注：1.上表所列各项均为不可负偏离条款。</w:t>
      </w:r>
    </w:p>
    <w:p w14:paraId="79A17530">
      <w:pPr>
        <w:ind w:firstLine="482" w:firstLineChars="200"/>
        <w:rPr>
          <w:b/>
          <w:sz w:val="24"/>
          <w:szCs w:val="22"/>
        </w:rPr>
      </w:pPr>
      <w:r>
        <w:rPr>
          <w:rFonts w:hint="eastAsia"/>
          <w:b/>
          <w:sz w:val="24"/>
          <w:szCs w:val="22"/>
        </w:rPr>
        <w:t>2.“投标响应”一栏应当详细填写投标人自身响应情况，而不能不合理照搬</w:t>
      </w:r>
      <w:r>
        <w:rPr>
          <w:rFonts w:hint="eastAsia"/>
          <w:b/>
          <w:sz w:val="24"/>
          <w:szCs w:val="22"/>
          <w:lang w:eastAsia="zh-CN"/>
        </w:rPr>
        <w:t>照抄</w:t>
      </w:r>
      <w:r>
        <w:rPr>
          <w:rFonts w:hint="eastAsia"/>
          <w:b/>
          <w:sz w:val="24"/>
          <w:szCs w:val="22"/>
        </w:rPr>
        <w:t>实质性条款具体内容。</w:t>
      </w:r>
    </w:p>
    <w:p w14:paraId="74DDE66E">
      <w:pPr>
        <w:ind w:firstLine="482" w:firstLineChars="200"/>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“正偏离”表示“投标响应优于实质性条款具体内容要求”，“负偏离”表示“投标响应不满足实质性条款具体内容要求”，“无偏离”表示“投标响应与实质性条款具体内容要求一致”。</w:t>
      </w:r>
    </w:p>
    <w:p w14:paraId="58DF7A31">
      <w:pPr>
        <w:ind w:firstLine="482" w:firstLineChars="200"/>
        <w:rPr>
          <w:b/>
          <w:sz w:val="24"/>
        </w:rPr>
      </w:pPr>
      <w:r>
        <w:rPr>
          <w:b/>
          <w:sz w:val="24"/>
        </w:rPr>
        <w:t>4.</w:t>
      </w:r>
      <w:r>
        <w:rPr>
          <w:rFonts w:hint="eastAsia"/>
          <w:b/>
          <w:sz w:val="24"/>
        </w:rPr>
        <w:t>评审委员会有权对投标响应情况作出判断（作出评审结论）。</w:t>
      </w:r>
    </w:p>
    <w:p w14:paraId="56F529F8">
      <w:pPr>
        <w:ind w:firstLine="482" w:firstLineChars="200"/>
      </w:pPr>
      <w:r>
        <w:rPr>
          <w:b/>
          <w:sz w:val="24"/>
          <w:szCs w:val="22"/>
        </w:rPr>
        <w:t>5</w:t>
      </w:r>
      <w:r>
        <w:rPr>
          <w:rFonts w:hint="eastAsia"/>
          <w:b/>
          <w:sz w:val="24"/>
          <w:szCs w:val="22"/>
        </w:rPr>
        <w:t>.实质性响应条款“投标响应情况”与投标文件其它内容冲突的，以实质性响应条款“投标响应情况”为准。</w:t>
      </w:r>
    </w:p>
    <w:p w14:paraId="5B3D4FF8">
      <w:pPr>
        <w:ind w:firstLine="482" w:firstLineChars="200"/>
        <w:rPr>
          <w:b/>
          <w:sz w:val="24"/>
          <w:szCs w:val="22"/>
        </w:rPr>
      </w:pPr>
      <w:r>
        <w:rPr>
          <w:rFonts w:hint="eastAsia"/>
          <w:b/>
          <w:sz w:val="24"/>
          <w:szCs w:val="22"/>
        </w:rPr>
        <w:t>6.要求提供证明资料，在“说明”一栏中列明证明资料的位置,以便评审；未要求提供证明材料的，投标人可以不提供。</w:t>
      </w:r>
    </w:p>
    <w:p w14:paraId="7698BD0C">
      <w:pPr>
        <w:pStyle w:val="2"/>
      </w:pPr>
    </w:p>
    <w:p w14:paraId="5DCF620D">
      <w:pPr>
        <w:pStyle w:val="2"/>
      </w:pPr>
    </w:p>
    <w:p w14:paraId="2D1FA143">
      <w:pPr>
        <w:numPr>
          <w:ilvl w:val="0"/>
          <w:numId w:val="11"/>
        </w:numPr>
        <w:jc w:val="center"/>
        <w:rPr>
          <w:b/>
          <w:bCs/>
          <w:sz w:val="24"/>
        </w:rPr>
      </w:pPr>
      <w:r>
        <w:rPr>
          <w:rFonts w:hint="eastAsia"/>
          <w:b/>
          <w:bCs/>
          <w:sz w:val="24"/>
        </w:rPr>
        <w:t>实施方案</w:t>
      </w:r>
    </w:p>
    <w:p w14:paraId="01BCC948">
      <w:pPr>
        <w:pStyle w:val="2"/>
      </w:pPr>
    </w:p>
    <w:p w14:paraId="70E7CC63">
      <w:pPr>
        <w:numPr>
          <w:ilvl w:val="0"/>
          <w:numId w:val="11"/>
        </w:numPr>
        <w:jc w:val="center"/>
        <w:rPr>
          <w:b/>
          <w:bCs/>
          <w:sz w:val="24"/>
        </w:rPr>
      </w:pPr>
      <w:r>
        <w:rPr>
          <w:rFonts w:hint="eastAsia" w:ascii="宋体" w:hAnsi="宋体" w:cs="宋体"/>
          <w:b/>
          <w:bCs/>
          <w:sz w:val="24"/>
        </w:rPr>
        <w:t>项目重点难点分析、应对措施及相关的合理化建议</w:t>
      </w:r>
    </w:p>
    <w:p w14:paraId="3136F47A">
      <w:pPr>
        <w:pStyle w:val="2"/>
      </w:pPr>
    </w:p>
    <w:p w14:paraId="693A06DF">
      <w:pPr>
        <w:numPr>
          <w:ilvl w:val="0"/>
          <w:numId w:val="11"/>
        </w:numPr>
        <w:jc w:val="center"/>
        <w:rPr>
          <w:b/>
          <w:bCs/>
          <w:sz w:val="24"/>
        </w:rPr>
      </w:pPr>
      <w:r>
        <w:rPr>
          <w:rFonts w:hint="eastAsia" w:ascii="宋体" w:hAnsi="宋体" w:cs="宋体"/>
          <w:b/>
          <w:bCs/>
          <w:sz w:val="24"/>
        </w:rPr>
        <w:t>质量保障措施及方案</w:t>
      </w:r>
    </w:p>
    <w:p w14:paraId="3BDE0BDC">
      <w:pPr>
        <w:pStyle w:val="2"/>
      </w:pPr>
    </w:p>
    <w:p w14:paraId="424E5442">
      <w:pPr>
        <w:numPr>
          <w:ilvl w:val="0"/>
          <w:numId w:val="11"/>
        </w:numPr>
        <w:jc w:val="center"/>
        <w:rPr>
          <w:b/>
          <w:bCs/>
          <w:sz w:val="24"/>
        </w:rPr>
      </w:pPr>
      <w:r>
        <w:rPr>
          <w:rFonts w:hint="eastAsia"/>
          <w:b/>
          <w:bCs/>
          <w:sz w:val="24"/>
        </w:rPr>
        <w:t>项目完成（服务期满）后的服务承诺</w:t>
      </w:r>
    </w:p>
    <w:p w14:paraId="0137EEBB">
      <w:pPr>
        <w:pStyle w:val="2"/>
      </w:pPr>
    </w:p>
    <w:p w14:paraId="41CB1409">
      <w:pPr>
        <w:numPr>
          <w:ilvl w:val="0"/>
          <w:numId w:val="11"/>
        </w:numPr>
        <w:jc w:val="center"/>
        <w:rPr>
          <w:b/>
          <w:bCs/>
          <w:sz w:val="24"/>
        </w:rPr>
      </w:pPr>
      <w:r>
        <w:rPr>
          <w:rFonts w:hint="eastAsia" w:ascii="宋体" w:hAnsi="宋体" w:cs="宋体"/>
          <w:b/>
          <w:bCs/>
          <w:sz w:val="24"/>
        </w:rPr>
        <w:t>拟安排的项目负责人情况（仅限一人）</w:t>
      </w:r>
    </w:p>
    <w:p w14:paraId="6638F327">
      <w:pPr>
        <w:pStyle w:val="2"/>
      </w:pPr>
    </w:p>
    <w:p w14:paraId="61921EAE">
      <w:pPr>
        <w:numPr>
          <w:ilvl w:val="0"/>
          <w:numId w:val="11"/>
        </w:numPr>
        <w:jc w:val="center"/>
        <w:rPr>
          <w:b/>
          <w:bCs/>
        </w:rPr>
      </w:pPr>
      <w:r>
        <w:rPr>
          <w:rFonts w:hint="eastAsia" w:ascii="宋体" w:hAnsi="宋体" w:cs="宋体"/>
          <w:b/>
          <w:bCs/>
          <w:sz w:val="24"/>
        </w:rPr>
        <w:t>拟安排的项目团队成员情况（项目负责人除外）</w:t>
      </w:r>
    </w:p>
    <w:p w14:paraId="58BB9740">
      <w:pPr>
        <w:pStyle w:val="36"/>
        <w:jc w:val="center"/>
        <w:rPr>
          <w:rFonts w:ascii="宋体" w:hAnsi="宋体" w:cs="宋体"/>
          <w:b/>
          <w:bCs/>
        </w:rPr>
      </w:pPr>
    </w:p>
    <w:p w14:paraId="6DD63659">
      <w:pPr>
        <w:pStyle w:val="4"/>
        <w:jc w:val="center"/>
        <w:rPr>
          <w:rFonts w:ascii="黑体" w:eastAsia="黑体"/>
          <w:kern w:val="0"/>
          <w:sz w:val="24"/>
          <w:szCs w:val="24"/>
        </w:rPr>
      </w:pPr>
      <w:r>
        <w:rPr>
          <w:rFonts w:hint="eastAsia" w:ascii="黑体" w:eastAsia="黑体"/>
          <w:b w:val="0"/>
          <w:sz w:val="24"/>
          <w:szCs w:val="24"/>
        </w:rPr>
        <w:t>十、政府采购违法行为风险知悉确认书</w:t>
      </w:r>
    </w:p>
    <w:p w14:paraId="1E5BA235">
      <w:pPr>
        <w:ind w:firstLine="480" w:firstLineChars="200"/>
        <w:rPr>
          <w:rFonts w:ascii="宋体" w:hAnsi="宋体" w:cs="宋体"/>
          <w:sz w:val="24"/>
        </w:rPr>
      </w:pPr>
      <w:r>
        <w:rPr>
          <w:rFonts w:hint="eastAsia" w:ascii="宋体" w:hAnsi="宋体" w:cs="宋体"/>
          <w:sz w:val="24"/>
        </w:rPr>
        <w:t>本公司在投标前已充分知悉以下情形为参与政府采购活动时的重大风险事项，并承诺已对下述风险提示事项重点排查，做到严谨、诚信、依法依规参与政府采购活动。</w:t>
      </w:r>
    </w:p>
    <w:p w14:paraId="1DFE9428">
      <w:pPr>
        <w:ind w:firstLine="482" w:firstLineChars="200"/>
        <w:rPr>
          <w:rFonts w:ascii="宋体" w:hAnsi="宋体" w:cs="宋体"/>
          <w:b/>
          <w:sz w:val="24"/>
        </w:rPr>
      </w:pPr>
      <w:r>
        <w:rPr>
          <w:rFonts w:hint="eastAsia" w:ascii="宋体" w:hAnsi="宋体" w:cs="宋体"/>
          <w:b/>
          <w:sz w:val="24"/>
        </w:rPr>
        <w:t>一、本公司已充分知悉“隐瞒真实情况，提供虚假资料”的法定情形，相关情形包括但不限于：</w:t>
      </w:r>
    </w:p>
    <w:p w14:paraId="3900BFD1">
      <w:pPr>
        <w:ind w:firstLine="480" w:firstLineChars="200"/>
        <w:rPr>
          <w:rFonts w:ascii="宋体" w:hAnsi="宋体" w:cs="宋体"/>
          <w:sz w:val="24"/>
        </w:rPr>
      </w:pPr>
      <w:r>
        <w:rPr>
          <w:rFonts w:hint="eastAsia" w:ascii="宋体" w:hAnsi="宋体" w:cs="宋体"/>
          <w:sz w:val="24"/>
        </w:rPr>
        <w:t>（一）通过转让或者租借等方式从其他单位获取资格或者资质证书投标的。</w:t>
      </w:r>
    </w:p>
    <w:p w14:paraId="17FF74E2">
      <w:pPr>
        <w:ind w:firstLine="480" w:firstLineChars="200"/>
        <w:rPr>
          <w:rFonts w:ascii="宋体" w:hAnsi="宋体" w:cs="宋体"/>
          <w:sz w:val="24"/>
        </w:rPr>
      </w:pPr>
      <w:r>
        <w:rPr>
          <w:rFonts w:hint="eastAsia" w:ascii="宋体" w:hAnsi="宋体" w:cs="宋体"/>
          <w:sz w:val="24"/>
        </w:rPr>
        <w:t>（二）由其他单位或者其他单位负责人在投标供应商编制的投标文件上加盖印章或者签字的。</w:t>
      </w:r>
    </w:p>
    <w:p w14:paraId="1AB71675">
      <w:pPr>
        <w:ind w:firstLine="480" w:firstLineChars="200"/>
        <w:rPr>
          <w:rFonts w:ascii="宋体" w:hAnsi="宋体" w:cs="宋体"/>
          <w:sz w:val="24"/>
        </w:rPr>
      </w:pPr>
      <w:r>
        <w:rPr>
          <w:rFonts w:hint="eastAsia" w:ascii="宋体" w:hAnsi="宋体" w:cs="宋体"/>
          <w:sz w:val="24"/>
        </w:rPr>
        <w:t>（三）项目负责人或者主要技术人员不是本单位人员的。</w:t>
      </w:r>
    </w:p>
    <w:p w14:paraId="10A562AD">
      <w:pPr>
        <w:ind w:firstLine="480" w:firstLineChars="200"/>
        <w:rPr>
          <w:rFonts w:ascii="宋体" w:hAnsi="宋体" w:cs="宋体"/>
          <w:sz w:val="24"/>
        </w:rPr>
      </w:pPr>
      <w:r>
        <w:rPr>
          <w:rFonts w:hint="eastAsia" w:ascii="宋体" w:hAnsi="宋体" w:cs="宋体"/>
          <w:sz w:val="24"/>
        </w:rPr>
        <w:t>（四）投标保证金不是从投标供应商基本账户转出的。</w:t>
      </w:r>
    </w:p>
    <w:p w14:paraId="302B8FF8">
      <w:pPr>
        <w:ind w:firstLine="480" w:firstLineChars="200"/>
        <w:rPr>
          <w:rFonts w:ascii="宋体" w:hAnsi="宋体" w:cs="宋体"/>
          <w:sz w:val="24"/>
        </w:rPr>
      </w:pPr>
      <w:r>
        <w:rPr>
          <w:rFonts w:hint="eastAsia" w:ascii="宋体" w:hAnsi="宋体" w:cs="宋体"/>
          <w:sz w:val="24"/>
        </w:rPr>
        <w:t>（五）其他隐瞒真实情况、提供虚假资料的行为。</w:t>
      </w:r>
    </w:p>
    <w:p w14:paraId="2469D2C0">
      <w:pPr>
        <w:ind w:firstLine="482" w:firstLineChars="200"/>
        <w:rPr>
          <w:rFonts w:ascii="宋体" w:hAnsi="宋体" w:cs="宋体"/>
          <w:b/>
          <w:sz w:val="24"/>
        </w:rPr>
      </w:pPr>
      <w:r>
        <w:rPr>
          <w:rFonts w:hint="eastAsia" w:ascii="宋体" w:hAnsi="宋体" w:cs="宋体"/>
          <w:b/>
          <w:sz w:val="24"/>
        </w:rPr>
        <w:t>二、本公司已充分知悉“与其他采购参加人串通投标”的法定情形，相关情形包括但不限于：</w:t>
      </w:r>
    </w:p>
    <w:p w14:paraId="38E28A77">
      <w:pPr>
        <w:ind w:firstLine="480" w:firstLineChars="200"/>
        <w:rPr>
          <w:rFonts w:ascii="宋体" w:hAnsi="宋体" w:cs="宋体"/>
          <w:sz w:val="24"/>
        </w:rPr>
      </w:pPr>
      <w:r>
        <w:rPr>
          <w:rFonts w:hint="eastAsia" w:ascii="宋体" w:hAnsi="宋体" w:cs="宋体"/>
          <w:sz w:val="24"/>
        </w:rPr>
        <w:t>（一）投标供应商之间相互约定给予未中标的供应商利益补偿。</w:t>
      </w:r>
    </w:p>
    <w:p w14:paraId="6B2802BA">
      <w:pPr>
        <w:ind w:firstLine="480" w:firstLineChars="200"/>
        <w:rPr>
          <w:rFonts w:ascii="宋体" w:hAnsi="宋体" w:cs="宋体"/>
          <w:sz w:val="24"/>
        </w:rPr>
      </w:pPr>
      <w:r>
        <w:rPr>
          <w:rFonts w:hint="eastAsia" w:ascii="宋体" w:hAnsi="宋体" w:cs="宋体"/>
          <w:sz w:val="24"/>
        </w:rPr>
        <w:t>（二）不同投标供应商的法定代表人、主要经营负责人、项目投标授权代表人、项目负责人、主要技术人员为同一人、属同一单位或者在同一单位缴纳社会保险。</w:t>
      </w:r>
    </w:p>
    <w:p w14:paraId="276D576B">
      <w:pPr>
        <w:ind w:firstLine="480" w:firstLineChars="200"/>
        <w:rPr>
          <w:rFonts w:ascii="宋体" w:hAnsi="宋体" w:cs="宋体"/>
          <w:sz w:val="24"/>
        </w:rPr>
      </w:pPr>
      <w:r>
        <w:rPr>
          <w:rFonts w:hint="eastAsia" w:ascii="宋体" w:hAnsi="宋体" w:cs="宋体"/>
          <w:sz w:val="24"/>
        </w:rPr>
        <w:t>（三）不同投标供应商的投标文件由同一单位或者同一人编制，或者由同一人分阶段参与编制的。</w:t>
      </w:r>
    </w:p>
    <w:p w14:paraId="2442288B">
      <w:pPr>
        <w:ind w:firstLine="480" w:firstLineChars="200"/>
        <w:rPr>
          <w:rFonts w:ascii="宋体" w:hAnsi="宋体" w:cs="宋体"/>
          <w:sz w:val="24"/>
        </w:rPr>
      </w:pPr>
      <w:r>
        <w:rPr>
          <w:rFonts w:hint="eastAsia" w:ascii="宋体" w:hAnsi="宋体" w:cs="宋体"/>
          <w:sz w:val="24"/>
        </w:rPr>
        <w:t>（四）不同投标供应商的投标文件或部分投标文件相互混装。</w:t>
      </w:r>
    </w:p>
    <w:p w14:paraId="3026474D">
      <w:pPr>
        <w:ind w:firstLine="480" w:firstLineChars="200"/>
        <w:rPr>
          <w:rFonts w:ascii="宋体" w:hAnsi="宋体" w:cs="宋体"/>
          <w:sz w:val="24"/>
        </w:rPr>
      </w:pPr>
      <w:r>
        <w:rPr>
          <w:rFonts w:hint="eastAsia" w:ascii="宋体" w:hAnsi="宋体" w:cs="宋体"/>
          <w:sz w:val="24"/>
        </w:rPr>
        <w:t>（五）不同投标供应商的投标文件内容存在非正常一致。</w:t>
      </w:r>
    </w:p>
    <w:p w14:paraId="4AFC10D7">
      <w:pPr>
        <w:ind w:firstLine="480" w:firstLineChars="200"/>
        <w:rPr>
          <w:rFonts w:ascii="宋体" w:hAnsi="宋体" w:cs="宋体"/>
          <w:sz w:val="24"/>
        </w:rPr>
      </w:pPr>
      <w:r>
        <w:rPr>
          <w:rFonts w:hint="eastAsia" w:ascii="宋体" w:hAnsi="宋体" w:cs="宋体"/>
          <w:sz w:val="24"/>
        </w:rPr>
        <w:t>（六）由同一单位工作人员为两家以上（含两家）供应商进行同一项投标活动的。</w:t>
      </w:r>
    </w:p>
    <w:p w14:paraId="1821C47B">
      <w:pPr>
        <w:ind w:firstLine="480" w:firstLineChars="200"/>
        <w:rPr>
          <w:rFonts w:ascii="宋体" w:hAnsi="宋体" w:cs="宋体"/>
          <w:sz w:val="24"/>
        </w:rPr>
      </w:pPr>
      <w:r>
        <w:rPr>
          <w:rFonts w:hint="eastAsia" w:ascii="宋体" w:hAnsi="宋体" w:cs="宋体"/>
          <w:sz w:val="24"/>
        </w:rPr>
        <w:t>（七）不同投标人的投标报价呈规律性差异。</w:t>
      </w:r>
    </w:p>
    <w:p w14:paraId="233B6542">
      <w:pPr>
        <w:ind w:firstLine="480" w:firstLineChars="200"/>
        <w:rPr>
          <w:rFonts w:ascii="宋体" w:hAnsi="宋体" w:cs="宋体"/>
          <w:sz w:val="24"/>
        </w:rPr>
      </w:pPr>
      <w:r>
        <w:rPr>
          <w:rFonts w:hint="eastAsia" w:ascii="宋体" w:hAnsi="宋体" w:cs="宋体"/>
          <w:sz w:val="24"/>
        </w:rPr>
        <w:t>（八）不同投标人的投标保证金从同一单位或者个人的账户转出。</w:t>
      </w:r>
    </w:p>
    <w:p w14:paraId="33BBDF7D">
      <w:pPr>
        <w:ind w:firstLine="480" w:firstLineChars="200"/>
        <w:rPr>
          <w:rFonts w:ascii="宋体" w:hAnsi="宋体" w:cs="宋体"/>
          <w:sz w:val="24"/>
        </w:rPr>
      </w:pPr>
      <w:r>
        <w:rPr>
          <w:rFonts w:hint="eastAsia" w:ascii="宋体" w:hAnsi="宋体" w:cs="宋体"/>
          <w:sz w:val="24"/>
        </w:rPr>
        <w:t>（九）主管部门依照法律、法规认定的其他情形。</w:t>
      </w:r>
    </w:p>
    <w:p w14:paraId="7CCE147B">
      <w:pPr>
        <w:ind w:firstLine="482" w:firstLineChars="200"/>
        <w:rPr>
          <w:rFonts w:ascii="宋体" w:hAnsi="宋体" w:cs="宋体"/>
          <w:b/>
          <w:sz w:val="24"/>
        </w:rPr>
      </w:pPr>
      <w:r>
        <w:rPr>
          <w:rFonts w:hint="eastAsia" w:ascii="宋体" w:hAnsi="宋体" w:cs="宋体"/>
          <w:b/>
          <w:sz w:val="24"/>
        </w:rPr>
        <w:t>三、本公司已充分知悉下列情形所对应的法律风险，并在投标前已对相关风险事项进行排查。</w:t>
      </w:r>
    </w:p>
    <w:p w14:paraId="4AD40092">
      <w:pPr>
        <w:ind w:firstLine="480" w:firstLineChars="200"/>
        <w:rPr>
          <w:rFonts w:ascii="宋体" w:hAnsi="宋体" w:cs="宋体"/>
          <w:b/>
          <w:sz w:val="24"/>
        </w:rPr>
      </w:pPr>
      <w:r>
        <w:rPr>
          <w:rFonts w:hint="eastAsia" w:ascii="宋体" w:hAnsi="宋体" w:cs="宋体"/>
          <w:sz w:val="24"/>
        </w:rPr>
        <w:t>（一）对于从其他主体获取的投标资料，供应商应审慎核查，确保投标资料的真实性。</w:t>
      </w:r>
      <w:r>
        <w:rPr>
          <w:rFonts w:hint="eastAsia" w:ascii="宋体" w:hAnsi="宋体" w:cs="宋体"/>
          <w:b/>
          <w:sz w:val="24"/>
        </w:rPr>
        <w:t>如主管部门查实投标文件中存在虚假资料的，无论相关资料是否由第三方或本公司员工提供，均不影响主管部门对供应商存在“隐瞒真实情况，提供虚假资料”违法行为的认定。</w:t>
      </w:r>
    </w:p>
    <w:p w14:paraId="16D05695">
      <w:pPr>
        <w:ind w:firstLine="480" w:firstLineChars="200"/>
        <w:rPr>
          <w:rFonts w:ascii="宋体" w:hAnsi="宋体" w:cs="宋体"/>
          <w:sz w:val="24"/>
        </w:rPr>
      </w:pPr>
      <w:r>
        <w:rPr>
          <w:rFonts w:hint="eastAsia" w:ascii="宋体" w:hAnsi="宋体" w:cs="宋体"/>
          <w:sz w:val="24"/>
        </w:rPr>
        <w:t>（二）对于涉及国家机关出具的公文、证件、证明材料等文件，一旦涉嫌虚假，经查实，主管部门将依法从严处理，并移送有关部门追究法律责任；涉嫌犯罪的，主管部门将一并移送司法机关追究法律责任。</w:t>
      </w:r>
    </w:p>
    <w:p w14:paraId="1BC54931">
      <w:pPr>
        <w:ind w:firstLine="480" w:firstLineChars="200"/>
        <w:rPr>
          <w:rFonts w:ascii="宋体" w:hAnsi="宋体" w:cs="宋体"/>
          <w:sz w:val="24"/>
        </w:rPr>
      </w:pPr>
      <w:r>
        <w:rPr>
          <w:rFonts w:hint="eastAsia" w:ascii="宋体" w:hAnsi="宋体" w:cs="宋体"/>
          <w:sz w:val="24"/>
        </w:rPr>
        <w:t>（三）对于涉及安全生产、特种作业、抢险救灾、防疫等政府采购项目，供应商实施提供虚假资料、串通投标等违法行为的，主管部门将依法从严处理。</w:t>
      </w:r>
    </w:p>
    <w:p w14:paraId="26E30683">
      <w:pPr>
        <w:ind w:firstLine="480" w:firstLineChars="200"/>
        <w:rPr>
          <w:rFonts w:ascii="宋体" w:hAnsi="宋体" w:cs="宋体"/>
          <w:sz w:val="24"/>
        </w:rPr>
      </w:pPr>
      <w:r>
        <w:rPr>
          <w:rFonts w:hint="eastAsia" w:ascii="宋体" w:hAnsi="宋体" w:cs="宋体"/>
          <w:sz w:val="24"/>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61D5428E">
      <w:pPr>
        <w:ind w:firstLine="480" w:firstLineChars="200"/>
        <w:rPr>
          <w:rFonts w:ascii="宋体" w:hAnsi="宋体" w:cs="宋体"/>
          <w:sz w:val="24"/>
        </w:rPr>
      </w:pPr>
      <w:r>
        <w:rPr>
          <w:rFonts w:hint="eastAsia" w:ascii="宋体" w:hAnsi="宋体" w:cs="宋体"/>
          <w:sz w:val="24"/>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38FA95F9">
      <w:pPr>
        <w:ind w:firstLine="480" w:firstLineChars="200"/>
        <w:rPr>
          <w:rFonts w:ascii="宋体" w:hAnsi="宋体" w:cs="宋体"/>
          <w:sz w:val="24"/>
        </w:rPr>
      </w:pPr>
      <w:r>
        <w:rPr>
          <w:rFonts w:hint="eastAsia" w:ascii="宋体" w:hAnsi="宋体" w:cs="宋体"/>
          <w:sz w:val="24"/>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63CE28F3">
      <w:pPr>
        <w:ind w:firstLine="482" w:firstLineChars="200"/>
        <w:rPr>
          <w:rFonts w:ascii="宋体" w:hAnsi="宋体" w:cs="宋体"/>
          <w:b/>
          <w:sz w:val="24"/>
        </w:rPr>
      </w:pPr>
      <w:r>
        <w:rPr>
          <w:rFonts w:hint="eastAsia" w:ascii="宋体" w:hAnsi="宋体" w:cs="宋体"/>
          <w:b/>
          <w:sz w:val="24"/>
        </w:rPr>
        <w:t>四、本公司已充分知悉政府采购违法、违规行为的法律后果。</w:t>
      </w:r>
    </w:p>
    <w:p w14:paraId="57215185">
      <w:pPr>
        <w:ind w:firstLine="480" w:firstLineChars="200"/>
        <w:rPr>
          <w:rFonts w:ascii="宋体" w:hAnsi="宋体" w:cs="宋体"/>
          <w:sz w:val="24"/>
        </w:rPr>
      </w:pPr>
      <w:r>
        <w:rPr>
          <w:rFonts w:hint="eastAsia" w:ascii="宋体" w:hAnsi="宋体" w:cs="宋体"/>
          <w:sz w:val="24"/>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542AF3E2">
      <w:pPr>
        <w:ind w:firstLine="480" w:firstLineChars="200"/>
        <w:rPr>
          <w:rFonts w:ascii="宋体" w:hAnsi="宋体" w:cs="宋体"/>
          <w:sz w:val="24"/>
        </w:rPr>
      </w:pPr>
      <w:r>
        <w:rPr>
          <w:rFonts w:hint="eastAsia" w:ascii="宋体" w:hAnsi="宋体" w:cs="宋体"/>
          <w:sz w:val="24"/>
          <w:highlight w:val="yellow"/>
        </w:rPr>
        <w:t>以下文字请投标供应商抄写并确认：“本公司已仔细阅读《政府采购违法行为风险知悉确认书》，充分知悉违法行为的法律后果，并承诺将严谨、诚信、依法依规参与政府采购活动”。</w:t>
      </w:r>
    </w:p>
    <w:tbl>
      <w:tblPr>
        <w:tblStyle w:val="203"/>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14:paraId="68B24F85">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PrEx>
        <w:trPr>
          <w:trHeight w:val="304" w:hRule="atLeast"/>
        </w:trPr>
        <w:tc>
          <w:tcPr>
            <w:tcW w:w="8529" w:type="dxa"/>
            <w:tcBorders>
              <w:top w:val="nil"/>
              <w:left w:val="nil"/>
              <w:bottom w:val="single" w:color="000000" w:sz="8" w:space="0"/>
              <w:right w:val="nil"/>
            </w:tcBorders>
          </w:tcPr>
          <w:p w14:paraId="30256D87">
            <w:pPr>
              <w:autoSpaceDE w:val="0"/>
              <w:autoSpaceDN w:val="0"/>
              <w:spacing w:line="400" w:lineRule="exact"/>
              <w:ind w:firstLine="1866"/>
              <w:rPr>
                <w:rFonts w:ascii="宋体" w:hAnsi="宋体" w:cs="宋体" w:eastAsiaTheme="minorEastAsia"/>
                <w:spacing w:val="-4"/>
                <w:kern w:val="0"/>
                <w:sz w:val="24"/>
              </w:rPr>
            </w:pPr>
          </w:p>
        </w:tc>
      </w:tr>
      <w:tr w14:paraId="402D7765">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7D432AC8">
            <w:pPr>
              <w:autoSpaceDE w:val="0"/>
              <w:autoSpaceDN w:val="0"/>
              <w:spacing w:line="400" w:lineRule="exact"/>
              <w:ind w:firstLine="1866"/>
              <w:rPr>
                <w:rFonts w:ascii="宋体" w:hAnsi="宋体" w:cs="宋体" w:eastAsiaTheme="minorEastAsia"/>
                <w:spacing w:val="-4"/>
                <w:kern w:val="0"/>
                <w:sz w:val="24"/>
              </w:rPr>
            </w:pPr>
          </w:p>
        </w:tc>
      </w:tr>
      <w:tr w14:paraId="7E001986">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25B8853E">
            <w:pPr>
              <w:autoSpaceDE w:val="0"/>
              <w:autoSpaceDN w:val="0"/>
              <w:spacing w:line="400" w:lineRule="exact"/>
              <w:ind w:firstLine="1866"/>
              <w:rPr>
                <w:rFonts w:ascii="宋体" w:hAnsi="宋体" w:cs="宋体" w:eastAsiaTheme="minorEastAsia"/>
                <w:spacing w:val="-4"/>
                <w:kern w:val="0"/>
                <w:sz w:val="24"/>
              </w:rPr>
            </w:pPr>
          </w:p>
        </w:tc>
      </w:tr>
      <w:tr w14:paraId="08406842">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14:paraId="3ED7C9D1">
            <w:pPr>
              <w:autoSpaceDE w:val="0"/>
              <w:autoSpaceDN w:val="0"/>
              <w:spacing w:line="400" w:lineRule="exact"/>
              <w:ind w:firstLine="1866"/>
              <w:rPr>
                <w:rFonts w:ascii="宋体" w:hAnsi="宋体" w:cs="宋体" w:eastAsiaTheme="minorEastAsia"/>
                <w:spacing w:val="-4"/>
                <w:kern w:val="0"/>
                <w:sz w:val="24"/>
              </w:rPr>
            </w:pPr>
          </w:p>
        </w:tc>
      </w:tr>
    </w:tbl>
    <w:p w14:paraId="1F1EAF33">
      <w:pPr>
        <w:widowControl/>
        <w:wordWrap w:val="0"/>
        <w:autoSpaceDE w:val="0"/>
        <w:autoSpaceDN w:val="0"/>
        <w:spacing w:line="400" w:lineRule="exact"/>
        <w:ind w:right="808" w:firstLine="464" w:firstLineChars="200"/>
        <w:jc w:val="right"/>
        <w:rPr>
          <w:rFonts w:ascii="宋体" w:hAnsi="宋体" w:cs="宋体"/>
          <w:spacing w:val="-4"/>
          <w:kern w:val="0"/>
          <w:sz w:val="24"/>
          <w:u w:val="single"/>
        </w:rPr>
      </w:pPr>
      <w:r>
        <w:rPr>
          <w:rFonts w:hint="eastAsia" w:ascii="宋体" w:hAnsi="宋体" w:cs="宋体"/>
          <w:spacing w:val="-4"/>
          <w:kern w:val="0"/>
          <w:sz w:val="24"/>
        </w:rPr>
        <w:t>负责人/投标授权代表签名：</w:t>
      </w:r>
    </w:p>
    <w:p w14:paraId="700BD8A9">
      <w:pPr>
        <w:widowControl/>
        <w:wordWrap w:val="0"/>
        <w:autoSpaceDE w:val="0"/>
        <w:autoSpaceDN w:val="0"/>
        <w:spacing w:line="400" w:lineRule="exact"/>
        <w:ind w:right="808" w:firstLine="464" w:firstLineChars="200"/>
        <w:jc w:val="right"/>
        <w:rPr>
          <w:rFonts w:ascii="宋体" w:hAnsi="宋体" w:cs="宋体"/>
          <w:spacing w:val="-4"/>
          <w:kern w:val="0"/>
          <w:sz w:val="24"/>
          <w:u w:val="single"/>
        </w:rPr>
      </w:pPr>
      <w:r>
        <w:rPr>
          <w:rFonts w:hint="eastAsia" w:ascii="宋体" w:hAnsi="宋体" w:cs="宋体"/>
          <w:spacing w:val="-4"/>
          <w:kern w:val="0"/>
          <w:sz w:val="24"/>
          <w:highlight w:val="yellow"/>
        </w:rPr>
        <w:t>知悉人（公章）</w:t>
      </w:r>
      <w:r>
        <w:rPr>
          <w:rFonts w:hint="eastAsia" w:ascii="宋体" w:hAnsi="宋体" w:cs="宋体"/>
          <w:spacing w:val="-4"/>
          <w:kern w:val="0"/>
          <w:sz w:val="24"/>
        </w:rPr>
        <w:t>：</w:t>
      </w:r>
    </w:p>
    <w:p w14:paraId="6896E553">
      <w:pPr>
        <w:widowControl/>
        <w:wordWrap w:val="0"/>
        <w:autoSpaceDE w:val="0"/>
        <w:autoSpaceDN w:val="0"/>
        <w:spacing w:line="400" w:lineRule="exact"/>
        <w:ind w:right="808" w:firstLine="464" w:firstLineChars="200"/>
        <w:jc w:val="right"/>
        <w:rPr>
          <w:rFonts w:ascii="宋体" w:hAnsi="宋体" w:cs="宋体"/>
          <w:spacing w:val="-4"/>
          <w:kern w:val="0"/>
          <w:sz w:val="24"/>
          <w:u w:val="single"/>
        </w:rPr>
      </w:pPr>
      <w:r>
        <w:rPr>
          <w:rFonts w:hint="eastAsia" w:ascii="宋体" w:hAnsi="宋体" w:cs="宋体"/>
          <w:spacing w:val="-4"/>
          <w:kern w:val="0"/>
          <w:sz w:val="24"/>
        </w:rPr>
        <w:t>日期：</w:t>
      </w:r>
    </w:p>
    <w:p w14:paraId="2EC37A57">
      <w:pPr>
        <w:widowControl/>
        <w:wordWrap w:val="0"/>
        <w:autoSpaceDE w:val="0"/>
        <w:autoSpaceDN w:val="0"/>
        <w:spacing w:line="400" w:lineRule="exact"/>
        <w:ind w:right="1414" w:firstLine="404" w:firstLineChars="200"/>
        <w:jc w:val="right"/>
        <w:rPr>
          <w:rFonts w:ascii="宋体" w:hAnsi="宋体" w:eastAsiaTheme="minorEastAsia"/>
          <w:spacing w:val="-4"/>
          <w:kern w:val="0"/>
          <w:szCs w:val="21"/>
        </w:rPr>
      </w:pPr>
    </w:p>
    <w:p w14:paraId="1ED52ACE">
      <w:pPr>
        <w:widowControl/>
        <w:autoSpaceDE w:val="0"/>
        <w:autoSpaceDN w:val="0"/>
        <w:spacing w:line="400" w:lineRule="exact"/>
        <w:ind w:firstLine="406" w:firstLineChars="200"/>
        <w:jc w:val="left"/>
        <w:rPr>
          <w:rFonts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注：</w:t>
      </w:r>
    </w:p>
    <w:p w14:paraId="216568F4">
      <w:pPr>
        <w:widowControl/>
        <w:autoSpaceDE w:val="0"/>
        <w:autoSpaceDN w:val="0"/>
        <w:spacing w:line="400" w:lineRule="exact"/>
        <w:ind w:firstLine="406" w:firstLineChars="200"/>
        <w:jc w:val="left"/>
        <w:rPr>
          <w:rFonts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1.根据《深圳市财政局关于采购文件增加风险告知有关事项的通知》（深财购〔2022〕22号），该风险知悉确认书用于对供应商违法行为的警示，不作为供应商资格性审查及符合性审查条件。</w:t>
      </w:r>
    </w:p>
    <w:p w14:paraId="46FF09AF">
      <w:pPr>
        <w:widowControl/>
        <w:autoSpaceDE w:val="0"/>
        <w:autoSpaceDN w:val="0"/>
        <w:spacing w:line="400" w:lineRule="exact"/>
        <w:ind w:firstLine="406" w:firstLineChars="200"/>
        <w:jc w:val="left"/>
        <w:rPr>
          <w:rFonts w:ascii="宋体" w:hAnsi="宋体" w:eastAsiaTheme="minorEastAsia"/>
          <w:color w:val="FF0000"/>
          <w:spacing w:val="-4"/>
          <w:kern w:val="0"/>
          <w:szCs w:val="21"/>
        </w:rPr>
      </w:pPr>
      <w:r>
        <w:rPr>
          <w:rFonts w:hint="eastAsia" w:ascii="宋体" w:hAnsi="宋体" w:eastAsiaTheme="minorEastAsia"/>
          <w:b/>
          <w:bCs/>
          <w:color w:val="FF0000"/>
          <w:spacing w:val="-4"/>
          <w:kern w:val="0"/>
          <w:szCs w:val="21"/>
        </w:rPr>
        <w:t>2.投标供应商负责人或投标授权代表签字</w:t>
      </w:r>
      <w:r>
        <w:rPr>
          <w:rFonts w:hint="eastAsia" w:ascii="宋体" w:hAnsi="宋体" w:eastAsiaTheme="minorEastAsia"/>
          <w:b/>
          <w:bCs/>
          <w:color w:val="FF0000"/>
          <w:spacing w:val="-4"/>
          <w:kern w:val="0"/>
          <w:szCs w:val="21"/>
          <w:highlight w:val="yellow"/>
        </w:rPr>
        <w:t>并加盖单位公章</w:t>
      </w:r>
      <w:r>
        <w:rPr>
          <w:rFonts w:hint="eastAsia" w:ascii="宋体" w:hAnsi="宋体" w:eastAsiaTheme="minorEastAsia"/>
          <w:b/>
          <w:bCs/>
          <w:color w:val="FF0000"/>
          <w:spacing w:val="-4"/>
          <w:kern w:val="0"/>
          <w:szCs w:val="21"/>
        </w:rPr>
        <w:t>后，扫描上传至投标文件一并提交。</w:t>
      </w:r>
    </w:p>
    <w:p w14:paraId="4E60D366">
      <w:pPr>
        <w:rPr>
          <w:rFonts w:ascii="宋体" w:hAnsi="宋体"/>
        </w:rPr>
      </w:pPr>
    </w:p>
    <w:p w14:paraId="0434BA6A">
      <w:pPr>
        <w:jc w:val="center"/>
        <w:rPr>
          <w:rFonts w:ascii="宋体" w:hAnsi="宋体" w:cs="宋体"/>
          <w:sz w:val="24"/>
        </w:rPr>
      </w:pPr>
      <w:r>
        <w:rPr>
          <w:rFonts w:hint="eastAsia" w:ascii="宋体" w:hAnsi="宋体" w:cs="宋体"/>
          <w:sz w:val="24"/>
        </w:rPr>
        <w:t>（二）订单融资情况</w:t>
      </w:r>
    </w:p>
    <w:p w14:paraId="751B83A7">
      <w:pPr>
        <w:ind w:firstLine="482" w:firstLineChars="200"/>
        <w:rPr>
          <w:rFonts w:ascii="宋体" w:hAnsi="宋体" w:cs="宋体"/>
          <w:b/>
          <w:bCs/>
          <w:sz w:val="24"/>
        </w:rPr>
      </w:pPr>
      <w:r>
        <w:rPr>
          <w:rFonts w:hint="eastAsia" w:ascii="宋体" w:hAnsi="宋体" w:cs="宋体"/>
          <w:b/>
          <w:bCs/>
          <w:sz w:val="24"/>
        </w:rPr>
        <w:t>1、关于政府采购订单融资政策</w:t>
      </w:r>
    </w:p>
    <w:p w14:paraId="245B5A4C">
      <w:pPr>
        <w:pStyle w:val="2"/>
        <w:spacing w:line="240" w:lineRule="auto"/>
        <w:ind w:firstLine="480" w:firstLineChars="200"/>
        <w:rPr>
          <w:rFonts w:ascii="宋体" w:hAnsi="宋体" w:cs="宋体"/>
          <w:b w:val="0"/>
        </w:rPr>
      </w:pPr>
      <w:r>
        <w:rPr>
          <w:rFonts w:hint="eastAsia" w:ascii="宋体" w:hAnsi="宋体" w:cs="宋体"/>
          <w:b w:val="0"/>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14:paraId="6D72EA1D">
      <w:pPr>
        <w:ind w:firstLine="482" w:firstLineChars="200"/>
        <w:rPr>
          <w:rFonts w:ascii="宋体" w:hAnsi="宋体" w:cs="宋体"/>
          <w:b/>
          <w:bCs/>
          <w:sz w:val="24"/>
        </w:rPr>
      </w:pPr>
      <w:r>
        <w:rPr>
          <w:rFonts w:hint="eastAsia" w:ascii="宋体" w:hAnsi="宋体" w:cs="宋体"/>
          <w:b/>
          <w:bCs/>
          <w:sz w:val="24"/>
        </w:rPr>
        <w:t>2、供应商账户信息</w:t>
      </w:r>
    </w:p>
    <w:p w14:paraId="69D25F3C">
      <w:pPr>
        <w:ind w:left="420" w:leftChars="200" w:firstLine="240" w:firstLineChars="100"/>
        <w:rPr>
          <w:rFonts w:ascii="宋体" w:hAnsi="宋体" w:cs="宋体"/>
          <w:sz w:val="24"/>
        </w:rPr>
      </w:pPr>
      <w:r>
        <w:rPr>
          <w:rFonts w:hint="eastAsia" w:ascii="宋体" w:hAnsi="宋体" w:cs="宋体"/>
          <w:sz w:val="24"/>
        </w:rPr>
        <w:t>投标人（单位全称）：</w:t>
      </w:r>
      <w:r>
        <w:rPr>
          <w:rFonts w:hint="eastAsia" w:ascii="宋体" w:hAnsi="宋体" w:cs="宋体"/>
          <w:sz w:val="24"/>
          <w:u w:val="thick"/>
        </w:rPr>
        <w:t xml:space="preserve">                           </w:t>
      </w:r>
      <w:r>
        <w:rPr>
          <w:rFonts w:hint="eastAsia" w:ascii="宋体" w:hAnsi="宋体" w:cs="宋体"/>
          <w:sz w:val="24"/>
        </w:rPr>
        <w:t xml:space="preserve">；  </w:t>
      </w:r>
    </w:p>
    <w:p w14:paraId="46B75D3C">
      <w:pPr>
        <w:ind w:left="420" w:leftChars="200" w:firstLine="240" w:firstLineChars="100"/>
        <w:rPr>
          <w:rFonts w:ascii="宋体" w:hAnsi="宋体" w:cs="宋体"/>
          <w:sz w:val="24"/>
        </w:rPr>
      </w:pPr>
      <w:r>
        <w:rPr>
          <w:rFonts w:hint="eastAsia" w:ascii="宋体" w:hAnsi="宋体" w:cs="宋体"/>
          <w:sz w:val="24"/>
        </w:rPr>
        <w:t>投标人单位地址：</w:t>
      </w:r>
      <w:r>
        <w:rPr>
          <w:rFonts w:hint="eastAsia" w:ascii="宋体" w:hAnsi="宋体" w:cs="宋体"/>
          <w:sz w:val="24"/>
          <w:u w:val="thick"/>
        </w:rPr>
        <w:t xml:space="preserve">                    </w:t>
      </w:r>
      <w:r>
        <w:rPr>
          <w:rFonts w:hint="eastAsia" w:ascii="宋体" w:hAnsi="宋体" w:cs="宋体"/>
          <w:sz w:val="24"/>
        </w:rPr>
        <w:t>；</w:t>
      </w:r>
    </w:p>
    <w:p w14:paraId="65462088">
      <w:pPr>
        <w:ind w:left="420" w:leftChars="200" w:firstLine="240" w:firstLineChars="100"/>
        <w:rPr>
          <w:rFonts w:ascii="宋体" w:hAnsi="宋体" w:cs="宋体"/>
          <w:sz w:val="24"/>
        </w:rPr>
      </w:pPr>
      <w:r>
        <w:rPr>
          <w:rFonts w:hint="eastAsia" w:ascii="宋体" w:hAnsi="宋体" w:cs="宋体"/>
          <w:sz w:val="24"/>
        </w:rPr>
        <w:t>法定代表人（负责人）或其授权委托代理人：</w:t>
      </w:r>
      <w:r>
        <w:rPr>
          <w:rFonts w:hint="eastAsia" w:ascii="宋体" w:hAnsi="宋体" w:cs="宋体"/>
          <w:sz w:val="24"/>
          <w:u w:val="thick"/>
        </w:rPr>
        <w:t xml:space="preserve">                      </w:t>
      </w:r>
      <w:r>
        <w:rPr>
          <w:rFonts w:hint="eastAsia" w:ascii="宋体" w:hAnsi="宋体" w:cs="宋体"/>
          <w:sz w:val="24"/>
        </w:rPr>
        <w:t>；</w:t>
      </w:r>
    </w:p>
    <w:p w14:paraId="2B9F44B2">
      <w:pPr>
        <w:ind w:left="420" w:leftChars="200" w:firstLine="240" w:firstLineChars="100"/>
        <w:rPr>
          <w:rFonts w:ascii="宋体" w:hAnsi="宋体" w:cs="宋体"/>
          <w:sz w:val="24"/>
          <w:u w:val="thick"/>
        </w:rPr>
      </w:pPr>
      <w:r>
        <w:rPr>
          <w:rFonts w:hint="eastAsia" w:ascii="宋体" w:hAnsi="宋体" w:cs="宋体"/>
          <w:sz w:val="24"/>
        </w:rPr>
        <w:t>联系电话：</w:t>
      </w:r>
      <w:r>
        <w:rPr>
          <w:rFonts w:hint="eastAsia" w:ascii="宋体" w:hAnsi="宋体" w:cs="宋体"/>
          <w:sz w:val="24"/>
          <w:u w:val="thick"/>
        </w:rPr>
        <w:t xml:space="preserve">                     </w:t>
      </w:r>
      <w:r>
        <w:rPr>
          <w:rFonts w:hint="eastAsia" w:ascii="宋体" w:hAnsi="宋体" w:cs="宋体"/>
          <w:sz w:val="24"/>
        </w:rPr>
        <w:t>；</w:t>
      </w:r>
    </w:p>
    <w:p w14:paraId="1976952C">
      <w:pPr>
        <w:ind w:left="420" w:leftChars="200" w:firstLine="240" w:firstLineChars="100"/>
        <w:rPr>
          <w:rFonts w:ascii="宋体" w:hAnsi="宋体" w:cs="宋体"/>
          <w:sz w:val="24"/>
        </w:rPr>
      </w:pPr>
      <w:r>
        <w:rPr>
          <w:rFonts w:hint="eastAsia" w:ascii="宋体" w:hAnsi="宋体" w:cs="宋体"/>
          <w:sz w:val="24"/>
        </w:rPr>
        <w:t>开户银行名称：</w:t>
      </w:r>
      <w:r>
        <w:rPr>
          <w:rFonts w:hint="eastAsia" w:ascii="宋体" w:hAnsi="宋体" w:cs="宋体"/>
          <w:sz w:val="24"/>
          <w:u w:val="thick"/>
        </w:rPr>
        <w:t xml:space="preserve">                                                 </w:t>
      </w:r>
      <w:r>
        <w:rPr>
          <w:rFonts w:hint="eastAsia" w:ascii="宋体" w:hAnsi="宋体" w:cs="宋体"/>
          <w:sz w:val="24"/>
        </w:rPr>
        <w:t>；</w:t>
      </w:r>
    </w:p>
    <w:p w14:paraId="16A18FA6">
      <w:pPr>
        <w:ind w:left="420" w:leftChars="200" w:firstLine="240" w:firstLineChars="100"/>
        <w:rPr>
          <w:rFonts w:ascii="宋体" w:hAnsi="宋体" w:cs="宋体"/>
          <w:sz w:val="24"/>
          <w:u w:val="thick"/>
        </w:rPr>
      </w:pPr>
      <w:r>
        <w:rPr>
          <w:rFonts w:hint="eastAsia" w:ascii="宋体" w:hAnsi="宋体" w:cs="宋体"/>
          <w:sz w:val="24"/>
        </w:rPr>
        <w:t>开户银行账号：</w:t>
      </w:r>
      <w:r>
        <w:rPr>
          <w:rFonts w:hint="eastAsia" w:ascii="宋体" w:hAnsi="宋体" w:cs="宋体"/>
          <w:sz w:val="24"/>
          <w:u w:val="thick"/>
        </w:rPr>
        <w:t xml:space="preserve">                                                  </w:t>
      </w:r>
      <w:r>
        <w:rPr>
          <w:rFonts w:hint="eastAsia" w:ascii="宋体" w:hAnsi="宋体" w:cs="宋体"/>
          <w:sz w:val="24"/>
        </w:rPr>
        <w:t>；</w:t>
      </w:r>
    </w:p>
    <w:p w14:paraId="4AE09AC4">
      <w:pPr>
        <w:ind w:left="420" w:leftChars="200" w:firstLine="240" w:firstLineChars="100"/>
        <w:rPr>
          <w:rFonts w:ascii="宋体" w:hAnsi="宋体" w:cs="宋体"/>
          <w:sz w:val="24"/>
        </w:rPr>
      </w:pPr>
      <w:r>
        <w:rPr>
          <w:rFonts w:hint="eastAsia" w:ascii="宋体" w:hAnsi="宋体" w:cs="宋体"/>
          <w:sz w:val="24"/>
        </w:rPr>
        <w:t>开户银行地址：</w:t>
      </w:r>
      <w:r>
        <w:rPr>
          <w:rFonts w:hint="eastAsia" w:ascii="宋体" w:hAnsi="宋体" w:cs="宋体"/>
          <w:sz w:val="24"/>
          <w:u w:val="thick"/>
        </w:rPr>
        <w:t xml:space="preserve">                                                  </w:t>
      </w:r>
      <w:r>
        <w:rPr>
          <w:rFonts w:hint="eastAsia" w:ascii="宋体" w:hAnsi="宋体" w:cs="宋体"/>
          <w:sz w:val="24"/>
        </w:rPr>
        <w:t>。</w:t>
      </w:r>
    </w:p>
    <w:p w14:paraId="5FCF22D0">
      <w:pPr>
        <w:ind w:left="420" w:leftChars="200" w:firstLine="240" w:firstLineChars="100"/>
        <w:rPr>
          <w:rFonts w:ascii="宋体" w:hAnsi="宋体" w:cs="宋体"/>
          <w:sz w:val="24"/>
        </w:rPr>
      </w:pPr>
      <w:r>
        <w:rPr>
          <w:rFonts w:hint="eastAsia" w:ascii="宋体" w:hAnsi="宋体" w:cs="宋体"/>
          <w:sz w:val="24"/>
        </w:rPr>
        <w:t xml:space="preserve"> </w:t>
      </w:r>
      <w:r>
        <w:rPr>
          <w:rFonts w:hint="eastAsia" w:ascii="宋体" w:hAnsi="宋体" w:cs="宋体"/>
          <w:b/>
          <w:bCs/>
          <w:color w:val="FF0000"/>
          <w:spacing w:val="-4"/>
          <w:kern w:val="0"/>
          <w:sz w:val="24"/>
        </w:rPr>
        <w:t>注：本项填写内容作为订单融资开展的参考信息，不作为供应商资格性审查及符合性审查条件。</w:t>
      </w:r>
    </w:p>
    <w:p w14:paraId="2CC2EB14">
      <w:pPr>
        <w:pStyle w:val="36"/>
        <w:rPr>
          <w:rFonts w:ascii="宋体" w:hAnsi="宋体"/>
        </w:rPr>
      </w:pPr>
    </w:p>
    <w:p w14:paraId="47D6B1DE">
      <w:pPr>
        <w:rPr>
          <w:sz w:val="24"/>
        </w:rPr>
      </w:pPr>
    </w:p>
    <w:p w14:paraId="6A98E643">
      <w:pPr>
        <w:widowControl/>
        <w:jc w:val="center"/>
        <w:rPr>
          <w:rFonts w:ascii="黑体" w:hAnsi="宋体" w:eastAsia="黑体"/>
          <w:kern w:val="0"/>
          <w:sz w:val="24"/>
          <w:szCs w:val="20"/>
        </w:rPr>
      </w:pPr>
      <w:r>
        <w:rPr>
          <w:rFonts w:hint="eastAsia" w:ascii="黑体" w:eastAsia="黑体"/>
          <w:sz w:val="24"/>
          <w:szCs w:val="20"/>
        </w:rPr>
        <w:t>十五、招标文件要求的其他内容及投标人认为需要加以说明的其他内容（不公开部分）</w:t>
      </w:r>
    </w:p>
    <w:p w14:paraId="7BF37C72">
      <w:pPr>
        <w:jc w:val="center"/>
        <w:rPr>
          <w:rFonts w:ascii="黑体" w:hAnsi="宋体" w:eastAsia="黑体"/>
          <w:bCs/>
          <w:kern w:val="0"/>
          <w:sz w:val="24"/>
        </w:rPr>
      </w:pPr>
    </w:p>
    <w:p w14:paraId="51DF9218"/>
    <w:p w14:paraId="71C4BBB9">
      <w:pPr>
        <w:pStyle w:val="36"/>
      </w:pPr>
    </w:p>
    <w:p w14:paraId="6C5A9E82">
      <w:pPr>
        <w:pStyle w:val="6"/>
      </w:pPr>
      <w:r>
        <w:rPr>
          <w:rFonts w:hint="eastAsia"/>
        </w:rPr>
        <w:t>第五章  合同条款及格式</w:t>
      </w:r>
    </w:p>
    <w:p w14:paraId="4566C37C">
      <w:pPr>
        <w:ind w:firstLine="411" w:firstLineChars="196"/>
      </w:pPr>
    </w:p>
    <w:p w14:paraId="7999021E">
      <w:pPr>
        <w:jc w:val="center"/>
        <w:outlineLvl w:val="0"/>
        <w:rPr>
          <w:b/>
          <w:sz w:val="24"/>
        </w:rPr>
      </w:pPr>
      <w:r>
        <w:rPr>
          <w:rFonts w:hint="eastAsia"/>
          <w:b/>
          <w:sz w:val="24"/>
        </w:rPr>
        <w:t>（仅供参考，具体以项目需求及采购结果为准）</w:t>
      </w:r>
    </w:p>
    <w:p w14:paraId="55A591C8">
      <w:pPr>
        <w:tabs>
          <w:tab w:val="left" w:pos="720"/>
        </w:tabs>
        <w:spacing w:line="360" w:lineRule="auto"/>
        <w:rPr>
          <w:rFonts w:asciiTheme="minorEastAsia" w:hAnsiTheme="minorEastAsia"/>
          <w:b/>
          <w:sz w:val="32"/>
          <w:szCs w:val="32"/>
        </w:rPr>
      </w:pPr>
      <w:r>
        <w:rPr>
          <w:rFonts w:hint="eastAsia" w:asciiTheme="minorEastAsia" w:hAnsiTheme="minorEastAsia"/>
          <w:b/>
          <w:sz w:val="32"/>
          <w:szCs w:val="32"/>
        </w:rPr>
        <w:t>合同编号：</w:t>
      </w:r>
    </w:p>
    <w:p w14:paraId="4326056B">
      <w:pPr>
        <w:tabs>
          <w:tab w:val="left" w:pos="720"/>
        </w:tabs>
        <w:spacing w:line="360" w:lineRule="auto"/>
        <w:jc w:val="center"/>
        <w:rPr>
          <w:rFonts w:asciiTheme="minorEastAsia" w:hAnsiTheme="minorEastAsia"/>
          <w:b/>
          <w:sz w:val="72"/>
        </w:rPr>
      </w:pPr>
    </w:p>
    <w:p w14:paraId="54E7FA23">
      <w:pPr>
        <w:tabs>
          <w:tab w:val="left" w:pos="720"/>
        </w:tabs>
        <w:spacing w:line="360" w:lineRule="auto"/>
        <w:jc w:val="center"/>
        <w:rPr>
          <w:rFonts w:asciiTheme="minorEastAsia" w:hAnsiTheme="minorEastAsia"/>
          <w:b/>
          <w:sz w:val="72"/>
          <w:szCs w:val="20"/>
        </w:rPr>
      </w:pPr>
      <w:r>
        <w:rPr>
          <w:rFonts w:hint="eastAsia" w:asciiTheme="minorEastAsia" w:hAnsiTheme="minorEastAsia"/>
          <w:b/>
          <w:sz w:val="72"/>
        </w:rPr>
        <w:t>XX医院</w:t>
      </w:r>
    </w:p>
    <w:p w14:paraId="4F3FDD00">
      <w:pPr>
        <w:jc w:val="center"/>
        <w:rPr>
          <w:rFonts w:asciiTheme="minorEastAsia" w:hAnsiTheme="minorEastAsia"/>
          <w:b/>
          <w:sz w:val="52"/>
          <w:szCs w:val="20"/>
        </w:rPr>
      </w:pPr>
    </w:p>
    <w:p w14:paraId="0C83A9DC">
      <w:pPr>
        <w:tabs>
          <w:tab w:val="left" w:pos="720"/>
        </w:tabs>
        <w:spacing w:line="360" w:lineRule="auto"/>
        <w:jc w:val="center"/>
        <w:rPr>
          <w:rFonts w:asciiTheme="minorEastAsia" w:hAnsiTheme="minorEastAsia"/>
          <w:b/>
          <w:sz w:val="72"/>
          <w:szCs w:val="20"/>
        </w:rPr>
      </w:pPr>
      <w:r>
        <w:rPr>
          <w:rFonts w:hint="eastAsia" w:asciiTheme="minorEastAsia" w:hAnsiTheme="minorEastAsia"/>
          <w:b/>
          <w:sz w:val="72"/>
          <w:szCs w:val="20"/>
        </w:rPr>
        <w:t>合同书</w:t>
      </w:r>
    </w:p>
    <w:p w14:paraId="4A831049">
      <w:pPr>
        <w:jc w:val="center"/>
        <w:rPr>
          <w:rFonts w:asciiTheme="minorEastAsia" w:hAnsiTheme="minorEastAsia" w:eastAsiaTheme="minorEastAsia"/>
          <w:b/>
          <w:sz w:val="52"/>
          <w:szCs w:val="20"/>
        </w:rPr>
      </w:pPr>
      <w:r>
        <w:rPr>
          <w:rFonts w:hint="eastAsia" w:asciiTheme="minorEastAsia" w:hAnsiTheme="minorEastAsia"/>
          <w:b/>
          <w:sz w:val="52"/>
          <w:szCs w:val="20"/>
        </w:rPr>
        <w:t>（首签）</w:t>
      </w:r>
    </w:p>
    <w:p w14:paraId="0FBCE85A">
      <w:pPr>
        <w:tabs>
          <w:tab w:val="left" w:pos="720"/>
        </w:tabs>
        <w:spacing w:line="360" w:lineRule="auto"/>
        <w:ind w:firstLine="964" w:firstLineChars="300"/>
        <w:rPr>
          <w:rFonts w:asciiTheme="minorEastAsia" w:hAnsiTheme="minorEastAsia"/>
          <w:b/>
          <w:sz w:val="32"/>
          <w:szCs w:val="20"/>
        </w:rPr>
      </w:pPr>
    </w:p>
    <w:p w14:paraId="3DE37F64">
      <w:pPr>
        <w:tabs>
          <w:tab w:val="left" w:pos="720"/>
        </w:tabs>
        <w:spacing w:line="360" w:lineRule="auto"/>
        <w:ind w:firstLine="964" w:firstLineChars="300"/>
        <w:rPr>
          <w:rFonts w:asciiTheme="minorEastAsia" w:hAnsiTheme="minorEastAsia"/>
          <w:b/>
          <w:sz w:val="32"/>
          <w:szCs w:val="20"/>
        </w:rPr>
      </w:pPr>
    </w:p>
    <w:p w14:paraId="166B7113">
      <w:pPr>
        <w:tabs>
          <w:tab w:val="left" w:pos="720"/>
        </w:tabs>
        <w:spacing w:line="360" w:lineRule="auto"/>
        <w:ind w:left="2879" w:leftChars="300" w:hanging="2249" w:hangingChars="700"/>
        <w:rPr>
          <w:rFonts w:asciiTheme="minorEastAsia" w:hAnsiTheme="minorEastAsia"/>
          <w:b/>
          <w:sz w:val="32"/>
          <w:szCs w:val="20"/>
        </w:rPr>
      </w:pPr>
      <w:r>
        <w:rPr>
          <w:rFonts w:hint="eastAsia" w:asciiTheme="minorEastAsia" w:hAnsiTheme="minorEastAsia"/>
          <w:b/>
          <w:sz w:val="32"/>
          <w:szCs w:val="20"/>
        </w:rPr>
        <w:t>项目编号：</w:t>
      </w:r>
      <w:r>
        <w:rPr>
          <w:rFonts w:hint="eastAsia" w:asciiTheme="minorEastAsia" w:hAnsiTheme="minorEastAsia"/>
          <w:b/>
          <w:color w:val="FF0000"/>
          <w:sz w:val="32"/>
          <w:szCs w:val="20"/>
          <w:u w:val="single"/>
        </w:rPr>
        <w:t xml:space="preserve">                                  </w:t>
      </w:r>
    </w:p>
    <w:p w14:paraId="372B782A">
      <w:pPr>
        <w:tabs>
          <w:tab w:val="left" w:pos="720"/>
        </w:tabs>
        <w:spacing w:line="360" w:lineRule="auto"/>
        <w:ind w:left="2879" w:leftChars="300" w:hanging="2249" w:hangingChars="700"/>
        <w:rPr>
          <w:rFonts w:asciiTheme="minorEastAsia" w:hAnsiTheme="minorEastAsia"/>
          <w:b/>
          <w:sz w:val="32"/>
          <w:szCs w:val="20"/>
          <w:u w:val="single"/>
        </w:rPr>
      </w:pPr>
      <w:r>
        <w:rPr>
          <w:rFonts w:hint="eastAsia" w:asciiTheme="minorEastAsia" w:hAnsiTheme="minorEastAsia"/>
          <w:b/>
          <w:sz w:val="32"/>
          <w:szCs w:val="20"/>
        </w:rPr>
        <w:t>项目名称：</w:t>
      </w:r>
      <w:r>
        <w:rPr>
          <w:rFonts w:hint="eastAsia" w:asciiTheme="minorEastAsia" w:hAnsiTheme="minorEastAsia"/>
          <w:b/>
          <w:color w:val="FF0000"/>
          <w:sz w:val="32"/>
          <w:szCs w:val="20"/>
          <w:u w:val="single"/>
        </w:rPr>
        <w:t xml:space="preserve">                                  </w:t>
      </w:r>
    </w:p>
    <w:p w14:paraId="1EA62BA1">
      <w:pPr>
        <w:tabs>
          <w:tab w:val="left" w:pos="720"/>
        </w:tabs>
        <w:spacing w:line="360" w:lineRule="auto"/>
        <w:ind w:firstLine="964" w:firstLineChars="300"/>
        <w:rPr>
          <w:rFonts w:asciiTheme="minorEastAsia" w:hAnsiTheme="minorEastAsia"/>
          <w:b/>
          <w:sz w:val="32"/>
          <w:szCs w:val="20"/>
        </w:rPr>
      </w:pPr>
    </w:p>
    <w:p w14:paraId="0391F220">
      <w:pPr>
        <w:tabs>
          <w:tab w:val="left" w:pos="720"/>
        </w:tabs>
        <w:spacing w:line="360" w:lineRule="auto"/>
        <w:ind w:firstLine="960" w:firstLineChars="300"/>
        <w:rPr>
          <w:rFonts w:asciiTheme="minorEastAsia" w:hAnsiTheme="minorEastAsia"/>
          <w:sz w:val="32"/>
          <w:szCs w:val="20"/>
        </w:rPr>
      </w:pPr>
    </w:p>
    <w:tbl>
      <w:tblPr>
        <w:tblStyle w:val="44"/>
        <w:tblW w:w="6469" w:type="dxa"/>
        <w:jc w:val="center"/>
        <w:tblLayout w:type="fixed"/>
        <w:tblCellMar>
          <w:top w:w="0" w:type="dxa"/>
          <w:left w:w="108" w:type="dxa"/>
          <w:bottom w:w="0" w:type="dxa"/>
          <w:right w:w="108" w:type="dxa"/>
        </w:tblCellMar>
      </w:tblPr>
      <w:tblGrid>
        <w:gridCol w:w="2221"/>
        <w:gridCol w:w="4248"/>
      </w:tblGrid>
      <w:tr w14:paraId="6F55D291">
        <w:trPr>
          <w:trHeight w:val="510" w:hRule="atLeast"/>
          <w:jc w:val="center"/>
        </w:trPr>
        <w:tc>
          <w:tcPr>
            <w:tcW w:w="2221" w:type="dxa"/>
            <w:vAlign w:val="center"/>
          </w:tcPr>
          <w:p w14:paraId="3D229FE5">
            <w:pPr>
              <w:jc w:val="center"/>
              <w:rPr>
                <w:rFonts w:asciiTheme="minorEastAsia" w:hAnsiTheme="minorEastAsia"/>
                <w:b/>
                <w:sz w:val="28"/>
                <w:szCs w:val="28"/>
              </w:rPr>
            </w:pPr>
            <w:r>
              <w:rPr>
                <w:rFonts w:hint="eastAsia" w:asciiTheme="minorEastAsia" w:hAnsiTheme="minorEastAsia"/>
                <w:b/>
                <w:sz w:val="28"/>
                <w:szCs w:val="28"/>
              </w:rPr>
              <w:t>甲    方：</w:t>
            </w:r>
          </w:p>
        </w:tc>
        <w:tc>
          <w:tcPr>
            <w:tcW w:w="4248" w:type="dxa"/>
            <w:vAlign w:val="center"/>
          </w:tcPr>
          <w:p w14:paraId="35D7F8BC">
            <w:pPr>
              <w:rPr>
                <w:rFonts w:asciiTheme="minorEastAsia" w:hAnsiTheme="minorEastAsia"/>
                <w:b/>
                <w:sz w:val="28"/>
                <w:szCs w:val="28"/>
              </w:rPr>
            </w:pPr>
            <w:r>
              <w:rPr>
                <w:rFonts w:hint="eastAsia" w:asciiTheme="minorEastAsia" w:hAnsiTheme="minorEastAsia"/>
                <w:b/>
                <w:sz w:val="28"/>
                <w:szCs w:val="28"/>
              </w:rPr>
              <w:t>XX医院</w:t>
            </w:r>
          </w:p>
        </w:tc>
      </w:tr>
      <w:tr w14:paraId="666D55B4">
        <w:tblPrEx>
          <w:tblCellMar>
            <w:top w:w="0" w:type="dxa"/>
            <w:left w:w="108" w:type="dxa"/>
            <w:bottom w:w="0" w:type="dxa"/>
            <w:right w:w="108" w:type="dxa"/>
          </w:tblCellMar>
        </w:tblPrEx>
        <w:trPr>
          <w:trHeight w:val="510" w:hRule="atLeast"/>
          <w:jc w:val="center"/>
        </w:trPr>
        <w:tc>
          <w:tcPr>
            <w:tcW w:w="2221" w:type="dxa"/>
            <w:vAlign w:val="center"/>
          </w:tcPr>
          <w:p w14:paraId="49962322">
            <w:pPr>
              <w:jc w:val="center"/>
              <w:rPr>
                <w:rFonts w:asciiTheme="minorEastAsia" w:hAnsiTheme="minorEastAsia"/>
                <w:b/>
                <w:sz w:val="28"/>
                <w:szCs w:val="28"/>
              </w:rPr>
            </w:pPr>
            <w:r>
              <w:rPr>
                <w:rFonts w:hint="eastAsia" w:asciiTheme="minorEastAsia" w:hAnsiTheme="minorEastAsia"/>
                <w:b/>
                <w:sz w:val="28"/>
                <w:szCs w:val="28"/>
              </w:rPr>
              <w:t>乙    方：</w:t>
            </w:r>
          </w:p>
        </w:tc>
        <w:tc>
          <w:tcPr>
            <w:tcW w:w="4248" w:type="dxa"/>
            <w:vAlign w:val="center"/>
          </w:tcPr>
          <w:p w14:paraId="209FCADA">
            <w:pPr>
              <w:rPr>
                <w:rFonts w:asciiTheme="minorEastAsia" w:hAnsiTheme="minorEastAsia"/>
                <w:b/>
                <w:sz w:val="28"/>
                <w:szCs w:val="28"/>
              </w:rPr>
            </w:pPr>
            <w:r>
              <w:rPr>
                <w:rFonts w:hint="eastAsia" w:asciiTheme="minorEastAsia" w:hAnsiTheme="minorEastAsia"/>
                <w:b/>
                <w:color w:val="FF0000"/>
                <w:sz w:val="28"/>
                <w:szCs w:val="28"/>
              </w:rPr>
              <w:t>XXX公司</w:t>
            </w:r>
          </w:p>
        </w:tc>
      </w:tr>
      <w:tr w14:paraId="5C90B0A4">
        <w:tblPrEx>
          <w:tblCellMar>
            <w:top w:w="0" w:type="dxa"/>
            <w:left w:w="108" w:type="dxa"/>
            <w:bottom w:w="0" w:type="dxa"/>
            <w:right w:w="108" w:type="dxa"/>
          </w:tblCellMar>
        </w:tblPrEx>
        <w:trPr>
          <w:trHeight w:val="510" w:hRule="atLeast"/>
          <w:jc w:val="center"/>
        </w:trPr>
        <w:tc>
          <w:tcPr>
            <w:tcW w:w="2221" w:type="dxa"/>
            <w:vAlign w:val="center"/>
          </w:tcPr>
          <w:p w14:paraId="304F07E7">
            <w:pPr>
              <w:jc w:val="center"/>
              <w:rPr>
                <w:rFonts w:asciiTheme="minorEastAsia" w:hAnsiTheme="minorEastAsia"/>
                <w:b/>
                <w:sz w:val="28"/>
                <w:szCs w:val="28"/>
              </w:rPr>
            </w:pPr>
          </w:p>
        </w:tc>
        <w:tc>
          <w:tcPr>
            <w:tcW w:w="4248" w:type="dxa"/>
            <w:vAlign w:val="center"/>
          </w:tcPr>
          <w:p w14:paraId="5E098858">
            <w:pPr>
              <w:rPr>
                <w:rFonts w:asciiTheme="minorEastAsia" w:hAnsiTheme="minorEastAsia"/>
                <w:b/>
                <w:color w:val="FF0000"/>
                <w:sz w:val="28"/>
                <w:szCs w:val="28"/>
              </w:rPr>
            </w:pPr>
          </w:p>
        </w:tc>
      </w:tr>
    </w:tbl>
    <w:p w14:paraId="10D22D5D">
      <w:pPr>
        <w:tabs>
          <w:tab w:val="left" w:pos="720"/>
        </w:tabs>
        <w:spacing w:line="360" w:lineRule="auto"/>
        <w:ind w:firstLine="960" w:firstLineChars="300"/>
        <w:rPr>
          <w:rFonts w:ascii="仿宋_GB2312" w:eastAsia="仿宋_GB2312" w:hAnsiTheme="minorEastAsia"/>
          <w:sz w:val="32"/>
          <w:szCs w:val="20"/>
        </w:rPr>
      </w:pPr>
    </w:p>
    <w:p w14:paraId="34EEF4B2">
      <w:pPr>
        <w:pageBreakBefore/>
        <w:spacing w:line="360" w:lineRule="auto"/>
        <w:jc w:val="center"/>
        <w:rPr>
          <w:rFonts w:ascii="仿宋_GB2312" w:eastAsia="仿宋_GB2312" w:hAnsiTheme="minorEastAsia"/>
          <w:b/>
          <w:kern w:val="0"/>
          <w:sz w:val="44"/>
          <w:szCs w:val="44"/>
        </w:rPr>
      </w:pPr>
      <w:r>
        <w:rPr>
          <w:rFonts w:hint="eastAsia" w:ascii="仿宋_GB2312" w:eastAsia="仿宋_GB2312" w:hAnsiTheme="minorEastAsia"/>
          <w:b/>
          <w:kern w:val="0"/>
          <w:sz w:val="44"/>
          <w:szCs w:val="44"/>
        </w:rPr>
        <w:t>项目合同书</w:t>
      </w:r>
    </w:p>
    <w:p w14:paraId="031E663C">
      <w:pPr>
        <w:rPr>
          <w:rFonts w:ascii="仿宋_GB2312" w:eastAsia="仿宋_GB2312" w:hAnsiTheme="minorEastAsia"/>
          <w:b/>
          <w:szCs w:val="20"/>
        </w:rPr>
      </w:pPr>
    </w:p>
    <w:tbl>
      <w:tblPr>
        <w:tblStyle w:val="44"/>
        <w:tblW w:w="8306" w:type="dxa"/>
        <w:tblInd w:w="0" w:type="dxa"/>
        <w:tblLayout w:type="fixed"/>
        <w:tblCellMar>
          <w:top w:w="0" w:type="dxa"/>
          <w:left w:w="108" w:type="dxa"/>
          <w:bottom w:w="0" w:type="dxa"/>
          <w:right w:w="108" w:type="dxa"/>
        </w:tblCellMar>
      </w:tblPr>
      <w:tblGrid>
        <w:gridCol w:w="1224"/>
        <w:gridCol w:w="7082"/>
      </w:tblGrid>
      <w:tr w14:paraId="6A1390A0">
        <w:tblPrEx>
          <w:tblCellMar>
            <w:top w:w="0" w:type="dxa"/>
            <w:left w:w="108" w:type="dxa"/>
            <w:bottom w:w="0" w:type="dxa"/>
            <w:right w:w="108" w:type="dxa"/>
          </w:tblCellMar>
        </w:tblPrEx>
        <w:trPr>
          <w:trHeight w:val="454" w:hRule="atLeast"/>
        </w:trPr>
        <w:tc>
          <w:tcPr>
            <w:tcW w:w="1224" w:type="dxa"/>
            <w:vAlign w:val="center"/>
          </w:tcPr>
          <w:p w14:paraId="3173363B">
            <w:pPr>
              <w:rPr>
                <w:rFonts w:ascii="仿宋_GB2312" w:eastAsia="仿宋_GB2312" w:hAnsiTheme="minorEastAsia"/>
                <w:b/>
                <w:sz w:val="28"/>
                <w:szCs w:val="28"/>
              </w:rPr>
            </w:pPr>
            <w:r>
              <w:rPr>
                <w:rFonts w:hint="eastAsia" w:ascii="仿宋_GB2312" w:eastAsia="仿宋_GB2312" w:hAnsiTheme="minorEastAsia"/>
                <w:b/>
                <w:sz w:val="28"/>
                <w:szCs w:val="28"/>
              </w:rPr>
              <w:t>甲  方：</w:t>
            </w:r>
          </w:p>
        </w:tc>
        <w:tc>
          <w:tcPr>
            <w:tcW w:w="7082" w:type="dxa"/>
            <w:vAlign w:val="center"/>
          </w:tcPr>
          <w:p w14:paraId="3A6137C2">
            <w:pPr>
              <w:rPr>
                <w:rFonts w:ascii="仿宋_GB2312" w:eastAsia="仿宋_GB2312" w:hAnsiTheme="minorEastAsia"/>
                <w:b/>
                <w:sz w:val="28"/>
                <w:szCs w:val="28"/>
              </w:rPr>
            </w:pPr>
            <w:r>
              <w:rPr>
                <w:rFonts w:hint="eastAsia" w:ascii="仿宋_GB2312" w:eastAsia="仿宋_GB2312" w:hAnsiTheme="minorEastAsia"/>
                <w:b/>
                <w:sz w:val="28"/>
                <w:szCs w:val="28"/>
              </w:rPr>
              <w:t>XX医院</w:t>
            </w:r>
          </w:p>
        </w:tc>
      </w:tr>
      <w:tr w14:paraId="3C8E1303">
        <w:tblPrEx>
          <w:tblCellMar>
            <w:top w:w="0" w:type="dxa"/>
            <w:left w:w="108" w:type="dxa"/>
            <w:bottom w:w="0" w:type="dxa"/>
            <w:right w:w="108" w:type="dxa"/>
          </w:tblCellMar>
        </w:tblPrEx>
        <w:trPr>
          <w:trHeight w:val="454" w:hRule="atLeast"/>
        </w:trPr>
        <w:tc>
          <w:tcPr>
            <w:tcW w:w="1224" w:type="dxa"/>
            <w:vAlign w:val="center"/>
          </w:tcPr>
          <w:p w14:paraId="6510A756">
            <w:pPr>
              <w:rPr>
                <w:rFonts w:ascii="仿宋_GB2312" w:eastAsia="仿宋_GB2312" w:hAnsiTheme="minorEastAsia"/>
                <w:b/>
                <w:color w:val="FF0000"/>
                <w:sz w:val="28"/>
                <w:szCs w:val="28"/>
              </w:rPr>
            </w:pPr>
            <w:r>
              <w:rPr>
                <w:rFonts w:hint="eastAsia" w:ascii="仿宋_GB2312" w:eastAsia="仿宋_GB2312" w:hAnsiTheme="minorEastAsia"/>
                <w:b/>
                <w:color w:val="FF0000"/>
                <w:sz w:val="28"/>
                <w:szCs w:val="28"/>
              </w:rPr>
              <w:t>乙  方：</w:t>
            </w:r>
          </w:p>
        </w:tc>
        <w:tc>
          <w:tcPr>
            <w:tcW w:w="7082" w:type="dxa"/>
            <w:vAlign w:val="center"/>
          </w:tcPr>
          <w:p w14:paraId="2F6F6CDE">
            <w:pPr>
              <w:rPr>
                <w:rFonts w:ascii="仿宋_GB2312" w:eastAsia="仿宋_GB2312" w:hAnsiTheme="minorEastAsia"/>
                <w:b/>
                <w:color w:val="FF0000"/>
                <w:sz w:val="28"/>
                <w:szCs w:val="28"/>
              </w:rPr>
            </w:pPr>
          </w:p>
        </w:tc>
      </w:tr>
    </w:tbl>
    <w:p w14:paraId="6850CA8E">
      <w:pPr>
        <w:spacing w:line="360" w:lineRule="auto"/>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根据</w:t>
      </w:r>
      <w:r>
        <w:rPr>
          <w:rFonts w:hint="eastAsia" w:ascii="仿宋_GB2312" w:eastAsia="仿宋_GB2312" w:hAnsiTheme="minorEastAsia"/>
          <w:color w:val="FF0000"/>
          <w:sz w:val="28"/>
          <w:szCs w:val="28"/>
        </w:rPr>
        <w:t>XXX项目</w:t>
      </w:r>
      <w:r>
        <w:rPr>
          <w:rFonts w:hint="eastAsia" w:ascii="仿宋_GB2312" w:eastAsia="仿宋_GB2312" w:hAnsiTheme="minorEastAsia"/>
          <w:sz w:val="28"/>
          <w:szCs w:val="28"/>
        </w:rPr>
        <w:t>（招标编号：</w:t>
      </w:r>
      <w:r>
        <w:rPr>
          <w:rFonts w:hint="eastAsia" w:ascii="仿宋_GB2312" w:eastAsia="仿宋_GB2312" w:hAnsiTheme="minorEastAsia"/>
          <w:color w:val="FF0000"/>
          <w:sz w:val="28"/>
          <w:szCs w:val="28"/>
        </w:rPr>
        <w:t>XXX</w:t>
      </w:r>
      <w:r>
        <w:rPr>
          <w:rFonts w:hint="eastAsia" w:ascii="仿宋_GB2312" w:eastAsia="仿宋_GB2312" w:hAnsiTheme="minorEastAsia"/>
          <w:color w:val="FF0000"/>
          <w:sz w:val="28"/>
          <w:szCs w:val="28"/>
        </w:rPr>
        <w:tab/>
      </w:r>
      <w:r>
        <w:rPr>
          <w:rFonts w:hint="eastAsia" w:ascii="仿宋_GB2312" w:eastAsia="仿宋_GB2312" w:hAnsiTheme="minorEastAsia"/>
          <w:sz w:val="28"/>
          <w:szCs w:val="28"/>
        </w:rPr>
        <w:t>）的招标结果，确定</w:t>
      </w:r>
      <w:r>
        <w:rPr>
          <w:rFonts w:hint="eastAsia" w:ascii="仿宋_GB2312" w:eastAsia="仿宋_GB2312" w:hAnsiTheme="minorEastAsia"/>
          <w:color w:val="FF0000"/>
          <w:sz w:val="28"/>
          <w:szCs w:val="28"/>
        </w:rPr>
        <w:t>XXX</w:t>
      </w:r>
      <w:r>
        <w:rPr>
          <w:rFonts w:hint="eastAsia" w:ascii="仿宋_GB2312" w:eastAsia="仿宋_GB2312" w:hAnsiTheme="minorEastAsia"/>
          <w:sz w:val="28"/>
          <w:szCs w:val="28"/>
        </w:rPr>
        <w:t>为中标方。根据《中华人民共和国政府采购法》、《中华人民共和国民法典》、《深圳经济特区政府采购条例》等法律法规，经</w:t>
      </w:r>
      <w:r>
        <w:rPr>
          <w:rFonts w:hint="eastAsia" w:ascii="仿宋_GB2312" w:eastAsia="仿宋_GB2312" w:hAnsiTheme="minorEastAsia"/>
          <w:color w:val="FF0000"/>
          <w:sz w:val="28"/>
          <w:szCs w:val="28"/>
        </w:rPr>
        <w:t>XXX</w:t>
      </w:r>
      <w:r>
        <w:rPr>
          <w:rFonts w:hint="eastAsia" w:ascii="仿宋_GB2312" w:eastAsia="仿宋_GB2312" w:hAnsiTheme="minorEastAsia"/>
          <w:sz w:val="28"/>
          <w:szCs w:val="28"/>
        </w:rPr>
        <w:t>医院（以下简称甲方）和</w:t>
      </w:r>
      <w:r>
        <w:rPr>
          <w:rFonts w:hint="eastAsia" w:ascii="仿宋_GB2312" w:eastAsia="仿宋_GB2312" w:hAnsiTheme="minorEastAsia"/>
          <w:color w:val="FF0000"/>
          <w:sz w:val="28"/>
          <w:szCs w:val="28"/>
        </w:rPr>
        <w:t>XXX</w:t>
      </w:r>
      <w:r>
        <w:rPr>
          <w:rFonts w:hint="eastAsia" w:ascii="仿宋_GB2312" w:eastAsia="仿宋_GB2312" w:hAnsiTheme="minorEastAsia"/>
          <w:sz w:val="28"/>
          <w:szCs w:val="28"/>
        </w:rPr>
        <w:t>公司（以下简称乙方）协商，就甲方委托乙方承担</w:t>
      </w:r>
      <w:r>
        <w:rPr>
          <w:rFonts w:hint="eastAsia" w:ascii="仿宋_GB2312" w:eastAsia="仿宋_GB2312" w:hAnsiTheme="minorEastAsia"/>
          <w:color w:val="FF0000"/>
          <w:sz w:val="28"/>
          <w:szCs w:val="28"/>
        </w:rPr>
        <w:t>XXX</w:t>
      </w:r>
      <w:r>
        <w:rPr>
          <w:rFonts w:hint="eastAsia" w:ascii="仿宋_GB2312" w:eastAsia="仿宋_GB2312" w:hAnsiTheme="minorEastAsia"/>
          <w:sz w:val="28"/>
          <w:szCs w:val="28"/>
        </w:rPr>
        <w:t>医院</w:t>
      </w:r>
      <w:r>
        <w:rPr>
          <w:rFonts w:hint="eastAsia" w:ascii="仿宋_GB2312" w:eastAsia="仿宋_GB2312" w:hAnsiTheme="minorEastAsia"/>
          <w:color w:val="FF0000"/>
          <w:sz w:val="28"/>
          <w:szCs w:val="28"/>
        </w:rPr>
        <w:t>XXX</w:t>
      </w:r>
      <w:r>
        <w:rPr>
          <w:rFonts w:hint="eastAsia" w:ascii="仿宋_GB2312" w:eastAsia="仿宋_GB2312" w:hAnsiTheme="minorEastAsia"/>
          <w:sz w:val="28"/>
          <w:szCs w:val="28"/>
        </w:rPr>
        <w:t>项目，本着平等互利和诚实信用的原则，</w:t>
      </w:r>
      <w:r>
        <w:rPr>
          <w:rFonts w:hint="eastAsia" w:ascii="仿宋_GB2312" w:eastAsia="仿宋_GB2312" w:hAnsiTheme="minorEastAsia"/>
          <w:kern w:val="28"/>
          <w:sz w:val="28"/>
          <w:szCs w:val="28"/>
        </w:rPr>
        <w:t>一致同意达成以下合同条款：</w:t>
      </w:r>
    </w:p>
    <w:p w14:paraId="5DC86079">
      <w:pPr>
        <w:pStyle w:val="230"/>
        <w:numPr>
          <w:ilvl w:val="0"/>
          <w:numId w:val="12"/>
        </w:numPr>
        <w:tabs>
          <w:tab w:val="left" w:pos="0"/>
        </w:tabs>
        <w:adjustRightInd w:val="0"/>
        <w:spacing w:before="120" w:beforeLines="50" w:after="120" w:afterLines="50" w:line="360" w:lineRule="auto"/>
        <w:ind w:firstLineChars="0"/>
        <w:outlineLvl w:val="0"/>
        <w:rPr>
          <w:rFonts w:ascii="仿宋_GB2312" w:hAnsi="宋体" w:eastAsia="仿宋_GB2312"/>
          <w:b/>
          <w:bCs/>
          <w:sz w:val="28"/>
          <w:szCs w:val="28"/>
        </w:rPr>
      </w:pPr>
      <w:bookmarkStart w:id="44" w:name="_Toc78604606"/>
      <w:r>
        <w:rPr>
          <w:rFonts w:hint="eastAsia" w:ascii="仿宋_GB2312" w:eastAsia="仿宋_GB2312" w:hAnsiTheme="minorEastAsia"/>
          <w:b/>
          <w:sz w:val="28"/>
          <w:szCs w:val="28"/>
        </w:rPr>
        <w:t>合同项目金额</w:t>
      </w:r>
    </w:p>
    <w:p w14:paraId="44DA5481">
      <w:pPr>
        <w:tabs>
          <w:tab w:val="left" w:pos="510"/>
        </w:tabs>
        <w:autoSpaceDE w:val="0"/>
        <w:autoSpaceDN w:val="0"/>
        <w:adjustRightInd w:val="0"/>
        <w:spacing w:line="360" w:lineRule="auto"/>
        <w:ind w:firstLine="560" w:firstLineChars="200"/>
        <w:jc w:val="left"/>
        <w:rPr>
          <w:rFonts w:ascii="仿宋_GB2312" w:eastAsia="仿宋_GB2312" w:hAnsiTheme="minorEastAsia"/>
          <w:bCs/>
          <w:sz w:val="28"/>
          <w:szCs w:val="28"/>
        </w:rPr>
      </w:pPr>
      <w:r>
        <w:rPr>
          <w:rFonts w:hint="eastAsia" w:ascii="仿宋_GB2312" w:eastAsia="仿宋_GB2312" w:hAnsiTheme="minorEastAsia"/>
          <w:bCs/>
          <w:sz w:val="28"/>
          <w:szCs w:val="28"/>
        </w:rPr>
        <w:t>乙方应当根据采购公告、招标文件、投标文件及中标通知书等（以上统称为采购文件）提供下列服务：</w:t>
      </w:r>
    </w:p>
    <w:tbl>
      <w:tblPr>
        <w:tblStyle w:val="44"/>
        <w:tblW w:w="5047" w:type="pct"/>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67"/>
        <w:gridCol w:w="4445"/>
        <w:gridCol w:w="720"/>
        <w:gridCol w:w="1150"/>
        <w:gridCol w:w="1290"/>
      </w:tblGrid>
      <w:tr w14:paraId="7B917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12" w:type="pct"/>
            <w:tcMar>
              <w:top w:w="40" w:type="dxa"/>
              <w:left w:w="40" w:type="dxa"/>
              <w:bottom w:w="40" w:type="dxa"/>
              <w:right w:w="40" w:type="dxa"/>
            </w:tcMar>
            <w:vAlign w:val="center"/>
          </w:tcPr>
          <w:p w14:paraId="6BE43BEE">
            <w:pPr>
              <w:jc w:val="center"/>
              <w:rPr>
                <w:rFonts w:ascii="仿宋_GB2312" w:eastAsia="仿宋_GB2312" w:cs="Arial" w:hAnsiTheme="minorEastAsia"/>
                <w:color w:val="000000"/>
                <w:kern w:val="0"/>
                <w:sz w:val="28"/>
                <w:szCs w:val="28"/>
              </w:rPr>
            </w:pPr>
            <w:r>
              <w:rPr>
                <w:rFonts w:hint="eastAsia" w:ascii="仿宋_GB2312" w:eastAsia="仿宋_GB2312" w:cs="Arial" w:hAnsiTheme="minorEastAsia"/>
                <w:color w:val="000000"/>
                <w:kern w:val="0"/>
                <w:sz w:val="28"/>
                <w:szCs w:val="28"/>
              </w:rPr>
              <w:t>序号</w:t>
            </w:r>
          </w:p>
        </w:tc>
        <w:tc>
          <w:tcPr>
            <w:tcW w:w="2623" w:type="pct"/>
            <w:tcMar>
              <w:top w:w="40" w:type="dxa"/>
              <w:left w:w="40" w:type="dxa"/>
              <w:bottom w:w="40" w:type="dxa"/>
              <w:right w:w="40" w:type="dxa"/>
            </w:tcMar>
            <w:vAlign w:val="center"/>
          </w:tcPr>
          <w:p w14:paraId="396080C8">
            <w:pPr>
              <w:widowControl/>
              <w:jc w:val="center"/>
              <w:rPr>
                <w:rFonts w:ascii="仿宋_GB2312" w:eastAsia="仿宋_GB2312" w:cs="宋体" w:hAnsiTheme="minorEastAsia"/>
                <w:color w:val="000000"/>
                <w:kern w:val="0"/>
                <w:sz w:val="28"/>
                <w:szCs w:val="28"/>
              </w:rPr>
            </w:pPr>
            <w:r>
              <w:rPr>
                <w:rFonts w:hint="eastAsia" w:ascii="仿宋_GB2312" w:eastAsia="仿宋_GB2312" w:cs="宋体" w:hAnsiTheme="minorEastAsia"/>
                <w:color w:val="000000"/>
                <w:kern w:val="0"/>
                <w:sz w:val="28"/>
                <w:szCs w:val="28"/>
              </w:rPr>
              <w:t>标的名称</w:t>
            </w:r>
          </w:p>
        </w:tc>
        <w:tc>
          <w:tcPr>
            <w:tcW w:w="425" w:type="pct"/>
            <w:tcMar>
              <w:top w:w="40" w:type="dxa"/>
              <w:left w:w="40" w:type="dxa"/>
              <w:bottom w:w="40" w:type="dxa"/>
              <w:right w:w="40" w:type="dxa"/>
            </w:tcMar>
            <w:vAlign w:val="center"/>
          </w:tcPr>
          <w:p w14:paraId="41FD0B0A">
            <w:pPr>
              <w:widowControl/>
              <w:jc w:val="center"/>
              <w:rPr>
                <w:rFonts w:ascii="仿宋_GB2312" w:eastAsia="仿宋_GB2312" w:cs="宋体" w:hAnsiTheme="minorEastAsia"/>
                <w:color w:val="000000"/>
                <w:kern w:val="0"/>
                <w:sz w:val="28"/>
                <w:szCs w:val="28"/>
              </w:rPr>
            </w:pPr>
            <w:r>
              <w:rPr>
                <w:rFonts w:hint="eastAsia" w:ascii="仿宋_GB2312" w:eastAsia="仿宋_GB2312" w:cs="宋体" w:hAnsiTheme="minorEastAsia"/>
                <w:color w:val="000000"/>
                <w:kern w:val="0"/>
                <w:sz w:val="28"/>
                <w:szCs w:val="28"/>
              </w:rPr>
              <w:t>数量</w:t>
            </w:r>
          </w:p>
        </w:tc>
        <w:tc>
          <w:tcPr>
            <w:tcW w:w="679" w:type="pct"/>
            <w:tcMar>
              <w:top w:w="40" w:type="dxa"/>
              <w:left w:w="40" w:type="dxa"/>
              <w:bottom w:w="40" w:type="dxa"/>
              <w:right w:w="40" w:type="dxa"/>
            </w:tcMar>
            <w:vAlign w:val="center"/>
          </w:tcPr>
          <w:p w14:paraId="271B647C">
            <w:pPr>
              <w:widowControl/>
              <w:jc w:val="center"/>
              <w:rPr>
                <w:rFonts w:ascii="仿宋_GB2312" w:eastAsia="仿宋_GB2312" w:cs="宋体" w:hAnsiTheme="minorEastAsia"/>
                <w:color w:val="000000"/>
                <w:kern w:val="0"/>
                <w:sz w:val="28"/>
                <w:szCs w:val="28"/>
              </w:rPr>
            </w:pPr>
            <w:r>
              <w:rPr>
                <w:rFonts w:hint="eastAsia" w:ascii="仿宋_GB2312" w:eastAsia="仿宋_GB2312" w:cs="宋体" w:hAnsiTheme="minorEastAsia"/>
                <w:color w:val="000000"/>
                <w:kern w:val="0"/>
                <w:sz w:val="28"/>
                <w:szCs w:val="28"/>
              </w:rPr>
              <w:t>单位</w:t>
            </w:r>
          </w:p>
        </w:tc>
        <w:tc>
          <w:tcPr>
            <w:tcW w:w="761" w:type="pct"/>
            <w:tcMar>
              <w:top w:w="40" w:type="dxa"/>
              <w:left w:w="40" w:type="dxa"/>
              <w:bottom w:w="40" w:type="dxa"/>
              <w:right w:w="40" w:type="dxa"/>
            </w:tcMar>
            <w:vAlign w:val="center"/>
          </w:tcPr>
          <w:p w14:paraId="181E12EA">
            <w:pPr>
              <w:widowControl/>
              <w:jc w:val="center"/>
              <w:rPr>
                <w:rFonts w:ascii="仿宋_GB2312" w:eastAsia="仿宋_GB2312" w:cs="宋体" w:hAnsiTheme="minorEastAsia"/>
                <w:color w:val="000000"/>
                <w:kern w:val="0"/>
                <w:sz w:val="28"/>
                <w:szCs w:val="28"/>
              </w:rPr>
            </w:pPr>
            <w:r>
              <w:rPr>
                <w:rFonts w:hint="eastAsia" w:ascii="仿宋_GB2312" w:eastAsia="仿宋_GB2312" w:cs="宋体" w:hAnsiTheme="minorEastAsia"/>
                <w:color w:val="000000"/>
                <w:kern w:val="0"/>
                <w:sz w:val="28"/>
                <w:szCs w:val="28"/>
              </w:rPr>
              <w:t>备注</w:t>
            </w:r>
          </w:p>
        </w:tc>
      </w:tr>
      <w:tr w14:paraId="04702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12" w:type="pct"/>
            <w:tcMar>
              <w:top w:w="40" w:type="dxa"/>
              <w:left w:w="40" w:type="dxa"/>
              <w:bottom w:w="40" w:type="dxa"/>
              <w:right w:w="40" w:type="dxa"/>
            </w:tcMar>
            <w:vAlign w:val="center"/>
          </w:tcPr>
          <w:p w14:paraId="7E125CF8">
            <w:pPr>
              <w:jc w:val="center"/>
              <w:rPr>
                <w:rFonts w:ascii="仿宋_GB2312" w:eastAsia="仿宋_GB2312" w:cs="Arial" w:hAnsiTheme="minorEastAsia"/>
                <w:color w:val="000000"/>
                <w:kern w:val="0"/>
                <w:sz w:val="28"/>
                <w:szCs w:val="28"/>
              </w:rPr>
            </w:pPr>
            <w:r>
              <w:rPr>
                <w:rFonts w:hint="eastAsia" w:ascii="仿宋_GB2312" w:eastAsia="仿宋_GB2312" w:cs="Arial" w:hAnsiTheme="minorEastAsia"/>
                <w:color w:val="000000"/>
                <w:kern w:val="0"/>
                <w:sz w:val="28"/>
                <w:szCs w:val="28"/>
              </w:rPr>
              <w:t>1</w:t>
            </w:r>
          </w:p>
        </w:tc>
        <w:tc>
          <w:tcPr>
            <w:tcW w:w="2623" w:type="pct"/>
            <w:tcMar>
              <w:top w:w="40" w:type="dxa"/>
              <w:left w:w="40" w:type="dxa"/>
              <w:bottom w:w="40" w:type="dxa"/>
              <w:right w:w="40" w:type="dxa"/>
            </w:tcMar>
            <w:vAlign w:val="center"/>
          </w:tcPr>
          <w:p w14:paraId="5BB854CE">
            <w:pPr>
              <w:widowControl/>
              <w:wordWrap w:val="0"/>
              <w:jc w:val="center"/>
              <w:rPr>
                <w:rFonts w:ascii="仿宋_GB2312" w:eastAsia="仿宋_GB2312" w:cs="宋体" w:hAnsiTheme="minorEastAsia"/>
                <w:color w:val="000000"/>
                <w:kern w:val="0"/>
                <w:sz w:val="28"/>
                <w:szCs w:val="28"/>
              </w:rPr>
            </w:pPr>
            <w:r>
              <w:rPr>
                <w:rFonts w:hint="eastAsia" w:ascii="仿宋_GB2312" w:eastAsia="仿宋_GB2312" w:cs="宋体" w:hAnsiTheme="minorEastAsia"/>
                <w:color w:val="000000"/>
                <w:kern w:val="0"/>
                <w:sz w:val="28"/>
                <w:szCs w:val="28"/>
              </w:rPr>
              <w:t xml:space="preserve"> </w:t>
            </w:r>
          </w:p>
        </w:tc>
        <w:tc>
          <w:tcPr>
            <w:tcW w:w="425" w:type="pct"/>
            <w:tcMar>
              <w:top w:w="40" w:type="dxa"/>
              <w:left w:w="40" w:type="dxa"/>
              <w:bottom w:w="40" w:type="dxa"/>
              <w:right w:w="40" w:type="dxa"/>
            </w:tcMar>
            <w:vAlign w:val="center"/>
          </w:tcPr>
          <w:p w14:paraId="63AEB6F3">
            <w:pPr>
              <w:widowControl/>
              <w:wordWrap w:val="0"/>
              <w:jc w:val="center"/>
              <w:rPr>
                <w:rFonts w:ascii="仿宋_GB2312" w:eastAsia="仿宋_GB2312" w:cs="宋体" w:hAnsiTheme="minorEastAsia"/>
                <w:color w:val="000000"/>
                <w:kern w:val="0"/>
                <w:sz w:val="28"/>
                <w:szCs w:val="28"/>
              </w:rPr>
            </w:pPr>
            <w:r>
              <w:rPr>
                <w:rFonts w:ascii="仿宋_GB2312" w:eastAsia="仿宋_GB2312" w:cs="宋体" w:hAnsiTheme="minorEastAsia"/>
                <w:color w:val="000000"/>
                <w:kern w:val="0"/>
                <w:sz w:val="28"/>
                <w:szCs w:val="28"/>
              </w:rPr>
              <w:t xml:space="preserve"> </w:t>
            </w:r>
          </w:p>
        </w:tc>
        <w:tc>
          <w:tcPr>
            <w:tcW w:w="679" w:type="pct"/>
            <w:tcMar>
              <w:top w:w="40" w:type="dxa"/>
              <w:left w:w="40" w:type="dxa"/>
              <w:bottom w:w="40" w:type="dxa"/>
              <w:right w:w="40" w:type="dxa"/>
            </w:tcMar>
            <w:vAlign w:val="center"/>
          </w:tcPr>
          <w:p w14:paraId="3AB29922">
            <w:pPr>
              <w:widowControl/>
              <w:wordWrap w:val="0"/>
              <w:jc w:val="center"/>
              <w:rPr>
                <w:rFonts w:ascii="仿宋_GB2312" w:eastAsia="仿宋_GB2312" w:cs="宋体" w:hAnsiTheme="minorEastAsia"/>
                <w:color w:val="000000"/>
                <w:kern w:val="0"/>
                <w:sz w:val="28"/>
                <w:szCs w:val="28"/>
              </w:rPr>
            </w:pPr>
            <w:r>
              <w:rPr>
                <w:rFonts w:hint="eastAsia" w:ascii="仿宋_GB2312" w:eastAsia="仿宋_GB2312" w:cs="宋体" w:hAnsiTheme="minorEastAsia"/>
                <w:color w:val="000000"/>
                <w:kern w:val="0"/>
                <w:sz w:val="28"/>
                <w:szCs w:val="28"/>
              </w:rPr>
              <w:t xml:space="preserve"> </w:t>
            </w:r>
          </w:p>
        </w:tc>
        <w:tc>
          <w:tcPr>
            <w:tcW w:w="761" w:type="pct"/>
            <w:tcMar>
              <w:top w:w="40" w:type="dxa"/>
              <w:left w:w="40" w:type="dxa"/>
              <w:bottom w:w="40" w:type="dxa"/>
              <w:right w:w="40" w:type="dxa"/>
            </w:tcMar>
            <w:vAlign w:val="center"/>
          </w:tcPr>
          <w:p w14:paraId="0913E2C7">
            <w:pPr>
              <w:widowControl/>
              <w:wordWrap w:val="0"/>
              <w:jc w:val="center"/>
              <w:rPr>
                <w:rFonts w:ascii="仿宋_GB2312" w:eastAsia="仿宋_GB2312" w:cs="宋体" w:hAnsiTheme="minorEastAsia"/>
                <w:color w:val="000000"/>
                <w:kern w:val="0"/>
                <w:sz w:val="28"/>
                <w:szCs w:val="28"/>
              </w:rPr>
            </w:pPr>
            <w:r>
              <w:rPr>
                <w:rFonts w:hint="eastAsia" w:ascii="仿宋_GB2312" w:eastAsia="仿宋_GB2312" w:cs="宋体" w:hAnsiTheme="minorEastAsia"/>
                <w:color w:val="000000"/>
                <w:kern w:val="0"/>
                <w:sz w:val="28"/>
                <w:szCs w:val="28"/>
              </w:rPr>
              <w:t xml:space="preserve"> </w:t>
            </w:r>
          </w:p>
        </w:tc>
      </w:tr>
    </w:tbl>
    <w:p w14:paraId="241C6B7B">
      <w:pPr>
        <w:tabs>
          <w:tab w:val="left" w:pos="510"/>
        </w:tabs>
        <w:spacing w:line="360" w:lineRule="auto"/>
        <w:ind w:firstLine="560" w:firstLineChars="200"/>
        <w:rPr>
          <w:rFonts w:ascii="仿宋_GB2312" w:eastAsia="仿宋_GB2312" w:hAnsiTheme="minorEastAsia"/>
          <w:bCs/>
          <w:sz w:val="28"/>
          <w:szCs w:val="28"/>
        </w:rPr>
      </w:pPr>
      <w:r>
        <w:rPr>
          <w:rFonts w:hint="eastAsia" w:ascii="仿宋_GB2312" w:eastAsia="仿宋_GB2312" w:hAnsiTheme="minorEastAsia"/>
          <w:bCs/>
          <w:color w:val="FF0000"/>
          <w:sz w:val="28"/>
          <w:szCs w:val="28"/>
        </w:rPr>
        <w:t>本合同总金额为（大写</w:t>
      </w:r>
      <w:r>
        <w:rPr>
          <w:rFonts w:hint="eastAsia" w:ascii="仿宋_GB2312" w:hAnsi="宋体" w:eastAsia="仿宋_GB2312"/>
          <w:color w:val="FF0000"/>
          <w:sz w:val="28"/>
          <w:szCs w:val="28"/>
          <w:u w:val="single"/>
        </w:rPr>
        <w:t xml:space="preserve">        </w:t>
      </w:r>
      <w:r>
        <w:rPr>
          <w:rFonts w:hint="eastAsia" w:ascii="仿宋_GB2312" w:eastAsia="仿宋_GB2312" w:hAnsiTheme="minorEastAsia"/>
          <w:bCs/>
          <w:color w:val="FF0000"/>
          <w:sz w:val="28"/>
          <w:szCs w:val="28"/>
        </w:rPr>
        <w:t>）人民币</w:t>
      </w:r>
      <w:r>
        <w:rPr>
          <w:rFonts w:hint="eastAsia" w:ascii="仿宋_GB2312" w:hAnsi="宋体" w:eastAsia="仿宋_GB2312"/>
          <w:color w:val="FF0000"/>
          <w:sz w:val="28"/>
          <w:szCs w:val="28"/>
          <w:u w:val="single"/>
        </w:rPr>
        <w:t xml:space="preserve">                </w:t>
      </w:r>
      <w:r>
        <w:rPr>
          <w:rFonts w:hint="eastAsia" w:ascii="仿宋_GB2312" w:eastAsia="仿宋_GB2312" w:hAnsiTheme="minorEastAsia"/>
          <w:bCs/>
          <w:color w:val="FF0000"/>
          <w:sz w:val="28"/>
          <w:szCs w:val="28"/>
        </w:rPr>
        <w:t>（</w:t>
      </w:r>
      <w:r>
        <w:rPr>
          <w:rFonts w:ascii="Arial" w:hAnsi="Arial" w:eastAsia="仿宋_GB2312" w:cs="Arial"/>
          <w:bCs/>
          <w:color w:val="FF0000"/>
          <w:sz w:val="28"/>
          <w:szCs w:val="28"/>
        </w:rPr>
        <w:t>¥</w:t>
      </w:r>
      <w:r>
        <w:rPr>
          <w:rFonts w:hint="eastAsia" w:ascii="仿宋_GB2312" w:hAnsi="宋体" w:eastAsia="仿宋_GB2312"/>
          <w:color w:val="FF0000"/>
          <w:sz w:val="28"/>
          <w:szCs w:val="28"/>
          <w:u w:val="single"/>
        </w:rPr>
        <w:t xml:space="preserve">        </w:t>
      </w:r>
      <w:r>
        <w:rPr>
          <w:rFonts w:hint="eastAsia" w:ascii="仿宋_GB2312" w:eastAsia="仿宋_GB2312" w:hAnsiTheme="minorEastAsia"/>
          <w:bCs/>
          <w:color w:val="FF0000"/>
          <w:sz w:val="28"/>
          <w:szCs w:val="28"/>
        </w:rPr>
        <w:t>元）。</w:t>
      </w:r>
      <w:r>
        <w:rPr>
          <w:rFonts w:hint="eastAsia" w:ascii="仿宋_GB2312" w:eastAsia="仿宋_GB2312" w:hAnsiTheme="minorEastAsia"/>
          <w:bCs/>
          <w:sz w:val="28"/>
          <w:szCs w:val="28"/>
        </w:rPr>
        <w:t>本合同总价款已包括乙方为履行本合同义务所发生的一切费用。本合同总价款系固定不变价格，且不随通货膨胀的影响而波动。</w:t>
      </w:r>
    </w:p>
    <w:p w14:paraId="5F1C0705">
      <w:pPr>
        <w:pStyle w:val="230"/>
        <w:numPr>
          <w:ilvl w:val="0"/>
          <w:numId w:val="12"/>
        </w:numPr>
        <w:adjustRightInd w:val="0"/>
        <w:spacing w:before="120" w:beforeLines="50" w:after="120" w:afterLines="50" w:line="360" w:lineRule="auto"/>
        <w:ind w:firstLineChars="0"/>
        <w:outlineLvl w:val="0"/>
        <w:rPr>
          <w:rFonts w:ascii="仿宋_GB2312" w:eastAsia="仿宋_GB2312" w:hAnsiTheme="minorEastAsia"/>
          <w:b/>
          <w:sz w:val="28"/>
          <w:szCs w:val="28"/>
        </w:rPr>
      </w:pPr>
      <w:r>
        <w:rPr>
          <w:rFonts w:hint="eastAsia" w:ascii="仿宋_GB2312" w:eastAsia="仿宋_GB2312" w:hAnsiTheme="minorEastAsia"/>
          <w:b/>
          <w:sz w:val="28"/>
          <w:szCs w:val="28"/>
        </w:rPr>
        <w:t>服务期限和服务地点</w:t>
      </w:r>
    </w:p>
    <w:p w14:paraId="317AC2C6">
      <w:pPr>
        <w:numPr>
          <w:ilvl w:val="1"/>
          <w:numId w:val="13"/>
        </w:numPr>
        <w:spacing w:line="360" w:lineRule="auto"/>
        <w:rPr>
          <w:rFonts w:ascii="仿宋_GB2312" w:eastAsia="仿宋_GB2312" w:hAnsiTheme="minorEastAsia"/>
          <w:sz w:val="28"/>
          <w:szCs w:val="28"/>
        </w:rPr>
      </w:pPr>
      <w:r>
        <w:rPr>
          <w:rFonts w:hint="eastAsia" w:ascii="仿宋_GB2312" w:eastAsia="仿宋_GB2312" w:hAnsiTheme="minorEastAsia"/>
          <w:sz w:val="28"/>
          <w:szCs w:val="28"/>
        </w:rPr>
        <w:t>本项目为</w:t>
      </w:r>
      <w:r>
        <w:rPr>
          <w:rFonts w:hint="eastAsia" w:ascii="仿宋_GB2312" w:eastAsia="仿宋_GB2312" w:hAnsiTheme="minorEastAsia"/>
          <w:color w:val="FF0000"/>
          <w:sz w:val="28"/>
          <w:szCs w:val="28"/>
          <w:u w:val="single"/>
        </w:rPr>
        <w:t>非长/长</w:t>
      </w:r>
      <w:r>
        <w:rPr>
          <w:rFonts w:hint="eastAsia" w:ascii="仿宋_GB2312" w:eastAsia="仿宋_GB2312" w:hAnsiTheme="minorEastAsia"/>
          <w:sz w:val="28"/>
          <w:szCs w:val="28"/>
        </w:rPr>
        <w:t>期服务项目，合同服务期限为</w:t>
      </w:r>
      <w:r>
        <w:rPr>
          <w:rFonts w:hint="eastAsia" w:ascii="仿宋_GB2312" w:eastAsia="仿宋_GB2312" w:hAnsiTheme="minorEastAsia"/>
          <w:color w:val="FF0000"/>
          <w:sz w:val="28"/>
          <w:szCs w:val="28"/>
          <w:u w:val="single"/>
        </w:rPr>
        <w:t>1</w:t>
      </w:r>
      <w:r>
        <w:rPr>
          <w:rFonts w:hint="eastAsia" w:ascii="仿宋_GB2312" w:eastAsia="仿宋_GB2312" w:hAnsiTheme="minorEastAsia"/>
          <w:sz w:val="28"/>
          <w:szCs w:val="28"/>
        </w:rPr>
        <w:t>年，合同期限可以延长，最长不超过</w:t>
      </w:r>
      <w:r>
        <w:rPr>
          <w:rFonts w:hint="eastAsia" w:ascii="仿宋_GB2312" w:eastAsia="仿宋_GB2312" w:hAnsiTheme="minorEastAsia"/>
          <w:color w:val="FF0000"/>
          <w:sz w:val="28"/>
          <w:szCs w:val="28"/>
        </w:rPr>
        <w:t>3</w:t>
      </w:r>
      <w:r>
        <w:rPr>
          <w:rFonts w:hint="eastAsia" w:ascii="仿宋_GB2312" w:eastAsia="仿宋_GB2312" w:hAnsiTheme="minorEastAsia"/>
          <w:sz w:val="28"/>
          <w:szCs w:val="28"/>
        </w:rPr>
        <w:t>年，合同到期前甲方根据乙方履约情况确定是否延续合同期限。</w:t>
      </w:r>
    </w:p>
    <w:p w14:paraId="0E44096D">
      <w:pPr>
        <w:numPr>
          <w:ilvl w:val="1"/>
          <w:numId w:val="13"/>
        </w:numPr>
        <w:spacing w:line="360" w:lineRule="auto"/>
        <w:rPr>
          <w:rFonts w:ascii="仿宋_GB2312" w:eastAsia="仿宋_GB2312" w:hAnsiTheme="minorEastAsia"/>
          <w:color w:val="FF0000"/>
          <w:sz w:val="28"/>
          <w:szCs w:val="28"/>
        </w:rPr>
      </w:pPr>
      <w:r>
        <w:rPr>
          <w:rFonts w:hint="eastAsia" w:ascii="仿宋_GB2312" w:eastAsia="仿宋_GB2312" w:hAnsiTheme="minorEastAsia"/>
          <w:color w:val="FF0000"/>
          <w:sz w:val="28"/>
          <w:szCs w:val="28"/>
        </w:rPr>
        <w:t>项目工期_30__日历日</w:t>
      </w:r>
    </w:p>
    <w:p w14:paraId="122531DF">
      <w:pPr>
        <w:numPr>
          <w:ilvl w:val="1"/>
          <w:numId w:val="13"/>
        </w:numPr>
        <w:spacing w:line="360" w:lineRule="auto"/>
        <w:rPr>
          <w:rFonts w:ascii="仿宋_GB2312" w:eastAsia="仿宋_GB2312" w:hAnsiTheme="minorEastAsia"/>
          <w:sz w:val="28"/>
          <w:szCs w:val="28"/>
        </w:rPr>
      </w:pPr>
      <w:r>
        <w:rPr>
          <w:rFonts w:hint="eastAsia" w:ascii="仿宋_GB2312" w:eastAsia="仿宋_GB2312" w:hAnsiTheme="minorEastAsia"/>
          <w:sz w:val="28"/>
          <w:szCs w:val="28"/>
        </w:rPr>
        <w:t>服务地点：</w:t>
      </w:r>
      <w:r>
        <w:rPr>
          <w:rFonts w:hint="eastAsia" w:ascii="仿宋_GB2312" w:eastAsia="仿宋_GB2312" w:hAnsiTheme="minorEastAsia"/>
          <w:color w:val="FF0000"/>
          <w:sz w:val="28"/>
          <w:szCs w:val="28"/>
        </w:rPr>
        <w:t>XXX</w:t>
      </w:r>
      <w:r>
        <w:rPr>
          <w:rFonts w:hint="eastAsia" w:ascii="仿宋_GB2312" w:eastAsia="仿宋_GB2312" w:hAnsiTheme="minorEastAsia"/>
          <w:sz w:val="28"/>
          <w:szCs w:val="28"/>
        </w:rPr>
        <w:t>医院。</w:t>
      </w:r>
    </w:p>
    <w:p w14:paraId="35D73A1D">
      <w:pPr>
        <w:pStyle w:val="230"/>
        <w:numPr>
          <w:ilvl w:val="0"/>
          <w:numId w:val="12"/>
        </w:numPr>
        <w:tabs>
          <w:tab w:val="left" w:pos="0"/>
        </w:tabs>
        <w:adjustRightInd w:val="0"/>
        <w:spacing w:before="120" w:beforeLines="50" w:after="120" w:afterLines="50" w:line="360" w:lineRule="auto"/>
        <w:ind w:firstLineChars="0"/>
        <w:outlineLvl w:val="0"/>
        <w:rPr>
          <w:rFonts w:ascii="仿宋_GB2312" w:eastAsia="仿宋_GB2312" w:hAnsiTheme="minorEastAsia"/>
          <w:b/>
          <w:sz w:val="28"/>
          <w:szCs w:val="28"/>
        </w:rPr>
      </w:pPr>
      <w:r>
        <w:rPr>
          <w:rFonts w:hint="eastAsia" w:ascii="仿宋_GB2312" w:eastAsia="仿宋_GB2312" w:hAnsiTheme="minorEastAsia"/>
          <w:b/>
          <w:sz w:val="28"/>
          <w:szCs w:val="28"/>
        </w:rPr>
        <w:t>合同项目内容</w:t>
      </w:r>
    </w:p>
    <w:p w14:paraId="3EA3C234">
      <w:pPr>
        <w:numPr>
          <w:ilvl w:val="1"/>
          <w:numId w:val="14"/>
        </w:numPr>
        <w:spacing w:line="360" w:lineRule="auto"/>
        <w:rPr>
          <w:rFonts w:ascii="仿宋_GB2312" w:eastAsia="仿宋_GB2312" w:hAnsiTheme="minorEastAsia"/>
          <w:sz w:val="28"/>
          <w:szCs w:val="28"/>
        </w:rPr>
      </w:pPr>
      <w:r>
        <w:rPr>
          <w:rFonts w:hint="eastAsia" w:ascii="仿宋_GB2312" w:eastAsia="仿宋_GB2312" w:hAnsiTheme="minorEastAsia"/>
          <w:sz w:val="28"/>
          <w:szCs w:val="28"/>
        </w:rPr>
        <w:t>招标文件的《招标项目需求》。</w:t>
      </w:r>
    </w:p>
    <w:p w14:paraId="35D2D1BC">
      <w:pPr>
        <w:pStyle w:val="230"/>
        <w:numPr>
          <w:ilvl w:val="0"/>
          <w:numId w:val="12"/>
        </w:numPr>
        <w:tabs>
          <w:tab w:val="left" w:pos="0"/>
        </w:tabs>
        <w:adjustRightInd w:val="0"/>
        <w:spacing w:before="120" w:beforeLines="50" w:after="120" w:afterLines="50" w:line="360" w:lineRule="auto"/>
        <w:ind w:firstLineChars="0"/>
        <w:outlineLvl w:val="0"/>
        <w:rPr>
          <w:rFonts w:ascii="仿宋_GB2312" w:eastAsia="仿宋_GB2312" w:hAnsiTheme="minorEastAsia"/>
          <w:b/>
          <w:sz w:val="28"/>
          <w:szCs w:val="28"/>
        </w:rPr>
      </w:pPr>
      <w:r>
        <w:rPr>
          <w:rFonts w:hint="eastAsia" w:ascii="仿宋_GB2312" w:eastAsia="仿宋_GB2312" w:hAnsiTheme="minorEastAsia"/>
          <w:b/>
          <w:sz w:val="28"/>
          <w:szCs w:val="28"/>
        </w:rPr>
        <w:t>双方权利义务</w:t>
      </w:r>
    </w:p>
    <w:p w14:paraId="4BEADB61">
      <w:pPr>
        <w:numPr>
          <w:ilvl w:val="0"/>
          <w:numId w:val="15"/>
        </w:numPr>
        <w:spacing w:line="360" w:lineRule="auto"/>
        <w:rPr>
          <w:rFonts w:ascii="仿宋_GB2312" w:eastAsia="仿宋_GB2312" w:hAnsiTheme="minorEastAsia"/>
          <w:b/>
          <w:bCs/>
          <w:sz w:val="28"/>
          <w:szCs w:val="28"/>
        </w:rPr>
      </w:pPr>
      <w:r>
        <w:rPr>
          <w:rFonts w:hint="eastAsia" w:ascii="仿宋_GB2312" w:eastAsia="仿宋_GB2312" w:hAnsiTheme="minorEastAsia"/>
          <w:b/>
          <w:bCs/>
          <w:sz w:val="28"/>
          <w:szCs w:val="28"/>
        </w:rPr>
        <w:t>甲方的权利和义务</w:t>
      </w:r>
    </w:p>
    <w:p w14:paraId="4A621584">
      <w:pPr>
        <w:numPr>
          <w:ilvl w:val="0"/>
          <w:numId w:val="16"/>
        </w:numPr>
        <w:spacing w:line="360" w:lineRule="auto"/>
        <w:rPr>
          <w:rFonts w:ascii="仿宋_GB2312" w:eastAsia="仿宋_GB2312" w:hAnsiTheme="minorEastAsia"/>
          <w:sz w:val="28"/>
          <w:szCs w:val="28"/>
        </w:rPr>
      </w:pPr>
      <w:r>
        <w:rPr>
          <w:rFonts w:hint="eastAsia" w:ascii="仿宋_GB2312" w:eastAsia="仿宋_GB2312" w:hAnsiTheme="minorEastAsia"/>
          <w:sz w:val="28"/>
          <w:szCs w:val="28"/>
        </w:rPr>
        <w:t xml:space="preserve">对乙方提供的服务项目工作进行监督。 </w:t>
      </w:r>
    </w:p>
    <w:p w14:paraId="046910AB">
      <w:pPr>
        <w:numPr>
          <w:ilvl w:val="0"/>
          <w:numId w:val="16"/>
        </w:numPr>
        <w:spacing w:line="360" w:lineRule="auto"/>
        <w:rPr>
          <w:rFonts w:ascii="仿宋_GB2312" w:eastAsia="仿宋_GB2312" w:hAnsiTheme="minorEastAsia"/>
          <w:sz w:val="28"/>
          <w:szCs w:val="28"/>
        </w:rPr>
      </w:pPr>
      <w:r>
        <w:rPr>
          <w:rFonts w:hint="eastAsia" w:ascii="仿宋_GB2312" w:eastAsia="仿宋_GB2312" w:hAnsiTheme="minorEastAsia"/>
          <w:sz w:val="28"/>
          <w:szCs w:val="28"/>
        </w:rPr>
        <w:t xml:space="preserve">对本合同标的服务项目报告进行审核确认。 </w:t>
      </w:r>
    </w:p>
    <w:p w14:paraId="20E37C10">
      <w:pPr>
        <w:numPr>
          <w:ilvl w:val="0"/>
          <w:numId w:val="16"/>
        </w:numPr>
        <w:spacing w:line="360" w:lineRule="auto"/>
        <w:rPr>
          <w:rFonts w:ascii="仿宋_GB2312" w:eastAsia="仿宋_GB2312" w:hAnsiTheme="minorEastAsia"/>
          <w:sz w:val="28"/>
          <w:szCs w:val="28"/>
        </w:rPr>
      </w:pPr>
      <w:r>
        <w:rPr>
          <w:rFonts w:hint="eastAsia" w:ascii="仿宋_GB2312" w:eastAsia="仿宋_GB2312" w:hAnsiTheme="minorEastAsia"/>
          <w:sz w:val="28"/>
          <w:szCs w:val="28"/>
        </w:rPr>
        <w:t xml:space="preserve">根据市场需求和客户需求对服务内容、标准、费用进行调整； </w:t>
      </w:r>
    </w:p>
    <w:p w14:paraId="4231BF4E">
      <w:pPr>
        <w:numPr>
          <w:ilvl w:val="0"/>
          <w:numId w:val="16"/>
        </w:numPr>
        <w:spacing w:line="360" w:lineRule="auto"/>
        <w:rPr>
          <w:rFonts w:ascii="仿宋_GB2312" w:eastAsia="仿宋_GB2312" w:hAnsiTheme="minorEastAsia"/>
          <w:sz w:val="28"/>
          <w:szCs w:val="28"/>
        </w:rPr>
      </w:pPr>
      <w:r>
        <w:rPr>
          <w:rFonts w:hint="eastAsia" w:ascii="仿宋_GB2312" w:eastAsia="仿宋_GB2312" w:hAnsiTheme="minorEastAsia"/>
          <w:sz w:val="28"/>
          <w:szCs w:val="28"/>
        </w:rPr>
        <w:t xml:space="preserve">为乙方提供必要的工作合作。 </w:t>
      </w:r>
    </w:p>
    <w:p w14:paraId="14CBC34E">
      <w:pPr>
        <w:numPr>
          <w:ilvl w:val="0"/>
          <w:numId w:val="16"/>
        </w:numPr>
        <w:spacing w:line="360" w:lineRule="auto"/>
        <w:rPr>
          <w:rFonts w:ascii="仿宋_GB2312" w:eastAsia="仿宋_GB2312" w:hAnsiTheme="minorEastAsia"/>
          <w:sz w:val="28"/>
          <w:szCs w:val="28"/>
        </w:rPr>
      </w:pPr>
      <w:r>
        <w:rPr>
          <w:rFonts w:hint="eastAsia" w:ascii="仿宋_GB2312" w:eastAsia="仿宋_GB2312" w:hAnsiTheme="minorEastAsia"/>
          <w:sz w:val="28"/>
          <w:szCs w:val="28"/>
        </w:rPr>
        <w:t xml:space="preserve">协调解决项目开展中出现的问题。 </w:t>
      </w:r>
    </w:p>
    <w:p w14:paraId="6FB2FCC2">
      <w:pPr>
        <w:numPr>
          <w:ilvl w:val="0"/>
          <w:numId w:val="16"/>
        </w:numPr>
        <w:spacing w:line="360" w:lineRule="auto"/>
        <w:rPr>
          <w:rFonts w:ascii="仿宋_GB2312" w:eastAsia="仿宋_GB2312" w:hAnsiTheme="minorEastAsia"/>
          <w:sz w:val="28"/>
          <w:szCs w:val="28"/>
        </w:rPr>
      </w:pPr>
      <w:r>
        <w:rPr>
          <w:rFonts w:hint="eastAsia" w:ascii="仿宋_GB2312" w:eastAsia="仿宋_GB2312" w:hAnsiTheme="minorEastAsia"/>
          <w:sz w:val="28"/>
          <w:szCs w:val="28"/>
        </w:rPr>
        <w:t xml:space="preserve">组织相关工作人员参加乙方的维护业务知识培训。 </w:t>
      </w:r>
    </w:p>
    <w:p w14:paraId="70995C08">
      <w:pPr>
        <w:numPr>
          <w:ilvl w:val="0"/>
          <w:numId w:val="16"/>
        </w:numPr>
        <w:spacing w:line="360" w:lineRule="auto"/>
        <w:rPr>
          <w:rFonts w:ascii="仿宋_GB2312" w:eastAsia="仿宋_GB2312" w:hAnsiTheme="minorEastAsia"/>
          <w:sz w:val="28"/>
          <w:szCs w:val="28"/>
        </w:rPr>
      </w:pPr>
      <w:r>
        <w:rPr>
          <w:rFonts w:hint="eastAsia" w:ascii="仿宋_GB2312" w:eastAsia="仿宋_GB2312" w:hAnsiTheme="minorEastAsia"/>
          <w:sz w:val="28"/>
          <w:szCs w:val="28"/>
        </w:rPr>
        <w:t>在更改服务内容、标准、费用前提前通知供应商，达成双方共识。</w:t>
      </w:r>
    </w:p>
    <w:p w14:paraId="0DBAEE5F">
      <w:pPr>
        <w:numPr>
          <w:ilvl w:val="0"/>
          <w:numId w:val="16"/>
        </w:numPr>
        <w:spacing w:line="360" w:lineRule="auto"/>
        <w:rPr>
          <w:rFonts w:ascii="仿宋_GB2312" w:eastAsia="仿宋_GB2312" w:hAnsiTheme="minorEastAsia"/>
          <w:sz w:val="28"/>
          <w:szCs w:val="28"/>
        </w:rPr>
      </w:pPr>
      <w:r>
        <w:rPr>
          <w:rFonts w:hint="eastAsia" w:ascii="仿宋_GB2312" w:eastAsia="仿宋_GB2312" w:hAnsiTheme="minorEastAsia"/>
          <w:sz w:val="28"/>
          <w:szCs w:val="28"/>
        </w:rPr>
        <w:t>甲方有权对乙方的工作进行监督和检查、有权对乙方提出合理范围的修改意见和建议。</w:t>
      </w:r>
    </w:p>
    <w:p w14:paraId="0FF8DA74">
      <w:pPr>
        <w:numPr>
          <w:ilvl w:val="0"/>
          <w:numId w:val="16"/>
        </w:numPr>
        <w:spacing w:line="360" w:lineRule="auto"/>
        <w:rPr>
          <w:rFonts w:ascii="仿宋_GB2312" w:eastAsia="仿宋_GB2312" w:hAnsiTheme="minorEastAsia"/>
          <w:sz w:val="28"/>
          <w:szCs w:val="28"/>
        </w:rPr>
      </w:pPr>
      <w:r>
        <w:rPr>
          <w:rFonts w:hint="eastAsia" w:ascii="仿宋_GB2312" w:eastAsia="仿宋_GB2312" w:hAnsiTheme="minorEastAsia"/>
          <w:sz w:val="28"/>
          <w:szCs w:val="28"/>
        </w:rPr>
        <w:t>在合同期内，如乙方存在重大债务案件或申请破产等可能导致合同不能继续履行的情况时，甲方可暂缓支付相关费用。</w:t>
      </w:r>
    </w:p>
    <w:p w14:paraId="5C3EB817">
      <w:pPr>
        <w:numPr>
          <w:ilvl w:val="0"/>
          <w:numId w:val="15"/>
        </w:numPr>
        <w:spacing w:line="360" w:lineRule="auto"/>
        <w:rPr>
          <w:rFonts w:ascii="仿宋_GB2312" w:eastAsia="仿宋_GB2312" w:hAnsiTheme="minorEastAsia"/>
          <w:b/>
          <w:bCs/>
          <w:sz w:val="28"/>
          <w:szCs w:val="28"/>
        </w:rPr>
      </w:pPr>
      <w:r>
        <w:rPr>
          <w:rFonts w:hint="eastAsia" w:ascii="仿宋_GB2312" w:eastAsia="仿宋_GB2312" w:hAnsiTheme="minorEastAsia"/>
          <w:b/>
          <w:bCs/>
          <w:sz w:val="28"/>
          <w:szCs w:val="28"/>
        </w:rPr>
        <w:t>乙方的权利和义务</w:t>
      </w:r>
    </w:p>
    <w:p w14:paraId="77F211AF">
      <w:pPr>
        <w:numPr>
          <w:ilvl w:val="1"/>
          <w:numId w:val="15"/>
        </w:numPr>
        <w:spacing w:line="360" w:lineRule="auto"/>
        <w:rPr>
          <w:rFonts w:ascii="仿宋_GB2312" w:eastAsia="仿宋_GB2312" w:hAnsiTheme="minorEastAsia"/>
          <w:sz w:val="28"/>
          <w:szCs w:val="28"/>
        </w:rPr>
      </w:pPr>
      <w:r>
        <w:rPr>
          <w:rFonts w:hint="eastAsia" w:ascii="仿宋_GB2312" w:eastAsia="仿宋_GB2312" w:hAnsiTheme="minorEastAsia"/>
          <w:sz w:val="28"/>
          <w:szCs w:val="28"/>
        </w:rPr>
        <w:t xml:space="preserve">要求甲方为本合同标的服务项目工作的开展提供必要的资料和便利。 </w:t>
      </w:r>
    </w:p>
    <w:p w14:paraId="084B8900">
      <w:pPr>
        <w:numPr>
          <w:ilvl w:val="1"/>
          <w:numId w:val="15"/>
        </w:numPr>
        <w:spacing w:line="360" w:lineRule="auto"/>
        <w:rPr>
          <w:rFonts w:ascii="仿宋_GB2312" w:eastAsia="仿宋_GB2312" w:hAnsiTheme="minorEastAsia"/>
          <w:sz w:val="28"/>
          <w:szCs w:val="28"/>
        </w:rPr>
      </w:pPr>
      <w:r>
        <w:rPr>
          <w:rFonts w:hint="eastAsia" w:ascii="仿宋_GB2312" w:eastAsia="仿宋_GB2312" w:hAnsiTheme="minorEastAsia"/>
          <w:sz w:val="28"/>
          <w:szCs w:val="28"/>
        </w:rPr>
        <w:t xml:space="preserve">要求甲方按本合同约定及时支付合同款项。 </w:t>
      </w:r>
    </w:p>
    <w:p w14:paraId="50DB75EB">
      <w:pPr>
        <w:numPr>
          <w:ilvl w:val="1"/>
          <w:numId w:val="15"/>
        </w:numPr>
        <w:spacing w:line="360" w:lineRule="auto"/>
        <w:rPr>
          <w:rFonts w:ascii="仿宋_GB2312" w:eastAsia="仿宋_GB2312" w:hAnsiTheme="minorEastAsia"/>
          <w:sz w:val="28"/>
          <w:szCs w:val="28"/>
        </w:rPr>
      </w:pPr>
      <w:r>
        <w:rPr>
          <w:rFonts w:hint="eastAsia" w:ascii="仿宋_GB2312" w:eastAsia="仿宋_GB2312" w:hAnsiTheme="minorEastAsia"/>
          <w:sz w:val="28"/>
          <w:szCs w:val="28"/>
        </w:rPr>
        <w:t xml:space="preserve">在履行本合同书规定的义务期间，按甲方的指示进行信息化建设服务项目。 </w:t>
      </w:r>
    </w:p>
    <w:p w14:paraId="1DDFA55E">
      <w:pPr>
        <w:pStyle w:val="230"/>
        <w:numPr>
          <w:ilvl w:val="1"/>
          <w:numId w:val="15"/>
        </w:numPr>
        <w:ind w:firstLineChars="0"/>
        <w:rPr>
          <w:rFonts w:ascii="仿宋_GB2312" w:eastAsia="仿宋_GB2312" w:hAnsiTheme="minorEastAsia"/>
          <w:sz w:val="28"/>
          <w:szCs w:val="28"/>
        </w:rPr>
      </w:pPr>
      <w:r>
        <w:rPr>
          <w:rFonts w:hint="eastAsia" w:ascii="仿宋_GB2312" w:eastAsia="仿宋_GB2312" w:hAnsiTheme="minorEastAsia"/>
          <w:sz w:val="28"/>
          <w:szCs w:val="28"/>
        </w:rPr>
        <w:t>建立本项目专业化服务小组（含技术人员、客服人员若干人），提供详细实际维护人员名单及联系方式。</w:t>
      </w:r>
    </w:p>
    <w:p w14:paraId="54DB691A">
      <w:pPr>
        <w:ind w:firstLine="490" w:firstLineChars="175"/>
        <w:rPr>
          <w:rFonts w:ascii="仿宋_GB2312" w:eastAsia="仿宋_GB2312" w:hAnsiTheme="minorEastAsia"/>
          <w:sz w:val="28"/>
          <w:szCs w:val="28"/>
        </w:rPr>
      </w:pPr>
      <w:r>
        <w:rPr>
          <w:rFonts w:hint="eastAsia" w:ascii="仿宋_GB2312" w:eastAsia="仿宋_GB2312" w:hAnsiTheme="minorEastAsia"/>
          <w:sz w:val="28"/>
          <w:szCs w:val="28"/>
        </w:rPr>
        <w:t>技术人员1：</w:t>
      </w:r>
      <w:r>
        <w:rPr>
          <w:rFonts w:hint="eastAsia" w:ascii="仿宋_GB2312" w:hAnsi="宋体" w:eastAsia="仿宋_GB2312"/>
          <w:color w:val="FF0000"/>
          <w:sz w:val="28"/>
          <w:szCs w:val="28"/>
          <w:u w:val="single"/>
        </w:rPr>
        <w:t xml:space="preserve">        </w:t>
      </w:r>
      <w:r>
        <w:rPr>
          <w:rFonts w:hint="eastAsia" w:ascii="仿宋_GB2312" w:eastAsia="仿宋_GB2312" w:hAnsiTheme="minorEastAsia"/>
          <w:sz w:val="28"/>
          <w:szCs w:val="28"/>
        </w:rPr>
        <w:t>，联系电话：</w:t>
      </w:r>
      <w:r>
        <w:rPr>
          <w:rFonts w:hint="eastAsia" w:ascii="仿宋_GB2312" w:hAnsi="宋体" w:eastAsia="仿宋_GB2312"/>
          <w:color w:val="FF0000"/>
          <w:sz w:val="28"/>
          <w:szCs w:val="28"/>
          <w:u w:val="single"/>
        </w:rPr>
        <w:t xml:space="preserve">        </w:t>
      </w:r>
      <w:r>
        <w:rPr>
          <w:rFonts w:ascii="仿宋_GB2312" w:hAnsi="宋体" w:eastAsia="仿宋_GB2312"/>
          <w:color w:val="FF0000"/>
          <w:sz w:val="28"/>
          <w:szCs w:val="28"/>
          <w:u w:val="single"/>
        </w:rPr>
        <w:t xml:space="preserve">       </w:t>
      </w:r>
      <w:r>
        <w:rPr>
          <w:rFonts w:hint="eastAsia" w:ascii="仿宋_GB2312" w:eastAsia="仿宋_GB2312" w:hAnsiTheme="minorEastAsia"/>
          <w:sz w:val="28"/>
          <w:szCs w:val="28"/>
        </w:rPr>
        <w:t xml:space="preserve"> ，</w:t>
      </w:r>
    </w:p>
    <w:p w14:paraId="36DCF7CB">
      <w:pPr>
        <w:ind w:firstLine="490" w:firstLineChars="175"/>
        <w:rPr>
          <w:rFonts w:ascii="仿宋_GB2312" w:hAnsi="宋体" w:eastAsia="仿宋_GB2312"/>
          <w:color w:val="FF0000"/>
          <w:sz w:val="28"/>
          <w:szCs w:val="28"/>
          <w:u w:val="single"/>
        </w:rPr>
      </w:pPr>
      <w:r>
        <w:rPr>
          <w:rFonts w:hint="eastAsia" w:ascii="仿宋_GB2312" w:eastAsia="仿宋_GB2312" w:hAnsiTheme="minorEastAsia"/>
          <w:sz w:val="28"/>
          <w:szCs w:val="28"/>
        </w:rPr>
        <w:t>客服人员1：</w:t>
      </w:r>
      <w:r>
        <w:rPr>
          <w:rFonts w:hint="eastAsia" w:ascii="仿宋_GB2312" w:hAnsi="宋体" w:eastAsia="仿宋_GB2312"/>
          <w:color w:val="FF0000"/>
          <w:sz w:val="28"/>
          <w:szCs w:val="28"/>
          <w:u w:val="single"/>
        </w:rPr>
        <w:t xml:space="preserve">        </w:t>
      </w:r>
      <w:r>
        <w:rPr>
          <w:rFonts w:ascii="仿宋_GB2312" w:hAnsi="宋体" w:eastAsia="仿宋_GB2312"/>
          <w:color w:val="FF0000"/>
          <w:sz w:val="28"/>
          <w:szCs w:val="28"/>
          <w:u w:val="single"/>
        </w:rPr>
        <w:t xml:space="preserve"> </w:t>
      </w:r>
      <w:r>
        <w:rPr>
          <w:rFonts w:hint="eastAsia" w:ascii="仿宋_GB2312" w:eastAsia="仿宋_GB2312" w:hAnsiTheme="minorEastAsia"/>
          <w:sz w:val="28"/>
          <w:szCs w:val="28"/>
        </w:rPr>
        <w:t>，联系电话：</w:t>
      </w:r>
      <w:r>
        <w:rPr>
          <w:rFonts w:hint="eastAsia" w:ascii="仿宋_GB2312" w:hAnsi="宋体" w:eastAsia="仿宋_GB2312"/>
          <w:color w:val="FF0000"/>
          <w:sz w:val="28"/>
          <w:szCs w:val="28"/>
          <w:u w:val="single"/>
        </w:rPr>
        <w:t xml:space="preserve">        </w:t>
      </w:r>
      <w:r>
        <w:rPr>
          <w:rFonts w:ascii="仿宋_GB2312" w:hAnsi="宋体" w:eastAsia="仿宋_GB2312"/>
          <w:color w:val="FF0000"/>
          <w:sz w:val="28"/>
          <w:szCs w:val="28"/>
          <w:u w:val="single"/>
        </w:rPr>
        <w:t xml:space="preserve">       </w:t>
      </w:r>
      <w:r>
        <w:rPr>
          <w:rFonts w:hint="eastAsia" w:ascii="仿宋_GB2312" w:eastAsia="仿宋_GB2312" w:hAnsiTheme="minorEastAsia"/>
          <w:sz w:val="28"/>
          <w:szCs w:val="28"/>
        </w:rPr>
        <w:t>，</w:t>
      </w:r>
    </w:p>
    <w:p w14:paraId="4F1F6835">
      <w:pPr>
        <w:numPr>
          <w:ilvl w:val="1"/>
          <w:numId w:val="15"/>
        </w:numPr>
        <w:spacing w:line="360" w:lineRule="auto"/>
        <w:rPr>
          <w:rFonts w:ascii="仿宋_GB2312" w:eastAsia="仿宋_GB2312" w:hAnsiTheme="minorEastAsia"/>
          <w:sz w:val="28"/>
          <w:szCs w:val="28"/>
        </w:rPr>
      </w:pPr>
      <w:r>
        <w:rPr>
          <w:rFonts w:hint="eastAsia" w:ascii="仿宋_GB2312" w:eastAsia="仿宋_GB2312" w:hAnsiTheme="minorEastAsia"/>
          <w:sz w:val="28"/>
          <w:szCs w:val="28"/>
        </w:rPr>
        <w:t xml:space="preserve">确保本项目的技术人员和项目负责人必须固定，如有人员变更，须经甲方同意变更。 </w:t>
      </w:r>
    </w:p>
    <w:p w14:paraId="0824D0E3">
      <w:pPr>
        <w:numPr>
          <w:ilvl w:val="1"/>
          <w:numId w:val="15"/>
        </w:numPr>
        <w:spacing w:line="360" w:lineRule="auto"/>
        <w:rPr>
          <w:rFonts w:ascii="仿宋_GB2312" w:eastAsia="仿宋_GB2312" w:hAnsiTheme="minorEastAsia"/>
          <w:sz w:val="28"/>
          <w:szCs w:val="28"/>
        </w:rPr>
      </w:pPr>
      <w:r>
        <w:rPr>
          <w:rFonts w:hint="eastAsia" w:ascii="仿宋_GB2312" w:eastAsia="仿宋_GB2312" w:hAnsiTheme="minorEastAsia"/>
          <w:sz w:val="28"/>
          <w:szCs w:val="28"/>
        </w:rPr>
        <w:t>未经甲方书面同意，乙方不得将本合同项下的服务内容全部或部分委托给第三方完成。</w:t>
      </w:r>
    </w:p>
    <w:p w14:paraId="7A3986D5">
      <w:pPr>
        <w:numPr>
          <w:ilvl w:val="1"/>
          <w:numId w:val="15"/>
        </w:numPr>
        <w:spacing w:line="360" w:lineRule="auto"/>
        <w:rPr>
          <w:rFonts w:ascii="仿宋_GB2312" w:eastAsia="仿宋_GB2312" w:hAnsiTheme="minorEastAsia"/>
          <w:sz w:val="28"/>
          <w:szCs w:val="28"/>
        </w:rPr>
      </w:pPr>
      <w:r>
        <w:rPr>
          <w:rFonts w:hint="eastAsia" w:ascii="仿宋_GB2312" w:eastAsia="仿宋_GB2312" w:hAnsiTheme="minorEastAsia"/>
          <w:sz w:val="28"/>
          <w:szCs w:val="28"/>
        </w:rPr>
        <w:t>如乙方为提供本合同项下的服务而保管甲方交付的设备、物品等，保管期间，乙方应谨慎尽职，不论何种原因包括不可抗力因素，乙方均需确保设备、物品的安全，不遭受损害。</w:t>
      </w:r>
    </w:p>
    <w:p w14:paraId="69D867C8">
      <w:pPr>
        <w:numPr>
          <w:ilvl w:val="1"/>
          <w:numId w:val="15"/>
        </w:numPr>
        <w:spacing w:line="360" w:lineRule="auto"/>
        <w:rPr>
          <w:rFonts w:ascii="仿宋_GB2312" w:eastAsia="仿宋_GB2312" w:hAnsiTheme="minorEastAsia"/>
          <w:sz w:val="28"/>
          <w:szCs w:val="28"/>
        </w:rPr>
      </w:pPr>
      <w:r>
        <w:rPr>
          <w:rFonts w:hint="eastAsia" w:ascii="仿宋_GB2312" w:eastAsia="仿宋_GB2312" w:hAnsiTheme="minorEastAsia"/>
          <w:sz w:val="28"/>
          <w:szCs w:val="28"/>
        </w:rPr>
        <w:t>乙方应做到合法用工，与工作人员建立合法的劳动关系，负责工作人员的工资、社会保险及其他保险的购买。乙方与其工作人员发生的一切纠纷均与甲方无关。</w:t>
      </w:r>
    </w:p>
    <w:p w14:paraId="733CC782">
      <w:pPr>
        <w:numPr>
          <w:ilvl w:val="1"/>
          <w:numId w:val="15"/>
        </w:numPr>
        <w:spacing w:line="360" w:lineRule="auto"/>
        <w:rPr>
          <w:rFonts w:ascii="仿宋_GB2312" w:eastAsia="仿宋_GB2312" w:hAnsiTheme="minorEastAsia"/>
          <w:sz w:val="28"/>
          <w:szCs w:val="28"/>
        </w:rPr>
      </w:pPr>
      <w:r>
        <w:rPr>
          <w:rFonts w:hint="eastAsia" w:ascii="仿宋_GB2312" w:eastAsia="仿宋_GB2312" w:hAnsiTheme="minorEastAsia"/>
          <w:sz w:val="28"/>
          <w:szCs w:val="28"/>
        </w:rPr>
        <w:t>乙方应按照国家规定为工作人员提供合理的工作条件与保护设施，乙方工作人员在甲方场地内发生的一切意外、事故等均由乙方承担，与甲方无关。</w:t>
      </w:r>
    </w:p>
    <w:p w14:paraId="54F1D2C7">
      <w:pPr>
        <w:numPr>
          <w:ilvl w:val="1"/>
          <w:numId w:val="15"/>
        </w:numPr>
        <w:spacing w:line="360" w:lineRule="auto"/>
        <w:rPr>
          <w:rFonts w:ascii="仿宋_GB2312" w:eastAsia="仿宋_GB2312" w:hAnsiTheme="minorEastAsia"/>
          <w:sz w:val="28"/>
          <w:szCs w:val="28"/>
        </w:rPr>
      </w:pPr>
      <w:r>
        <w:rPr>
          <w:rFonts w:hint="eastAsia" w:ascii="仿宋_GB2312" w:eastAsia="仿宋_GB2312" w:hAnsiTheme="minorEastAsia"/>
          <w:sz w:val="28"/>
          <w:szCs w:val="28"/>
        </w:rPr>
        <w:t>乙方在甲方院内提供服务的，应保证其工作人员严格遵守甲方各项管理规定，服务过程中如造成甲方场所及设施损坏、工作人员人身伤害或第三方人身伤害、财产损失，乙方应承担全部赔偿责任。</w:t>
      </w:r>
    </w:p>
    <w:p w14:paraId="4DC27C12">
      <w:pPr>
        <w:pStyle w:val="230"/>
        <w:numPr>
          <w:ilvl w:val="0"/>
          <w:numId w:val="12"/>
        </w:numPr>
        <w:tabs>
          <w:tab w:val="left" w:pos="0"/>
        </w:tabs>
        <w:adjustRightInd w:val="0"/>
        <w:spacing w:before="120" w:beforeLines="50" w:after="120" w:afterLines="50" w:line="360" w:lineRule="auto"/>
        <w:ind w:firstLineChars="0"/>
        <w:outlineLvl w:val="0"/>
        <w:rPr>
          <w:rFonts w:ascii="仿宋_GB2312" w:eastAsia="仿宋_GB2312" w:hAnsiTheme="minorEastAsia"/>
          <w:b/>
          <w:sz w:val="28"/>
          <w:szCs w:val="28"/>
        </w:rPr>
      </w:pPr>
      <w:r>
        <w:rPr>
          <w:rFonts w:hint="eastAsia" w:ascii="仿宋_GB2312" w:eastAsia="仿宋_GB2312" w:hAnsiTheme="minorEastAsia"/>
          <w:b/>
          <w:sz w:val="28"/>
          <w:szCs w:val="28"/>
        </w:rPr>
        <w:t>知识产权</w:t>
      </w:r>
    </w:p>
    <w:p w14:paraId="2A385445">
      <w:pPr>
        <w:numPr>
          <w:ilvl w:val="1"/>
          <w:numId w:val="17"/>
        </w:numPr>
        <w:spacing w:line="360" w:lineRule="auto"/>
        <w:rPr>
          <w:rFonts w:ascii="仿宋_GB2312" w:eastAsia="仿宋_GB2312" w:hAnsiTheme="minorEastAsia"/>
          <w:sz w:val="28"/>
          <w:szCs w:val="28"/>
        </w:rPr>
      </w:pPr>
      <w:r>
        <w:rPr>
          <w:rFonts w:hint="eastAsia" w:ascii="仿宋_GB2312" w:eastAsia="仿宋_GB2312" w:hAnsiTheme="minorEastAsia"/>
          <w:sz w:val="28"/>
          <w:szCs w:val="28"/>
        </w:rPr>
        <w:t>乙方在项目实施过程中不得侵犯第三人知识产权以及其他权益。需要使用第三人知识产权的，乙方应取得权利人许可或授权并由乙方承担费用。</w:t>
      </w:r>
    </w:p>
    <w:p w14:paraId="26D180D4">
      <w:pPr>
        <w:numPr>
          <w:ilvl w:val="1"/>
          <w:numId w:val="17"/>
        </w:numPr>
        <w:spacing w:line="360" w:lineRule="auto"/>
        <w:rPr>
          <w:rFonts w:ascii="仿宋_GB2312" w:eastAsia="仿宋_GB2312" w:hAnsiTheme="minorEastAsia"/>
          <w:b/>
          <w:sz w:val="28"/>
          <w:szCs w:val="28"/>
        </w:rPr>
      </w:pPr>
      <w:r>
        <w:rPr>
          <w:rFonts w:hint="eastAsia" w:ascii="仿宋_GB2312" w:eastAsia="仿宋_GB2312" w:hAnsiTheme="minorEastAsia"/>
          <w:sz w:val="28"/>
          <w:szCs w:val="28"/>
        </w:rPr>
        <w:t>除第三人依法享有知识产权的除外，乙方实施本项目所形成成果的知识产品归甲方所有，未经甲方许可，乙方不得随意使用。</w:t>
      </w:r>
    </w:p>
    <w:p w14:paraId="0E93EEF7">
      <w:pPr>
        <w:pStyle w:val="230"/>
        <w:numPr>
          <w:ilvl w:val="0"/>
          <w:numId w:val="12"/>
        </w:numPr>
        <w:tabs>
          <w:tab w:val="left" w:pos="0"/>
        </w:tabs>
        <w:adjustRightInd w:val="0"/>
        <w:spacing w:before="120" w:beforeLines="50" w:after="120" w:afterLines="50" w:line="360" w:lineRule="auto"/>
        <w:ind w:firstLineChars="0"/>
        <w:outlineLvl w:val="0"/>
        <w:rPr>
          <w:rFonts w:ascii="仿宋_GB2312" w:eastAsia="仿宋_GB2312" w:hAnsiTheme="minorEastAsia"/>
          <w:b/>
          <w:sz w:val="28"/>
          <w:szCs w:val="28"/>
        </w:rPr>
      </w:pPr>
      <w:r>
        <w:rPr>
          <w:rFonts w:hint="eastAsia" w:ascii="仿宋_GB2312" w:eastAsia="仿宋_GB2312" w:hAnsiTheme="minorEastAsia"/>
          <w:b/>
          <w:sz w:val="28"/>
          <w:szCs w:val="28"/>
        </w:rPr>
        <w:t>违约责任</w:t>
      </w:r>
    </w:p>
    <w:p w14:paraId="3812F6AA">
      <w:pPr>
        <w:numPr>
          <w:ilvl w:val="1"/>
          <w:numId w:val="18"/>
        </w:numPr>
        <w:spacing w:line="360" w:lineRule="auto"/>
        <w:rPr>
          <w:rFonts w:ascii="仿宋_GB2312" w:eastAsia="仿宋_GB2312" w:hAnsiTheme="minorEastAsia"/>
          <w:sz w:val="28"/>
          <w:szCs w:val="28"/>
        </w:rPr>
      </w:pPr>
      <w:r>
        <w:rPr>
          <w:rFonts w:hint="eastAsia" w:ascii="仿宋_GB2312" w:eastAsia="仿宋_GB2312" w:hAnsiTheme="minorEastAsia"/>
          <w:sz w:val="28"/>
          <w:szCs w:val="28"/>
        </w:rPr>
        <w:t>甲方应依合同规定时间内，向乙方支付合同款项，每拖延一天乙方可向甲方加收当次支付金额5‰的违约金，违约金总额以合同金额的5%为限。</w:t>
      </w:r>
    </w:p>
    <w:p w14:paraId="01914B06">
      <w:pPr>
        <w:numPr>
          <w:ilvl w:val="1"/>
          <w:numId w:val="18"/>
        </w:numPr>
        <w:spacing w:line="360" w:lineRule="auto"/>
        <w:rPr>
          <w:rFonts w:ascii="仿宋_GB2312" w:eastAsia="仿宋_GB2312" w:hAnsiTheme="minorEastAsia"/>
          <w:sz w:val="28"/>
          <w:szCs w:val="28"/>
        </w:rPr>
      </w:pPr>
      <w:r>
        <w:rPr>
          <w:rFonts w:hint="eastAsia" w:ascii="仿宋_GB2312" w:eastAsia="仿宋_GB2312" w:hAnsiTheme="minorEastAsia"/>
          <w:sz w:val="28"/>
          <w:szCs w:val="28"/>
        </w:rPr>
        <w:t>乙方未能按时交付使用或者未按照本合同约定完成相关工作，如非甲方原因造成，每拖延一天，须向甲方支付合同金额的5‰的违约金，违约金总额以合同金额的5%为限。</w:t>
      </w:r>
    </w:p>
    <w:p w14:paraId="471B25B6">
      <w:pPr>
        <w:numPr>
          <w:ilvl w:val="1"/>
          <w:numId w:val="18"/>
        </w:numPr>
        <w:spacing w:line="360" w:lineRule="auto"/>
        <w:rPr>
          <w:rFonts w:ascii="仿宋_GB2312" w:eastAsia="仿宋_GB2312" w:hAnsiTheme="minorEastAsia"/>
          <w:sz w:val="28"/>
          <w:szCs w:val="28"/>
        </w:rPr>
      </w:pPr>
      <w:r>
        <w:rPr>
          <w:rFonts w:hint="eastAsia" w:ascii="仿宋_GB2312" w:eastAsia="仿宋_GB2312" w:hAnsiTheme="minorEastAsia"/>
          <w:sz w:val="28"/>
          <w:szCs w:val="28"/>
        </w:rPr>
        <w:t>甲方无正当理由拒绝继续执行本合同的，乙方不退回甲方的已付款，同时甲方须向乙方支付甲方未付合同金额的</w:t>
      </w:r>
      <w:r>
        <w:rPr>
          <w:rFonts w:ascii="仿宋_GB2312" w:eastAsia="仿宋_GB2312" w:hAnsiTheme="minorEastAsia"/>
          <w:sz w:val="28"/>
          <w:szCs w:val="28"/>
        </w:rPr>
        <w:t>2</w:t>
      </w:r>
      <w:r>
        <w:rPr>
          <w:rFonts w:hint="eastAsia" w:ascii="仿宋_GB2312" w:eastAsia="仿宋_GB2312" w:hAnsiTheme="minorEastAsia"/>
          <w:sz w:val="28"/>
          <w:szCs w:val="28"/>
        </w:rPr>
        <w:t>0%的作为违约金。</w:t>
      </w:r>
    </w:p>
    <w:p w14:paraId="40D7EF2E">
      <w:pPr>
        <w:numPr>
          <w:ilvl w:val="1"/>
          <w:numId w:val="18"/>
        </w:numPr>
        <w:spacing w:line="360" w:lineRule="auto"/>
        <w:rPr>
          <w:rFonts w:ascii="仿宋_GB2312" w:eastAsia="仿宋_GB2312" w:hAnsiTheme="minorEastAsia"/>
          <w:sz w:val="28"/>
          <w:szCs w:val="28"/>
        </w:rPr>
      </w:pPr>
      <w:r>
        <w:rPr>
          <w:rFonts w:hint="eastAsia" w:ascii="仿宋_GB2312" w:eastAsia="仿宋_GB2312" w:hAnsiTheme="minorEastAsia"/>
          <w:sz w:val="28"/>
          <w:szCs w:val="28"/>
        </w:rPr>
        <w:t>乙方无正当理由拒绝继续执行本合同的，须向甲方退回甲方已付的未发生服务合同金额作为违约金，同时乙方向甲方未付合同金额的</w:t>
      </w:r>
      <w:r>
        <w:rPr>
          <w:rFonts w:ascii="仿宋_GB2312" w:eastAsia="仿宋_GB2312" w:hAnsiTheme="minorEastAsia"/>
          <w:sz w:val="28"/>
          <w:szCs w:val="28"/>
        </w:rPr>
        <w:t>2</w:t>
      </w:r>
      <w:r>
        <w:rPr>
          <w:rFonts w:hint="eastAsia" w:ascii="仿宋_GB2312" w:eastAsia="仿宋_GB2312" w:hAnsiTheme="minorEastAsia"/>
          <w:sz w:val="28"/>
          <w:szCs w:val="28"/>
        </w:rPr>
        <w:t>0%的作为违约金。</w:t>
      </w:r>
    </w:p>
    <w:p w14:paraId="1E9DDF01">
      <w:pPr>
        <w:numPr>
          <w:ilvl w:val="1"/>
          <w:numId w:val="18"/>
        </w:numPr>
        <w:spacing w:line="360" w:lineRule="auto"/>
        <w:rPr>
          <w:rFonts w:ascii="仿宋_GB2312" w:eastAsia="仿宋_GB2312" w:hAnsiTheme="minorEastAsia"/>
          <w:sz w:val="28"/>
          <w:szCs w:val="28"/>
        </w:rPr>
      </w:pPr>
      <w:r>
        <w:rPr>
          <w:rFonts w:hint="eastAsia" w:ascii="仿宋_GB2312" w:eastAsia="仿宋_GB2312" w:hAnsiTheme="minorEastAsia"/>
          <w:sz w:val="28"/>
          <w:szCs w:val="28"/>
        </w:rPr>
        <w:t>若非乙方原因导致合同解除的，乙方有权就已完成的履约部分收取相应合同款项。</w:t>
      </w:r>
    </w:p>
    <w:p w14:paraId="612210D8">
      <w:pPr>
        <w:pStyle w:val="230"/>
        <w:numPr>
          <w:ilvl w:val="0"/>
          <w:numId w:val="12"/>
        </w:numPr>
        <w:tabs>
          <w:tab w:val="left" w:pos="0"/>
        </w:tabs>
        <w:adjustRightInd w:val="0"/>
        <w:spacing w:before="120" w:beforeLines="50" w:after="120" w:afterLines="50" w:line="360" w:lineRule="auto"/>
        <w:ind w:firstLineChars="0"/>
        <w:outlineLvl w:val="0"/>
        <w:rPr>
          <w:rFonts w:ascii="仿宋_GB2312" w:eastAsia="仿宋_GB2312" w:hAnsiTheme="minorEastAsia"/>
          <w:b/>
          <w:sz w:val="28"/>
          <w:szCs w:val="28"/>
        </w:rPr>
      </w:pPr>
      <w:r>
        <w:rPr>
          <w:rFonts w:hint="eastAsia" w:ascii="仿宋_GB2312" w:eastAsia="仿宋_GB2312" w:hAnsiTheme="minorEastAsia"/>
          <w:b/>
          <w:sz w:val="28"/>
          <w:szCs w:val="28"/>
        </w:rPr>
        <w:t>付款方式</w:t>
      </w:r>
    </w:p>
    <w:p w14:paraId="50445A72">
      <w:pPr>
        <w:numPr>
          <w:ilvl w:val="1"/>
          <w:numId w:val="19"/>
        </w:numPr>
        <w:spacing w:line="360" w:lineRule="auto"/>
        <w:rPr>
          <w:rFonts w:ascii="仿宋_GB2312" w:eastAsia="仿宋_GB2312" w:hAnsiTheme="minorEastAsia"/>
          <w:sz w:val="28"/>
          <w:szCs w:val="28"/>
        </w:rPr>
      </w:pPr>
      <w:r>
        <w:rPr>
          <w:rFonts w:hint="eastAsia" w:ascii="仿宋_GB2312" w:eastAsia="仿宋_GB2312" w:hAnsiTheme="minorEastAsia"/>
          <w:sz w:val="28"/>
          <w:szCs w:val="28"/>
        </w:rPr>
        <w:t>甲方按照合同金额分</w:t>
      </w:r>
      <w:r>
        <w:rPr>
          <w:rFonts w:hint="eastAsia" w:ascii="仿宋_GB2312" w:eastAsia="仿宋_GB2312" w:hAnsiTheme="minorEastAsia"/>
          <w:color w:val="FF0000"/>
          <w:sz w:val="28"/>
          <w:szCs w:val="28"/>
        </w:rPr>
        <w:t xml:space="preserve"> 3 </w:t>
      </w:r>
      <w:r>
        <w:rPr>
          <w:rFonts w:hint="eastAsia" w:ascii="仿宋_GB2312" w:eastAsia="仿宋_GB2312" w:hAnsiTheme="minorEastAsia"/>
          <w:sz w:val="28"/>
          <w:szCs w:val="28"/>
        </w:rPr>
        <w:t xml:space="preserve"> 期支付，乙方需提前开具正式发票并送到甲方。因付款审批程序或政策变动等原因而导致价款不能及时到账的，甲方不承担违约责任，乙方不得以此拒绝或怠于履行合同义务。</w:t>
      </w:r>
    </w:p>
    <w:p w14:paraId="5D398B60">
      <w:pPr>
        <w:numPr>
          <w:ilvl w:val="1"/>
          <w:numId w:val="19"/>
        </w:numPr>
        <w:spacing w:line="360" w:lineRule="auto"/>
        <w:rPr>
          <w:rFonts w:ascii="仿宋_GB2312" w:eastAsia="仿宋_GB2312" w:hAnsiTheme="minorEastAsia"/>
          <w:color w:val="FF0000"/>
          <w:sz w:val="28"/>
          <w:szCs w:val="28"/>
        </w:rPr>
      </w:pPr>
      <w:r>
        <w:rPr>
          <w:rFonts w:hint="eastAsia" w:ascii="仿宋_GB2312" w:eastAsia="仿宋_GB2312" w:hAnsiTheme="minorEastAsia"/>
          <w:color w:val="FF0000"/>
          <w:sz w:val="28"/>
          <w:szCs w:val="28"/>
        </w:rPr>
        <w:t>第一次付款，合同签订后，在甲方收到乙方发票60日内，甲方向乙方支付合同总额的 30  %，即人民币</w:t>
      </w:r>
      <w:r>
        <w:rPr>
          <w:rFonts w:hint="eastAsia" w:ascii="仿宋_GB2312" w:eastAsia="仿宋_GB2312" w:hAnsiTheme="minorEastAsia"/>
          <w:color w:val="FF0000"/>
          <w:sz w:val="28"/>
          <w:szCs w:val="28"/>
          <w:u w:val="single"/>
        </w:rPr>
        <w:t xml:space="preserve">             </w:t>
      </w:r>
      <w:r>
        <w:rPr>
          <w:rFonts w:hint="eastAsia" w:ascii="仿宋_GB2312" w:eastAsia="仿宋_GB2312" w:hAnsiTheme="minorEastAsia"/>
          <w:color w:val="FF0000"/>
          <w:sz w:val="28"/>
          <w:szCs w:val="28"/>
        </w:rPr>
        <w:t>元整（小写</w:t>
      </w:r>
      <w:r>
        <w:rPr>
          <w:rFonts w:ascii="Arial" w:hAnsi="Arial" w:eastAsia="仿宋_GB2312" w:cs="Arial"/>
          <w:color w:val="FF0000"/>
          <w:sz w:val="28"/>
          <w:szCs w:val="28"/>
        </w:rPr>
        <w:t>¥</w:t>
      </w:r>
      <w:r>
        <w:rPr>
          <w:rFonts w:hint="eastAsia" w:ascii="仿宋_GB2312" w:eastAsia="仿宋_GB2312" w:hAnsiTheme="minorEastAsia"/>
          <w:color w:val="FF0000"/>
          <w:sz w:val="28"/>
          <w:szCs w:val="28"/>
          <w:u w:val="single"/>
        </w:rPr>
        <w:t xml:space="preserve">       </w:t>
      </w:r>
      <w:r>
        <w:rPr>
          <w:rFonts w:hint="eastAsia" w:ascii="仿宋_GB2312" w:eastAsia="仿宋_GB2312" w:hAnsiTheme="minorEastAsia"/>
          <w:color w:val="FF0000"/>
          <w:sz w:val="28"/>
          <w:szCs w:val="28"/>
        </w:rPr>
        <w:t>元）；</w:t>
      </w:r>
    </w:p>
    <w:p w14:paraId="6B5B0318">
      <w:pPr>
        <w:numPr>
          <w:ilvl w:val="1"/>
          <w:numId w:val="19"/>
        </w:numPr>
        <w:spacing w:line="360" w:lineRule="auto"/>
        <w:rPr>
          <w:rFonts w:ascii="仿宋_GB2312" w:eastAsia="仿宋_GB2312" w:hAnsiTheme="minorEastAsia"/>
          <w:color w:val="FF0000"/>
          <w:sz w:val="28"/>
          <w:szCs w:val="28"/>
        </w:rPr>
      </w:pPr>
      <w:r>
        <w:rPr>
          <w:rFonts w:hint="eastAsia" w:ascii="仿宋_GB2312" w:eastAsia="仿宋_GB2312" w:hAnsiTheme="minorEastAsia"/>
          <w:color w:val="FF0000"/>
          <w:sz w:val="28"/>
          <w:szCs w:val="28"/>
        </w:rPr>
        <w:t>第二次付款，服务期满6个月后，在甲方收到乙方发票60日内，甲方向乙方支付合同总额的 60  %，即人民币</w:t>
      </w:r>
      <w:r>
        <w:rPr>
          <w:rFonts w:hint="eastAsia" w:ascii="仿宋_GB2312" w:eastAsia="仿宋_GB2312" w:hAnsiTheme="minorEastAsia"/>
          <w:color w:val="FF0000"/>
          <w:sz w:val="28"/>
          <w:szCs w:val="28"/>
          <w:u w:val="single"/>
        </w:rPr>
        <w:t xml:space="preserve">             </w:t>
      </w:r>
      <w:r>
        <w:rPr>
          <w:rFonts w:hint="eastAsia" w:ascii="仿宋_GB2312" w:eastAsia="仿宋_GB2312" w:hAnsiTheme="minorEastAsia"/>
          <w:color w:val="FF0000"/>
          <w:sz w:val="28"/>
          <w:szCs w:val="28"/>
        </w:rPr>
        <w:t>元整（小写</w:t>
      </w:r>
      <w:r>
        <w:rPr>
          <w:rFonts w:ascii="Arial" w:hAnsi="Arial" w:eastAsia="仿宋_GB2312" w:cs="Arial"/>
          <w:color w:val="FF0000"/>
          <w:sz w:val="28"/>
          <w:szCs w:val="28"/>
        </w:rPr>
        <w:t>¥</w:t>
      </w:r>
      <w:r>
        <w:rPr>
          <w:rFonts w:hint="eastAsia" w:ascii="仿宋_GB2312" w:eastAsia="仿宋_GB2312" w:hAnsiTheme="minorEastAsia"/>
          <w:color w:val="FF0000"/>
          <w:sz w:val="28"/>
          <w:szCs w:val="28"/>
          <w:u w:val="single"/>
        </w:rPr>
        <w:t xml:space="preserve">       </w:t>
      </w:r>
      <w:r>
        <w:rPr>
          <w:rFonts w:hint="eastAsia" w:ascii="仿宋_GB2312" w:eastAsia="仿宋_GB2312" w:hAnsiTheme="minorEastAsia"/>
          <w:color w:val="FF0000"/>
          <w:sz w:val="28"/>
          <w:szCs w:val="28"/>
        </w:rPr>
        <w:t>元）；</w:t>
      </w:r>
    </w:p>
    <w:p w14:paraId="6EA7E2C4">
      <w:pPr>
        <w:numPr>
          <w:ilvl w:val="1"/>
          <w:numId w:val="19"/>
        </w:numPr>
        <w:spacing w:line="360" w:lineRule="auto"/>
        <w:rPr>
          <w:rFonts w:ascii="仿宋_GB2312" w:eastAsia="仿宋_GB2312" w:hAnsiTheme="minorEastAsia"/>
          <w:color w:val="FF0000"/>
          <w:sz w:val="28"/>
          <w:szCs w:val="28"/>
        </w:rPr>
      </w:pPr>
      <w:r>
        <w:rPr>
          <w:rFonts w:hint="eastAsia" w:ascii="仿宋_GB2312" w:eastAsia="仿宋_GB2312" w:hAnsiTheme="minorEastAsia"/>
          <w:color w:val="FF0000"/>
          <w:sz w:val="28"/>
          <w:szCs w:val="28"/>
        </w:rPr>
        <w:t>第三次付款，服务期结束后，在甲方收到乙方发票60日内，甲方向乙方支付合同总额 10  %，即人民币</w:t>
      </w:r>
      <w:r>
        <w:rPr>
          <w:rFonts w:hint="eastAsia" w:ascii="仿宋_GB2312" w:eastAsia="仿宋_GB2312" w:hAnsiTheme="minorEastAsia"/>
          <w:color w:val="FF0000"/>
          <w:sz w:val="28"/>
          <w:szCs w:val="28"/>
          <w:u w:val="single"/>
        </w:rPr>
        <w:t xml:space="preserve">             </w:t>
      </w:r>
      <w:r>
        <w:rPr>
          <w:rFonts w:hint="eastAsia" w:ascii="仿宋_GB2312" w:eastAsia="仿宋_GB2312" w:hAnsiTheme="minorEastAsia"/>
          <w:color w:val="FF0000"/>
          <w:sz w:val="28"/>
          <w:szCs w:val="28"/>
        </w:rPr>
        <w:t>元整（小写</w:t>
      </w:r>
      <w:r>
        <w:rPr>
          <w:rFonts w:ascii="Arial" w:hAnsi="Arial" w:eastAsia="仿宋_GB2312" w:cs="Arial"/>
          <w:color w:val="FF0000"/>
          <w:sz w:val="28"/>
          <w:szCs w:val="28"/>
        </w:rPr>
        <w:t>¥</w:t>
      </w:r>
      <w:r>
        <w:rPr>
          <w:rFonts w:hint="eastAsia" w:ascii="仿宋_GB2312" w:eastAsia="仿宋_GB2312" w:hAnsiTheme="minorEastAsia"/>
          <w:color w:val="FF0000"/>
          <w:sz w:val="28"/>
          <w:szCs w:val="28"/>
          <w:u w:val="single"/>
        </w:rPr>
        <w:t xml:space="preserve">       </w:t>
      </w:r>
      <w:r>
        <w:rPr>
          <w:rFonts w:hint="eastAsia" w:ascii="仿宋_GB2312" w:eastAsia="仿宋_GB2312" w:hAnsiTheme="minorEastAsia"/>
          <w:color w:val="FF0000"/>
          <w:sz w:val="28"/>
          <w:szCs w:val="28"/>
        </w:rPr>
        <w:t>元）；</w:t>
      </w:r>
    </w:p>
    <w:bookmarkEnd w:id="44"/>
    <w:p w14:paraId="27D7A5B3">
      <w:pPr>
        <w:pStyle w:val="230"/>
        <w:numPr>
          <w:ilvl w:val="0"/>
          <w:numId w:val="12"/>
        </w:numPr>
        <w:tabs>
          <w:tab w:val="left" w:pos="0"/>
        </w:tabs>
        <w:adjustRightInd w:val="0"/>
        <w:spacing w:before="120" w:beforeLines="50" w:after="120" w:afterLines="50" w:line="360" w:lineRule="auto"/>
        <w:ind w:firstLineChars="0"/>
        <w:outlineLvl w:val="0"/>
        <w:rPr>
          <w:rFonts w:ascii="仿宋_GB2312" w:eastAsia="仿宋_GB2312" w:hAnsiTheme="minorEastAsia"/>
          <w:b/>
          <w:sz w:val="28"/>
          <w:szCs w:val="28"/>
        </w:rPr>
      </w:pPr>
      <w:bookmarkStart w:id="45" w:name="_Toc78604615"/>
      <w:r>
        <w:rPr>
          <w:rFonts w:hint="eastAsia" w:ascii="仿宋_GB2312" w:eastAsia="仿宋_GB2312" w:hAnsiTheme="minorEastAsia"/>
          <w:b/>
          <w:sz w:val="28"/>
          <w:szCs w:val="28"/>
        </w:rPr>
        <w:t>争议的解决</w:t>
      </w:r>
      <w:bookmarkEnd w:id="45"/>
    </w:p>
    <w:p w14:paraId="08AEF6CB">
      <w:pPr>
        <w:ind w:firstLine="560" w:firstLineChars="200"/>
        <w:rPr>
          <w:rFonts w:ascii="仿宋_GB2312" w:eastAsia="仿宋_GB2312" w:hAnsiTheme="minorEastAsia"/>
          <w:sz w:val="28"/>
          <w:szCs w:val="28"/>
        </w:rPr>
      </w:pPr>
      <w:bookmarkStart w:id="46" w:name="_Toc78604616"/>
      <w:r>
        <w:rPr>
          <w:rFonts w:hint="eastAsia" w:ascii="仿宋_GB2312" w:eastAsia="仿宋_GB2312" w:hAnsiTheme="minorEastAsia"/>
          <w:sz w:val="28"/>
          <w:szCs w:val="28"/>
        </w:rPr>
        <w:t>因履行本合同引起的或与本合同有关的争议，甲、乙双方应首先通过友好协商解决；如果协商不能解决争议的，任何一方可以向深圳市龙岗区人民法院提起诉讼。</w:t>
      </w:r>
    </w:p>
    <w:p w14:paraId="0AC1DEB5">
      <w:pPr>
        <w:pStyle w:val="230"/>
        <w:numPr>
          <w:ilvl w:val="0"/>
          <w:numId w:val="12"/>
        </w:numPr>
        <w:tabs>
          <w:tab w:val="left" w:pos="0"/>
        </w:tabs>
        <w:adjustRightInd w:val="0"/>
        <w:spacing w:before="120" w:beforeLines="50" w:after="120" w:afterLines="50" w:line="360" w:lineRule="auto"/>
        <w:ind w:firstLineChars="0"/>
        <w:outlineLvl w:val="0"/>
        <w:rPr>
          <w:rFonts w:ascii="仿宋_GB2312" w:eastAsia="仿宋_GB2312" w:hAnsiTheme="minorEastAsia"/>
          <w:b/>
          <w:sz w:val="28"/>
          <w:szCs w:val="28"/>
        </w:rPr>
      </w:pPr>
      <w:r>
        <w:rPr>
          <w:rFonts w:hint="eastAsia" w:ascii="仿宋_GB2312" w:eastAsia="仿宋_GB2312" w:hAnsiTheme="minorEastAsia"/>
          <w:b/>
          <w:sz w:val="28"/>
          <w:szCs w:val="28"/>
        </w:rPr>
        <w:t>不可抗力</w:t>
      </w:r>
      <w:bookmarkEnd w:id="46"/>
      <w:r>
        <w:rPr>
          <w:rFonts w:hint="eastAsia" w:ascii="仿宋_GB2312" w:eastAsia="仿宋_GB2312" w:hAnsiTheme="minorEastAsia"/>
          <w:b/>
          <w:sz w:val="28"/>
          <w:szCs w:val="28"/>
        </w:rPr>
        <w:t xml:space="preserve"> </w:t>
      </w:r>
    </w:p>
    <w:p w14:paraId="04DD2D25">
      <w:pPr>
        <w:spacing w:line="360" w:lineRule="auto"/>
        <w:ind w:firstLine="560" w:firstLineChars="200"/>
        <w:rPr>
          <w:rFonts w:ascii="仿宋_GB2312" w:eastAsia="仿宋_GB2312" w:hAnsiTheme="minorEastAsia"/>
          <w:bCs/>
          <w:sz w:val="28"/>
          <w:szCs w:val="28"/>
        </w:rPr>
      </w:pPr>
      <w:r>
        <w:rPr>
          <w:rFonts w:hint="eastAsia" w:ascii="仿宋_GB2312" w:eastAsia="仿宋_GB2312" w:hAnsiTheme="minorEastAsia"/>
          <w:bCs/>
          <w:sz w:val="28"/>
          <w:szCs w:val="28"/>
        </w:rPr>
        <w:t>任何一方由于不可抗力原因不能履行合同时，应在不可抗力事件结束后</w:t>
      </w:r>
      <w:r>
        <w:rPr>
          <w:rFonts w:hint="eastAsia" w:ascii="仿宋_GB2312" w:eastAsia="仿宋_GB2312" w:hAnsiTheme="minorEastAsia"/>
          <w:bCs/>
          <w:color w:val="FF0000"/>
          <w:sz w:val="28"/>
          <w:szCs w:val="28"/>
          <w:u w:val="single"/>
        </w:rPr>
        <w:t>48</w:t>
      </w:r>
      <w:r>
        <w:rPr>
          <w:rFonts w:hint="eastAsia" w:ascii="仿宋_GB2312" w:eastAsia="仿宋_GB2312" w:hAnsiTheme="minorEastAsia"/>
          <w:bCs/>
          <w:sz w:val="28"/>
          <w:szCs w:val="28"/>
        </w:rPr>
        <w:t>小时内向对方通报，以减轻可能给对方造成的损失，在取得有关机构的不可抗力证明或双方谅解确认后，允许延期履行或修订合同，并根据情况可部分或全部免于承担违约责任。</w:t>
      </w:r>
    </w:p>
    <w:p w14:paraId="0C1DA52D">
      <w:pPr>
        <w:pStyle w:val="230"/>
        <w:numPr>
          <w:ilvl w:val="0"/>
          <w:numId w:val="12"/>
        </w:numPr>
        <w:tabs>
          <w:tab w:val="left" w:pos="0"/>
        </w:tabs>
        <w:adjustRightInd w:val="0"/>
        <w:spacing w:before="120" w:beforeLines="50" w:after="120" w:afterLines="50" w:line="360" w:lineRule="auto"/>
        <w:ind w:firstLineChars="0"/>
        <w:outlineLvl w:val="0"/>
        <w:rPr>
          <w:rFonts w:ascii="仿宋_GB2312" w:eastAsia="仿宋_GB2312" w:hAnsiTheme="minorEastAsia"/>
          <w:b/>
          <w:sz w:val="28"/>
          <w:szCs w:val="28"/>
        </w:rPr>
      </w:pPr>
      <w:r>
        <w:rPr>
          <w:rFonts w:hint="eastAsia" w:ascii="仿宋_GB2312" w:eastAsia="仿宋_GB2312" w:hAnsiTheme="minorEastAsia"/>
          <w:b/>
          <w:sz w:val="28"/>
          <w:szCs w:val="28"/>
        </w:rPr>
        <w:t>保密义务</w:t>
      </w:r>
    </w:p>
    <w:p w14:paraId="10015FBF">
      <w:pPr>
        <w:tabs>
          <w:tab w:val="left" w:pos="510"/>
        </w:tabs>
        <w:spacing w:line="360" w:lineRule="auto"/>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乙方需与甲方签订《</w:t>
      </w:r>
      <w:r>
        <w:rPr>
          <w:rFonts w:hint="eastAsia" w:ascii="仿宋_GB2312" w:eastAsia="仿宋_GB2312" w:hAnsiTheme="minorEastAsia"/>
          <w:color w:val="FF0000"/>
          <w:sz w:val="28"/>
          <w:szCs w:val="28"/>
        </w:rPr>
        <w:t>XXX</w:t>
      </w:r>
      <w:r>
        <w:rPr>
          <w:rFonts w:hint="eastAsia" w:ascii="仿宋_GB2312" w:eastAsia="仿宋_GB2312" w:hAnsiTheme="minorEastAsia"/>
          <w:sz w:val="28"/>
          <w:szCs w:val="28"/>
        </w:rPr>
        <w:t>网络和信息安全协议》，其工作人员对涉及甲方的数据及其他资料负有保密义务。未经甲方许可，不得复印、复制或从事其他可能损害甲方利益的活动。如因乙方过失，造成甲方的数据及其它资料涉密，甲方保留追究乙方法律责任的权利。</w:t>
      </w:r>
      <w:bookmarkStart w:id="47" w:name="_Toc78604618"/>
    </w:p>
    <w:bookmarkEnd w:id="47"/>
    <w:p w14:paraId="1E793319">
      <w:pPr>
        <w:pStyle w:val="230"/>
        <w:numPr>
          <w:ilvl w:val="0"/>
          <w:numId w:val="12"/>
        </w:numPr>
        <w:tabs>
          <w:tab w:val="left" w:pos="0"/>
        </w:tabs>
        <w:adjustRightInd w:val="0"/>
        <w:spacing w:before="120" w:beforeLines="50" w:after="120" w:afterLines="50" w:line="360" w:lineRule="auto"/>
        <w:ind w:firstLineChars="0"/>
        <w:outlineLvl w:val="0"/>
        <w:rPr>
          <w:rFonts w:ascii="仿宋_GB2312" w:eastAsia="仿宋_GB2312" w:hAnsiTheme="minorEastAsia"/>
          <w:b/>
          <w:sz w:val="28"/>
          <w:szCs w:val="28"/>
        </w:rPr>
      </w:pPr>
      <w:r>
        <w:rPr>
          <w:rFonts w:hint="eastAsia" w:ascii="仿宋_GB2312" w:eastAsia="仿宋_GB2312" w:hAnsiTheme="minorEastAsia"/>
          <w:b/>
          <w:sz w:val="28"/>
          <w:szCs w:val="28"/>
        </w:rPr>
        <w:t>合同生效及其他</w:t>
      </w:r>
    </w:p>
    <w:p w14:paraId="0DC234B9">
      <w:pPr>
        <w:numPr>
          <w:ilvl w:val="1"/>
          <w:numId w:val="20"/>
        </w:numPr>
        <w:spacing w:line="360" w:lineRule="auto"/>
        <w:rPr>
          <w:rFonts w:ascii="仿宋_GB2312" w:eastAsia="仿宋_GB2312" w:hAnsiTheme="minorEastAsia"/>
          <w:sz w:val="28"/>
          <w:szCs w:val="28"/>
        </w:rPr>
      </w:pPr>
      <w:r>
        <w:rPr>
          <w:rFonts w:hint="eastAsia" w:ascii="仿宋_GB2312" w:eastAsia="仿宋_GB2312" w:hAnsiTheme="minorEastAsia"/>
          <w:sz w:val="28"/>
          <w:szCs w:val="28"/>
        </w:rPr>
        <w:t>本合同书一式</w:t>
      </w:r>
      <w:r>
        <w:rPr>
          <w:rFonts w:hint="eastAsia" w:ascii="仿宋_GB2312" w:eastAsia="仿宋_GB2312" w:hAnsiTheme="minorEastAsia"/>
          <w:color w:val="FF0000"/>
          <w:sz w:val="28"/>
          <w:szCs w:val="28"/>
        </w:rPr>
        <w:t>肆</w:t>
      </w:r>
      <w:r>
        <w:rPr>
          <w:rFonts w:hint="eastAsia" w:ascii="仿宋_GB2312" w:eastAsia="仿宋_GB2312" w:hAnsiTheme="minorEastAsia"/>
          <w:sz w:val="28"/>
          <w:szCs w:val="28"/>
        </w:rPr>
        <w:t>份，甲方执</w:t>
      </w:r>
      <w:r>
        <w:rPr>
          <w:rFonts w:hint="eastAsia" w:ascii="仿宋_GB2312" w:eastAsia="仿宋_GB2312" w:hAnsiTheme="minorEastAsia"/>
          <w:color w:val="FF0000"/>
          <w:sz w:val="28"/>
          <w:szCs w:val="28"/>
        </w:rPr>
        <w:t>叁</w:t>
      </w:r>
      <w:r>
        <w:rPr>
          <w:rFonts w:hint="eastAsia" w:ascii="仿宋_GB2312" w:eastAsia="仿宋_GB2312" w:hAnsiTheme="minorEastAsia"/>
          <w:sz w:val="28"/>
          <w:szCs w:val="28"/>
        </w:rPr>
        <w:t>份，乙方执</w:t>
      </w:r>
      <w:r>
        <w:rPr>
          <w:rFonts w:hint="eastAsia" w:ascii="仿宋_GB2312" w:eastAsia="仿宋_GB2312" w:hAnsiTheme="minorEastAsia"/>
          <w:color w:val="FF0000"/>
          <w:sz w:val="28"/>
          <w:szCs w:val="28"/>
        </w:rPr>
        <w:t>壹</w:t>
      </w:r>
      <w:r>
        <w:rPr>
          <w:rFonts w:hint="eastAsia" w:ascii="仿宋_GB2312" w:eastAsia="仿宋_GB2312" w:hAnsiTheme="minorEastAsia"/>
          <w:sz w:val="28"/>
          <w:szCs w:val="28"/>
        </w:rPr>
        <w:t>份，自甲乙双方法人代表或其授权代表签字盖章后生效。</w:t>
      </w:r>
    </w:p>
    <w:p w14:paraId="2CF00D86">
      <w:pPr>
        <w:numPr>
          <w:ilvl w:val="1"/>
          <w:numId w:val="20"/>
        </w:numPr>
        <w:spacing w:line="360" w:lineRule="auto"/>
        <w:rPr>
          <w:rFonts w:ascii="仿宋_GB2312" w:eastAsia="仿宋_GB2312" w:hAnsiTheme="minorEastAsia"/>
          <w:sz w:val="28"/>
          <w:szCs w:val="28"/>
        </w:rPr>
      </w:pPr>
      <w:r>
        <w:rPr>
          <w:rFonts w:hint="eastAsia" w:ascii="仿宋_GB2312" w:eastAsia="仿宋_GB2312" w:hAnsiTheme="minorEastAsia"/>
          <w:sz w:val="28"/>
          <w:szCs w:val="28"/>
        </w:rPr>
        <w:t>项目的招标文件、答疑及补充通知、乙方的投标文件均为本合同的组成部分。</w:t>
      </w:r>
    </w:p>
    <w:p w14:paraId="018F587F">
      <w:pPr>
        <w:numPr>
          <w:ilvl w:val="1"/>
          <w:numId w:val="20"/>
        </w:numPr>
        <w:spacing w:line="360" w:lineRule="auto"/>
        <w:rPr>
          <w:rFonts w:ascii="仿宋_GB2312" w:eastAsia="仿宋_GB2312" w:hAnsiTheme="minorEastAsia"/>
          <w:sz w:val="28"/>
          <w:szCs w:val="28"/>
        </w:rPr>
      </w:pPr>
      <w:r>
        <w:rPr>
          <w:rFonts w:hint="eastAsia" w:ascii="仿宋_GB2312" w:eastAsia="仿宋_GB2312" w:hAnsiTheme="minorEastAsia"/>
          <w:sz w:val="28"/>
          <w:szCs w:val="28"/>
        </w:rPr>
        <w:t>本合同未尽事宜，双方可另行补充。</w:t>
      </w:r>
    </w:p>
    <w:p w14:paraId="3D4274A8">
      <w:pPr>
        <w:pStyle w:val="230"/>
        <w:numPr>
          <w:ilvl w:val="0"/>
          <w:numId w:val="12"/>
        </w:numPr>
        <w:tabs>
          <w:tab w:val="left" w:pos="0"/>
        </w:tabs>
        <w:adjustRightInd w:val="0"/>
        <w:spacing w:before="120" w:beforeLines="50" w:after="120" w:afterLines="50" w:line="360" w:lineRule="auto"/>
        <w:ind w:firstLineChars="0"/>
        <w:outlineLvl w:val="0"/>
        <w:rPr>
          <w:rFonts w:ascii="仿宋_GB2312" w:eastAsia="仿宋_GB2312" w:hAnsiTheme="minorEastAsia"/>
          <w:b/>
          <w:sz w:val="28"/>
          <w:szCs w:val="28"/>
        </w:rPr>
      </w:pPr>
      <w:r>
        <w:rPr>
          <w:rFonts w:hint="eastAsia" w:ascii="仿宋_GB2312" w:eastAsia="仿宋_GB2312" w:hAnsiTheme="minorEastAsia"/>
          <w:b/>
          <w:sz w:val="28"/>
          <w:szCs w:val="28"/>
        </w:rPr>
        <w:t>本合同附件</w:t>
      </w:r>
    </w:p>
    <w:p w14:paraId="203F6824">
      <w:pPr>
        <w:spacing w:line="360" w:lineRule="auto"/>
        <w:rPr>
          <w:rFonts w:ascii="仿宋_GB2312" w:eastAsia="仿宋_GB2312" w:hAnsiTheme="minorEastAsia"/>
          <w:sz w:val="28"/>
          <w:szCs w:val="28"/>
        </w:rPr>
      </w:pPr>
      <w:r>
        <w:rPr>
          <w:rFonts w:hint="eastAsia" w:ascii="仿宋_GB2312" w:eastAsia="仿宋_GB2312" w:hAnsiTheme="minorEastAsia"/>
          <w:sz w:val="28"/>
          <w:szCs w:val="28"/>
        </w:rPr>
        <w:t>以下附件作为本合同的补充内容，具有同等法律效力。</w:t>
      </w:r>
    </w:p>
    <w:p w14:paraId="58D87062">
      <w:pPr>
        <w:spacing w:line="360" w:lineRule="auto"/>
        <w:rPr>
          <w:rFonts w:ascii="仿宋_GB2312" w:eastAsia="仿宋_GB2312" w:hAnsiTheme="minorEastAsia"/>
          <w:sz w:val="28"/>
          <w:szCs w:val="28"/>
        </w:rPr>
      </w:pPr>
      <w:r>
        <w:rPr>
          <w:rFonts w:hint="eastAsia" w:ascii="仿宋_GB2312" w:eastAsia="仿宋_GB2312" w:hAnsiTheme="minorEastAsia"/>
          <w:sz w:val="28"/>
          <w:szCs w:val="28"/>
        </w:rPr>
        <w:t>附件1：</w:t>
      </w:r>
      <w:r>
        <w:rPr>
          <w:rFonts w:hint="eastAsia" w:ascii="仿宋_GB2312" w:eastAsia="仿宋_GB2312" w:hAnsiTheme="minorEastAsia"/>
          <w:color w:val="FF0000"/>
          <w:sz w:val="28"/>
          <w:szCs w:val="28"/>
        </w:rPr>
        <w:t>XXX</w:t>
      </w:r>
      <w:r>
        <w:rPr>
          <w:rFonts w:hint="eastAsia" w:ascii="仿宋_GB2312" w:eastAsia="仿宋_GB2312" w:hAnsiTheme="minorEastAsia"/>
          <w:sz w:val="28"/>
          <w:szCs w:val="28"/>
        </w:rPr>
        <w:t>医院网络和信息安全协议；</w:t>
      </w:r>
    </w:p>
    <w:p w14:paraId="7C00CD53">
      <w:pPr>
        <w:spacing w:line="360" w:lineRule="auto"/>
        <w:rPr>
          <w:rFonts w:ascii="仿宋_GB2312" w:eastAsia="仿宋_GB2312" w:hAnsiTheme="minorEastAsia"/>
          <w:sz w:val="28"/>
          <w:szCs w:val="28"/>
        </w:rPr>
      </w:pPr>
      <w:r>
        <w:rPr>
          <w:rFonts w:ascii="仿宋_GB2312" w:eastAsia="仿宋_GB2312" w:hAnsiTheme="minorEastAsia"/>
          <w:sz w:val="28"/>
          <w:szCs w:val="28"/>
        </w:rPr>
        <w:t>附件</w:t>
      </w:r>
      <w:r>
        <w:rPr>
          <w:rFonts w:hint="eastAsia" w:ascii="仿宋_GB2312" w:eastAsia="仿宋_GB2312" w:hAnsiTheme="minorEastAsia"/>
          <w:sz w:val="28"/>
          <w:szCs w:val="28"/>
        </w:rPr>
        <w:t>2：龙岗区进一步规范政商交往行为“十个不得”告知书</w:t>
      </w:r>
    </w:p>
    <w:p w14:paraId="0E174DA1">
      <w:pPr>
        <w:tabs>
          <w:tab w:val="left" w:pos="510"/>
        </w:tabs>
        <w:spacing w:line="360" w:lineRule="auto"/>
        <w:rPr>
          <w:rFonts w:ascii="仿宋_GB2312" w:eastAsia="仿宋_GB2312" w:hAnsiTheme="minorEastAsia"/>
          <w:sz w:val="28"/>
          <w:szCs w:val="28"/>
        </w:rPr>
      </w:pPr>
      <w:r>
        <w:rPr>
          <w:rFonts w:hint="eastAsia" w:ascii="仿宋_GB2312" w:eastAsia="仿宋_GB2312" w:hAnsiTheme="minorEastAsia"/>
          <w:sz w:val="28"/>
          <w:szCs w:val="28"/>
        </w:rPr>
        <w:t>（以下签章区域无正文）</w:t>
      </w:r>
    </w:p>
    <w:p w14:paraId="70CCC243">
      <w:pPr>
        <w:widowControl/>
        <w:jc w:val="left"/>
        <w:rPr>
          <w:rFonts w:ascii="仿宋_GB2312" w:eastAsia="仿宋_GB2312" w:hAnsiTheme="minorEastAsia"/>
          <w:sz w:val="28"/>
          <w:szCs w:val="28"/>
        </w:rPr>
      </w:pPr>
      <w:r>
        <w:rPr>
          <w:rFonts w:ascii="仿宋_GB2312" w:eastAsia="仿宋_GB2312" w:hAnsiTheme="minorEastAsia"/>
          <w:sz w:val="28"/>
          <w:szCs w:val="28"/>
        </w:rPr>
        <w:br w:type="page"/>
      </w:r>
    </w:p>
    <w:p w14:paraId="27371BE4">
      <w:pPr>
        <w:rPr>
          <w:rFonts w:ascii="仿宋_GB2312" w:eastAsia="仿宋_GB2312" w:hAnsiTheme="minorEastAsia"/>
          <w:sz w:val="28"/>
          <w:szCs w:val="28"/>
        </w:rPr>
      </w:pPr>
      <w:r>
        <w:rPr>
          <w:rFonts w:hint="eastAsia" w:ascii="仿宋_GB2312" w:eastAsia="仿宋_GB2312" w:hAnsiTheme="minorEastAsia"/>
          <w:sz w:val="28"/>
          <w:szCs w:val="28"/>
        </w:rPr>
        <w:t>（本页无正文，为合同签署页）</w:t>
      </w:r>
    </w:p>
    <w:p w14:paraId="0F1111DE">
      <w:pPr>
        <w:rPr>
          <w:rFonts w:ascii="仿宋_GB2312" w:eastAsia="仿宋_GB2312" w:hAnsiTheme="minorEastAsia"/>
          <w:sz w:val="28"/>
          <w:szCs w:val="28"/>
        </w:rPr>
      </w:pPr>
    </w:p>
    <w:p w14:paraId="2A1BD83F">
      <w:pPr>
        <w:rPr>
          <w:rFonts w:ascii="仿宋_GB2312" w:eastAsia="仿宋_GB2312" w:hAnsiTheme="minorEastAsia"/>
          <w:sz w:val="28"/>
          <w:szCs w:val="28"/>
        </w:rPr>
      </w:pPr>
    </w:p>
    <w:p w14:paraId="0A47D3A0">
      <w:pPr>
        <w:rPr>
          <w:rFonts w:ascii="仿宋_GB2312" w:eastAsia="仿宋_GB2312" w:hAnsiTheme="minorEastAsia"/>
          <w:sz w:val="28"/>
          <w:szCs w:val="28"/>
        </w:rPr>
      </w:pPr>
    </w:p>
    <w:p w14:paraId="514CEABC">
      <w:pPr>
        <w:rPr>
          <w:rFonts w:ascii="仿宋_GB2312" w:eastAsia="仿宋_GB2312" w:hAnsiTheme="minorEastAsia"/>
          <w:sz w:val="28"/>
          <w:szCs w:val="28"/>
        </w:rPr>
      </w:pPr>
    </w:p>
    <w:tbl>
      <w:tblPr>
        <w:tblStyle w:val="44"/>
        <w:tblW w:w="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3"/>
        <w:gridCol w:w="4757"/>
      </w:tblGrid>
      <w:tr w14:paraId="0DDBA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4603" w:type="dxa"/>
            <w:tcBorders>
              <w:top w:val="single" w:color="auto" w:sz="4" w:space="0"/>
              <w:left w:val="single" w:color="auto" w:sz="4" w:space="0"/>
              <w:bottom w:val="single" w:color="auto" w:sz="4" w:space="0"/>
              <w:right w:val="single" w:color="auto" w:sz="4" w:space="0"/>
            </w:tcBorders>
          </w:tcPr>
          <w:p w14:paraId="57E7F27C">
            <w:pPr>
              <w:spacing w:line="480" w:lineRule="auto"/>
              <w:rPr>
                <w:rFonts w:ascii="仿宋_GB2312" w:eastAsia="仿宋_GB2312" w:hAnsiTheme="minorEastAsia"/>
                <w:b/>
                <w:sz w:val="28"/>
                <w:szCs w:val="28"/>
              </w:rPr>
            </w:pPr>
            <w:r>
              <w:rPr>
                <w:rFonts w:hint="eastAsia" w:ascii="仿宋_GB2312" w:eastAsia="仿宋_GB2312" w:hAnsiTheme="minorEastAsia"/>
                <w:b/>
                <w:sz w:val="28"/>
                <w:szCs w:val="28"/>
              </w:rPr>
              <w:t>甲方（盖章并加盖骑缝章）：深圳市</w:t>
            </w:r>
            <w:r>
              <w:rPr>
                <w:rFonts w:hint="eastAsia" w:ascii="仿宋_GB2312" w:eastAsia="仿宋_GB2312" w:hAnsiTheme="minorEastAsia"/>
                <w:color w:val="FF0000"/>
                <w:sz w:val="28"/>
                <w:szCs w:val="28"/>
              </w:rPr>
              <w:t>XXX</w:t>
            </w:r>
            <w:r>
              <w:rPr>
                <w:rFonts w:hint="eastAsia" w:ascii="仿宋_GB2312" w:eastAsia="仿宋_GB2312" w:hAnsiTheme="minorEastAsia"/>
                <w:b/>
                <w:sz w:val="28"/>
                <w:szCs w:val="28"/>
              </w:rPr>
              <w:t>医院</w:t>
            </w:r>
          </w:p>
          <w:p w14:paraId="681F0D3F">
            <w:pPr>
              <w:spacing w:line="360" w:lineRule="auto"/>
              <w:rPr>
                <w:rFonts w:ascii="仿宋_GB2312" w:eastAsia="仿宋_GB2312" w:hAnsiTheme="minorEastAsia"/>
                <w:sz w:val="28"/>
                <w:szCs w:val="28"/>
                <w:u w:val="dotted"/>
              </w:rPr>
            </w:pPr>
            <w:r>
              <w:rPr>
                <w:rFonts w:hint="eastAsia" w:ascii="仿宋_GB2312" w:eastAsia="仿宋_GB2312" w:hAnsiTheme="minorEastAsia"/>
                <w:sz w:val="28"/>
                <w:szCs w:val="28"/>
              </w:rPr>
              <w:t>法定代表人或授权代表：</w:t>
            </w:r>
            <w:r>
              <w:rPr>
                <w:rFonts w:hint="eastAsia" w:ascii="仿宋_GB2312" w:eastAsia="仿宋_GB2312" w:hAnsiTheme="minorEastAsia"/>
                <w:sz w:val="28"/>
                <w:szCs w:val="28"/>
                <w:u w:val="dotted"/>
              </w:rPr>
              <w:t xml:space="preserve">          </w:t>
            </w:r>
          </w:p>
          <w:p w14:paraId="01509EDD">
            <w:pPr>
              <w:spacing w:line="360" w:lineRule="auto"/>
              <w:rPr>
                <w:rFonts w:ascii="仿宋_GB2312" w:eastAsia="仿宋_GB2312" w:hAnsiTheme="minorEastAsia"/>
                <w:sz w:val="28"/>
                <w:szCs w:val="28"/>
                <w:u w:val="dotted"/>
              </w:rPr>
            </w:pPr>
            <w:r>
              <w:rPr>
                <w:rFonts w:hint="eastAsia" w:ascii="仿宋_GB2312" w:eastAsia="仿宋_GB2312" w:hAnsiTheme="minorEastAsia"/>
                <w:sz w:val="28"/>
                <w:szCs w:val="28"/>
                <w:u w:val="dotted"/>
              </w:rPr>
              <w:t xml:space="preserve">                                </w:t>
            </w:r>
            <w:r>
              <w:rPr>
                <w:rFonts w:hint="eastAsia" w:ascii="仿宋_GB2312" w:eastAsia="仿宋_GB2312" w:hAnsiTheme="minorEastAsia"/>
                <w:sz w:val="28"/>
                <w:szCs w:val="28"/>
              </w:rPr>
              <w:t xml:space="preserve"> </w:t>
            </w:r>
          </w:p>
          <w:p w14:paraId="4F9774CE">
            <w:pPr>
              <w:spacing w:line="360" w:lineRule="auto"/>
              <w:rPr>
                <w:rFonts w:ascii="仿宋_GB2312" w:eastAsia="仿宋_GB2312" w:hAnsiTheme="minorEastAsia"/>
                <w:color w:val="FF0000"/>
                <w:sz w:val="28"/>
                <w:szCs w:val="28"/>
              </w:rPr>
            </w:pPr>
            <w:r>
              <w:rPr>
                <w:rFonts w:hint="eastAsia" w:ascii="仿宋_GB2312" w:eastAsia="仿宋_GB2312" w:cs="宋体" w:hAnsiTheme="minorEastAsia"/>
                <w:color w:val="000000"/>
                <w:kern w:val="0"/>
                <w:sz w:val="28"/>
                <w:szCs w:val="28"/>
              </w:rPr>
              <w:t>地址：深圳市龙岗区</w:t>
            </w:r>
            <w:r>
              <w:rPr>
                <w:rFonts w:hint="eastAsia" w:ascii="仿宋_GB2312" w:eastAsia="仿宋_GB2312" w:hAnsiTheme="minorEastAsia"/>
                <w:color w:val="FF0000"/>
                <w:sz w:val="28"/>
                <w:szCs w:val="28"/>
              </w:rPr>
              <w:t>XXX</w:t>
            </w:r>
          </w:p>
          <w:p w14:paraId="12F376B0">
            <w:pPr>
              <w:spacing w:line="360" w:lineRule="auto"/>
              <w:rPr>
                <w:rFonts w:ascii="仿宋_GB2312" w:eastAsia="仿宋_GB2312" w:hAnsiTheme="minorEastAsia"/>
                <w:sz w:val="28"/>
                <w:szCs w:val="28"/>
              </w:rPr>
            </w:pPr>
            <w:r>
              <w:rPr>
                <w:rFonts w:hint="eastAsia" w:ascii="仿宋_GB2312" w:eastAsia="仿宋_GB2312" w:hAnsiTheme="minorEastAsia"/>
                <w:sz w:val="28"/>
                <w:szCs w:val="28"/>
              </w:rPr>
              <w:t>电话：0755-84806933</w:t>
            </w:r>
          </w:p>
          <w:p w14:paraId="19E6D0A0">
            <w:pPr>
              <w:spacing w:line="360" w:lineRule="auto"/>
              <w:rPr>
                <w:rFonts w:ascii="仿宋_GB2312" w:eastAsia="仿宋_GB2312" w:hAnsiTheme="minorEastAsia"/>
                <w:sz w:val="28"/>
                <w:szCs w:val="28"/>
              </w:rPr>
            </w:pPr>
            <w:r>
              <w:rPr>
                <w:rFonts w:hint="eastAsia" w:ascii="仿宋_GB2312" w:eastAsia="仿宋_GB2312" w:hAnsiTheme="minorEastAsia"/>
                <w:sz w:val="28"/>
                <w:szCs w:val="28"/>
              </w:rPr>
              <w:t>开户行：深圳农村商业银行大和支行</w:t>
            </w:r>
          </w:p>
          <w:p w14:paraId="5497BC6C">
            <w:pPr>
              <w:spacing w:line="360" w:lineRule="auto"/>
              <w:rPr>
                <w:rFonts w:ascii="仿宋_GB2312" w:eastAsia="仿宋_GB2312" w:hAnsiTheme="minorEastAsia"/>
                <w:sz w:val="28"/>
                <w:szCs w:val="28"/>
              </w:rPr>
            </w:pPr>
            <w:r>
              <w:rPr>
                <w:rFonts w:hint="eastAsia" w:ascii="仿宋_GB2312" w:eastAsia="仿宋_GB2312" w:hAnsiTheme="minorEastAsia"/>
                <w:sz w:val="28"/>
                <w:szCs w:val="28"/>
              </w:rPr>
              <w:t>帐  号：000070583741</w:t>
            </w:r>
          </w:p>
          <w:p w14:paraId="38520329">
            <w:pPr>
              <w:spacing w:line="360" w:lineRule="auto"/>
              <w:jc w:val="left"/>
              <w:rPr>
                <w:rFonts w:ascii="仿宋_GB2312" w:eastAsia="仿宋_GB2312" w:cs="宋体" w:hAnsiTheme="minorEastAsia"/>
                <w:color w:val="000000"/>
                <w:kern w:val="0"/>
                <w:sz w:val="28"/>
                <w:szCs w:val="28"/>
              </w:rPr>
            </w:pPr>
            <w:r>
              <w:rPr>
                <w:rFonts w:hint="eastAsia" w:ascii="仿宋_GB2312" w:eastAsia="仿宋_GB2312" w:cs="宋体" w:hAnsiTheme="minorEastAsia"/>
                <w:color w:val="000000"/>
                <w:kern w:val="0"/>
                <w:sz w:val="28"/>
                <w:szCs w:val="28"/>
              </w:rPr>
              <w:t>统一社会信用代码</w:t>
            </w:r>
          </w:p>
          <w:p w14:paraId="4FCEFD2C">
            <w:pPr>
              <w:spacing w:line="360" w:lineRule="auto"/>
              <w:jc w:val="left"/>
              <w:rPr>
                <w:rFonts w:ascii="仿宋_GB2312" w:eastAsia="仿宋_GB2312" w:hAnsiTheme="minorEastAsia"/>
                <w:sz w:val="28"/>
                <w:szCs w:val="28"/>
              </w:rPr>
            </w:pPr>
            <w:r>
              <w:rPr>
                <w:rFonts w:hint="eastAsia" w:ascii="仿宋_GB2312" w:eastAsia="仿宋_GB2312" w:cs="宋体" w:hAnsiTheme="minorEastAsia"/>
                <w:color w:val="000000"/>
                <w:kern w:val="0"/>
                <w:sz w:val="28"/>
                <w:szCs w:val="28"/>
              </w:rPr>
              <w:t>：</w:t>
            </w:r>
            <w:r>
              <w:rPr>
                <w:rFonts w:hint="eastAsia" w:ascii="仿宋_GB2312" w:eastAsia="仿宋_GB2312" w:hAnsiTheme="minorEastAsia"/>
                <w:sz w:val="28"/>
                <w:szCs w:val="28"/>
              </w:rPr>
              <w:t>124403074558354773</w:t>
            </w:r>
          </w:p>
        </w:tc>
        <w:tc>
          <w:tcPr>
            <w:tcW w:w="4757" w:type="dxa"/>
            <w:tcBorders>
              <w:top w:val="single" w:color="auto" w:sz="4" w:space="0"/>
              <w:left w:val="single" w:color="auto" w:sz="4" w:space="0"/>
              <w:bottom w:val="single" w:color="auto" w:sz="4" w:space="0"/>
              <w:right w:val="single" w:color="auto" w:sz="4" w:space="0"/>
            </w:tcBorders>
          </w:tcPr>
          <w:p w14:paraId="098EE2AC">
            <w:pPr>
              <w:spacing w:line="480" w:lineRule="auto"/>
              <w:rPr>
                <w:rFonts w:ascii="仿宋_GB2312" w:eastAsia="仿宋_GB2312" w:hAnsiTheme="minorEastAsia"/>
                <w:b/>
                <w:sz w:val="28"/>
                <w:szCs w:val="28"/>
              </w:rPr>
            </w:pPr>
            <w:r>
              <w:rPr>
                <w:rFonts w:hint="eastAsia" w:ascii="仿宋_GB2312" w:eastAsia="仿宋_GB2312" w:hAnsiTheme="minorEastAsia"/>
                <w:b/>
                <w:sz w:val="28"/>
                <w:szCs w:val="28"/>
              </w:rPr>
              <w:t xml:space="preserve">乙方（盖章并加盖骑缝章）：                  </w:t>
            </w:r>
          </w:p>
          <w:p w14:paraId="0375C6E5">
            <w:pPr>
              <w:spacing w:line="480" w:lineRule="auto"/>
              <w:rPr>
                <w:rFonts w:ascii="仿宋_GB2312" w:eastAsia="仿宋_GB2312" w:hAnsiTheme="minorEastAsia"/>
                <w:b/>
                <w:sz w:val="28"/>
                <w:szCs w:val="28"/>
              </w:rPr>
            </w:pPr>
          </w:p>
          <w:p w14:paraId="00CEAA43">
            <w:pPr>
              <w:spacing w:line="360" w:lineRule="auto"/>
              <w:rPr>
                <w:rFonts w:ascii="仿宋_GB2312" w:eastAsia="仿宋_GB2312" w:hAnsiTheme="minorEastAsia"/>
                <w:sz w:val="28"/>
                <w:szCs w:val="28"/>
                <w:u w:val="dotted"/>
              </w:rPr>
            </w:pPr>
            <w:r>
              <w:rPr>
                <w:rFonts w:hint="eastAsia" w:ascii="仿宋_GB2312" w:eastAsia="仿宋_GB2312" w:hAnsiTheme="minorEastAsia"/>
                <w:sz w:val="28"/>
                <w:szCs w:val="28"/>
              </w:rPr>
              <w:t>法定代表人或授权代表：</w:t>
            </w:r>
            <w:r>
              <w:rPr>
                <w:rFonts w:hint="eastAsia" w:ascii="仿宋_GB2312" w:eastAsia="仿宋_GB2312" w:hAnsiTheme="minorEastAsia"/>
                <w:sz w:val="28"/>
                <w:szCs w:val="28"/>
                <w:u w:val="dotted"/>
              </w:rPr>
              <w:t xml:space="preserve">           </w:t>
            </w:r>
          </w:p>
          <w:p w14:paraId="55F5A2AA">
            <w:pPr>
              <w:spacing w:line="360" w:lineRule="auto"/>
              <w:rPr>
                <w:rFonts w:ascii="仿宋_GB2312" w:eastAsia="仿宋_GB2312" w:hAnsiTheme="minorEastAsia"/>
                <w:sz w:val="28"/>
                <w:szCs w:val="28"/>
              </w:rPr>
            </w:pPr>
            <w:r>
              <w:rPr>
                <w:rFonts w:hint="eastAsia" w:ascii="仿宋_GB2312" w:eastAsia="仿宋_GB2312" w:hAnsiTheme="minorEastAsia"/>
                <w:sz w:val="28"/>
                <w:szCs w:val="28"/>
                <w:u w:val="dotted"/>
              </w:rPr>
              <w:t xml:space="preserve">                                 </w:t>
            </w:r>
            <w:r>
              <w:rPr>
                <w:rFonts w:hint="eastAsia" w:ascii="仿宋_GB2312" w:eastAsia="仿宋_GB2312" w:hAnsiTheme="minorEastAsia"/>
                <w:sz w:val="28"/>
                <w:szCs w:val="28"/>
              </w:rPr>
              <w:t xml:space="preserve">                </w:t>
            </w:r>
          </w:p>
          <w:p w14:paraId="5C1C35C7">
            <w:pPr>
              <w:spacing w:line="360" w:lineRule="auto"/>
              <w:rPr>
                <w:rFonts w:ascii="仿宋_GB2312" w:eastAsia="仿宋_GB2312" w:hAnsiTheme="minorEastAsia"/>
                <w:sz w:val="28"/>
                <w:szCs w:val="28"/>
              </w:rPr>
            </w:pPr>
            <w:r>
              <w:rPr>
                <w:rFonts w:hint="eastAsia" w:ascii="仿宋_GB2312" w:eastAsia="仿宋_GB2312" w:hAnsiTheme="minorEastAsia"/>
                <w:color w:val="FF0000"/>
                <w:sz w:val="28"/>
                <w:szCs w:val="28"/>
              </w:rPr>
              <w:t>地址：</w:t>
            </w:r>
            <w:r>
              <w:rPr>
                <w:rFonts w:hint="eastAsia" w:ascii="仿宋_GB2312" w:eastAsia="仿宋_GB2312" w:hAnsiTheme="minorEastAsia"/>
                <w:sz w:val="28"/>
                <w:szCs w:val="28"/>
              </w:rPr>
              <w:t xml:space="preserve">                               </w:t>
            </w:r>
          </w:p>
          <w:p w14:paraId="1DE00529">
            <w:pPr>
              <w:spacing w:line="360" w:lineRule="auto"/>
              <w:rPr>
                <w:rFonts w:ascii="仿宋_GB2312" w:eastAsia="仿宋_GB2312" w:hAnsiTheme="minorEastAsia"/>
                <w:sz w:val="28"/>
                <w:szCs w:val="28"/>
              </w:rPr>
            </w:pPr>
            <w:r>
              <w:rPr>
                <w:rFonts w:hint="eastAsia" w:ascii="仿宋_GB2312" w:eastAsia="仿宋_GB2312" w:hAnsiTheme="minorEastAsia"/>
                <w:sz w:val="28"/>
                <w:szCs w:val="28"/>
              </w:rPr>
              <w:t xml:space="preserve">       </w:t>
            </w:r>
          </w:p>
          <w:p w14:paraId="56968C80">
            <w:pPr>
              <w:spacing w:line="360" w:lineRule="auto"/>
              <w:rPr>
                <w:rFonts w:ascii="仿宋_GB2312" w:eastAsia="仿宋_GB2312" w:hAnsiTheme="minorEastAsia"/>
                <w:color w:val="FF0000"/>
                <w:sz w:val="28"/>
                <w:szCs w:val="28"/>
              </w:rPr>
            </w:pPr>
            <w:r>
              <w:rPr>
                <w:rFonts w:hint="eastAsia" w:ascii="仿宋_GB2312" w:eastAsia="仿宋_GB2312" w:hAnsiTheme="minorEastAsia"/>
                <w:color w:val="FF0000"/>
                <w:sz w:val="28"/>
                <w:szCs w:val="28"/>
              </w:rPr>
              <w:t>电话：</w:t>
            </w:r>
          </w:p>
          <w:p w14:paraId="524A996F">
            <w:pPr>
              <w:spacing w:line="360" w:lineRule="auto"/>
              <w:rPr>
                <w:rFonts w:ascii="仿宋_GB2312" w:eastAsia="仿宋_GB2312" w:hAnsiTheme="minorEastAsia"/>
                <w:color w:val="FF0000"/>
                <w:sz w:val="28"/>
                <w:szCs w:val="28"/>
              </w:rPr>
            </w:pPr>
            <w:r>
              <w:rPr>
                <w:rFonts w:hint="eastAsia" w:ascii="仿宋_GB2312" w:eastAsia="仿宋_GB2312" w:hAnsiTheme="minorEastAsia"/>
                <w:color w:val="FF0000"/>
                <w:sz w:val="28"/>
                <w:szCs w:val="28"/>
              </w:rPr>
              <w:t xml:space="preserve">开户行： </w:t>
            </w:r>
          </w:p>
          <w:p w14:paraId="3720E6EC">
            <w:pPr>
              <w:spacing w:line="360" w:lineRule="auto"/>
              <w:rPr>
                <w:rFonts w:ascii="仿宋_GB2312" w:eastAsia="仿宋_GB2312" w:hAnsiTheme="minorEastAsia"/>
                <w:color w:val="FF0000"/>
                <w:sz w:val="28"/>
                <w:szCs w:val="28"/>
              </w:rPr>
            </w:pPr>
            <w:r>
              <w:rPr>
                <w:rFonts w:hint="eastAsia" w:ascii="仿宋_GB2312" w:eastAsia="仿宋_GB2312" w:hAnsiTheme="minorEastAsia"/>
                <w:color w:val="FF0000"/>
                <w:sz w:val="28"/>
                <w:szCs w:val="28"/>
              </w:rPr>
              <w:t xml:space="preserve">帐  号： </w:t>
            </w:r>
          </w:p>
          <w:p w14:paraId="48AC55AB">
            <w:pPr>
              <w:spacing w:line="360" w:lineRule="auto"/>
              <w:rPr>
                <w:rFonts w:ascii="仿宋_GB2312" w:eastAsia="仿宋_GB2312" w:cs="宋体" w:hAnsiTheme="minorEastAsia"/>
                <w:color w:val="000000"/>
                <w:kern w:val="0"/>
                <w:sz w:val="28"/>
                <w:szCs w:val="28"/>
              </w:rPr>
            </w:pPr>
            <w:r>
              <w:rPr>
                <w:rFonts w:hint="eastAsia" w:ascii="仿宋_GB2312" w:eastAsia="仿宋_GB2312" w:cs="宋体" w:hAnsiTheme="minorEastAsia"/>
                <w:color w:val="000000"/>
                <w:kern w:val="0"/>
                <w:sz w:val="28"/>
                <w:szCs w:val="28"/>
              </w:rPr>
              <w:t>统一社会信用代码</w:t>
            </w:r>
          </w:p>
          <w:p w14:paraId="5861D385">
            <w:pPr>
              <w:spacing w:line="360" w:lineRule="auto"/>
              <w:rPr>
                <w:rFonts w:ascii="仿宋_GB2312" w:eastAsia="仿宋_GB2312" w:cs="宋体" w:hAnsiTheme="minorEastAsia"/>
                <w:color w:val="000000"/>
                <w:kern w:val="0"/>
                <w:sz w:val="28"/>
                <w:szCs w:val="28"/>
              </w:rPr>
            </w:pPr>
            <w:r>
              <w:rPr>
                <w:rFonts w:hint="eastAsia" w:ascii="仿宋_GB2312" w:eastAsia="仿宋_GB2312" w:cs="宋体" w:hAnsiTheme="minorEastAsia"/>
                <w:color w:val="000000"/>
                <w:kern w:val="0"/>
                <w:sz w:val="28"/>
                <w:szCs w:val="28"/>
              </w:rPr>
              <w:t>：</w:t>
            </w:r>
          </w:p>
        </w:tc>
      </w:tr>
    </w:tbl>
    <w:p w14:paraId="3832C3B4">
      <w:pPr>
        <w:rPr>
          <w:rFonts w:ascii="仿宋_GB2312" w:eastAsia="仿宋_GB2312" w:hAnsiTheme="minorEastAsia"/>
          <w:sz w:val="28"/>
          <w:szCs w:val="28"/>
        </w:rPr>
      </w:pPr>
    </w:p>
    <w:p w14:paraId="4DC8BA20">
      <w:pPr>
        <w:rPr>
          <w:rFonts w:ascii="仿宋_GB2312" w:eastAsia="仿宋_GB2312" w:hAnsiTheme="minorEastAsia"/>
          <w:sz w:val="28"/>
          <w:szCs w:val="28"/>
        </w:rPr>
      </w:pPr>
      <w:r>
        <w:rPr>
          <w:rFonts w:hint="eastAsia" w:ascii="仿宋_GB2312" w:eastAsia="仿宋_GB2312" w:hAnsiTheme="minorEastAsia"/>
          <w:sz w:val="28"/>
          <w:szCs w:val="28"/>
        </w:rPr>
        <w:t>签订日期：       年     月     日</w:t>
      </w:r>
    </w:p>
    <w:p w14:paraId="1B4B96FC">
      <w:pPr>
        <w:rPr>
          <w:rFonts w:ascii="仿宋_GB2312" w:eastAsia="仿宋_GB2312" w:hAnsiTheme="minorEastAsia"/>
          <w:sz w:val="28"/>
          <w:szCs w:val="28"/>
        </w:rPr>
      </w:pPr>
      <w:r>
        <w:rPr>
          <w:rFonts w:hint="eastAsia" w:ascii="仿宋_GB2312" w:eastAsia="仿宋_GB2312" w:hAnsiTheme="minorEastAsia"/>
          <w:sz w:val="28"/>
          <w:szCs w:val="28"/>
        </w:rPr>
        <w:t>签约地址：</w:t>
      </w:r>
      <w:r>
        <w:rPr>
          <w:rFonts w:hint="eastAsia" w:ascii="仿宋_GB2312" w:eastAsia="仿宋_GB2312" w:hAnsiTheme="minorEastAsia"/>
          <w:color w:val="FF0000"/>
          <w:sz w:val="28"/>
          <w:szCs w:val="28"/>
        </w:rPr>
        <w:t>XXX</w:t>
      </w:r>
      <w:r>
        <w:rPr>
          <w:rFonts w:hint="eastAsia" w:ascii="仿宋_GB2312" w:eastAsia="仿宋_GB2312" w:hAnsiTheme="minorEastAsia"/>
          <w:sz w:val="28"/>
          <w:szCs w:val="28"/>
        </w:rPr>
        <w:t>医院</w:t>
      </w:r>
    </w:p>
    <w:p w14:paraId="0DFAEBD0">
      <w:pPr>
        <w:widowControl/>
        <w:jc w:val="left"/>
        <w:rPr>
          <w:rFonts w:ascii="仿宋_GB2312" w:eastAsia="仿宋_GB2312" w:hAnsiTheme="minorEastAsia"/>
          <w:sz w:val="24"/>
        </w:rPr>
      </w:pPr>
      <w:r>
        <w:rPr>
          <w:rFonts w:ascii="仿宋_GB2312" w:eastAsia="仿宋_GB2312" w:hAnsiTheme="minorEastAsia"/>
          <w:sz w:val="24"/>
        </w:rPr>
        <w:br w:type="page"/>
      </w:r>
    </w:p>
    <w:p w14:paraId="7DAF6C1E">
      <w:pPr>
        <w:widowControl/>
        <w:spacing w:line="520" w:lineRule="exact"/>
        <w:jc w:val="left"/>
        <w:rPr>
          <w:rFonts w:ascii="方正小标宋简体" w:eastAsia="方正小标宋简体"/>
          <w:sz w:val="36"/>
          <w:szCs w:val="36"/>
        </w:rPr>
      </w:pPr>
      <w:r>
        <w:rPr>
          <w:rFonts w:hint="eastAsia" w:ascii="仿宋_GB2312" w:eastAsia="仿宋_GB2312" w:hAnsiTheme="minorEastAsia"/>
          <w:b/>
          <w:bCs/>
          <w:kern w:val="44"/>
          <w:sz w:val="28"/>
          <w:szCs w:val="28"/>
        </w:rPr>
        <w:t>附件</w:t>
      </w:r>
      <w:r>
        <w:rPr>
          <w:rFonts w:ascii="仿宋_GB2312" w:eastAsia="仿宋_GB2312" w:hAnsiTheme="minorEastAsia"/>
          <w:b/>
          <w:bCs/>
          <w:kern w:val="44"/>
          <w:sz w:val="28"/>
          <w:szCs w:val="28"/>
        </w:rPr>
        <w:t>1</w:t>
      </w:r>
      <w:r>
        <w:rPr>
          <w:rFonts w:hint="eastAsia" w:ascii="仿宋_GB2312" w:eastAsia="仿宋_GB2312" w:hAnsiTheme="minorEastAsia"/>
          <w:b/>
          <w:bCs/>
          <w:kern w:val="44"/>
          <w:sz w:val="28"/>
          <w:szCs w:val="28"/>
        </w:rPr>
        <w:t>：</w:t>
      </w:r>
    </w:p>
    <w:p w14:paraId="4753F388">
      <w:pPr>
        <w:spacing w:after="120" w:afterLines="50" w:line="480" w:lineRule="auto"/>
        <w:jc w:val="center"/>
        <w:rPr>
          <w:rFonts w:ascii="方正小标宋简体" w:eastAsia="方正小标宋简体"/>
          <w:b/>
          <w:sz w:val="36"/>
          <w:szCs w:val="36"/>
        </w:rPr>
      </w:pPr>
      <w:r>
        <w:rPr>
          <w:rFonts w:hint="eastAsia" w:ascii="方正小标宋简体" w:eastAsia="方正小标宋简体"/>
          <w:b/>
          <w:sz w:val="36"/>
          <w:szCs w:val="36"/>
        </w:rPr>
        <w:t>XXX医院网络和信息安全协议</w:t>
      </w:r>
    </w:p>
    <w:p w14:paraId="74AC3585">
      <w:pPr>
        <w:spacing w:line="520" w:lineRule="exact"/>
        <w:ind w:firstLine="562"/>
        <w:rPr>
          <w:rStyle w:val="211"/>
          <w:rFonts w:ascii="仿宋_GB2312" w:hAnsi="黑体" w:eastAsia="仿宋_GB2312"/>
          <w:b/>
          <w:bCs/>
          <w:sz w:val="28"/>
          <w:szCs w:val="28"/>
          <w:u w:val="thick"/>
        </w:rPr>
      </w:pPr>
      <w:r>
        <w:rPr>
          <w:rStyle w:val="211"/>
          <w:rFonts w:hint="eastAsia" w:ascii="仿宋_GB2312" w:eastAsia="仿宋_GB2312"/>
          <w:b/>
          <w:sz w:val="28"/>
          <w:szCs w:val="28"/>
        </w:rPr>
        <w:t>甲方：</w:t>
      </w:r>
      <w:r>
        <w:rPr>
          <w:rFonts w:hint="eastAsia" w:ascii="仿宋_GB2312" w:eastAsia="仿宋_GB2312" w:hAnsiTheme="minorEastAsia"/>
          <w:color w:val="FF0000"/>
          <w:sz w:val="28"/>
          <w:szCs w:val="28"/>
        </w:rPr>
        <w:t>XXX</w:t>
      </w:r>
      <w:r>
        <w:rPr>
          <w:rStyle w:val="211"/>
          <w:rFonts w:hint="eastAsia" w:ascii="仿宋_GB2312" w:eastAsia="仿宋_GB2312"/>
          <w:b/>
          <w:sz w:val="28"/>
          <w:szCs w:val="28"/>
        </w:rPr>
        <w:t>医院</w:t>
      </w:r>
    </w:p>
    <w:p w14:paraId="0B9A65E5">
      <w:pPr>
        <w:spacing w:line="520" w:lineRule="exact"/>
        <w:ind w:firstLine="562"/>
        <w:rPr>
          <w:rStyle w:val="211"/>
          <w:rFonts w:ascii="仿宋_GB2312" w:eastAsia="仿宋_GB2312"/>
          <w:b/>
          <w:sz w:val="28"/>
          <w:szCs w:val="28"/>
        </w:rPr>
      </w:pPr>
      <w:r>
        <w:rPr>
          <w:rStyle w:val="211"/>
          <w:rFonts w:hint="eastAsia" w:ascii="仿宋_GB2312" w:eastAsia="仿宋_GB2312"/>
          <w:b/>
          <w:sz w:val="28"/>
          <w:szCs w:val="28"/>
        </w:rPr>
        <w:t>乙方：</w:t>
      </w:r>
    </w:p>
    <w:p w14:paraId="682E4E5A">
      <w:pPr>
        <w:spacing w:line="520" w:lineRule="exact"/>
        <w:ind w:firstLine="480"/>
        <w:rPr>
          <w:rStyle w:val="211"/>
          <w:rFonts w:ascii="仿宋_GB2312" w:eastAsia="仿宋_GB2312"/>
          <w:sz w:val="24"/>
          <w:szCs w:val="28"/>
        </w:rPr>
      </w:pPr>
      <w:r>
        <w:rPr>
          <w:rStyle w:val="211"/>
          <w:rFonts w:hint="eastAsia" w:ascii="仿宋_GB2312" w:hAnsi="宋体" w:eastAsia="仿宋_GB2312"/>
          <w:sz w:val="24"/>
          <w:szCs w:val="28"/>
        </w:rPr>
        <w:t>甲、乙双方根据《中华人民共和国网络安全法》、《中华人民共和国数据安全法》、《个人信息保护法》和国家、地方有关规定，达成如下网络和信息安全协议：</w:t>
      </w:r>
    </w:p>
    <w:p w14:paraId="5553B62E">
      <w:pPr>
        <w:spacing w:line="520" w:lineRule="exact"/>
        <w:ind w:firstLine="480"/>
        <w:rPr>
          <w:rStyle w:val="211"/>
          <w:rFonts w:ascii="仿宋_GB2312" w:hAnsi="宋体" w:eastAsia="仿宋_GB2312"/>
          <w:sz w:val="24"/>
          <w:szCs w:val="28"/>
        </w:rPr>
      </w:pPr>
      <w:r>
        <w:rPr>
          <w:rStyle w:val="211"/>
          <w:rFonts w:hint="eastAsia" w:ascii="仿宋_GB2312" w:hAnsi="宋体" w:eastAsia="仿宋_GB2312"/>
          <w:sz w:val="24"/>
          <w:szCs w:val="28"/>
        </w:rPr>
        <w:t>1、甲乙双方必须遵守国家颁发的有关网络安全的法律法规、技术规范和规章制度等。</w:t>
      </w:r>
    </w:p>
    <w:p w14:paraId="4784E935">
      <w:pPr>
        <w:spacing w:line="520" w:lineRule="exact"/>
        <w:ind w:firstLine="480"/>
        <w:rPr>
          <w:rStyle w:val="211"/>
          <w:rFonts w:ascii="仿宋_GB2312" w:hAnsi="宋体" w:eastAsia="仿宋_GB2312"/>
          <w:sz w:val="24"/>
          <w:szCs w:val="28"/>
        </w:rPr>
      </w:pPr>
      <w:r>
        <w:rPr>
          <w:rStyle w:val="211"/>
          <w:rFonts w:hint="eastAsia" w:ascii="仿宋_GB2312" w:hAnsi="宋体" w:eastAsia="仿宋_GB2312"/>
          <w:sz w:val="24"/>
          <w:szCs w:val="28"/>
        </w:rPr>
        <w:t>2、甲方提供乙方正常的技术研究、开发条件和业务拓展的空间，努力创造有利于乙方发展的机会；乙方认同甲方的网络安全管理制度和流程，乙方应保障所提供的产品或服务符合国家及主管部门的安全管理要求，及时处理相关安全通报及修复产品的相关安全漏洞。</w:t>
      </w:r>
    </w:p>
    <w:p w14:paraId="7BF4E535">
      <w:pPr>
        <w:spacing w:line="520" w:lineRule="exact"/>
        <w:ind w:firstLine="480"/>
        <w:rPr>
          <w:rStyle w:val="211"/>
          <w:rFonts w:ascii="仿宋_GB2312" w:hAnsi="宋体" w:eastAsia="仿宋_GB2312"/>
          <w:sz w:val="24"/>
          <w:szCs w:val="28"/>
        </w:rPr>
      </w:pPr>
      <w:r>
        <w:rPr>
          <w:rStyle w:val="211"/>
          <w:rFonts w:hint="eastAsia" w:ascii="仿宋_GB2312" w:hAnsi="宋体" w:eastAsia="仿宋_GB2312"/>
          <w:sz w:val="24"/>
          <w:szCs w:val="28"/>
        </w:rPr>
        <w:t>3、甲方认同乙方的相关系统软件版权和知识产权，乙方认同相关系统产生的信息资产为甲方所有，乙方不使用甲方的信息资产在自己的组织或关联组织流通，除非是有甲方人员或授权代表商谈、讨论和协商之需或在本协议签署后经甲方书面授权的任何目的。</w:t>
      </w:r>
    </w:p>
    <w:p w14:paraId="6063F117">
      <w:pPr>
        <w:spacing w:line="520" w:lineRule="exact"/>
        <w:ind w:firstLine="480"/>
        <w:rPr>
          <w:rStyle w:val="211"/>
          <w:rFonts w:ascii="仿宋_GB2312" w:hAnsi="宋体" w:eastAsia="仿宋_GB2312"/>
          <w:sz w:val="24"/>
          <w:szCs w:val="28"/>
        </w:rPr>
      </w:pPr>
      <w:r>
        <w:rPr>
          <w:rStyle w:val="211"/>
          <w:rFonts w:hint="eastAsia" w:ascii="仿宋_GB2312" w:hAnsi="宋体" w:eastAsia="仿宋_GB2312"/>
          <w:sz w:val="24"/>
          <w:szCs w:val="28"/>
        </w:rPr>
        <w:t>4、甲乙双方不得将提供给对方的材料，包括但不限于文件、设计和清单提供给任何第三方。乙方不得将甲方的业务信息和患者诊疗数据透露给任何第三方，也应尽力避免由于疏忽将上述信息披露给任何第三方。</w:t>
      </w:r>
    </w:p>
    <w:p w14:paraId="535A49DF">
      <w:pPr>
        <w:spacing w:line="520" w:lineRule="exact"/>
        <w:ind w:firstLine="480"/>
        <w:rPr>
          <w:rStyle w:val="211"/>
          <w:rFonts w:ascii="仿宋_GB2312" w:hAnsi="宋体" w:eastAsia="仿宋_GB2312"/>
          <w:sz w:val="24"/>
          <w:szCs w:val="28"/>
        </w:rPr>
      </w:pPr>
      <w:r>
        <w:rPr>
          <w:rStyle w:val="211"/>
          <w:rFonts w:hint="eastAsia" w:ascii="仿宋_GB2312" w:hAnsi="宋体" w:eastAsia="仿宋_GB2312"/>
          <w:sz w:val="24"/>
          <w:szCs w:val="28"/>
        </w:rPr>
        <w:t>5、授权使用医院网络、信息系统、医院数据、患者信息、资产终端等医院资源，并根据所授权限使用医院相关资源。</w:t>
      </w:r>
    </w:p>
    <w:p w14:paraId="6D769C14">
      <w:pPr>
        <w:spacing w:line="520" w:lineRule="exact"/>
        <w:ind w:firstLine="480"/>
        <w:rPr>
          <w:rStyle w:val="211"/>
          <w:rFonts w:ascii="仿宋_GB2312" w:hAnsi="宋体" w:eastAsia="仿宋_GB2312"/>
          <w:sz w:val="24"/>
          <w:szCs w:val="28"/>
        </w:rPr>
      </w:pPr>
      <w:r>
        <w:rPr>
          <w:rStyle w:val="211"/>
          <w:rFonts w:hint="eastAsia" w:ascii="仿宋_GB2312" w:hAnsi="宋体" w:eastAsia="仿宋_GB2312"/>
          <w:sz w:val="24"/>
          <w:szCs w:val="28"/>
        </w:rPr>
        <w:t>6、持有公司或个人设备接入医院网络，访问医院资源，按照医院管理制度、操作规程、处理记录等，向医院相关职能主管部门报备和准入。</w:t>
      </w:r>
    </w:p>
    <w:p w14:paraId="757390E3">
      <w:pPr>
        <w:spacing w:line="520" w:lineRule="exact"/>
        <w:ind w:firstLine="480"/>
        <w:rPr>
          <w:rStyle w:val="211"/>
          <w:rFonts w:ascii="仿宋_GB2312" w:hAnsi="宋体" w:eastAsia="仿宋_GB2312"/>
          <w:sz w:val="24"/>
          <w:szCs w:val="28"/>
        </w:rPr>
      </w:pPr>
      <w:r>
        <w:rPr>
          <w:rStyle w:val="211"/>
          <w:rFonts w:hint="eastAsia" w:ascii="仿宋_GB2312" w:hAnsi="宋体" w:eastAsia="仿宋_GB2312"/>
          <w:sz w:val="24"/>
          <w:szCs w:val="28"/>
        </w:rPr>
        <w:t>7、不提供或使用影响医院网络和信息安全的软硬件设备，不擅自加装信号发射器、远程调取、拷贝数据和传输数据等违规行为。</w:t>
      </w:r>
    </w:p>
    <w:p w14:paraId="25F363A3">
      <w:pPr>
        <w:spacing w:line="520" w:lineRule="exact"/>
        <w:ind w:firstLine="480"/>
        <w:rPr>
          <w:rStyle w:val="211"/>
          <w:rFonts w:ascii="仿宋_GB2312" w:hAnsi="宋体" w:eastAsia="仿宋_GB2312"/>
          <w:sz w:val="24"/>
          <w:szCs w:val="28"/>
        </w:rPr>
      </w:pPr>
      <w:r>
        <w:rPr>
          <w:rStyle w:val="211"/>
          <w:rFonts w:hint="eastAsia" w:ascii="仿宋_GB2312" w:hAnsi="宋体" w:eastAsia="仿宋_GB2312"/>
          <w:sz w:val="24"/>
          <w:szCs w:val="28"/>
        </w:rPr>
        <w:t>8、不使用医院资源制作、复制、查阅、传播和存储国家法律法规及有关规定所禁止的信息内容。</w:t>
      </w:r>
    </w:p>
    <w:p w14:paraId="5931C571">
      <w:pPr>
        <w:spacing w:line="520" w:lineRule="exact"/>
        <w:ind w:firstLine="480"/>
        <w:rPr>
          <w:rStyle w:val="211"/>
          <w:rFonts w:ascii="仿宋_GB2312" w:hAnsi="宋体" w:eastAsia="仿宋_GB2312"/>
          <w:sz w:val="24"/>
          <w:szCs w:val="28"/>
        </w:rPr>
      </w:pPr>
      <w:r>
        <w:rPr>
          <w:rStyle w:val="211"/>
          <w:rFonts w:hint="eastAsia" w:ascii="仿宋_GB2312" w:hAnsi="宋体" w:eastAsia="仿宋_GB2312"/>
          <w:sz w:val="24"/>
          <w:szCs w:val="28"/>
        </w:rPr>
        <w:t>9、乙方成员在为甲方提供服务或产品期间必须严格执行和遵守甲方的网络安全的各项规定，严格遵守甲方的安全管理制度和操作规程。</w:t>
      </w:r>
    </w:p>
    <w:p w14:paraId="12BE333C">
      <w:pPr>
        <w:spacing w:line="520" w:lineRule="exact"/>
        <w:ind w:firstLine="480"/>
        <w:rPr>
          <w:rStyle w:val="211"/>
          <w:rFonts w:ascii="仿宋_GB2312" w:hAnsi="宋体" w:eastAsia="仿宋_GB2312"/>
          <w:sz w:val="24"/>
          <w:szCs w:val="28"/>
        </w:rPr>
      </w:pPr>
      <w:r>
        <w:rPr>
          <w:rStyle w:val="211"/>
          <w:rFonts w:hint="eastAsia" w:ascii="仿宋_GB2312" w:hAnsi="宋体" w:eastAsia="仿宋_GB2312"/>
          <w:sz w:val="24"/>
          <w:szCs w:val="28"/>
        </w:rPr>
        <w:t>10、由于违反本协议而发生网络和信息安全事件，由违约方承担一切经济损失。</w:t>
      </w:r>
      <w:r>
        <w:rPr>
          <w:rStyle w:val="211"/>
          <w:rFonts w:hint="eastAsia" w:ascii="仿宋_GB2312" w:hAnsi="宋体" w:eastAsia="仿宋_GB2312"/>
          <w:color w:val="FF0000"/>
          <w:sz w:val="24"/>
          <w:szCs w:val="28"/>
        </w:rPr>
        <w:t>乙方确保提供的产品或服务满足安全要求。若被甲方上级单位检测出乙方所提供的产品存在漏洞或服务存在安全隐患并被通报，或被甲方及合作伙伴检测出漏洞或安全隐患且收到《</w:t>
      </w:r>
      <w:r>
        <w:rPr>
          <w:rFonts w:hint="eastAsia" w:ascii="仿宋_GB2312" w:eastAsia="仿宋_GB2312" w:hAnsiTheme="minorEastAsia"/>
          <w:color w:val="FF0000"/>
          <w:sz w:val="28"/>
          <w:szCs w:val="28"/>
        </w:rPr>
        <w:t>XXX</w:t>
      </w:r>
      <w:r>
        <w:rPr>
          <w:rStyle w:val="211"/>
          <w:rFonts w:hint="eastAsia" w:ascii="仿宋_GB2312" w:hAnsi="宋体" w:eastAsia="仿宋_GB2312"/>
          <w:color w:val="FF0000"/>
          <w:sz w:val="24"/>
          <w:szCs w:val="28"/>
        </w:rPr>
        <w:t>医院网络安全隐患整改通知书》超过7个工作日未整改的，高风险漏洞或安全隐患处罚乙方3000元/次，中风险漏洞或安全隐患处罚乙方1000元/次，同时有中高风险漏洞或安全隐患按高风险处罚，所扣款项于结算合同尾款时扣除，合同尾款不足扣除罚款时，乙方另外补齐差额部分。</w:t>
      </w:r>
    </w:p>
    <w:p w14:paraId="39E6C2FF">
      <w:pPr>
        <w:spacing w:line="520" w:lineRule="exact"/>
        <w:ind w:firstLine="480"/>
        <w:rPr>
          <w:rStyle w:val="211"/>
          <w:rFonts w:ascii="仿宋_GB2312" w:hAnsi="宋体" w:eastAsia="仿宋_GB2312"/>
          <w:sz w:val="24"/>
          <w:szCs w:val="28"/>
        </w:rPr>
      </w:pPr>
      <w:r>
        <w:rPr>
          <w:rStyle w:val="211"/>
          <w:rFonts w:hint="eastAsia" w:ascii="仿宋_GB2312" w:hAnsi="宋体" w:eastAsia="仿宋_GB2312"/>
          <w:sz w:val="24"/>
          <w:szCs w:val="28"/>
        </w:rPr>
        <w:t>11、甲乙双方承诺签署人具备法律资格，本协议作为合同附件时，生效时间与合同生效时间一致；本协议单独签署时，生效时间为签署日期。</w:t>
      </w:r>
    </w:p>
    <w:p w14:paraId="2376671C">
      <w:pPr>
        <w:spacing w:line="520" w:lineRule="exact"/>
        <w:ind w:firstLine="480"/>
        <w:rPr>
          <w:rStyle w:val="211"/>
          <w:rFonts w:ascii="仿宋_GB2312" w:hAnsi="宋体" w:eastAsia="仿宋_GB2312"/>
          <w:sz w:val="24"/>
          <w:szCs w:val="28"/>
        </w:rPr>
      </w:pPr>
    </w:p>
    <w:p w14:paraId="34487837">
      <w:pPr>
        <w:spacing w:line="520" w:lineRule="exact"/>
        <w:ind w:firstLine="480"/>
        <w:rPr>
          <w:rStyle w:val="211"/>
          <w:rFonts w:ascii="仿宋_GB2312" w:hAnsi="宋体" w:eastAsia="仿宋_GB2312"/>
          <w:sz w:val="24"/>
          <w:szCs w:val="28"/>
        </w:rPr>
      </w:pPr>
    </w:p>
    <w:p w14:paraId="19970DB0">
      <w:pPr>
        <w:spacing w:line="520" w:lineRule="exact"/>
        <w:ind w:firstLine="482"/>
        <w:rPr>
          <w:rStyle w:val="211"/>
          <w:rFonts w:ascii="仿宋_GB2312" w:hAnsi="宋体" w:eastAsia="仿宋_GB2312"/>
          <w:bCs/>
          <w:sz w:val="24"/>
          <w:szCs w:val="28"/>
        </w:rPr>
      </w:pPr>
      <w:r>
        <w:rPr>
          <w:rStyle w:val="211"/>
          <w:rFonts w:hint="eastAsia" w:ascii="仿宋_GB2312" w:hAnsi="宋体" w:eastAsia="仿宋_GB2312"/>
          <w:bCs/>
          <w:sz w:val="24"/>
          <w:szCs w:val="28"/>
        </w:rPr>
        <w:t>甲方（盖章）：</w:t>
      </w:r>
      <w:r>
        <w:rPr>
          <w:rFonts w:hint="eastAsia" w:ascii="仿宋_GB2312" w:eastAsia="仿宋_GB2312" w:hAnsiTheme="minorEastAsia"/>
          <w:color w:val="FF0000"/>
          <w:sz w:val="28"/>
          <w:szCs w:val="28"/>
        </w:rPr>
        <w:t>XXX</w:t>
      </w:r>
      <w:r>
        <w:rPr>
          <w:rStyle w:val="211"/>
          <w:rFonts w:hint="eastAsia" w:ascii="仿宋_GB2312" w:hAnsi="宋体" w:eastAsia="仿宋_GB2312"/>
          <w:bCs/>
          <w:sz w:val="24"/>
          <w:szCs w:val="28"/>
        </w:rPr>
        <w:t>医院      乙方（盖章）：</w:t>
      </w:r>
    </w:p>
    <w:p w14:paraId="616BA447">
      <w:pPr>
        <w:spacing w:line="520" w:lineRule="exact"/>
        <w:ind w:firstLine="482"/>
        <w:jc w:val="left"/>
        <w:rPr>
          <w:rStyle w:val="211"/>
          <w:rFonts w:ascii="仿宋_GB2312" w:hAnsi="宋体" w:eastAsia="仿宋_GB2312"/>
          <w:bCs/>
          <w:sz w:val="24"/>
          <w:szCs w:val="28"/>
        </w:rPr>
      </w:pPr>
      <w:r>
        <w:rPr>
          <w:rStyle w:val="211"/>
          <w:rFonts w:hint="eastAsia" w:ascii="仿宋_GB2312" w:hAnsi="宋体" w:eastAsia="仿宋_GB2312"/>
          <w:bCs/>
          <w:sz w:val="24"/>
          <w:szCs w:val="28"/>
        </w:rPr>
        <w:t>甲方代表（签字）：                    乙方代表（签字）：</w:t>
      </w:r>
    </w:p>
    <w:p w14:paraId="2F62A710">
      <w:pPr>
        <w:spacing w:before="120" w:beforeLines="50" w:line="520" w:lineRule="exact"/>
        <w:ind w:firstLine="1920" w:firstLineChars="800"/>
        <w:jc w:val="left"/>
        <w:rPr>
          <w:rStyle w:val="211"/>
          <w:rFonts w:ascii="仿宋_GB2312" w:hAnsi="宋体" w:eastAsia="仿宋_GB2312"/>
          <w:bCs/>
          <w:sz w:val="24"/>
          <w:szCs w:val="28"/>
        </w:rPr>
      </w:pPr>
      <w:r>
        <w:rPr>
          <w:rStyle w:val="211"/>
          <w:rFonts w:hint="eastAsia" w:ascii="仿宋_GB2312" w:hAnsi="宋体" w:eastAsia="仿宋_GB2312"/>
          <w:bCs/>
          <w:sz w:val="24"/>
          <w:szCs w:val="28"/>
        </w:rPr>
        <w:t>签署日期：       年      月     日</w:t>
      </w:r>
    </w:p>
    <w:p w14:paraId="7BE53E32">
      <w:pPr>
        <w:rPr>
          <w:rStyle w:val="211"/>
          <w:rFonts w:ascii="仿宋_GB2312" w:hAnsi="宋体" w:eastAsia="仿宋_GB2312"/>
          <w:bCs/>
          <w:sz w:val="24"/>
          <w:szCs w:val="28"/>
        </w:rPr>
      </w:pPr>
      <w:r>
        <w:rPr>
          <w:rStyle w:val="211"/>
          <w:rFonts w:hint="eastAsia" w:ascii="仿宋_GB2312" w:hAnsi="宋体" w:eastAsia="仿宋_GB2312"/>
          <w:bCs/>
          <w:sz w:val="24"/>
          <w:szCs w:val="28"/>
        </w:rPr>
        <w:br w:type="page"/>
      </w:r>
    </w:p>
    <w:p w14:paraId="07890DFA">
      <w:pPr>
        <w:widowControl/>
        <w:spacing w:line="520" w:lineRule="exact"/>
        <w:jc w:val="left"/>
        <w:rPr>
          <w:rFonts w:ascii="方正小标宋简体" w:eastAsia="方正小标宋简体"/>
          <w:sz w:val="36"/>
          <w:szCs w:val="36"/>
        </w:rPr>
      </w:pPr>
      <w:r>
        <w:rPr>
          <w:rFonts w:hint="eastAsia" w:ascii="仿宋_GB2312" w:eastAsia="仿宋_GB2312" w:hAnsiTheme="minorEastAsia"/>
          <w:b/>
          <w:bCs/>
          <w:kern w:val="44"/>
          <w:sz w:val="28"/>
          <w:szCs w:val="28"/>
        </w:rPr>
        <w:t>附件2：</w:t>
      </w:r>
    </w:p>
    <w:p w14:paraId="14C28E0E">
      <w:pPr>
        <w:widowControl/>
        <w:spacing w:line="520" w:lineRule="exact"/>
        <w:jc w:val="center"/>
        <w:rPr>
          <w:rFonts w:ascii="方正小标宋简体" w:eastAsia="方正小标宋简体"/>
          <w:sz w:val="36"/>
          <w:szCs w:val="36"/>
        </w:rPr>
      </w:pPr>
      <w:r>
        <w:rPr>
          <w:rFonts w:hint="eastAsia" w:ascii="方正小标宋简体" w:eastAsia="方正小标宋简体"/>
          <w:sz w:val="36"/>
          <w:szCs w:val="36"/>
        </w:rPr>
        <w:t>龙岗区进一步规范政商交往行为“十个不得”告知书</w:t>
      </w:r>
    </w:p>
    <w:p w14:paraId="51781F5A">
      <w:pPr>
        <w:widowControl/>
        <w:spacing w:line="460" w:lineRule="exact"/>
        <w:ind w:firstLine="620" w:firstLineChars="200"/>
        <w:rPr>
          <w:rFonts w:ascii="仿宋_GB2312" w:hAnsi="宋体" w:eastAsia="仿宋_GB2312" w:cs="仿宋_GB2312"/>
          <w:color w:val="000000"/>
          <w:kern w:val="0"/>
          <w:sz w:val="31"/>
        </w:rPr>
      </w:pPr>
    </w:p>
    <w:p w14:paraId="5855742D">
      <w:pPr>
        <w:widowControl/>
        <w:spacing w:line="460" w:lineRule="exact"/>
        <w:ind w:firstLine="620" w:firstLineChars="200"/>
        <w:rPr>
          <w:rFonts w:ascii="仿宋_GB2312" w:hAnsi="宋体" w:eastAsia="仿宋_GB2312" w:cs="仿宋_GB2312"/>
          <w:color w:val="000000"/>
          <w:kern w:val="0"/>
          <w:sz w:val="31"/>
        </w:rPr>
      </w:pPr>
      <w:r>
        <w:rPr>
          <w:rFonts w:hint="eastAsia" w:ascii="仿宋_GB2312" w:hAnsi="宋体" w:eastAsia="仿宋_GB2312" w:cs="仿宋_GB2312"/>
          <w:color w:val="000000"/>
          <w:kern w:val="0"/>
          <w:sz w:val="31"/>
        </w:rPr>
        <w:t>为深入构建亲清新型政商关系，努力打造尊商、亲商、助商、安商良好营商环境，龙岗区委区政府制定了《龙岗区公职人员政商交往“十个不准”》，严明公职人员在政商交往中的纪律要求。请参与龙岗建设的广大企业及其从业人员，严格监督我区公职人员落实“十个不准”，并在与我区公职人员交往中切实做到“十个不得”。</w:t>
      </w:r>
    </w:p>
    <w:p w14:paraId="7231BE8E">
      <w:pPr>
        <w:widowControl/>
        <w:spacing w:line="460" w:lineRule="exact"/>
        <w:ind w:firstLine="620" w:firstLineChars="200"/>
        <w:rPr>
          <w:rFonts w:ascii="仿宋_GB2312" w:hAnsi="宋体" w:eastAsia="仿宋_GB2312" w:cs="仿宋_GB2312"/>
          <w:color w:val="000000"/>
          <w:kern w:val="0"/>
          <w:sz w:val="31"/>
        </w:rPr>
      </w:pPr>
      <w:r>
        <w:rPr>
          <w:rFonts w:hint="eastAsia" w:ascii="仿宋_GB2312" w:hAnsi="宋体" w:eastAsia="仿宋_GB2312" w:cs="仿宋_GB2312"/>
          <w:color w:val="000000"/>
          <w:kern w:val="0"/>
          <w:sz w:val="31"/>
        </w:rPr>
        <w:t>一、不得向公职人员赠送礼品、礼金、消费卡等财物。</w:t>
      </w:r>
    </w:p>
    <w:p w14:paraId="3BDB1D14">
      <w:pPr>
        <w:widowControl/>
        <w:spacing w:line="460" w:lineRule="exact"/>
        <w:ind w:firstLine="620" w:firstLineChars="200"/>
        <w:rPr>
          <w:rFonts w:ascii="仿宋_GB2312" w:hAnsi="宋体" w:eastAsia="仿宋_GB2312" w:cs="仿宋_GB2312"/>
          <w:color w:val="000000"/>
          <w:kern w:val="0"/>
          <w:sz w:val="31"/>
        </w:rPr>
      </w:pPr>
      <w:r>
        <w:rPr>
          <w:rFonts w:hint="eastAsia" w:ascii="仿宋_GB2312" w:hAnsi="宋体" w:eastAsia="仿宋_GB2312" w:cs="仿宋_GB2312"/>
          <w:color w:val="000000"/>
          <w:kern w:val="0"/>
          <w:sz w:val="31"/>
        </w:rPr>
        <w:t>二、不得违规向公职人员提供宴请、旅游、娱乐等安排。</w:t>
      </w:r>
    </w:p>
    <w:p w14:paraId="6D37FEBA">
      <w:pPr>
        <w:widowControl/>
        <w:spacing w:line="460" w:lineRule="exact"/>
        <w:ind w:firstLine="620" w:firstLineChars="200"/>
        <w:rPr>
          <w:rFonts w:ascii="仿宋_GB2312" w:hAnsi="宋体" w:eastAsia="仿宋_GB2312" w:cs="仿宋_GB2312"/>
          <w:color w:val="000000"/>
          <w:kern w:val="0"/>
          <w:sz w:val="31"/>
        </w:rPr>
      </w:pPr>
      <w:r>
        <w:rPr>
          <w:rFonts w:hint="eastAsia" w:ascii="仿宋_GB2312" w:hAnsi="宋体" w:eastAsia="仿宋_GB2312" w:cs="仿宋_GB2312"/>
          <w:color w:val="000000"/>
          <w:kern w:val="0"/>
          <w:sz w:val="31"/>
        </w:rPr>
        <w:t>三、不得通过打麻将等形式向公职人员输送利益。</w:t>
      </w:r>
    </w:p>
    <w:p w14:paraId="776D5627">
      <w:pPr>
        <w:widowControl/>
        <w:spacing w:line="460" w:lineRule="exact"/>
        <w:ind w:firstLine="620" w:firstLineChars="200"/>
        <w:rPr>
          <w:rFonts w:ascii="仿宋_GB2312" w:hAnsi="宋体" w:eastAsia="仿宋_GB2312" w:cs="仿宋_GB2312"/>
          <w:color w:val="000000"/>
          <w:kern w:val="0"/>
          <w:sz w:val="31"/>
        </w:rPr>
      </w:pPr>
      <w:r>
        <w:rPr>
          <w:rFonts w:hint="eastAsia" w:ascii="仿宋_GB2312" w:hAnsi="宋体" w:eastAsia="仿宋_GB2312" w:cs="仿宋_GB2312"/>
          <w:color w:val="000000"/>
          <w:kern w:val="0"/>
          <w:sz w:val="31"/>
        </w:rPr>
        <w:t>四、不得为公职人员报销应由其个人支付的费用。</w:t>
      </w:r>
    </w:p>
    <w:p w14:paraId="7D61C2A7">
      <w:pPr>
        <w:widowControl/>
        <w:spacing w:line="460" w:lineRule="exact"/>
        <w:ind w:firstLine="620" w:firstLineChars="200"/>
        <w:rPr>
          <w:rFonts w:ascii="仿宋_GB2312" w:hAnsi="宋体" w:eastAsia="仿宋_GB2312" w:cs="仿宋_GB2312"/>
          <w:color w:val="000000"/>
          <w:kern w:val="0"/>
          <w:sz w:val="31"/>
        </w:rPr>
      </w:pPr>
      <w:r>
        <w:rPr>
          <w:rFonts w:hint="eastAsia" w:ascii="仿宋_GB2312" w:hAnsi="宋体" w:eastAsia="仿宋_GB2312" w:cs="仿宋_GB2312"/>
          <w:color w:val="000000"/>
          <w:kern w:val="0"/>
          <w:sz w:val="31"/>
        </w:rPr>
        <w:t>五、不得违规向公职人员及其亲友借贷款。</w:t>
      </w:r>
    </w:p>
    <w:p w14:paraId="24B3676F">
      <w:pPr>
        <w:widowControl/>
        <w:spacing w:line="460" w:lineRule="exact"/>
        <w:ind w:firstLine="620" w:firstLineChars="200"/>
        <w:rPr>
          <w:rFonts w:ascii="仿宋_GB2312" w:hAnsi="宋体" w:eastAsia="仿宋_GB2312" w:cs="仿宋_GB2312"/>
          <w:color w:val="000000"/>
          <w:kern w:val="0"/>
          <w:sz w:val="31"/>
        </w:rPr>
      </w:pPr>
      <w:r>
        <w:rPr>
          <w:rFonts w:hint="eastAsia" w:ascii="仿宋_GB2312" w:hAnsi="宋体" w:eastAsia="仿宋_GB2312" w:cs="仿宋_GB2312"/>
          <w:color w:val="000000"/>
          <w:kern w:val="0"/>
          <w:sz w:val="31"/>
        </w:rPr>
        <w:t>六、不得违规将车辆、住房等借给公职人员使用。</w:t>
      </w:r>
    </w:p>
    <w:p w14:paraId="29C2DFA3">
      <w:pPr>
        <w:widowControl/>
        <w:spacing w:line="460" w:lineRule="exact"/>
        <w:ind w:firstLine="620" w:firstLineChars="200"/>
        <w:rPr>
          <w:rFonts w:ascii="仿宋_GB2312" w:hAnsi="宋体" w:eastAsia="仿宋_GB2312" w:cs="仿宋_GB2312"/>
          <w:color w:val="000000"/>
          <w:kern w:val="0"/>
          <w:sz w:val="31"/>
        </w:rPr>
      </w:pPr>
      <w:r>
        <w:rPr>
          <w:rFonts w:hint="eastAsia" w:ascii="仿宋_GB2312" w:hAnsi="宋体" w:eastAsia="仿宋_GB2312" w:cs="仿宋_GB2312"/>
          <w:color w:val="000000"/>
          <w:kern w:val="0"/>
          <w:sz w:val="31"/>
        </w:rPr>
        <w:t>七、不得在招投标中与公职人员搞暗箱操作、围标串标。</w:t>
      </w:r>
    </w:p>
    <w:p w14:paraId="70A4BB2E">
      <w:pPr>
        <w:widowControl/>
        <w:spacing w:line="460" w:lineRule="exact"/>
        <w:ind w:firstLine="620" w:firstLineChars="200"/>
        <w:rPr>
          <w:rFonts w:ascii="仿宋_GB2312" w:hAnsi="宋体" w:eastAsia="仿宋_GB2312" w:cs="仿宋_GB2312"/>
          <w:color w:val="000000"/>
          <w:kern w:val="0"/>
          <w:sz w:val="31"/>
        </w:rPr>
      </w:pPr>
      <w:r>
        <w:rPr>
          <w:rFonts w:hint="eastAsia" w:ascii="仿宋_GB2312" w:hAnsi="宋体" w:eastAsia="仿宋_GB2312" w:cs="仿宋_GB2312"/>
          <w:color w:val="000000"/>
          <w:kern w:val="0"/>
          <w:sz w:val="31"/>
        </w:rPr>
        <w:t>八、不得为利益相关人和公职人员牵线搭桥或者代为传递信息、传递财物。</w:t>
      </w:r>
    </w:p>
    <w:p w14:paraId="5A9F6D28">
      <w:pPr>
        <w:widowControl/>
        <w:spacing w:line="460" w:lineRule="exact"/>
        <w:ind w:firstLine="620" w:firstLineChars="200"/>
        <w:rPr>
          <w:rFonts w:ascii="仿宋_GB2312" w:hAnsi="宋体" w:eastAsia="仿宋_GB2312" w:cs="仿宋_GB2312"/>
          <w:color w:val="000000"/>
          <w:kern w:val="0"/>
          <w:sz w:val="31"/>
        </w:rPr>
      </w:pPr>
      <w:r>
        <w:rPr>
          <w:rFonts w:hint="eastAsia" w:ascii="仿宋_GB2312" w:hAnsi="宋体" w:eastAsia="仿宋_GB2312" w:cs="仿宋_GB2312"/>
          <w:color w:val="000000"/>
          <w:kern w:val="0"/>
          <w:sz w:val="31"/>
        </w:rPr>
        <w:t>九、不得让公职人员在企业违规兼职取酬。</w:t>
      </w:r>
    </w:p>
    <w:p w14:paraId="794C36C7">
      <w:pPr>
        <w:widowControl/>
        <w:spacing w:line="460" w:lineRule="exact"/>
        <w:ind w:firstLine="620" w:firstLineChars="200"/>
        <w:rPr>
          <w:rFonts w:ascii="仿宋_GB2312" w:hAnsi="宋体" w:eastAsia="仿宋_GB2312" w:cs="仿宋_GB2312"/>
          <w:color w:val="000000"/>
          <w:kern w:val="0"/>
          <w:sz w:val="31"/>
        </w:rPr>
      </w:pPr>
      <w:r>
        <w:rPr>
          <w:rFonts w:hint="eastAsia" w:ascii="仿宋_GB2312" w:hAnsi="宋体" w:eastAsia="仿宋_GB2312" w:cs="仿宋_GB2312"/>
          <w:color w:val="000000"/>
          <w:kern w:val="0"/>
          <w:sz w:val="31"/>
        </w:rPr>
        <w:t>十、不得为公职人员亲友违规承揽业务提供便利。</w:t>
      </w:r>
    </w:p>
    <w:p w14:paraId="3751B183">
      <w:pPr>
        <w:widowControl/>
        <w:spacing w:line="460" w:lineRule="exact"/>
        <w:ind w:firstLine="620" w:firstLineChars="200"/>
        <w:rPr>
          <w:rFonts w:ascii="仿宋_GB2312" w:hAnsi="宋体" w:eastAsia="仿宋_GB2312" w:cs="仿宋_GB2312"/>
          <w:color w:val="000000"/>
          <w:kern w:val="0"/>
          <w:sz w:val="31"/>
        </w:rPr>
      </w:pPr>
      <w:r>
        <w:rPr>
          <w:rFonts w:hint="eastAsia" w:ascii="仿宋_GB2312" w:hAnsi="宋体" w:eastAsia="仿宋_GB2312" w:cs="仿宋_GB2312"/>
          <w:color w:val="000000"/>
          <w:kern w:val="0"/>
          <w:sz w:val="31"/>
        </w:rPr>
        <w:t>上述“十个不得”，请您严格遵守。同时，在政商交往中，如有发现我区公职人员存在违反“十个不准”的问题，请及时通过网络举报平台或者 12388 举报电话等方式，向纪检监察机关反映举报，我们将一律严格保密、一律优先处置、一律严肃查处。</w:t>
      </w:r>
    </w:p>
    <w:p w14:paraId="34D25BFA">
      <w:pPr>
        <w:widowControl/>
        <w:spacing w:line="460" w:lineRule="exact"/>
        <w:ind w:firstLine="620" w:firstLineChars="200"/>
        <w:rPr>
          <w:rFonts w:ascii="仿宋_GB2312" w:hAnsi="宋体" w:eastAsia="仿宋_GB2312" w:cs="仿宋_GB2312"/>
          <w:color w:val="000000"/>
          <w:kern w:val="0"/>
          <w:sz w:val="31"/>
        </w:rPr>
      </w:pPr>
      <w:r>
        <w:rPr>
          <w:rFonts w:hint="eastAsia" w:ascii="仿宋_GB2312" w:hAnsi="宋体" w:eastAsia="仿宋_GB2312" w:cs="仿宋_GB2312"/>
          <w:color w:val="000000"/>
          <w:kern w:val="0"/>
          <w:sz w:val="31"/>
        </w:rPr>
        <w:t>本人已知晓上述告知内容，并愿意遵照执行（签名）：</w:t>
      </w:r>
    </w:p>
    <w:p w14:paraId="751A6E43">
      <w:pPr>
        <w:widowControl/>
        <w:spacing w:line="460" w:lineRule="exact"/>
        <w:rPr>
          <w:rFonts w:ascii="仿宋_GB2312" w:hAnsi="宋体" w:eastAsia="仿宋_GB2312" w:cs="仿宋_GB2312"/>
          <w:color w:val="000000"/>
          <w:kern w:val="0"/>
          <w:sz w:val="31"/>
        </w:rPr>
      </w:pPr>
      <w:r>
        <w:rPr>
          <w:rFonts w:hint="eastAsia" w:ascii="仿宋_GB2312" w:hAnsi="宋体" w:eastAsia="仿宋_GB2312" w:cs="仿宋_GB2312"/>
          <w:color w:val="000000"/>
          <w:kern w:val="0"/>
          <w:sz w:val="31"/>
        </w:rPr>
        <w:t xml:space="preserve"> </w:t>
      </w:r>
    </w:p>
    <w:p w14:paraId="23228AA7">
      <w:pPr>
        <w:widowControl/>
        <w:spacing w:line="460" w:lineRule="exact"/>
        <w:ind w:firstLine="5890" w:firstLineChars="1900"/>
        <w:rPr>
          <w:rFonts w:ascii="仿宋_GB2312" w:hAnsi="宋体" w:eastAsia="仿宋_GB2312" w:cs="仿宋_GB2312"/>
          <w:color w:val="000000"/>
          <w:kern w:val="0"/>
          <w:sz w:val="31"/>
        </w:rPr>
      </w:pPr>
      <w:r>
        <w:rPr>
          <w:rFonts w:hint="eastAsia" w:ascii="仿宋_GB2312" w:hAnsi="宋体" w:eastAsia="仿宋_GB2312" w:cs="仿宋_GB2312"/>
          <w:color w:val="000000"/>
          <w:kern w:val="0"/>
          <w:sz w:val="31"/>
        </w:rPr>
        <w:t>年    月    日</w:t>
      </w:r>
    </w:p>
    <w:p w14:paraId="593FBAE2">
      <w:pPr>
        <w:widowControl/>
        <w:rPr>
          <w:rFonts w:ascii="仿宋_GB2312" w:eastAsia="仿宋_GB2312"/>
        </w:rPr>
      </w:pPr>
    </w:p>
    <w:p w14:paraId="32709C22">
      <w:pPr>
        <w:pStyle w:val="2"/>
      </w:pPr>
    </w:p>
    <w:p w14:paraId="1CA98B33">
      <w:pPr>
        <w:pStyle w:val="6"/>
        <w:spacing w:before="120" w:beforeLines="50" w:after="120" w:afterLines="50"/>
        <w:ind w:left="562"/>
        <w:rPr>
          <w:sz w:val="28"/>
          <w:szCs w:val="28"/>
        </w:rPr>
      </w:pPr>
      <w:r>
        <w:rPr>
          <w:rFonts w:hint="eastAsia"/>
          <w:sz w:val="28"/>
          <w:szCs w:val="28"/>
        </w:rPr>
        <w:t>第二册  通用条款（公开招标）</w:t>
      </w:r>
    </w:p>
    <w:p w14:paraId="7D3E072C">
      <w:pPr>
        <w:pStyle w:val="6"/>
        <w:numPr>
          <w:ilvl w:val="0"/>
          <w:numId w:val="21"/>
        </w:numPr>
        <w:spacing w:before="120" w:beforeLines="50" w:after="120" w:afterLines="50"/>
        <w:ind w:left="562" w:hanging="562"/>
        <w:rPr>
          <w:sz w:val="28"/>
          <w:szCs w:val="28"/>
        </w:rPr>
      </w:pPr>
      <w:bookmarkStart w:id="48" w:name="_Hlk72399513"/>
      <w:r>
        <w:rPr>
          <w:rFonts w:hint="eastAsia"/>
          <w:sz w:val="28"/>
          <w:szCs w:val="28"/>
        </w:rPr>
        <w:t>总则</w:t>
      </w:r>
    </w:p>
    <w:bookmarkEnd w:id="48"/>
    <w:p w14:paraId="3F61302C">
      <w:pPr>
        <w:outlineLvl w:val="1"/>
        <w:rPr>
          <w:rFonts w:ascii="宋体" w:hAnsi="宋体" w:cs="宋体"/>
          <w:sz w:val="24"/>
        </w:rPr>
      </w:pPr>
      <w:r>
        <w:rPr>
          <w:rFonts w:hint="eastAsia" w:ascii="黑体" w:hAnsi="宋体" w:eastAsia="黑体"/>
          <w:sz w:val="24"/>
        </w:rPr>
        <w:t>1.</w:t>
      </w:r>
      <w:r>
        <w:rPr>
          <w:rFonts w:hint="eastAsia" w:ascii="宋体" w:hAnsi="宋体" w:cs="宋体"/>
          <w:sz w:val="24"/>
        </w:rPr>
        <w:t>通用条款说明</w:t>
      </w:r>
    </w:p>
    <w:p w14:paraId="3098C21C">
      <w:pPr>
        <w:ind w:firstLine="470" w:firstLineChars="196"/>
        <w:rPr>
          <w:rFonts w:ascii="宋体" w:hAnsi="宋体" w:cs="宋体"/>
          <w:sz w:val="24"/>
        </w:rPr>
      </w:pPr>
      <w:r>
        <w:rPr>
          <w:rFonts w:hint="eastAsia" w:ascii="宋体" w:hAnsi="宋体" w:cs="宋体"/>
          <w:sz w:val="24"/>
        </w:rPr>
        <w:t>1.1政府集中采购机构发出招标文件通用条款版本，列出深圳市政府采购项目进行招标采购所适用的通用条款内容。</w:t>
      </w:r>
      <w:bookmarkStart w:id="49" w:name="_Hlk72399729"/>
      <w:r>
        <w:rPr>
          <w:rFonts w:hint="eastAsia" w:ascii="宋体" w:hAnsi="宋体" w:cs="宋体"/>
          <w:sz w:val="24"/>
        </w:rPr>
        <w:t>如有需要，政府集中采购机构可以对通用条款的内容进行补充。</w:t>
      </w:r>
      <w:bookmarkEnd w:id="49"/>
    </w:p>
    <w:p w14:paraId="260B09B1">
      <w:pPr>
        <w:ind w:firstLine="470" w:firstLineChars="196"/>
        <w:rPr>
          <w:rFonts w:ascii="宋体" w:hAnsi="宋体" w:cs="宋体"/>
          <w:sz w:val="24"/>
        </w:rPr>
      </w:pPr>
      <w:r>
        <w:rPr>
          <w:rFonts w:hint="eastAsia" w:ascii="宋体" w:hAnsi="宋体" w:cs="宋体"/>
          <w:sz w:val="24"/>
        </w:rPr>
        <w:t>1.2招标文件分为第一册“专用条款”和第二册“通用条款”。</w:t>
      </w:r>
    </w:p>
    <w:p w14:paraId="66FF4761">
      <w:pPr>
        <w:ind w:firstLine="470" w:firstLineChars="196"/>
        <w:rPr>
          <w:rFonts w:ascii="宋体" w:hAnsi="宋体" w:cs="宋体"/>
          <w:sz w:val="24"/>
        </w:rPr>
      </w:pPr>
      <w:r>
        <w:rPr>
          <w:rFonts w:hint="eastAsia" w:ascii="宋体" w:hAnsi="宋体" w:cs="宋体"/>
          <w:sz w:val="24"/>
        </w:rPr>
        <w:t>1.3“专用条款”是对本次采购项目的具体要求，包含招标公告、对通用条款的补充内容及其他关键信息、用户需求书、投标文件格式及附件、合同条款及格式等内容。</w:t>
      </w:r>
    </w:p>
    <w:p w14:paraId="55812E79">
      <w:pPr>
        <w:ind w:firstLine="470" w:firstLineChars="196"/>
        <w:rPr>
          <w:rFonts w:ascii="宋体" w:hAnsi="宋体" w:cs="宋体"/>
          <w:sz w:val="24"/>
        </w:rPr>
      </w:pPr>
      <w:r>
        <w:rPr>
          <w:rFonts w:hint="eastAsia" w:ascii="宋体" w:hAnsi="宋体" w:cs="宋体"/>
          <w:sz w:val="24"/>
        </w:rPr>
        <w:t>1.4“通用条款”是适用于政府采购公开招标项目的基础性条款，具有普遍性和通用性。</w:t>
      </w:r>
    </w:p>
    <w:p w14:paraId="2DAFBD81">
      <w:pPr>
        <w:ind w:firstLine="470" w:firstLineChars="196"/>
        <w:rPr>
          <w:rFonts w:ascii="宋体" w:hAnsi="宋体" w:cs="宋体"/>
          <w:sz w:val="24"/>
        </w:rPr>
      </w:pPr>
      <w:r>
        <w:rPr>
          <w:rFonts w:hint="eastAsia" w:ascii="宋体" w:hAnsi="宋体" w:cs="宋体"/>
          <w:sz w:val="24"/>
        </w:rPr>
        <w:t>1.5“专用条款”和“通用条款”表述不一致或有冲突时，以“专用条款”为准。</w:t>
      </w:r>
    </w:p>
    <w:p w14:paraId="1F43231D">
      <w:pPr>
        <w:outlineLvl w:val="1"/>
        <w:rPr>
          <w:rFonts w:ascii="宋体" w:hAnsi="宋体" w:cs="宋体"/>
          <w:sz w:val="24"/>
        </w:rPr>
      </w:pPr>
      <w:r>
        <w:rPr>
          <w:rFonts w:hint="eastAsia" w:ascii="宋体" w:hAnsi="宋体" w:cs="宋体"/>
          <w:sz w:val="24"/>
        </w:rPr>
        <w:t>2．招标说明</w:t>
      </w:r>
    </w:p>
    <w:p w14:paraId="6FCA7184">
      <w:pPr>
        <w:ind w:firstLine="470" w:firstLineChars="196"/>
        <w:rPr>
          <w:rFonts w:ascii="宋体" w:hAnsi="宋体" w:cs="宋体"/>
          <w:sz w:val="24"/>
        </w:rPr>
      </w:pPr>
      <w:r>
        <w:rPr>
          <w:rFonts w:hint="eastAsia" w:ascii="宋体" w:hAnsi="宋体" w:cs="宋体"/>
          <w:sz w:val="24"/>
        </w:rPr>
        <w:t>本项目按照《深圳经济特区政府采购条例》、《深圳经济特区政府采购条例实施细则》及政府采购其他法律法规，通过公开招标方式确定中标供应商。</w:t>
      </w:r>
    </w:p>
    <w:p w14:paraId="4D453D36">
      <w:pPr>
        <w:outlineLvl w:val="1"/>
        <w:rPr>
          <w:rFonts w:ascii="宋体" w:hAnsi="宋体" w:cs="宋体"/>
          <w:sz w:val="24"/>
        </w:rPr>
      </w:pPr>
      <w:r>
        <w:rPr>
          <w:rFonts w:hint="eastAsia" w:ascii="宋体" w:hAnsi="宋体" w:cs="宋体"/>
          <w:sz w:val="24"/>
        </w:rPr>
        <w:t>3．定义</w:t>
      </w:r>
    </w:p>
    <w:p w14:paraId="71931910">
      <w:pPr>
        <w:ind w:firstLine="480" w:firstLineChars="200"/>
        <w:rPr>
          <w:rFonts w:ascii="宋体" w:hAnsi="宋体" w:cs="宋体"/>
          <w:sz w:val="24"/>
        </w:rPr>
      </w:pPr>
      <w:r>
        <w:rPr>
          <w:rFonts w:hint="eastAsia" w:ascii="宋体" w:hAnsi="宋体" w:cs="宋体"/>
          <w:sz w:val="24"/>
        </w:rPr>
        <w:t>招标文件中下列术语应解释为：</w:t>
      </w:r>
    </w:p>
    <w:p w14:paraId="2DF4D378">
      <w:pPr>
        <w:ind w:firstLine="470" w:firstLineChars="196"/>
        <w:rPr>
          <w:rFonts w:ascii="宋体" w:hAnsi="宋体" w:cs="宋体"/>
          <w:sz w:val="24"/>
        </w:rPr>
      </w:pPr>
      <w:r>
        <w:rPr>
          <w:rFonts w:hint="eastAsia" w:ascii="宋体" w:hAnsi="宋体" w:cs="宋体"/>
          <w:sz w:val="24"/>
        </w:rPr>
        <w:t>3.1“采购人”：指利用财政性资金依法进行政府采购的国家机关、事业单位、团体组织；</w:t>
      </w:r>
    </w:p>
    <w:p w14:paraId="4506E002">
      <w:pPr>
        <w:ind w:firstLine="470" w:firstLineChars="196"/>
        <w:rPr>
          <w:rFonts w:ascii="宋体" w:hAnsi="宋体" w:cs="宋体"/>
          <w:sz w:val="24"/>
        </w:rPr>
      </w:pPr>
      <w:r>
        <w:rPr>
          <w:rFonts w:hint="eastAsia" w:ascii="宋体" w:hAnsi="宋体" w:cs="宋体"/>
          <w:sz w:val="24"/>
        </w:rPr>
        <w:t>3.2“政府集中采购机构”</w:t>
      </w:r>
      <w:r>
        <w:rPr>
          <w:rFonts w:hint="eastAsia" w:ascii="宋体" w:hAnsi="宋体" w:cs="宋体"/>
          <w:sz w:val="24"/>
          <w:shd w:val="clear" w:color="auto" w:fill="FFFFFF"/>
        </w:rPr>
        <w:t>是指市政府设立的，组织实施政府采购项目，并对政府采购活动提供服务的专门机构；</w:t>
      </w:r>
      <w:r>
        <w:rPr>
          <w:rFonts w:hint="eastAsia" w:ascii="宋体" w:hAnsi="宋体" w:cs="宋体"/>
          <w:sz w:val="24"/>
        </w:rPr>
        <w:t>本文件所述的“政府集中采购机构”指</w:t>
      </w:r>
      <w:r>
        <w:rPr>
          <w:rFonts w:hint="eastAsia" w:ascii="宋体" w:hAnsi="宋体" w:cs="宋体"/>
          <w:b/>
          <w:bCs/>
          <w:sz w:val="24"/>
        </w:rPr>
        <w:t>深圳公共资源交易中心</w:t>
      </w:r>
      <w:r>
        <w:rPr>
          <w:rFonts w:hint="eastAsia" w:ascii="宋体" w:hAnsi="宋体" w:cs="宋体"/>
          <w:sz w:val="24"/>
        </w:rPr>
        <w:t>；</w:t>
      </w:r>
    </w:p>
    <w:p w14:paraId="1A6E4FF4">
      <w:pPr>
        <w:ind w:firstLine="470" w:firstLineChars="196"/>
        <w:rPr>
          <w:rFonts w:ascii="宋体" w:hAnsi="宋体" w:cs="宋体"/>
          <w:sz w:val="24"/>
        </w:rPr>
      </w:pPr>
      <w:r>
        <w:rPr>
          <w:rFonts w:hint="eastAsia" w:ascii="宋体" w:hAnsi="宋体" w:cs="宋体"/>
          <w:sz w:val="24"/>
        </w:rPr>
        <w:t>3.3“投标人”，即供应商，指参加投标竞争并愿意按照招标文件要求向采购人提供货物、工程或者服务的依法成立的法人、其他组织或者自然人；</w:t>
      </w:r>
    </w:p>
    <w:p w14:paraId="12879863">
      <w:pPr>
        <w:ind w:firstLine="470" w:firstLineChars="196"/>
        <w:rPr>
          <w:rFonts w:ascii="宋体" w:hAnsi="宋体" w:cs="宋体"/>
          <w:sz w:val="24"/>
        </w:rPr>
      </w:pPr>
      <w:r>
        <w:rPr>
          <w:rFonts w:hint="eastAsia" w:ascii="宋体" w:hAnsi="宋体" w:cs="宋体"/>
          <w:sz w:val="24"/>
        </w:rPr>
        <w:t>3.4“评审委员会”是依据《深圳经济特区政府采购条例》《深圳经济特区政府采购条例实施细则》等有关规定组建的专门负责本次</w:t>
      </w:r>
      <w:r>
        <w:rPr>
          <w:rFonts w:hint="eastAsia" w:ascii="宋体" w:hAnsi="宋体" w:cs="宋体"/>
          <w:sz w:val="24"/>
          <w:lang w:eastAsia="zh-CN"/>
        </w:rPr>
        <w:t>招标</w:t>
      </w:r>
      <w:r>
        <w:rPr>
          <w:rFonts w:hint="eastAsia" w:ascii="宋体" w:hAnsi="宋体" w:cs="宋体"/>
          <w:sz w:val="24"/>
        </w:rPr>
        <w:t>评审工作的临时性机构；</w:t>
      </w:r>
    </w:p>
    <w:p w14:paraId="79C5832E">
      <w:pPr>
        <w:ind w:firstLine="470" w:firstLineChars="196"/>
        <w:rPr>
          <w:rFonts w:ascii="宋体" w:hAnsi="宋体" w:cs="宋体"/>
          <w:sz w:val="24"/>
        </w:rPr>
      </w:pPr>
      <w:r>
        <w:rPr>
          <w:rFonts w:hint="eastAsia" w:ascii="宋体" w:hAnsi="宋体" w:cs="宋体"/>
          <w:sz w:val="24"/>
        </w:rPr>
        <w:t>3.5“日期”指公历日；</w:t>
      </w:r>
    </w:p>
    <w:p w14:paraId="0D58DD10">
      <w:pPr>
        <w:ind w:firstLine="470" w:firstLineChars="196"/>
        <w:rPr>
          <w:rFonts w:ascii="宋体" w:hAnsi="宋体" w:cs="宋体"/>
          <w:sz w:val="24"/>
        </w:rPr>
      </w:pPr>
      <w:r>
        <w:rPr>
          <w:rFonts w:hint="eastAsia" w:ascii="宋体" w:hAnsi="宋体" w:cs="宋体"/>
          <w:sz w:val="24"/>
        </w:rPr>
        <w:t>3.6“合同”指由本次招标所产生的合同或合约文件；</w:t>
      </w:r>
    </w:p>
    <w:p w14:paraId="63C76E11">
      <w:pPr>
        <w:ind w:firstLine="470" w:firstLineChars="196"/>
        <w:rPr>
          <w:rFonts w:ascii="宋体" w:hAnsi="宋体" w:cs="宋体"/>
          <w:sz w:val="24"/>
        </w:rPr>
      </w:pPr>
      <w:r>
        <w:rPr>
          <w:rFonts w:hint="eastAsia" w:ascii="宋体" w:hAnsi="宋体" w:cs="宋体"/>
          <w:sz w:val="24"/>
        </w:rPr>
        <w:t>3.7“电子投标文件”指利用</w:t>
      </w:r>
      <w:r>
        <w:rPr>
          <w:rFonts w:hint="eastAsia" w:ascii="宋体" w:hAnsi="宋体" w:cs="宋体"/>
          <w:b/>
          <w:bCs/>
          <w:sz w:val="24"/>
        </w:rPr>
        <w:t>深圳公共资源交易中心（深圳交易集团有限公司龙岗分公司）</w:t>
      </w:r>
      <w:r>
        <w:rPr>
          <w:rFonts w:hint="eastAsia" w:ascii="宋体" w:hAnsi="宋体" w:cs="宋体"/>
          <w:sz w:val="24"/>
        </w:rPr>
        <w:t>网站提供的深圳智慧采购平台投标文件制作专用软件（以下简称：投标文件制作软件）制作并加密的投标文件,适用于网上投标；（投标文件制作软件可从“下载地址：http://zfcg.szggzy.com:8081/cgxy/013002/20210923/173e0b2c-7a4c-4246-a0c7-e0ea75d84dd6.html深圳智慧采购平台投标文件制作专用软件.zip”下载）</w:t>
      </w:r>
      <w:bookmarkStart w:id="50" w:name="_Hlk72398581"/>
      <w:r>
        <w:rPr>
          <w:rFonts w:hint="eastAsia" w:ascii="宋体" w:hAnsi="宋体" w:cs="宋体"/>
          <w:sz w:val="24"/>
        </w:rPr>
        <w:t>；</w:t>
      </w:r>
      <w:bookmarkEnd w:id="50"/>
    </w:p>
    <w:p w14:paraId="24360227">
      <w:pPr>
        <w:ind w:firstLine="470" w:firstLineChars="196"/>
        <w:rPr>
          <w:rFonts w:ascii="宋体" w:hAnsi="宋体" w:cs="宋体"/>
          <w:sz w:val="24"/>
        </w:rPr>
      </w:pPr>
      <w:r>
        <w:rPr>
          <w:rFonts w:hint="eastAsia" w:ascii="宋体" w:hAnsi="宋体" w:cs="宋体"/>
          <w:sz w:val="24"/>
        </w:rPr>
        <w:t>3.8“网上投标”指通过</w:t>
      </w:r>
      <w:r>
        <w:rPr>
          <w:rFonts w:hint="eastAsia" w:ascii="宋体" w:hAnsi="宋体" w:cs="宋体"/>
          <w:b/>
          <w:bCs/>
          <w:sz w:val="24"/>
        </w:rPr>
        <w:t>深圳公共资源交易中心（深圳交易集团有限公司龙岗分公司）</w:t>
      </w:r>
      <w:r>
        <w:rPr>
          <w:rFonts w:hint="eastAsia" w:ascii="宋体" w:hAnsi="宋体" w:cs="宋体"/>
          <w:sz w:val="24"/>
        </w:rPr>
        <w:t>网站上传电子投标文件；</w:t>
      </w:r>
    </w:p>
    <w:p w14:paraId="38F9E9BC">
      <w:pPr>
        <w:ind w:firstLine="470" w:firstLineChars="196"/>
        <w:rPr>
          <w:rFonts w:ascii="宋体" w:hAnsi="宋体" w:cs="宋体"/>
          <w:sz w:val="24"/>
        </w:rPr>
      </w:pPr>
      <w:r>
        <w:rPr>
          <w:rFonts w:hint="eastAsia" w:ascii="宋体" w:hAnsi="宋体" w:cs="宋体"/>
          <w:sz w:val="24"/>
        </w:rPr>
        <w:t>3.9招标文件中的标题或题名仅起引导作用，而不应视为对招标文件内容的理解和解释。</w:t>
      </w:r>
    </w:p>
    <w:p w14:paraId="5B6B3B6A">
      <w:pPr>
        <w:outlineLvl w:val="1"/>
        <w:rPr>
          <w:rFonts w:ascii="宋体" w:hAnsi="宋体" w:cs="宋体"/>
          <w:sz w:val="24"/>
        </w:rPr>
      </w:pPr>
      <w:r>
        <w:rPr>
          <w:rFonts w:hint="eastAsia" w:ascii="宋体" w:hAnsi="宋体" w:cs="宋体"/>
          <w:sz w:val="24"/>
        </w:rPr>
        <w:t>4.</w:t>
      </w:r>
      <w:bookmarkStart w:id="51" w:name="_Hlk72398643"/>
      <w:r>
        <w:rPr>
          <w:rFonts w:hint="eastAsia" w:ascii="宋体" w:hAnsi="宋体" w:cs="宋体"/>
          <w:sz w:val="24"/>
        </w:rPr>
        <w:t>政府采购供应商责任</w:t>
      </w:r>
    </w:p>
    <w:p w14:paraId="470D837D">
      <w:pPr>
        <w:ind w:firstLine="470" w:firstLineChars="196"/>
        <w:rPr>
          <w:rFonts w:ascii="宋体" w:hAnsi="宋体" w:cs="宋体"/>
          <w:sz w:val="24"/>
        </w:rPr>
      </w:pPr>
      <w:r>
        <w:rPr>
          <w:rFonts w:hint="eastAsia" w:ascii="宋体" w:hAnsi="宋体" w:cs="宋体"/>
          <w:sz w:val="24"/>
        </w:rPr>
        <w:t>4.1欢迎诚信、有实力和有社会责任心的供应商参与政府采购事业。</w:t>
      </w:r>
    </w:p>
    <w:p w14:paraId="21819228">
      <w:pPr>
        <w:ind w:firstLine="470" w:firstLineChars="196"/>
        <w:rPr>
          <w:rFonts w:ascii="宋体" w:hAnsi="宋体" w:cs="宋体"/>
          <w:sz w:val="24"/>
        </w:rPr>
      </w:pPr>
      <w:r>
        <w:rPr>
          <w:rFonts w:hint="eastAsia" w:ascii="宋体" w:hAnsi="宋体" w:cs="宋体"/>
          <w:sz w:val="24"/>
        </w:rPr>
        <w:t>4.2投标人应当遵循公平竞争的原则，不得恶意串通，不得妨碍其他投标人的竞争行为，不得损害采购人或者其他投标人的合法权益。如违反上述要求，经核实后，供应商的投标无效。</w:t>
      </w:r>
    </w:p>
    <w:p w14:paraId="535A374E">
      <w:pPr>
        <w:outlineLvl w:val="1"/>
        <w:rPr>
          <w:rFonts w:ascii="宋体" w:hAnsi="宋体" w:cs="宋体"/>
          <w:sz w:val="24"/>
        </w:rPr>
      </w:pPr>
      <w:r>
        <w:rPr>
          <w:rFonts w:hint="eastAsia" w:ascii="宋体" w:hAnsi="宋体" w:cs="宋体"/>
          <w:sz w:val="24"/>
        </w:rPr>
        <w:t>5．投标人参加政府采购的条件</w:t>
      </w:r>
    </w:p>
    <w:p w14:paraId="3B0D6024">
      <w:pPr>
        <w:ind w:firstLine="470" w:firstLineChars="196"/>
        <w:rPr>
          <w:rFonts w:ascii="宋体" w:hAnsi="宋体" w:cs="宋体"/>
          <w:sz w:val="24"/>
        </w:rPr>
      </w:pPr>
      <w:r>
        <w:rPr>
          <w:rFonts w:hint="eastAsia" w:ascii="宋体" w:hAnsi="宋体" w:cs="宋体"/>
          <w:sz w:val="24"/>
        </w:rPr>
        <w:t>5.1投标人应在投标前到</w:t>
      </w:r>
      <w:r>
        <w:rPr>
          <w:rFonts w:hint="eastAsia" w:ascii="宋体" w:hAnsi="宋体" w:cs="宋体"/>
          <w:b/>
          <w:bCs/>
          <w:sz w:val="24"/>
        </w:rPr>
        <w:t>深圳公共资源交易中心（具体在深圳交易集团有限公司政府采购业务分公司进行办理）</w:t>
      </w:r>
      <w:r>
        <w:rPr>
          <w:rFonts w:hint="eastAsia" w:ascii="宋体" w:hAnsi="宋体" w:cs="宋体"/>
          <w:sz w:val="24"/>
        </w:rPr>
        <w:t>进行注册并办理电子密钥。《供应商注册及信息变更指引》详见www.szggzy.com网站“交易服务指南-政府采购”。。</w:t>
      </w:r>
    </w:p>
    <w:p w14:paraId="4388662D">
      <w:pPr>
        <w:ind w:firstLine="470" w:firstLineChars="196"/>
        <w:rPr>
          <w:rFonts w:ascii="宋体" w:hAnsi="宋体" w:cs="宋体"/>
          <w:sz w:val="24"/>
        </w:rPr>
      </w:pPr>
      <w:r>
        <w:rPr>
          <w:rFonts w:hint="eastAsia" w:ascii="宋体" w:hAnsi="宋体" w:cs="宋体"/>
          <w:sz w:val="24"/>
        </w:rPr>
        <w:t>5.2投标人资格要求</w:t>
      </w:r>
    </w:p>
    <w:p w14:paraId="4C58C49F">
      <w:pPr>
        <w:ind w:firstLine="470" w:firstLineChars="196"/>
        <w:rPr>
          <w:rFonts w:ascii="宋体" w:hAnsi="宋体" w:cs="宋体"/>
          <w:sz w:val="24"/>
        </w:rPr>
      </w:pPr>
      <w:r>
        <w:rPr>
          <w:rFonts w:hint="eastAsia" w:ascii="宋体" w:hAnsi="宋体" w:cs="宋体"/>
          <w:sz w:val="24"/>
        </w:rPr>
        <w:t>参加本项目的投标人应具备的资格条件详见本项目招标公告中“投标人资格要求”（即申请人的资格要求）的内容。</w:t>
      </w:r>
    </w:p>
    <w:p w14:paraId="4ECF5179">
      <w:pPr>
        <w:ind w:firstLine="470" w:firstLineChars="196"/>
        <w:rPr>
          <w:rFonts w:ascii="宋体" w:hAnsi="宋体" w:cs="宋体"/>
          <w:sz w:val="24"/>
        </w:rPr>
      </w:pPr>
      <w:r>
        <w:rPr>
          <w:rFonts w:hint="eastAsia" w:ascii="宋体" w:hAnsi="宋体" w:cs="宋体"/>
          <w:sz w:val="24"/>
        </w:rPr>
        <w:t>5.3联合体投标</w:t>
      </w:r>
    </w:p>
    <w:p w14:paraId="5B1B79F9">
      <w:pPr>
        <w:ind w:firstLine="470" w:firstLineChars="196"/>
        <w:rPr>
          <w:rFonts w:ascii="宋体" w:hAnsi="宋体" w:cs="宋体"/>
          <w:sz w:val="24"/>
        </w:rPr>
      </w:pPr>
      <w:r>
        <w:rPr>
          <w:rFonts w:hint="eastAsia" w:ascii="宋体" w:hAnsi="宋体" w:cs="宋体"/>
          <w:sz w:val="24"/>
        </w:rPr>
        <w:t>5.3.1　以下有关联合体投标的条款仅适用于允许投标人组成联合体投标的项目。</w:t>
      </w:r>
    </w:p>
    <w:p w14:paraId="001B2D8D">
      <w:pPr>
        <w:ind w:firstLine="470" w:firstLineChars="196"/>
        <w:rPr>
          <w:rFonts w:ascii="宋体" w:hAnsi="宋体" w:cs="宋体"/>
          <w:sz w:val="24"/>
        </w:rPr>
      </w:pPr>
      <w:r>
        <w:rPr>
          <w:rFonts w:hint="eastAsia" w:ascii="宋体" w:hAnsi="宋体" w:cs="宋体"/>
          <w:sz w:val="24"/>
        </w:rPr>
        <w:t>5.3.2由两个或两个以上的自然人、法人或者其他组织可以组成一个联合体，以一个供应商的身份共同投标时，应符合以下原则：</w:t>
      </w:r>
    </w:p>
    <w:p w14:paraId="37A1DA96">
      <w:pPr>
        <w:ind w:firstLine="470" w:firstLineChars="196"/>
        <w:rPr>
          <w:rFonts w:ascii="宋体" w:hAnsi="宋体" w:cs="宋体"/>
          <w:sz w:val="24"/>
        </w:rPr>
      </w:pPr>
      <w:r>
        <w:rPr>
          <w:rFonts w:hint="eastAsia" w:ascii="宋体" w:hAnsi="宋体" w:cs="宋体"/>
          <w:sz w:val="24"/>
        </w:rPr>
        <w:t>（1）投标联合体各方参加政府采购活动应当具备下列条件：</w:t>
      </w:r>
    </w:p>
    <w:p w14:paraId="32C98943">
      <w:pPr>
        <w:ind w:left="420" w:leftChars="200" w:firstLine="470" w:firstLineChars="196"/>
        <w:rPr>
          <w:rFonts w:ascii="宋体" w:hAnsi="宋体" w:cs="宋体"/>
          <w:sz w:val="24"/>
        </w:rPr>
      </w:pPr>
      <w:r>
        <w:rPr>
          <w:rFonts w:hint="eastAsia" w:ascii="宋体" w:hAnsi="宋体" w:cs="宋体"/>
          <w:sz w:val="24"/>
        </w:rPr>
        <w:t>1、具有独立承担民事责任的能力；</w:t>
      </w:r>
    </w:p>
    <w:p w14:paraId="2CF8C82E">
      <w:pPr>
        <w:ind w:left="420" w:firstLine="470" w:firstLineChars="196"/>
        <w:rPr>
          <w:rFonts w:ascii="宋体" w:hAnsi="宋体" w:cs="宋体"/>
          <w:sz w:val="24"/>
        </w:rPr>
      </w:pPr>
      <w:r>
        <w:rPr>
          <w:rFonts w:hint="eastAsia" w:ascii="宋体" w:hAnsi="宋体" w:cs="宋体"/>
          <w:sz w:val="24"/>
        </w:rPr>
        <w:t>2、有良好的商业信誉和健全的财务会计制度；</w:t>
      </w:r>
    </w:p>
    <w:p w14:paraId="25784062">
      <w:pPr>
        <w:ind w:left="420" w:leftChars="200" w:firstLine="470" w:firstLineChars="196"/>
        <w:rPr>
          <w:rFonts w:ascii="宋体" w:hAnsi="宋体" w:cs="宋体"/>
          <w:sz w:val="24"/>
        </w:rPr>
      </w:pPr>
      <w:r>
        <w:rPr>
          <w:rFonts w:hint="eastAsia" w:ascii="宋体" w:hAnsi="宋体" w:cs="宋体"/>
          <w:sz w:val="24"/>
        </w:rPr>
        <w:t>3、具有履行合同所必需的设备和专业技术能力；</w:t>
      </w:r>
    </w:p>
    <w:p w14:paraId="29BF011D">
      <w:pPr>
        <w:ind w:left="420" w:leftChars="200" w:firstLine="470" w:firstLineChars="196"/>
        <w:rPr>
          <w:rFonts w:ascii="宋体" w:hAnsi="宋体" w:cs="宋体"/>
          <w:sz w:val="24"/>
        </w:rPr>
      </w:pPr>
      <w:r>
        <w:rPr>
          <w:rFonts w:hint="eastAsia" w:ascii="宋体" w:hAnsi="宋体" w:cs="宋体"/>
          <w:sz w:val="24"/>
        </w:rPr>
        <w:t>4、有依法缴纳税收和社会保障资金的良好记录；</w:t>
      </w:r>
    </w:p>
    <w:p w14:paraId="2BA279F9">
      <w:pPr>
        <w:ind w:left="420" w:leftChars="200" w:firstLine="470" w:firstLineChars="196"/>
        <w:rPr>
          <w:rFonts w:ascii="宋体" w:hAnsi="宋体" w:cs="宋体"/>
          <w:sz w:val="24"/>
        </w:rPr>
      </w:pPr>
      <w:r>
        <w:rPr>
          <w:rFonts w:hint="eastAsia" w:ascii="宋体" w:hAnsi="宋体" w:cs="宋体"/>
          <w:sz w:val="24"/>
        </w:rPr>
        <w:t>5、参加政府采购活动前三年内，在经营活动中没有重大违法记录；</w:t>
      </w:r>
    </w:p>
    <w:p w14:paraId="681A0845">
      <w:pPr>
        <w:ind w:left="420" w:leftChars="200" w:firstLine="470" w:firstLineChars="196"/>
        <w:rPr>
          <w:rFonts w:ascii="宋体" w:hAnsi="宋体" w:cs="宋体"/>
          <w:sz w:val="24"/>
        </w:rPr>
      </w:pPr>
      <w:r>
        <w:rPr>
          <w:rFonts w:hint="eastAsia" w:ascii="宋体" w:hAnsi="宋体" w:cs="宋体"/>
          <w:sz w:val="24"/>
        </w:rPr>
        <w:t>6、法律、行政法规规定的其他条件。</w:t>
      </w:r>
    </w:p>
    <w:p w14:paraId="410CC7AD">
      <w:pPr>
        <w:ind w:firstLine="470" w:firstLineChars="196"/>
        <w:rPr>
          <w:rFonts w:ascii="宋体" w:hAnsi="宋体" w:cs="宋体"/>
          <w:sz w:val="24"/>
        </w:rPr>
      </w:pPr>
      <w:r>
        <w:rPr>
          <w:rFonts w:hint="eastAsia" w:ascii="宋体" w:hAnsi="宋体" w:cs="宋体"/>
          <w:sz w:val="24"/>
        </w:rPr>
        <w:t>（2）在投标截止前，投标联合体各方均应注册成政府集中采购机构供应商；</w:t>
      </w:r>
    </w:p>
    <w:p w14:paraId="1CEB952E">
      <w:pPr>
        <w:ind w:firstLine="470" w:firstLineChars="196"/>
        <w:rPr>
          <w:rFonts w:ascii="宋体" w:hAnsi="宋体" w:cs="宋体"/>
          <w:sz w:val="24"/>
        </w:rPr>
      </w:pPr>
      <w:r>
        <w:rPr>
          <w:rFonts w:hint="eastAsia" w:ascii="宋体" w:hAnsi="宋体" w:cs="宋体"/>
          <w:sz w:val="24"/>
        </w:rPr>
        <w:t>（3）联合体中有同类资质的供应商按照联合体分工承担相同工作的，应当按照资质等级较低的供应商确定资质等级；</w:t>
      </w:r>
    </w:p>
    <w:p w14:paraId="6CA3B46F">
      <w:pPr>
        <w:ind w:firstLine="470" w:firstLineChars="196"/>
        <w:rPr>
          <w:rFonts w:ascii="宋体" w:hAnsi="宋体" w:cs="宋体"/>
          <w:sz w:val="24"/>
        </w:rPr>
      </w:pPr>
      <w:r>
        <w:rPr>
          <w:rFonts w:hint="eastAsia" w:ascii="宋体" w:hAnsi="宋体" w:cs="宋体"/>
          <w:sz w:val="24"/>
        </w:rPr>
        <w:t>（4）是否允许联合体参加投标，应当由采购人和采购代理机构根据项目的实际情况和潜在供应商的数量自主决定，如果决定接受联合体投标则应当在招标公告中明示；</w:t>
      </w:r>
    </w:p>
    <w:p w14:paraId="3BB34B3E">
      <w:pPr>
        <w:ind w:firstLine="470" w:firstLineChars="196"/>
        <w:rPr>
          <w:rFonts w:ascii="宋体" w:hAnsi="宋体" w:cs="宋体"/>
          <w:sz w:val="24"/>
        </w:rPr>
      </w:pPr>
      <w:r>
        <w:rPr>
          <w:rFonts w:hint="eastAsia" w:ascii="宋体" w:hAnsi="宋体" w:cs="宋体"/>
          <w:sz w:val="24"/>
        </w:rPr>
        <w:t>（5）投标人的投标文件及中标后签署的合同协议对联合体各方均</w:t>
      </w:r>
      <w:r>
        <w:rPr>
          <w:rFonts w:hint="eastAsia" w:ascii="宋体" w:hAnsi="宋体" w:cs="宋体"/>
          <w:sz w:val="24"/>
          <w:lang w:eastAsia="zh-CN"/>
        </w:rPr>
        <w:t>具有</w:t>
      </w:r>
      <w:r>
        <w:rPr>
          <w:rFonts w:hint="eastAsia" w:ascii="宋体" w:hAnsi="宋体" w:cs="宋体"/>
          <w:sz w:val="24"/>
        </w:rPr>
        <w:t>法律约束力；</w:t>
      </w:r>
    </w:p>
    <w:p w14:paraId="76ED728C">
      <w:pPr>
        <w:ind w:firstLine="470" w:firstLineChars="196"/>
        <w:rPr>
          <w:rFonts w:ascii="宋体" w:hAnsi="宋体" w:cs="宋体"/>
          <w:sz w:val="24"/>
        </w:rPr>
      </w:pPr>
      <w:r>
        <w:rPr>
          <w:rFonts w:hint="eastAsia" w:ascii="宋体" w:hAnsi="宋体" w:cs="宋体"/>
          <w:sz w:val="24"/>
        </w:rPr>
        <w:t>（6）联合体各方应当签订联合体投标协议，明确约定各方拟承担的工作和责任，并将该协议随投标文件一并递交给政府集中采购机构；</w:t>
      </w:r>
    </w:p>
    <w:p w14:paraId="7F8EC28E">
      <w:pPr>
        <w:ind w:firstLine="470" w:firstLineChars="196"/>
        <w:rPr>
          <w:rFonts w:ascii="宋体" w:hAnsi="宋体" w:cs="宋体"/>
          <w:sz w:val="24"/>
        </w:rPr>
      </w:pPr>
      <w:r>
        <w:rPr>
          <w:rFonts w:hint="eastAsia" w:ascii="宋体" w:hAnsi="宋体" w:cs="宋体"/>
          <w:sz w:val="24"/>
        </w:rPr>
        <w:t>（7）联合体中标后，联合体各方应当共同与采购人签订合同，就中标项目向采购人承担连带责任；</w:t>
      </w:r>
    </w:p>
    <w:p w14:paraId="337CD3AF">
      <w:pPr>
        <w:ind w:firstLine="470" w:firstLineChars="196"/>
        <w:rPr>
          <w:rFonts w:ascii="宋体" w:hAnsi="宋体" w:cs="宋体"/>
          <w:sz w:val="24"/>
        </w:rPr>
      </w:pPr>
      <w:r>
        <w:rPr>
          <w:rFonts w:hint="eastAsia" w:ascii="宋体" w:hAnsi="宋体" w:cs="宋体"/>
          <w:sz w:val="24"/>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56483FA1">
      <w:pPr>
        <w:ind w:firstLine="470" w:firstLineChars="196"/>
        <w:rPr>
          <w:rFonts w:ascii="宋体" w:hAnsi="宋体" w:cs="宋体"/>
          <w:sz w:val="24"/>
        </w:rPr>
      </w:pPr>
      <w:r>
        <w:rPr>
          <w:rFonts w:hint="eastAsia" w:ascii="宋体" w:hAnsi="宋体" w:cs="宋体"/>
          <w:sz w:val="24"/>
        </w:rPr>
        <w:t>（9）本通用条款中“投标人”一词亦指联合体各方，专用条款另有规定或说明的除外。</w:t>
      </w:r>
    </w:p>
    <w:p w14:paraId="6D725C80">
      <w:pPr>
        <w:outlineLvl w:val="1"/>
        <w:rPr>
          <w:rFonts w:ascii="宋体" w:hAnsi="宋体" w:cs="宋体"/>
          <w:sz w:val="24"/>
        </w:rPr>
      </w:pPr>
      <w:r>
        <w:rPr>
          <w:rFonts w:hint="eastAsia" w:ascii="宋体" w:hAnsi="宋体" w:cs="宋体"/>
          <w:sz w:val="24"/>
        </w:rPr>
        <w:t>6．政策导向</w:t>
      </w:r>
    </w:p>
    <w:p w14:paraId="5CCBAEB1">
      <w:pPr>
        <w:ind w:firstLine="470" w:firstLineChars="196"/>
        <w:rPr>
          <w:rFonts w:ascii="宋体" w:hAnsi="宋体" w:cs="宋体"/>
          <w:sz w:val="24"/>
        </w:rPr>
      </w:pPr>
      <w:r>
        <w:rPr>
          <w:rFonts w:hint="eastAsia" w:ascii="宋体" w:hAnsi="宋体" w:cs="宋体"/>
          <w:sz w:val="24"/>
        </w:rPr>
        <w:t>6.1政府采购扶持贫困地区、中小企业、监狱企业和残疾人福利性单位发展，支持节能减排、环境保护。</w:t>
      </w:r>
    </w:p>
    <w:p w14:paraId="48ACA957">
      <w:pPr>
        <w:ind w:firstLine="405"/>
        <w:rPr>
          <w:rFonts w:ascii="宋体" w:hAnsi="宋体" w:cs="宋体"/>
          <w:sz w:val="24"/>
          <w:shd w:val="clear" w:color="auto" w:fill="FFFFFF"/>
        </w:rPr>
      </w:pPr>
      <w:r>
        <w:rPr>
          <w:rFonts w:hint="eastAsia" w:ascii="宋体" w:hAnsi="宋体" w:cs="宋体"/>
          <w:sz w:val="24"/>
        </w:rPr>
        <w:t>6.2本项目落实深圳市政府采购供应商诚信管理政策要求。</w:t>
      </w:r>
    </w:p>
    <w:p w14:paraId="56A860CB">
      <w:pPr>
        <w:outlineLvl w:val="1"/>
        <w:rPr>
          <w:rFonts w:ascii="宋体" w:hAnsi="宋体" w:cs="宋体"/>
          <w:sz w:val="24"/>
        </w:rPr>
      </w:pPr>
      <w:r>
        <w:rPr>
          <w:rFonts w:hint="eastAsia" w:ascii="宋体" w:hAnsi="宋体" w:cs="宋体"/>
          <w:sz w:val="24"/>
        </w:rPr>
        <w:t>7.本项目若涉及采购货物，则合格的货物及相应服务应满足以下要求：</w:t>
      </w:r>
    </w:p>
    <w:p w14:paraId="51D32C2F">
      <w:pPr>
        <w:ind w:firstLine="470" w:firstLineChars="196"/>
        <w:rPr>
          <w:rFonts w:ascii="宋体" w:hAnsi="宋体" w:cs="宋体"/>
          <w:sz w:val="24"/>
        </w:rPr>
      </w:pPr>
      <w:r>
        <w:rPr>
          <w:rFonts w:hint="eastAsia" w:ascii="宋体" w:hAnsi="宋体" w:cs="宋体"/>
          <w:sz w:val="24"/>
        </w:rPr>
        <w:t>7.1必须是全新、未使用过的原装合格正品（包括零部件），如安装或配置了软件的，须为正版软件。</w:t>
      </w:r>
    </w:p>
    <w:p w14:paraId="0B001A3B">
      <w:pPr>
        <w:ind w:firstLine="470" w:firstLineChars="196"/>
        <w:rPr>
          <w:rFonts w:ascii="宋体" w:hAnsi="宋体" w:cs="宋体"/>
          <w:sz w:val="24"/>
        </w:rPr>
      </w:pPr>
      <w:r>
        <w:rPr>
          <w:rFonts w:hint="eastAsia" w:ascii="宋体" w:hAnsi="宋体" w:cs="宋体"/>
          <w:sz w:val="24"/>
        </w:rPr>
        <w:t>7.2国产的货物及其有关服务必须符合中华人民共和国的设计、制造生产标准及行业标准。招标公告有其他要求的，亦应符合其要求。</w:t>
      </w:r>
    </w:p>
    <w:p w14:paraId="1E9F34E8">
      <w:pPr>
        <w:ind w:firstLine="470" w:firstLineChars="196"/>
        <w:rPr>
          <w:rFonts w:ascii="宋体" w:hAnsi="宋体" w:cs="宋体"/>
          <w:sz w:val="24"/>
        </w:rPr>
      </w:pPr>
      <w:r>
        <w:rPr>
          <w:rFonts w:hint="eastAsia" w:ascii="宋体" w:hAnsi="宋体" w:cs="宋体"/>
          <w:sz w:val="24"/>
        </w:rPr>
        <w:t>7.3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30A54DE6">
      <w:pPr>
        <w:ind w:firstLine="470" w:firstLineChars="196"/>
        <w:rPr>
          <w:rFonts w:ascii="宋体" w:hAnsi="宋体" w:cs="宋体"/>
          <w:sz w:val="24"/>
        </w:rPr>
      </w:pPr>
      <w:r>
        <w:rPr>
          <w:rFonts w:hint="eastAsia" w:ascii="宋体" w:hAnsi="宋体" w:cs="宋体"/>
          <w:sz w:val="24"/>
        </w:rPr>
        <w:t>7.4投标人</w:t>
      </w:r>
      <w:bookmarkStart w:id="52" w:name="_Hlk72152753"/>
      <w:r>
        <w:rPr>
          <w:rFonts w:hint="eastAsia" w:ascii="宋体" w:hAnsi="宋体" w:cs="宋体"/>
          <w:sz w:val="24"/>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52"/>
    </w:p>
    <w:p w14:paraId="21F0B1B6">
      <w:pPr>
        <w:ind w:firstLine="470" w:firstLineChars="196"/>
        <w:rPr>
          <w:rFonts w:ascii="宋体" w:hAnsi="宋体" w:cs="宋体"/>
          <w:sz w:val="24"/>
        </w:rPr>
      </w:pPr>
      <w:r>
        <w:rPr>
          <w:rFonts w:hint="eastAsia" w:ascii="宋体" w:hAnsi="宋体" w:cs="宋体"/>
          <w:sz w:val="24"/>
        </w:rPr>
        <w:t>7.5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69A3FA6E">
      <w:pPr>
        <w:ind w:firstLine="470" w:firstLineChars="196"/>
        <w:rPr>
          <w:rFonts w:ascii="宋体" w:hAnsi="宋体" w:cs="宋体"/>
          <w:sz w:val="24"/>
        </w:rPr>
      </w:pPr>
      <w:r>
        <w:rPr>
          <w:rFonts w:hint="eastAsia" w:ascii="宋体" w:hAnsi="宋体" w:cs="宋体"/>
          <w:sz w:val="24"/>
        </w:rPr>
        <w:t>7.6工期要求：投标人在投标时对其所投项目应提交交货进度、交货计划等，在合同规定的时间内完成项目实施工作。</w:t>
      </w:r>
    </w:p>
    <w:p w14:paraId="14ADB48E">
      <w:pPr>
        <w:ind w:firstLine="470" w:firstLineChars="196"/>
        <w:rPr>
          <w:rFonts w:ascii="宋体" w:hAnsi="宋体" w:cs="宋体"/>
          <w:sz w:val="24"/>
        </w:rPr>
      </w:pPr>
      <w:r>
        <w:rPr>
          <w:rFonts w:hint="eastAsia" w:ascii="宋体" w:hAnsi="宋体" w:cs="宋体"/>
          <w:sz w:val="24"/>
        </w:rPr>
        <w:t>7.7投标人必须承担设备运输、安装调试、验收检测和提供设备操作说明书、图纸等其他相关及类似的义务。</w:t>
      </w:r>
    </w:p>
    <w:p w14:paraId="0F7A9C2C">
      <w:pPr>
        <w:outlineLvl w:val="1"/>
        <w:rPr>
          <w:rFonts w:ascii="宋体" w:hAnsi="宋体" w:cs="宋体"/>
          <w:sz w:val="24"/>
        </w:rPr>
      </w:pPr>
      <w:r>
        <w:rPr>
          <w:rFonts w:hint="eastAsia" w:ascii="宋体" w:hAnsi="宋体" w:cs="宋体"/>
          <w:sz w:val="24"/>
        </w:rPr>
        <w:t>8．投标费用</w:t>
      </w:r>
    </w:p>
    <w:p w14:paraId="7ADFB82C">
      <w:pPr>
        <w:ind w:firstLine="470" w:firstLineChars="196"/>
        <w:rPr>
          <w:rFonts w:ascii="宋体" w:hAnsi="宋体" w:cs="宋体"/>
          <w:sz w:val="24"/>
        </w:rPr>
      </w:pPr>
      <w:r>
        <w:rPr>
          <w:rFonts w:hint="eastAsia" w:ascii="宋体" w:hAnsi="宋体" w:cs="宋体"/>
          <w:sz w:val="24"/>
        </w:rPr>
        <w:t>不论投标结果如何，投标人应承担其编制投标文件与递交投标文件所涉及的一切费用。</w:t>
      </w:r>
    </w:p>
    <w:p w14:paraId="24890D90">
      <w:pPr>
        <w:outlineLvl w:val="1"/>
        <w:rPr>
          <w:rFonts w:ascii="宋体" w:hAnsi="宋体" w:cs="宋体"/>
          <w:sz w:val="24"/>
        </w:rPr>
      </w:pPr>
      <w:r>
        <w:rPr>
          <w:rFonts w:hint="eastAsia" w:ascii="宋体" w:hAnsi="宋体" w:cs="宋体"/>
          <w:sz w:val="24"/>
        </w:rPr>
        <w:t>9．踏勘现场</w:t>
      </w:r>
    </w:p>
    <w:p w14:paraId="5F569BD9">
      <w:pPr>
        <w:ind w:firstLine="470" w:firstLineChars="196"/>
        <w:rPr>
          <w:rFonts w:ascii="宋体" w:hAnsi="宋体" w:cs="宋体"/>
          <w:sz w:val="24"/>
        </w:rPr>
      </w:pPr>
      <w:r>
        <w:rPr>
          <w:rFonts w:hint="eastAsia" w:ascii="宋体" w:hAnsi="宋体" w:cs="宋体"/>
          <w:sz w:val="24"/>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71F576F1">
      <w:pPr>
        <w:ind w:firstLine="470" w:firstLineChars="196"/>
        <w:rPr>
          <w:rFonts w:ascii="宋体" w:hAnsi="宋体" w:cs="宋体"/>
          <w:sz w:val="24"/>
        </w:rPr>
      </w:pPr>
      <w:r>
        <w:rPr>
          <w:rFonts w:hint="eastAsia" w:ascii="宋体" w:hAnsi="宋体" w:cs="宋体"/>
          <w:sz w:val="24"/>
        </w:rPr>
        <w:t>9.2投标人及其人员经过采购人的允许，可以进入采购人的项目现场踏勘。若招标文件要求投标人于统一时间地点踏勘现场的，投标人应当按时前往。</w:t>
      </w:r>
    </w:p>
    <w:p w14:paraId="018BFBCA">
      <w:pPr>
        <w:ind w:firstLine="470" w:firstLineChars="196"/>
        <w:rPr>
          <w:rFonts w:ascii="宋体" w:hAnsi="宋体" w:cs="宋体"/>
          <w:sz w:val="24"/>
        </w:rPr>
      </w:pPr>
      <w:r>
        <w:rPr>
          <w:rFonts w:hint="eastAsia" w:ascii="宋体" w:hAnsi="宋体" w:cs="宋体"/>
          <w:sz w:val="24"/>
        </w:rPr>
        <w:t>9.3采购人应当通过政府集中采购机构向投标人提供有关现场的书面资料和数据。</w:t>
      </w:r>
    </w:p>
    <w:p w14:paraId="23AB5AF0">
      <w:pPr>
        <w:ind w:firstLine="470" w:firstLineChars="196"/>
        <w:rPr>
          <w:rFonts w:ascii="宋体" w:hAnsi="宋体" w:cs="宋体"/>
          <w:sz w:val="24"/>
        </w:rPr>
      </w:pPr>
      <w:r>
        <w:rPr>
          <w:rFonts w:hint="eastAsia" w:ascii="宋体" w:hAnsi="宋体" w:cs="宋体"/>
          <w:sz w:val="24"/>
        </w:rPr>
        <w:t>9.4任何人或任何组织在踏勘现场时向投标人提供的任何书面资料或口头承诺，未经政府集中采购机构在网上发布或书面通知，均作无效处理。</w:t>
      </w:r>
    </w:p>
    <w:p w14:paraId="7753594C">
      <w:pPr>
        <w:ind w:firstLine="470" w:firstLineChars="196"/>
        <w:rPr>
          <w:rFonts w:ascii="宋体" w:hAnsi="宋体" w:cs="宋体"/>
          <w:sz w:val="24"/>
        </w:rPr>
      </w:pPr>
      <w:r>
        <w:rPr>
          <w:rFonts w:hint="eastAsia" w:ascii="宋体" w:hAnsi="宋体" w:cs="宋体"/>
          <w:sz w:val="24"/>
        </w:rPr>
        <w:t>9.5未参与踏勘现场不作为否定投标人资格的理由。</w:t>
      </w:r>
    </w:p>
    <w:p w14:paraId="543D5D3F">
      <w:pPr>
        <w:outlineLvl w:val="1"/>
        <w:rPr>
          <w:rFonts w:ascii="宋体" w:hAnsi="宋体" w:cs="宋体"/>
          <w:sz w:val="24"/>
        </w:rPr>
      </w:pPr>
      <w:r>
        <w:rPr>
          <w:rFonts w:hint="eastAsia" w:ascii="宋体" w:hAnsi="宋体" w:cs="宋体"/>
          <w:sz w:val="24"/>
        </w:rPr>
        <w:t>10．标前会议</w:t>
      </w:r>
    </w:p>
    <w:p w14:paraId="0041D39C">
      <w:pPr>
        <w:ind w:firstLine="470" w:firstLineChars="196"/>
        <w:rPr>
          <w:rFonts w:ascii="宋体" w:hAnsi="宋体" w:cs="宋体"/>
          <w:sz w:val="24"/>
        </w:rPr>
      </w:pPr>
      <w:r>
        <w:rPr>
          <w:rFonts w:hint="eastAsia" w:ascii="宋体" w:hAnsi="宋体" w:cs="宋体"/>
          <w:sz w:val="24"/>
        </w:rPr>
        <w:t>10.1如采购人或政府集中采购机构认为有必要组织标前会议，投标人应按照招标文件规定的时间或政府集中采购机构另行书面通知（包括政府集中采购机构网站发布方式，如更正公告等）的时间和地点，参与标前会议。</w:t>
      </w:r>
    </w:p>
    <w:p w14:paraId="5393BF5B">
      <w:pPr>
        <w:ind w:firstLine="470" w:firstLineChars="196"/>
        <w:rPr>
          <w:rFonts w:ascii="宋体" w:hAnsi="宋体" w:cs="宋体"/>
          <w:sz w:val="24"/>
        </w:rPr>
      </w:pPr>
      <w:r>
        <w:rPr>
          <w:rFonts w:hint="eastAsia" w:ascii="宋体" w:hAnsi="宋体" w:cs="宋体"/>
          <w:sz w:val="24"/>
        </w:rPr>
        <w:t>10.2任何人或任何组织在标前会议时向投标人提供的任何书面资料或口头承诺，未经政府集中采购机构在网上发布或书面通知，均作无效处理。</w:t>
      </w:r>
    </w:p>
    <w:p w14:paraId="11469DFA">
      <w:pPr>
        <w:ind w:firstLine="470" w:firstLineChars="196"/>
        <w:rPr>
          <w:rFonts w:ascii="宋体" w:hAnsi="宋体" w:cs="宋体"/>
          <w:sz w:val="24"/>
        </w:rPr>
      </w:pPr>
      <w:r>
        <w:rPr>
          <w:rFonts w:hint="eastAsia" w:ascii="宋体" w:hAnsi="宋体" w:cs="宋体"/>
          <w:sz w:val="24"/>
        </w:rPr>
        <w:t>10.3未参与标前会议不作为否定投标人资格的理由。</w:t>
      </w:r>
    </w:p>
    <w:bookmarkEnd w:id="51"/>
    <w:p w14:paraId="6F892A92">
      <w:pPr>
        <w:ind w:firstLine="411" w:firstLineChars="196"/>
        <w:rPr>
          <w:rFonts w:ascii="宋体" w:hAnsi="宋体"/>
        </w:rPr>
      </w:pPr>
    </w:p>
    <w:p w14:paraId="4558A572">
      <w:pPr>
        <w:pStyle w:val="6"/>
        <w:numPr>
          <w:ilvl w:val="0"/>
          <w:numId w:val="21"/>
        </w:numPr>
        <w:spacing w:before="120" w:beforeLines="50" w:after="120" w:afterLines="50"/>
        <w:ind w:left="562" w:hanging="562"/>
        <w:rPr>
          <w:sz w:val="28"/>
          <w:szCs w:val="28"/>
        </w:rPr>
      </w:pPr>
      <w:r>
        <w:rPr>
          <w:rFonts w:hint="eastAsia"/>
          <w:sz w:val="28"/>
          <w:szCs w:val="28"/>
        </w:rPr>
        <w:t>招标文件</w:t>
      </w:r>
    </w:p>
    <w:p w14:paraId="237B2ED9">
      <w:pPr>
        <w:rPr>
          <w:rFonts w:ascii="宋体" w:hAnsi="宋体" w:cs="宋体"/>
          <w:sz w:val="24"/>
        </w:rPr>
      </w:pPr>
      <w:r>
        <w:rPr>
          <w:rFonts w:hint="eastAsia" w:ascii="宋体" w:hAnsi="宋体" w:cs="宋体"/>
          <w:sz w:val="24"/>
        </w:rPr>
        <w:t>11．</w:t>
      </w:r>
      <w:bookmarkStart w:id="53" w:name="_Hlk72399819"/>
      <w:r>
        <w:rPr>
          <w:rFonts w:hint="eastAsia" w:ascii="宋体" w:hAnsi="宋体" w:cs="宋体"/>
          <w:sz w:val="24"/>
        </w:rPr>
        <w:t>招标文件的编制与组成</w:t>
      </w:r>
    </w:p>
    <w:p w14:paraId="0D1A6023">
      <w:pPr>
        <w:snapToGrid w:val="0"/>
        <w:ind w:firstLine="480" w:firstLineChars="200"/>
        <w:rPr>
          <w:rFonts w:ascii="宋体" w:hAnsi="宋体" w:cs="宋体"/>
          <w:sz w:val="24"/>
        </w:rPr>
      </w:pPr>
      <w:r>
        <w:rPr>
          <w:rFonts w:hint="eastAsia" w:ascii="宋体" w:hAnsi="宋体" w:cs="宋体"/>
          <w:sz w:val="24"/>
        </w:rPr>
        <w:t>11.1招标文件除以下内容外，政府集中采购机构在招标期间发出的澄清或修改等相关公告或通知内容，均是招标文件的组成部分，对投标人起约束作用；</w:t>
      </w:r>
    </w:p>
    <w:p w14:paraId="1DB3ECB8">
      <w:pPr>
        <w:ind w:firstLine="470" w:firstLineChars="196"/>
        <w:rPr>
          <w:rFonts w:ascii="宋体" w:hAnsi="宋体" w:cs="宋体"/>
          <w:sz w:val="24"/>
        </w:rPr>
      </w:pPr>
      <w:r>
        <w:rPr>
          <w:rFonts w:hint="eastAsia" w:ascii="宋体" w:hAnsi="宋体" w:cs="宋体"/>
          <w:sz w:val="24"/>
        </w:rPr>
        <w:t>招标文件包括下列内容：</w:t>
      </w:r>
    </w:p>
    <w:p w14:paraId="1E1C3B13">
      <w:pPr>
        <w:ind w:left="420" w:leftChars="200" w:firstLine="472" w:firstLineChars="196"/>
        <w:outlineLvl w:val="0"/>
        <w:rPr>
          <w:rFonts w:ascii="宋体" w:hAnsi="宋体" w:cs="宋体"/>
          <w:b/>
          <w:sz w:val="24"/>
        </w:rPr>
      </w:pPr>
      <w:r>
        <w:rPr>
          <w:rFonts w:hint="eastAsia" w:ascii="宋体" w:hAnsi="宋体" w:cs="宋体"/>
          <w:b/>
          <w:sz w:val="24"/>
        </w:rPr>
        <w:t>第一册专用条款</w:t>
      </w:r>
    </w:p>
    <w:p w14:paraId="239248A0">
      <w:pPr>
        <w:ind w:left="1079" w:leftChars="514"/>
        <w:rPr>
          <w:rFonts w:ascii="宋体" w:hAnsi="宋体" w:cs="宋体"/>
          <w:b/>
          <w:sz w:val="24"/>
        </w:rPr>
      </w:pPr>
      <w:r>
        <w:rPr>
          <w:rFonts w:hint="eastAsia" w:ascii="宋体" w:hAnsi="宋体" w:cs="宋体"/>
          <w:b/>
          <w:sz w:val="24"/>
        </w:rPr>
        <w:t>关键信息</w:t>
      </w:r>
    </w:p>
    <w:p w14:paraId="5E9EBEB5">
      <w:pPr>
        <w:ind w:left="630" w:leftChars="300" w:firstLine="470" w:firstLineChars="196"/>
        <w:rPr>
          <w:rFonts w:ascii="宋体" w:hAnsi="宋体" w:cs="宋体"/>
          <w:sz w:val="24"/>
        </w:rPr>
      </w:pPr>
      <w:r>
        <w:rPr>
          <w:rFonts w:hint="eastAsia" w:ascii="宋体" w:hAnsi="宋体" w:cs="宋体"/>
          <w:sz w:val="24"/>
        </w:rPr>
        <w:t>第一章招标公告</w:t>
      </w:r>
    </w:p>
    <w:p w14:paraId="762A2697">
      <w:pPr>
        <w:ind w:left="630" w:leftChars="300" w:firstLine="470" w:firstLineChars="196"/>
        <w:rPr>
          <w:rFonts w:ascii="宋体" w:hAnsi="宋体" w:cs="宋体"/>
          <w:sz w:val="24"/>
        </w:rPr>
      </w:pPr>
      <w:r>
        <w:rPr>
          <w:rFonts w:hint="eastAsia" w:ascii="宋体" w:hAnsi="宋体" w:cs="宋体"/>
          <w:sz w:val="24"/>
        </w:rPr>
        <w:t>第二章对通用条款的补充内容及其他关键信息</w:t>
      </w:r>
    </w:p>
    <w:p w14:paraId="19916DFE">
      <w:pPr>
        <w:ind w:left="630" w:leftChars="300" w:firstLine="470" w:firstLineChars="196"/>
        <w:rPr>
          <w:rFonts w:ascii="宋体" w:hAnsi="宋体" w:cs="宋体"/>
          <w:sz w:val="24"/>
        </w:rPr>
      </w:pPr>
      <w:r>
        <w:rPr>
          <w:rFonts w:hint="eastAsia" w:ascii="宋体" w:hAnsi="宋体" w:cs="宋体"/>
          <w:sz w:val="24"/>
        </w:rPr>
        <w:t>第三章用户需求书</w:t>
      </w:r>
    </w:p>
    <w:p w14:paraId="7A068FC0">
      <w:pPr>
        <w:ind w:left="630" w:leftChars="300" w:firstLine="470" w:firstLineChars="196"/>
        <w:rPr>
          <w:rFonts w:ascii="宋体" w:hAnsi="宋体" w:cs="宋体"/>
          <w:sz w:val="24"/>
        </w:rPr>
      </w:pPr>
      <w:r>
        <w:rPr>
          <w:rFonts w:hint="eastAsia" w:ascii="宋体" w:hAnsi="宋体" w:cs="宋体"/>
          <w:sz w:val="24"/>
        </w:rPr>
        <w:t>第四章投标文件格式及附件</w:t>
      </w:r>
    </w:p>
    <w:p w14:paraId="723F6843">
      <w:pPr>
        <w:ind w:left="630" w:leftChars="300" w:firstLine="470" w:firstLineChars="196"/>
        <w:rPr>
          <w:rFonts w:ascii="宋体" w:hAnsi="宋体" w:cs="宋体"/>
          <w:sz w:val="24"/>
        </w:rPr>
      </w:pPr>
      <w:r>
        <w:rPr>
          <w:rFonts w:hint="eastAsia" w:ascii="宋体" w:hAnsi="宋体" w:cs="宋体"/>
          <w:sz w:val="24"/>
        </w:rPr>
        <w:t>第五章合同条款及格式</w:t>
      </w:r>
    </w:p>
    <w:p w14:paraId="31FFF2ED">
      <w:pPr>
        <w:ind w:left="420" w:leftChars="200" w:firstLine="472" w:firstLineChars="196"/>
        <w:outlineLvl w:val="0"/>
        <w:rPr>
          <w:rFonts w:ascii="宋体" w:hAnsi="宋体" w:cs="宋体"/>
          <w:b/>
          <w:sz w:val="24"/>
        </w:rPr>
      </w:pPr>
      <w:r>
        <w:rPr>
          <w:rFonts w:hint="eastAsia" w:ascii="宋体" w:hAnsi="宋体" w:cs="宋体"/>
          <w:b/>
          <w:sz w:val="24"/>
        </w:rPr>
        <w:t>第二册通用条款</w:t>
      </w:r>
    </w:p>
    <w:p w14:paraId="48491940">
      <w:pPr>
        <w:ind w:left="630" w:leftChars="300" w:firstLine="470" w:firstLineChars="196"/>
        <w:rPr>
          <w:rFonts w:ascii="宋体" w:hAnsi="宋体" w:cs="宋体"/>
          <w:sz w:val="24"/>
        </w:rPr>
      </w:pPr>
      <w:r>
        <w:rPr>
          <w:rFonts w:hint="eastAsia" w:ascii="宋体" w:hAnsi="宋体" w:cs="宋体"/>
          <w:sz w:val="24"/>
        </w:rPr>
        <w:t>第一章总则</w:t>
      </w:r>
    </w:p>
    <w:p w14:paraId="303DE220">
      <w:pPr>
        <w:ind w:left="630" w:leftChars="300" w:firstLine="470" w:firstLineChars="196"/>
        <w:rPr>
          <w:rFonts w:ascii="宋体" w:hAnsi="宋体" w:cs="宋体"/>
          <w:sz w:val="24"/>
        </w:rPr>
      </w:pPr>
      <w:r>
        <w:rPr>
          <w:rFonts w:hint="eastAsia" w:ascii="宋体" w:hAnsi="宋体" w:cs="宋体"/>
          <w:sz w:val="24"/>
        </w:rPr>
        <w:t>第二章招标文件</w:t>
      </w:r>
    </w:p>
    <w:p w14:paraId="63F7B04F">
      <w:pPr>
        <w:ind w:left="630" w:leftChars="300" w:firstLine="470" w:firstLineChars="196"/>
        <w:rPr>
          <w:rFonts w:ascii="宋体" w:hAnsi="宋体" w:cs="宋体"/>
          <w:sz w:val="24"/>
        </w:rPr>
      </w:pPr>
      <w:r>
        <w:rPr>
          <w:rFonts w:hint="eastAsia" w:ascii="宋体" w:hAnsi="宋体" w:cs="宋体"/>
          <w:sz w:val="24"/>
        </w:rPr>
        <w:t>第三章投标文件的编制</w:t>
      </w:r>
    </w:p>
    <w:p w14:paraId="50B8CAAE">
      <w:pPr>
        <w:ind w:left="630" w:leftChars="300" w:firstLine="470" w:firstLineChars="196"/>
        <w:rPr>
          <w:rFonts w:ascii="宋体" w:hAnsi="宋体" w:cs="宋体"/>
          <w:sz w:val="24"/>
        </w:rPr>
      </w:pPr>
      <w:r>
        <w:rPr>
          <w:rFonts w:hint="eastAsia" w:ascii="宋体" w:hAnsi="宋体" w:cs="宋体"/>
          <w:sz w:val="24"/>
        </w:rPr>
        <w:t>第四章投标文件的递交</w:t>
      </w:r>
    </w:p>
    <w:p w14:paraId="237EE986">
      <w:pPr>
        <w:ind w:left="630" w:leftChars="300" w:firstLine="470" w:firstLineChars="196"/>
        <w:rPr>
          <w:rFonts w:ascii="宋体" w:hAnsi="宋体" w:cs="宋体"/>
          <w:sz w:val="24"/>
        </w:rPr>
      </w:pPr>
      <w:r>
        <w:rPr>
          <w:rFonts w:hint="eastAsia" w:ascii="宋体" w:hAnsi="宋体" w:cs="宋体"/>
          <w:sz w:val="24"/>
        </w:rPr>
        <w:t>第五章开标</w:t>
      </w:r>
    </w:p>
    <w:p w14:paraId="7757A80E">
      <w:pPr>
        <w:ind w:left="630" w:leftChars="300" w:firstLine="470" w:firstLineChars="196"/>
        <w:rPr>
          <w:rFonts w:ascii="宋体" w:hAnsi="宋体" w:cs="宋体"/>
          <w:sz w:val="24"/>
        </w:rPr>
      </w:pPr>
      <w:r>
        <w:rPr>
          <w:rFonts w:hint="eastAsia" w:ascii="宋体" w:hAnsi="宋体" w:cs="宋体"/>
          <w:sz w:val="24"/>
        </w:rPr>
        <w:t>第六章评审要求</w:t>
      </w:r>
    </w:p>
    <w:p w14:paraId="03F0DE84">
      <w:pPr>
        <w:ind w:left="630" w:leftChars="300" w:firstLine="470" w:firstLineChars="196"/>
        <w:rPr>
          <w:rFonts w:ascii="宋体" w:hAnsi="宋体" w:cs="宋体"/>
          <w:sz w:val="24"/>
        </w:rPr>
      </w:pPr>
      <w:r>
        <w:rPr>
          <w:rFonts w:hint="eastAsia" w:ascii="宋体" w:hAnsi="宋体" w:cs="宋体"/>
          <w:sz w:val="24"/>
        </w:rPr>
        <w:t>第七章评审程序及评审方法</w:t>
      </w:r>
    </w:p>
    <w:p w14:paraId="390B4F53">
      <w:pPr>
        <w:ind w:left="630" w:leftChars="300" w:firstLine="470" w:firstLineChars="196"/>
        <w:rPr>
          <w:rFonts w:ascii="宋体" w:hAnsi="宋体" w:cs="宋体"/>
          <w:sz w:val="24"/>
        </w:rPr>
      </w:pPr>
      <w:r>
        <w:rPr>
          <w:rFonts w:hint="eastAsia" w:ascii="宋体" w:hAnsi="宋体" w:cs="宋体"/>
          <w:sz w:val="24"/>
        </w:rPr>
        <w:t>第八章定标及公示</w:t>
      </w:r>
    </w:p>
    <w:p w14:paraId="7A0E7799">
      <w:pPr>
        <w:ind w:left="630" w:leftChars="300" w:firstLine="470" w:firstLineChars="196"/>
        <w:rPr>
          <w:rFonts w:ascii="宋体" w:hAnsi="宋体" w:cs="宋体"/>
          <w:sz w:val="24"/>
        </w:rPr>
      </w:pPr>
      <w:r>
        <w:rPr>
          <w:rFonts w:hint="eastAsia" w:ascii="宋体" w:hAnsi="宋体" w:cs="宋体"/>
          <w:sz w:val="24"/>
        </w:rPr>
        <w:t>第九章公开招标失败的后续处理</w:t>
      </w:r>
    </w:p>
    <w:p w14:paraId="5C5976D0">
      <w:pPr>
        <w:ind w:left="630" w:leftChars="300" w:firstLine="470" w:firstLineChars="196"/>
        <w:rPr>
          <w:rFonts w:ascii="宋体" w:hAnsi="宋体" w:cs="宋体"/>
          <w:sz w:val="24"/>
        </w:rPr>
      </w:pPr>
      <w:r>
        <w:rPr>
          <w:rFonts w:hint="eastAsia" w:ascii="宋体" w:hAnsi="宋体" w:cs="宋体"/>
          <w:sz w:val="24"/>
        </w:rPr>
        <w:t>第十章合同的授予与备案</w:t>
      </w:r>
    </w:p>
    <w:p w14:paraId="3F95D666">
      <w:pPr>
        <w:ind w:left="630" w:leftChars="300" w:firstLine="470" w:firstLineChars="196"/>
        <w:rPr>
          <w:rFonts w:ascii="宋体" w:hAnsi="宋体" w:cs="宋体"/>
          <w:sz w:val="24"/>
        </w:rPr>
      </w:pPr>
      <w:r>
        <w:rPr>
          <w:rFonts w:hint="eastAsia" w:ascii="宋体" w:hAnsi="宋体" w:cs="宋体"/>
          <w:sz w:val="24"/>
        </w:rPr>
        <w:t>第十一章质疑处理</w:t>
      </w:r>
    </w:p>
    <w:p w14:paraId="22845EF8">
      <w:pPr>
        <w:ind w:firstLine="470" w:firstLineChars="196"/>
        <w:rPr>
          <w:rFonts w:ascii="宋体" w:hAnsi="宋体" w:cs="宋体"/>
          <w:sz w:val="24"/>
        </w:rPr>
      </w:pPr>
      <w:r>
        <w:rPr>
          <w:rFonts w:hint="eastAsia" w:ascii="宋体" w:hAnsi="宋体" w:cs="宋体"/>
          <w:sz w:val="24"/>
        </w:rPr>
        <w:t>11.2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2F6E069C">
      <w:pPr>
        <w:ind w:firstLine="470" w:firstLineChars="196"/>
        <w:rPr>
          <w:rFonts w:ascii="宋体" w:hAnsi="宋体" w:cs="宋体"/>
          <w:sz w:val="24"/>
        </w:rPr>
      </w:pPr>
      <w:r>
        <w:rPr>
          <w:rFonts w:hint="eastAsia" w:ascii="宋体" w:hAnsi="宋体" w:cs="宋体"/>
          <w:sz w:val="24"/>
        </w:rPr>
        <w:t>11.3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14:paraId="39C99EB8">
      <w:pPr>
        <w:ind w:firstLine="480" w:firstLineChars="200"/>
        <w:rPr>
          <w:rFonts w:ascii="宋体" w:hAnsi="宋体" w:cs="宋体"/>
          <w:sz w:val="24"/>
        </w:rPr>
      </w:pPr>
      <w:r>
        <w:rPr>
          <w:rFonts w:hint="eastAsia" w:ascii="宋体" w:hAnsi="宋体" w:cs="宋体"/>
          <w:sz w:val="24"/>
        </w:rPr>
        <w:t>11.4招标文件所称“原件备查”，是指在项目产生质疑、投诉等阶段，主管部门、采购人、代理机构、评审委员会等可以要求供应商提供原件进行核查。</w:t>
      </w:r>
    </w:p>
    <w:p w14:paraId="214AC77E">
      <w:pPr>
        <w:rPr>
          <w:rFonts w:ascii="宋体" w:hAnsi="宋体" w:cs="宋体"/>
          <w:b/>
          <w:bCs/>
          <w:sz w:val="24"/>
        </w:rPr>
      </w:pPr>
      <w:r>
        <w:rPr>
          <w:rFonts w:hint="eastAsia" w:ascii="宋体" w:hAnsi="宋体" w:cs="宋体"/>
          <w:b/>
          <w:bCs/>
          <w:sz w:val="24"/>
        </w:rPr>
        <w:t>12．招标文件的澄清</w:t>
      </w:r>
    </w:p>
    <w:p w14:paraId="218DED2A">
      <w:pPr>
        <w:ind w:firstLine="470" w:firstLineChars="196"/>
        <w:rPr>
          <w:rFonts w:ascii="宋体" w:hAnsi="宋体" w:cs="宋体"/>
          <w:sz w:val="24"/>
        </w:rPr>
      </w:pPr>
      <w:r>
        <w:rPr>
          <w:rFonts w:hint="eastAsia" w:ascii="宋体" w:hAnsi="宋体" w:cs="宋体"/>
          <w:sz w:val="24"/>
        </w:rPr>
        <w:t>12.1招标文件澄清的目的是澄清、解答投标人在查阅招标文件后或现场踏勘中可能提出的与投标有关的疑问或询问。</w:t>
      </w:r>
    </w:p>
    <w:p w14:paraId="7E93B078">
      <w:pPr>
        <w:ind w:firstLine="470" w:firstLineChars="196"/>
        <w:rPr>
          <w:rFonts w:ascii="宋体" w:hAnsi="宋体" w:cs="宋体"/>
          <w:sz w:val="24"/>
        </w:rPr>
      </w:pPr>
      <w:r>
        <w:rPr>
          <w:rFonts w:hint="eastAsia" w:ascii="宋体" w:hAnsi="宋体" w:cs="宋体"/>
          <w:sz w:val="24"/>
        </w:rPr>
        <w:t>12.2投标人如对招标文件内容有疑问，应当在招标公告规定的澄清（提问）截止时间前以网上提问的形式通过网上政府采购系统提交政府集中采购机构。</w:t>
      </w:r>
    </w:p>
    <w:p w14:paraId="4D05122F">
      <w:pPr>
        <w:ind w:firstLine="470" w:firstLineChars="196"/>
        <w:rPr>
          <w:rFonts w:ascii="宋体" w:hAnsi="宋体" w:cs="宋体"/>
          <w:sz w:val="24"/>
        </w:rPr>
      </w:pPr>
      <w:r>
        <w:rPr>
          <w:rFonts w:hint="eastAsia" w:ascii="宋体" w:hAnsi="宋体" w:cs="宋体"/>
          <w:sz w:val="24"/>
        </w:rPr>
        <w:t>12.3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13.3、13.4款规定执行。</w:t>
      </w:r>
    </w:p>
    <w:p w14:paraId="0FE82B4B">
      <w:pPr>
        <w:rPr>
          <w:rFonts w:ascii="宋体" w:hAnsi="宋体" w:cs="宋体"/>
          <w:sz w:val="24"/>
        </w:rPr>
      </w:pPr>
      <w:r>
        <w:rPr>
          <w:rFonts w:hint="eastAsia" w:ascii="宋体" w:hAnsi="宋体" w:cs="宋体"/>
          <w:sz w:val="24"/>
        </w:rPr>
        <w:t>13．招标文件的修改</w:t>
      </w:r>
    </w:p>
    <w:p w14:paraId="5E3D1EFC">
      <w:pPr>
        <w:ind w:firstLine="470" w:firstLineChars="196"/>
        <w:rPr>
          <w:rFonts w:ascii="宋体" w:hAnsi="宋体" w:cs="宋体"/>
          <w:sz w:val="24"/>
        </w:rPr>
      </w:pPr>
      <w:r>
        <w:rPr>
          <w:rFonts w:hint="eastAsia" w:ascii="宋体" w:hAnsi="宋体" w:cs="宋体"/>
          <w:sz w:val="24"/>
        </w:rPr>
        <w:t>13.1招标文件发出后，在投标截止日期前任何时候，确需要变更招标文件内容的，政府集中采购机构可主动或在解答投标人提出的澄清问题时对招标文件进行修改。</w:t>
      </w:r>
    </w:p>
    <w:p w14:paraId="3F910D93">
      <w:pPr>
        <w:ind w:firstLine="470" w:firstLineChars="196"/>
        <w:rPr>
          <w:rFonts w:ascii="宋体" w:hAnsi="宋体" w:cs="宋体"/>
          <w:sz w:val="24"/>
        </w:rPr>
      </w:pPr>
      <w:r>
        <w:rPr>
          <w:rFonts w:hint="eastAsia" w:ascii="宋体" w:hAnsi="宋体" w:cs="宋体"/>
          <w:sz w:val="24"/>
        </w:rPr>
        <w:t>13.2招标文件的修改以书面形式（包括政府集中采购机构网站发布方式，如更正公告等）发送给所有投标人，招标文件的修改内容作为招标文件的组成部分，并具有约束力。</w:t>
      </w:r>
    </w:p>
    <w:p w14:paraId="0B9CC1E2">
      <w:pPr>
        <w:ind w:firstLine="470" w:firstLineChars="196"/>
        <w:rPr>
          <w:rFonts w:ascii="宋体" w:hAnsi="宋体" w:cs="宋体"/>
          <w:sz w:val="24"/>
        </w:rPr>
      </w:pPr>
      <w:r>
        <w:rPr>
          <w:rFonts w:hint="eastAsia" w:ascii="宋体" w:hAnsi="宋体" w:cs="宋体"/>
          <w:sz w:val="24"/>
        </w:rPr>
        <w:t>13.3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14:paraId="64340996">
      <w:pPr>
        <w:ind w:firstLine="470" w:firstLineChars="196"/>
        <w:rPr>
          <w:rFonts w:ascii="宋体" w:hAnsi="宋体" w:cs="宋体"/>
          <w:sz w:val="24"/>
        </w:rPr>
      </w:pPr>
      <w:r>
        <w:rPr>
          <w:rFonts w:hint="eastAsia" w:ascii="宋体" w:hAnsi="宋体" w:cs="宋体"/>
          <w:sz w:val="24"/>
        </w:rPr>
        <w:t>13.4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53"/>
    </w:p>
    <w:p w14:paraId="2925879B">
      <w:pPr>
        <w:rPr>
          <w:rFonts w:ascii="宋体" w:hAnsi="宋体" w:cs="宋体"/>
          <w:sz w:val="24"/>
        </w:rPr>
      </w:pPr>
    </w:p>
    <w:p w14:paraId="17287F85">
      <w:pPr>
        <w:pStyle w:val="6"/>
        <w:numPr>
          <w:ilvl w:val="0"/>
          <w:numId w:val="21"/>
        </w:numPr>
        <w:spacing w:before="120" w:beforeLines="50" w:after="120" w:afterLines="50"/>
        <w:ind w:left="562" w:hanging="562"/>
        <w:rPr>
          <w:sz w:val="28"/>
          <w:szCs w:val="28"/>
        </w:rPr>
      </w:pPr>
      <w:r>
        <w:rPr>
          <w:rFonts w:hint="eastAsia"/>
          <w:sz w:val="28"/>
          <w:szCs w:val="28"/>
        </w:rPr>
        <w:t>投标文件的编制</w:t>
      </w:r>
    </w:p>
    <w:p w14:paraId="60F60396">
      <w:pPr>
        <w:rPr>
          <w:rFonts w:ascii="宋体" w:hAnsi="宋体" w:cs="宋体"/>
          <w:sz w:val="24"/>
        </w:rPr>
      </w:pPr>
      <w:r>
        <w:rPr>
          <w:rFonts w:hint="eastAsia" w:ascii="宋体" w:hAnsi="宋体" w:cs="宋体"/>
          <w:sz w:val="24"/>
        </w:rPr>
        <w:t>14．</w:t>
      </w:r>
      <w:bookmarkStart w:id="54" w:name="_Hlk72400236"/>
      <w:r>
        <w:rPr>
          <w:rFonts w:hint="eastAsia" w:ascii="宋体" w:hAnsi="宋体" w:cs="宋体"/>
          <w:sz w:val="24"/>
        </w:rPr>
        <w:t>投标文件的语言及度量单位</w:t>
      </w:r>
    </w:p>
    <w:p w14:paraId="1F46554B">
      <w:pPr>
        <w:ind w:firstLine="470" w:firstLineChars="196"/>
        <w:rPr>
          <w:rFonts w:ascii="宋体" w:hAnsi="宋体" w:cs="宋体"/>
          <w:sz w:val="24"/>
        </w:rPr>
      </w:pPr>
      <w:r>
        <w:rPr>
          <w:rFonts w:hint="eastAsia" w:ascii="宋体" w:hAnsi="宋体" w:cs="宋体"/>
          <w:sz w:val="24"/>
        </w:rPr>
        <w:t>14.1投标人与政府集中采购机构之间与投标有关的所有往来通知、函件和投标文件均用中文表述。投标人随投标文件提供的证明文件和资料可以为其他语言，但必须附中文译文。翻译的中文资料与外文资料如果出现差异时，以中文为准，但翻译错误的除外。</w:t>
      </w:r>
    </w:p>
    <w:p w14:paraId="7F769896">
      <w:pPr>
        <w:ind w:firstLine="470" w:firstLineChars="196"/>
        <w:rPr>
          <w:rFonts w:ascii="宋体" w:hAnsi="宋体" w:cs="宋体"/>
          <w:sz w:val="24"/>
        </w:rPr>
      </w:pPr>
      <w:r>
        <w:rPr>
          <w:rFonts w:hint="eastAsia" w:ascii="宋体" w:hAnsi="宋体" w:cs="宋体"/>
          <w:sz w:val="24"/>
        </w:rPr>
        <w:t>14.2除技术规范另有规定外，投标文件使用的度量单位，均采用中华人民共和国法定计量单位。</w:t>
      </w:r>
    </w:p>
    <w:bookmarkEnd w:id="54"/>
    <w:p w14:paraId="29917ECE">
      <w:pPr>
        <w:rPr>
          <w:rFonts w:ascii="宋体" w:hAnsi="宋体" w:cs="宋体"/>
          <w:sz w:val="24"/>
        </w:rPr>
      </w:pPr>
      <w:r>
        <w:rPr>
          <w:rFonts w:hint="eastAsia" w:ascii="宋体" w:hAnsi="宋体" w:cs="宋体"/>
          <w:sz w:val="24"/>
        </w:rPr>
        <w:t>15．</w:t>
      </w:r>
      <w:bookmarkStart w:id="55" w:name="_Hlk72401567"/>
      <w:r>
        <w:rPr>
          <w:rFonts w:hint="eastAsia" w:ascii="宋体" w:hAnsi="宋体" w:cs="宋体"/>
          <w:sz w:val="24"/>
        </w:rPr>
        <w:t>投标文件的组成</w:t>
      </w:r>
    </w:p>
    <w:p w14:paraId="0FFA2C5D">
      <w:pPr>
        <w:ind w:firstLine="470" w:firstLineChars="196"/>
        <w:rPr>
          <w:rFonts w:ascii="宋体" w:hAnsi="宋体" w:cs="宋体"/>
          <w:sz w:val="24"/>
        </w:rPr>
      </w:pPr>
      <w:r>
        <w:rPr>
          <w:rFonts w:hint="eastAsia" w:ascii="宋体" w:hAnsi="宋体" w:cs="宋体"/>
          <w:sz w:val="24"/>
        </w:rPr>
        <w:t>具体内容在招标文件专用条款中进行规定。</w:t>
      </w:r>
    </w:p>
    <w:p w14:paraId="3B3149C5">
      <w:pPr>
        <w:rPr>
          <w:rFonts w:ascii="宋体" w:hAnsi="宋体" w:cs="宋体"/>
          <w:sz w:val="24"/>
        </w:rPr>
      </w:pPr>
      <w:r>
        <w:rPr>
          <w:rFonts w:hint="eastAsia" w:ascii="宋体" w:hAnsi="宋体" w:cs="宋体"/>
          <w:sz w:val="24"/>
        </w:rPr>
        <w:t>16．投标文件格式</w:t>
      </w:r>
    </w:p>
    <w:p w14:paraId="1BBF0D10">
      <w:pPr>
        <w:ind w:firstLine="470" w:firstLineChars="196"/>
        <w:rPr>
          <w:rFonts w:ascii="宋体" w:hAnsi="宋体" w:cs="宋体"/>
          <w:sz w:val="24"/>
        </w:rPr>
      </w:pPr>
      <w:r>
        <w:rPr>
          <w:rFonts w:hint="eastAsia" w:ascii="宋体" w:hAnsi="宋体" w:cs="宋体"/>
          <w:sz w:val="24"/>
        </w:rPr>
        <w:t>投标文件包括本通用条款第15条中规定的内容。如招标文件提供了投标文件格式，则</w:t>
      </w:r>
      <w:r>
        <w:rPr>
          <w:rFonts w:hint="eastAsia" w:ascii="宋体" w:hAnsi="宋体" w:cs="宋体"/>
          <w:b/>
          <w:bCs/>
          <w:sz w:val="24"/>
        </w:rPr>
        <w:t>投标人提交的投标文件应毫无例外地使用招标文件所提供的相应格式</w:t>
      </w:r>
      <w:r>
        <w:rPr>
          <w:rFonts w:hint="eastAsia" w:ascii="宋体" w:hAnsi="宋体" w:cs="宋体"/>
          <w:sz w:val="24"/>
        </w:rPr>
        <w:t>（表格均可按同样格式扩展）。</w:t>
      </w:r>
    </w:p>
    <w:p w14:paraId="3461FA04">
      <w:pPr>
        <w:rPr>
          <w:rFonts w:ascii="宋体" w:hAnsi="宋体" w:cs="宋体"/>
          <w:sz w:val="24"/>
        </w:rPr>
      </w:pPr>
      <w:r>
        <w:rPr>
          <w:rFonts w:hint="eastAsia" w:ascii="宋体" w:hAnsi="宋体" w:cs="宋体"/>
          <w:sz w:val="24"/>
        </w:rPr>
        <w:t>17．投标货币</w:t>
      </w:r>
    </w:p>
    <w:p w14:paraId="502137EC">
      <w:pPr>
        <w:ind w:firstLine="470" w:firstLineChars="196"/>
        <w:rPr>
          <w:rFonts w:ascii="宋体" w:hAnsi="宋体" w:cs="宋体"/>
          <w:sz w:val="24"/>
        </w:rPr>
      </w:pPr>
      <w:r>
        <w:rPr>
          <w:rFonts w:hint="eastAsia" w:ascii="宋体" w:hAnsi="宋体" w:cs="宋体"/>
          <w:sz w:val="24"/>
        </w:rPr>
        <w:t>本项目的投标报价应以人民币计。</w:t>
      </w:r>
    </w:p>
    <w:bookmarkEnd w:id="55"/>
    <w:p w14:paraId="17411198">
      <w:pPr>
        <w:rPr>
          <w:rFonts w:ascii="宋体" w:hAnsi="宋体" w:cs="宋体"/>
          <w:sz w:val="24"/>
        </w:rPr>
      </w:pPr>
      <w:r>
        <w:rPr>
          <w:rFonts w:hint="eastAsia" w:ascii="宋体" w:hAnsi="宋体" w:cs="宋体"/>
          <w:sz w:val="24"/>
        </w:rPr>
        <w:t>18．</w:t>
      </w:r>
      <w:bookmarkStart w:id="56" w:name="_Hlk72401735"/>
      <w:r>
        <w:rPr>
          <w:rFonts w:hint="eastAsia" w:ascii="宋体" w:hAnsi="宋体" w:cs="宋体"/>
          <w:sz w:val="24"/>
        </w:rPr>
        <w:t>证明投标文件投标技术方案的合格性和符合招标文件规定的文件要求</w:t>
      </w:r>
    </w:p>
    <w:p w14:paraId="3CBBB315">
      <w:pPr>
        <w:ind w:firstLine="470" w:firstLineChars="196"/>
        <w:rPr>
          <w:rFonts w:ascii="宋体" w:hAnsi="宋体" w:cs="宋体"/>
          <w:sz w:val="24"/>
        </w:rPr>
      </w:pPr>
      <w:r>
        <w:rPr>
          <w:rFonts w:hint="eastAsia" w:ascii="宋体" w:hAnsi="宋体" w:cs="宋体"/>
          <w:sz w:val="24"/>
        </w:rPr>
        <w:t>18.1投标人应提交证明文件，证明其投标技术方案项下的货物和服务的合格性符合招标文件规定。该投标技术方案及其证明文件均作为投标文件组成部分。</w:t>
      </w:r>
    </w:p>
    <w:p w14:paraId="1B10387B">
      <w:pPr>
        <w:ind w:firstLine="470" w:firstLineChars="196"/>
        <w:rPr>
          <w:rFonts w:ascii="宋体" w:hAnsi="宋体" w:cs="宋体"/>
          <w:sz w:val="24"/>
        </w:rPr>
      </w:pPr>
      <w:r>
        <w:rPr>
          <w:rFonts w:hint="eastAsia" w:ascii="宋体" w:hAnsi="宋体" w:cs="宋体"/>
          <w:sz w:val="24"/>
        </w:rPr>
        <w:t>18.2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0CD2F33B">
      <w:pPr>
        <w:ind w:firstLine="470" w:firstLineChars="196"/>
        <w:rPr>
          <w:rFonts w:ascii="宋体" w:hAnsi="宋体" w:cs="宋体"/>
          <w:sz w:val="24"/>
        </w:rPr>
      </w:pPr>
      <w:r>
        <w:rPr>
          <w:rFonts w:hint="eastAsia" w:ascii="宋体" w:hAnsi="宋体" w:cs="宋体"/>
          <w:sz w:val="24"/>
        </w:rPr>
        <w:t>18.2.1主要技术指标和性能的详细说明。</w:t>
      </w:r>
    </w:p>
    <w:p w14:paraId="7AC58C57">
      <w:pPr>
        <w:ind w:firstLine="470" w:firstLineChars="196"/>
        <w:rPr>
          <w:rFonts w:ascii="宋体" w:hAnsi="宋体" w:cs="宋体"/>
          <w:sz w:val="24"/>
        </w:rPr>
      </w:pPr>
      <w:r>
        <w:rPr>
          <w:rFonts w:hint="eastAsia" w:ascii="宋体" w:hAnsi="宋体" w:cs="宋体"/>
          <w:sz w:val="24"/>
        </w:rPr>
        <w:t>18.2.2投标产品从采购人开始使用至招标文件中规定的周期内正常、连续地使用所必需的备件和专用工具清单，包括备件和专用工具的货源及现行价格。</w:t>
      </w:r>
    </w:p>
    <w:p w14:paraId="1C40C815">
      <w:pPr>
        <w:ind w:firstLine="470" w:firstLineChars="196"/>
        <w:rPr>
          <w:rFonts w:ascii="宋体" w:hAnsi="宋体" w:cs="宋体"/>
          <w:sz w:val="24"/>
        </w:rPr>
      </w:pPr>
      <w:r>
        <w:rPr>
          <w:rFonts w:hint="eastAsia" w:ascii="宋体" w:hAnsi="宋体" w:cs="宋体"/>
          <w:sz w:val="24"/>
        </w:rPr>
        <w:t>18.2.3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34B6FAF9">
      <w:pPr>
        <w:ind w:firstLine="470" w:firstLineChars="196"/>
        <w:rPr>
          <w:rFonts w:ascii="宋体" w:hAnsi="宋体" w:cs="宋体"/>
          <w:sz w:val="24"/>
        </w:rPr>
      </w:pPr>
      <w:r>
        <w:rPr>
          <w:rFonts w:hint="eastAsia" w:ascii="宋体" w:hAnsi="宋体" w:cs="宋体"/>
          <w:sz w:val="24"/>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5A132F29">
      <w:pPr>
        <w:ind w:firstLine="470" w:firstLineChars="196"/>
        <w:rPr>
          <w:rFonts w:ascii="宋体" w:hAnsi="宋体" w:cs="宋体"/>
          <w:sz w:val="24"/>
        </w:rPr>
      </w:pPr>
      <w:r>
        <w:rPr>
          <w:rFonts w:hint="eastAsia" w:ascii="宋体" w:hAnsi="宋体" w:cs="宋体"/>
          <w:sz w:val="24"/>
        </w:rPr>
        <w:t>18.2.5我国政府机构出具的产品检验和核准证件应为证件正面、背面和附件标注的全部具体内容；产品检验和核准证件的尺寸和清晰度应该能够在电脑上被阅读、识别和判断，提供原件扫描件。</w:t>
      </w:r>
    </w:p>
    <w:p w14:paraId="21C36D01">
      <w:pPr>
        <w:ind w:firstLine="470" w:firstLineChars="196"/>
        <w:rPr>
          <w:rFonts w:ascii="宋体" w:hAnsi="宋体" w:cs="宋体"/>
          <w:sz w:val="24"/>
        </w:rPr>
      </w:pPr>
      <w:r>
        <w:rPr>
          <w:rFonts w:hint="eastAsia" w:ascii="宋体" w:hAnsi="宋体" w:cs="宋体"/>
          <w:sz w:val="24"/>
        </w:rPr>
        <w:t>18.3相关资料不符合18.2款要求的，评审委员会有权认定为投标技术方案不合格响应，其相关分数予以扣减或作投标无效处理。</w:t>
      </w:r>
    </w:p>
    <w:p w14:paraId="21555F15">
      <w:pPr>
        <w:ind w:firstLine="470" w:firstLineChars="196"/>
        <w:rPr>
          <w:rFonts w:ascii="宋体" w:hAnsi="宋体" w:cs="宋体"/>
          <w:sz w:val="24"/>
        </w:rPr>
      </w:pPr>
      <w:r>
        <w:rPr>
          <w:rFonts w:hint="eastAsia" w:ascii="宋体" w:hAnsi="宋体" w:cs="宋体"/>
          <w:sz w:val="24"/>
        </w:rPr>
        <w:t>18.4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审委员会来评判。</w:t>
      </w:r>
    </w:p>
    <w:p w14:paraId="608A1833">
      <w:pPr>
        <w:ind w:firstLine="470" w:firstLineChars="196"/>
        <w:rPr>
          <w:rFonts w:ascii="宋体" w:hAnsi="宋体" w:cs="宋体"/>
          <w:sz w:val="24"/>
        </w:rPr>
      </w:pPr>
      <w:r>
        <w:rPr>
          <w:rFonts w:hint="eastAsia" w:ascii="宋体" w:hAnsi="宋体" w:cs="宋体"/>
          <w:sz w:val="24"/>
        </w:rPr>
        <w:t>18.5除非另有规定或说明，投标人对同一项目投标时，不得同时提供两套或两套以上的投标方案。</w:t>
      </w:r>
    </w:p>
    <w:bookmarkEnd w:id="56"/>
    <w:p w14:paraId="5370E436">
      <w:pPr>
        <w:rPr>
          <w:rFonts w:ascii="宋体" w:hAnsi="宋体" w:cs="宋体"/>
          <w:sz w:val="24"/>
        </w:rPr>
      </w:pPr>
      <w:r>
        <w:rPr>
          <w:rFonts w:hint="eastAsia" w:ascii="宋体" w:hAnsi="宋体" w:cs="宋体"/>
          <w:sz w:val="24"/>
        </w:rPr>
        <w:t>19．</w:t>
      </w:r>
      <w:bookmarkStart w:id="57" w:name="_Hlk72402034"/>
      <w:r>
        <w:rPr>
          <w:rFonts w:hint="eastAsia" w:ascii="宋体" w:hAnsi="宋体" w:cs="宋体"/>
          <w:sz w:val="24"/>
        </w:rPr>
        <w:t>投标文件其他证明文件的要求</w:t>
      </w:r>
    </w:p>
    <w:p w14:paraId="163ECFA5">
      <w:pPr>
        <w:rPr>
          <w:rFonts w:ascii="宋体" w:hAnsi="宋体" w:cs="宋体"/>
          <w:color w:val="FF0000"/>
          <w:sz w:val="24"/>
        </w:rPr>
      </w:pPr>
      <w:r>
        <w:rPr>
          <w:rFonts w:hint="eastAsia" w:ascii="宋体" w:hAnsi="宋体" w:cs="宋体"/>
          <w:sz w:val="24"/>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58" w:name="_Hlk71407299"/>
    </w:p>
    <w:bookmarkEnd w:id="58"/>
    <w:p w14:paraId="3ED4275E">
      <w:pPr>
        <w:ind w:firstLine="470" w:firstLineChars="196"/>
        <w:rPr>
          <w:rFonts w:ascii="宋体" w:hAnsi="宋体" w:cs="宋体"/>
          <w:sz w:val="24"/>
        </w:rPr>
      </w:pPr>
      <w:r>
        <w:rPr>
          <w:rFonts w:hint="eastAsia" w:ascii="宋体" w:hAnsi="宋体" w:cs="宋体"/>
          <w:sz w:val="24"/>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3318E360">
      <w:pPr>
        <w:rPr>
          <w:rFonts w:ascii="宋体" w:hAnsi="宋体" w:cs="宋体"/>
          <w:sz w:val="24"/>
        </w:rPr>
      </w:pPr>
      <w:r>
        <w:rPr>
          <w:rFonts w:hint="eastAsia" w:ascii="宋体" w:hAnsi="宋体" w:cs="宋体"/>
          <w:sz w:val="24"/>
        </w:rPr>
        <w:t>20．投标有效期</w:t>
      </w:r>
    </w:p>
    <w:bookmarkEnd w:id="57"/>
    <w:p w14:paraId="1E9C5A42">
      <w:pPr>
        <w:ind w:firstLine="470" w:firstLineChars="196"/>
        <w:rPr>
          <w:rFonts w:ascii="宋体" w:hAnsi="宋体" w:cs="宋体"/>
          <w:sz w:val="24"/>
        </w:rPr>
      </w:pPr>
      <w:bookmarkStart w:id="59" w:name="_Hlk72402214"/>
      <w:r>
        <w:rPr>
          <w:rFonts w:hint="eastAsia" w:ascii="宋体" w:hAnsi="宋体" w:cs="宋体"/>
          <w:sz w:val="24"/>
        </w:rPr>
        <w:t>20.1投标有效期为从投标截止之日算起的日历天数。在此期限内，所有投标文件均保持有效。</w:t>
      </w:r>
    </w:p>
    <w:p w14:paraId="7969580D">
      <w:pPr>
        <w:ind w:firstLine="470" w:firstLineChars="196"/>
        <w:rPr>
          <w:rFonts w:ascii="宋体" w:hAnsi="宋体" w:cs="宋体"/>
          <w:sz w:val="24"/>
        </w:rPr>
      </w:pPr>
      <w:r>
        <w:rPr>
          <w:rFonts w:hint="eastAsia" w:ascii="宋体" w:hAnsi="宋体" w:cs="宋体"/>
          <w:sz w:val="24"/>
        </w:rPr>
        <w:t>20.2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278EC2EB">
      <w:pPr>
        <w:ind w:firstLine="470" w:firstLineChars="196"/>
        <w:rPr>
          <w:rFonts w:ascii="宋体" w:hAnsi="宋体" w:cs="宋体"/>
          <w:sz w:val="24"/>
        </w:rPr>
      </w:pPr>
      <w:r>
        <w:rPr>
          <w:rFonts w:hint="eastAsia" w:ascii="宋体" w:hAnsi="宋体" w:cs="宋体"/>
          <w:sz w:val="24"/>
        </w:rPr>
        <w:t>20.3中标供应商的投标文件有效期，截止于完成本招标文件规定的全部项目内容，并通过竣工验收及保修期结束。</w:t>
      </w:r>
    </w:p>
    <w:bookmarkEnd w:id="59"/>
    <w:p w14:paraId="6825C28E">
      <w:pPr>
        <w:rPr>
          <w:rFonts w:ascii="宋体" w:hAnsi="宋体" w:cs="宋体"/>
          <w:sz w:val="24"/>
        </w:rPr>
      </w:pPr>
      <w:r>
        <w:rPr>
          <w:rFonts w:hint="eastAsia" w:ascii="宋体" w:hAnsi="宋体" w:cs="宋体"/>
          <w:sz w:val="24"/>
        </w:rPr>
        <w:t>21．</w:t>
      </w:r>
      <w:bookmarkStart w:id="60" w:name="_Hlk72402325"/>
      <w:r>
        <w:rPr>
          <w:rFonts w:hint="eastAsia" w:ascii="宋体" w:hAnsi="宋体" w:cs="宋体"/>
          <w:sz w:val="24"/>
        </w:rPr>
        <w:t>关于投标保证金</w:t>
      </w:r>
    </w:p>
    <w:p w14:paraId="298E7C47">
      <w:pPr>
        <w:rPr>
          <w:rFonts w:ascii="宋体" w:hAnsi="宋体" w:cs="宋体"/>
          <w:sz w:val="24"/>
        </w:rPr>
      </w:pPr>
      <w:r>
        <w:rPr>
          <w:rFonts w:hint="eastAsia" w:ascii="宋体" w:hAnsi="宋体" w:cs="宋体"/>
          <w:sz w:val="24"/>
        </w:rPr>
        <w:t>21.1根据《深圳市财政局关于调整政府采购投标（响应）保证金管理政策的通知》（深财购〔2021〕51号）文的规定，本项目不收取投标保证金。</w:t>
      </w:r>
    </w:p>
    <w:p w14:paraId="58445C00">
      <w:pPr>
        <w:rPr>
          <w:rFonts w:ascii="宋体" w:hAnsi="宋体" w:cs="宋体"/>
          <w:sz w:val="24"/>
        </w:rPr>
      </w:pPr>
      <w:r>
        <w:rPr>
          <w:rFonts w:hint="eastAsia" w:ascii="宋体" w:hAnsi="宋体" w:cs="宋体"/>
          <w:sz w:val="24"/>
        </w:rPr>
        <w:t>22．投标人的替代方案</w:t>
      </w:r>
    </w:p>
    <w:p w14:paraId="59CA7926">
      <w:pPr>
        <w:ind w:firstLine="470" w:firstLineChars="196"/>
        <w:rPr>
          <w:rFonts w:ascii="宋体" w:hAnsi="宋体" w:cs="宋体"/>
          <w:sz w:val="24"/>
        </w:rPr>
      </w:pPr>
      <w:r>
        <w:rPr>
          <w:rFonts w:hint="eastAsia" w:ascii="宋体" w:hAnsi="宋体" w:cs="宋体"/>
          <w:sz w:val="24"/>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3AC323AC">
      <w:pPr>
        <w:ind w:firstLine="470" w:firstLineChars="196"/>
        <w:rPr>
          <w:rFonts w:ascii="宋体" w:hAnsi="宋体" w:cs="宋体"/>
          <w:sz w:val="24"/>
        </w:rPr>
      </w:pPr>
      <w:r>
        <w:rPr>
          <w:rFonts w:hint="eastAsia" w:ascii="宋体" w:hAnsi="宋体" w:cs="宋体"/>
          <w:sz w:val="24"/>
        </w:rPr>
        <w:t>22.2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60"/>
    <w:p w14:paraId="22004C9B">
      <w:pPr>
        <w:rPr>
          <w:rFonts w:ascii="宋体" w:hAnsi="宋体" w:cs="宋体"/>
          <w:sz w:val="24"/>
        </w:rPr>
      </w:pPr>
      <w:r>
        <w:rPr>
          <w:rFonts w:hint="eastAsia" w:ascii="宋体" w:hAnsi="宋体" w:cs="宋体"/>
          <w:sz w:val="24"/>
        </w:rPr>
        <w:t>23．</w:t>
      </w:r>
      <w:bookmarkStart w:id="61" w:name="_Hlk72402860"/>
      <w:r>
        <w:rPr>
          <w:rFonts w:hint="eastAsia" w:ascii="宋体" w:hAnsi="宋体" w:cs="宋体"/>
          <w:sz w:val="24"/>
        </w:rPr>
        <w:t>投标文件的制作要求</w:t>
      </w:r>
    </w:p>
    <w:p w14:paraId="2A06A1AB">
      <w:pPr>
        <w:ind w:firstLine="470" w:firstLineChars="196"/>
        <w:rPr>
          <w:rFonts w:ascii="宋体" w:hAnsi="宋体" w:cs="宋体"/>
          <w:sz w:val="24"/>
        </w:rPr>
      </w:pPr>
      <w:r>
        <w:rPr>
          <w:rFonts w:hint="eastAsia" w:ascii="宋体" w:hAnsi="宋体" w:cs="宋体"/>
          <w:sz w:val="24"/>
        </w:rPr>
        <w:t>23.1投标人应准备所投项目的电子投标文件一份。此电子投标文件须由投标人根据政府集中采购机构提供的后缀名为.szczf的电子招标文件，下载并使用相应的深圳智慧采购平台投标文件制作专用软件打开招标文件（.szczf格式）【下载地址：http://zfcg.szggzy.com:8081/cgxy/013002/list.html深圳智慧采购平台投标文件制作专用软件.zip】。</w:t>
      </w:r>
    </w:p>
    <w:p w14:paraId="0CE811A6">
      <w:pPr>
        <w:ind w:firstLine="470" w:firstLineChars="196"/>
        <w:rPr>
          <w:rFonts w:ascii="宋体" w:hAnsi="宋体" w:cs="宋体"/>
          <w:sz w:val="24"/>
        </w:rPr>
      </w:pPr>
      <w:r>
        <w:rPr>
          <w:rFonts w:hint="eastAsia" w:ascii="宋体" w:hAnsi="宋体" w:cs="宋体"/>
          <w:sz w:val="24"/>
        </w:rPr>
        <w:t>23.2投标人在使用《投标书编制软件》编制投标书时须注意：</w:t>
      </w:r>
    </w:p>
    <w:p w14:paraId="3EB6FB34">
      <w:pPr>
        <w:ind w:firstLine="470" w:firstLineChars="196"/>
        <w:rPr>
          <w:rFonts w:ascii="宋体" w:hAnsi="宋体" w:cs="宋体"/>
          <w:sz w:val="24"/>
        </w:rPr>
      </w:pPr>
      <w:r>
        <w:rPr>
          <w:rFonts w:hint="eastAsia" w:ascii="宋体" w:hAnsi="宋体" w:cs="宋体"/>
          <w:sz w:val="24"/>
        </w:rPr>
        <w:t>23.2.1导入《投标书编制软件》的招标文件项目编号、包号应与以此制作的投标文件项目编号、包号一致。例如，不能将甲项目A包的招标书导入《投标书编制软件》，制作乙项目B包的投标书。</w:t>
      </w:r>
    </w:p>
    <w:p w14:paraId="7C3D30D1">
      <w:pPr>
        <w:ind w:firstLine="470" w:firstLineChars="196"/>
        <w:rPr>
          <w:rFonts w:ascii="宋体" w:hAnsi="宋体" w:cs="宋体"/>
          <w:sz w:val="24"/>
        </w:rPr>
      </w:pPr>
      <w:r>
        <w:rPr>
          <w:rFonts w:hint="eastAsia" w:ascii="宋体" w:hAnsi="宋体" w:cs="宋体"/>
          <w:sz w:val="24"/>
        </w:rPr>
        <w:t>23.2.2不能用非本公司的电子密钥加密本公司的投标文件，或者用其他公司的登录用户上传本公司的投标文件。</w:t>
      </w:r>
    </w:p>
    <w:p w14:paraId="0B8F7B90">
      <w:pPr>
        <w:ind w:firstLine="470" w:firstLineChars="196"/>
        <w:rPr>
          <w:rFonts w:ascii="宋体" w:hAnsi="宋体" w:cs="宋体"/>
          <w:sz w:val="24"/>
        </w:rPr>
      </w:pPr>
      <w:r>
        <w:rPr>
          <w:rFonts w:hint="eastAsia" w:ascii="宋体" w:hAnsi="宋体" w:cs="宋体"/>
          <w:sz w:val="24"/>
        </w:rPr>
        <w:t>23.2.3要求用《投标书编制软件》编制投标书的包，不能用其他方式编制投标书。编制投标文件时，电脑须连通互联网。</w:t>
      </w:r>
    </w:p>
    <w:p w14:paraId="07E6D6E4">
      <w:pPr>
        <w:ind w:firstLine="470" w:firstLineChars="196"/>
        <w:rPr>
          <w:rFonts w:ascii="宋体" w:hAnsi="宋体" w:cs="宋体"/>
          <w:sz w:val="24"/>
        </w:rPr>
      </w:pPr>
      <w:r>
        <w:rPr>
          <w:rFonts w:hint="eastAsia" w:ascii="宋体" w:hAnsi="宋体" w:cs="宋体"/>
          <w:sz w:val="24"/>
        </w:rPr>
        <w:t>23.2.4投标文件不能带病毒。政府集中采购机构将用专业杀毒软件对投标文件进行病毒检测，如果这两种软件均报告发现病毒，则政府集中采购机构认为该投标文件带病毒。</w:t>
      </w:r>
    </w:p>
    <w:p w14:paraId="07BB127E">
      <w:pPr>
        <w:ind w:firstLine="470" w:firstLineChars="196"/>
        <w:rPr>
          <w:rFonts w:ascii="宋体" w:hAnsi="宋体" w:cs="宋体"/>
          <w:sz w:val="24"/>
        </w:rPr>
      </w:pPr>
      <w:r>
        <w:rPr>
          <w:rFonts w:hint="eastAsia" w:ascii="宋体" w:hAnsi="宋体" w:cs="宋体"/>
          <w:sz w:val="24"/>
        </w:rPr>
        <w:t>23.2.5完整填写“投标关键信息”，如下图所示：</w:t>
      </w:r>
    </w:p>
    <w:p w14:paraId="5D38201C">
      <w:pPr>
        <w:ind w:firstLine="470" w:firstLineChars="196"/>
        <w:rPr>
          <w:rFonts w:ascii="宋体" w:hAnsi="宋体" w:cs="宋体"/>
          <w:sz w:val="24"/>
        </w:rPr>
      </w:pPr>
      <w:r>
        <w:rPr>
          <w:rFonts w:hint="eastAsia" w:ascii="宋体" w:hAnsi="宋体" w:cs="宋体"/>
          <w:sz w:val="24"/>
        </w:rPr>
        <w:drawing>
          <wp:inline distT="0" distB="0" distL="0" distR="0">
            <wp:extent cx="5279390" cy="2719070"/>
            <wp:effectExtent l="0" t="0" r="8890" b="8890"/>
            <wp:docPr id="7" name="图片 9"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descr="图形用户界面, 应用程序&#10;&#10;描述已自动生成"/>
                    <pic:cNvPicPr>
                      <a:picLocks noChangeAspect="1" noChangeArrowheads="1"/>
                    </pic:cNvPicPr>
                  </pic:nvPicPr>
                  <pic:blipFill>
                    <a:blip r:embed="rId12"/>
                    <a:stretch>
                      <a:fillRect/>
                    </a:stretch>
                  </pic:blipFill>
                  <pic:spPr>
                    <a:xfrm>
                      <a:off x="0" y="0"/>
                      <a:ext cx="5279390" cy="2719070"/>
                    </a:xfrm>
                    <a:prstGeom prst="rect">
                      <a:avLst/>
                    </a:prstGeom>
                    <a:noFill/>
                    <a:ln w="9525">
                      <a:noFill/>
                      <a:miter lim="800000"/>
                      <a:headEnd/>
                      <a:tailEnd/>
                    </a:ln>
                  </pic:spPr>
                </pic:pic>
              </a:graphicData>
            </a:graphic>
          </wp:inline>
        </w:drawing>
      </w:r>
    </w:p>
    <w:p w14:paraId="2E5FCF82">
      <w:pPr>
        <w:widowControl/>
        <w:jc w:val="left"/>
        <w:rPr>
          <w:rFonts w:ascii="宋体" w:hAnsi="宋体" w:cs="宋体"/>
          <w:kern w:val="0"/>
          <w:sz w:val="24"/>
        </w:rPr>
      </w:pPr>
    </w:p>
    <w:p w14:paraId="2ECCBAB9">
      <w:pPr>
        <w:ind w:firstLine="472" w:firstLineChars="196"/>
        <w:rPr>
          <w:rFonts w:ascii="宋体" w:hAnsi="宋体" w:cs="宋体"/>
          <w:b/>
          <w:sz w:val="24"/>
        </w:rPr>
      </w:pPr>
      <w:r>
        <w:rPr>
          <w:rFonts w:hint="eastAsia" w:ascii="宋体" w:hAnsi="宋体" w:cs="宋体"/>
          <w:b/>
          <w:sz w:val="24"/>
        </w:rPr>
        <w:t>备注：上述“开标一览表”中的“投标报价”将作为价格分计算依据；其他信息仅是对投标文件相关内容的概括性表述，不作为评审依据。</w:t>
      </w:r>
    </w:p>
    <w:p w14:paraId="7A6A3F15">
      <w:pPr>
        <w:ind w:firstLine="470" w:firstLineChars="196"/>
        <w:rPr>
          <w:rFonts w:ascii="宋体" w:hAnsi="宋体" w:cs="宋体"/>
          <w:sz w:val="24"/>
        </w:rPr>
      </w:pPr>
      <w:r>
        <w:rPr>
          <w:rFonts w:hint="eastAsia" w:ascii="宋体" w:hAnsi="宋体" w:cs="宋体"/>
          <w:sz w:val="24"/>
        </w:rPr>
        <w:t>23.2.6投标人在编辑投标文件时，</w:t>
      </w:r>
      <w:r>
        <w:rPr>
          <w:rFonts w:hint="eastAsia" w:ascii="宋体" w:hAnsi="宋体" w:cs="宋体"/>
          <w:b/>
          <w:sz w:val="24"/>
        </w:rPr>
        <w:t>在投标文件目录中属于本节点内容的必须在本节点中填写，填写到其他节点或附件，</w:t>
      </w:r>
      <w:r>
        <w:rPr>
          <w:rFonts w:hint="eastAsia" w:ascii="宋体" w:hAnsi="宋体" w:cs="宋体"/>
          <w:sz w:val="24"/>
        </w:rPr>
        <w:t>一切后果由供应商自行承担。</w:t>
      </w:r>
    </w:p>
    <w:p w14:paraId="6C8FCE22">
      <w:pPr>
        <w:ind w:firstLine="470" w:firstLineChars="196"/>
        <w:rPr>
          <w:rFonts w:ascii="宋体" w:hAnsi="宋体" w:cs="宋体"/>
          <w:sz w:val="24"/>
        </w:rPr>
      </w:pPr>
      <w:r>
        <w:rPr>
          <w:rFonts w:hint="eastAsia" w:ascii="宋体" w:hAnsi="宋体" w:cs="宋体"/>
          <w:sz w:val="24"/>
        </w:rPr>
        <w:t>23.2.7投标文件编写完成后，</w:t>
      </w:r>
      <w:r>
        <w:rPr>
          <w:rFonts w:hint="eastAsia" w:ascii="宋体" w:hAnsi="宋体" w:cs="宋体"/>
          <w:b/>
          <w:sz w:val="24"/>
        </w:rPr>
        <w:t>必须用属于投标人的电子密钥或电子营业执照进行加密，否则视同未盖公章，将导致投标文件无效。</w:t>
      </w:r>
    </w:p>
    <w:p w14:paraId="12FCF0C6">
      <w:pPr>
        <w:ind w:firstLine="470" w:firstLineChars="196"/>
        <w:rPr>
          <w:rFonts w:ascii="宋体" w:hAnsi="宋体" w:cs="宋体"/>
          <w:sz w:val="24"/>
        </w:rPr>
      </w:pPr>
      <w:r>
        <w:rPr>
          <w:rFonts w:hint="eastAsia" w:ascii="宋体" w:hAnsi="宋体" w:cs="宋体"/>
          <w:sz w:val="24"/>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14:paraId="2DBB4EF7">
      <w:pPr>
        <w:ind w:firstLine="470" w:firstLineChars="196"/>
        <w:rPr>
          <w:rFonts w:ascii="宋体" w:hAnsi="宋体" w:cs="宋体"/>
          <w:sz w:val="24"/>
        </w:rPr>
      </w:pPr>
      <w:r>
        <w:rPr>
          <w:rFonts w:hint="eastAsia" w:ascii="宋体" w:hAnsi="宋体" w:cs="宋体"/>
          <w:sz w:val="24"/>
        </w:rPr>
        <w:t>23.2.9如果开标时出现网络故障、技术故障，影响了政府采购活动，政府集中采购机构有权采取措施如延期、接受无法从网上上传的投标书等，以保障政府采购活动的公开、公平和公正。</w:t>
      </w:r>
    </w:p>
    <w:p w14:paraId="4225CD83">
      <w:pPr>
        <w:ind w:firstLine="470" w:firstLineChars="196"/>
        <w:rPr>
          <w:rFonts w:ascii="宋体" w:hAnsi="宋体" w:cs="宋体"/>
          <w:sz w:val="24"/>
        </w:rPr>
      </w:pPr>
      <w:r>
        <w:rPr>
          <w:rFonts w:hint="eastAsia" w:ascii="宋体" w:hAnsi="宋体" w:cs="宋体"/>
          <w:sz w:val="24"/>
        </w:rPr>
        <w:t>23.3电报、电话、传真形式的投标概不接受。</w:t>
      </w:r>
    </w:p>
    <w:p w14:paraId="0B8CCEB4">
      <w:pPr>
        <w:ind w:firstLine="472" w:firstLineChars="196"/>
        <w:rPr>
          <w:rFonts w:ascii="宋体" w:hAnsi="宋体" w:cs="宋体"/>
          <w:b/>
          <w:sz w:val="24"/>
        </w:rPr>
      </w:pPr>
      <w:r>
        <w:rPr>
          <w:rFonts w:hint="eastAsia" w:ascii="宋体" w:hAnsi="宋体" w:cs="宋体"/>
          <w:b/>
          <w:sz w:val="24"/>
        </w:rPr>
        <w:t>23.4经投标人电子密钥或电子营业执照加密的投标文件无须盖章或签字，</w:t>
      </w:r>
      <w:r>
        <w:rPr>
          <w:rFonts w:hint="eastAsia" w:ascii="宋体" w:hAnsi="宋体" w:cs="宋体"/>
          <w:sz w:val="24"/>
        </w:rPr>
        <w:t>专用条款另有要求的除外。</w:t>
      </w:r>
    </w:p>
    <w:p w14:paraId="45AF0740">
      <w:pPr>
        <w:ind w:firstLine="472" w:firstLineChars="196"/>
        <w:rPr>
          <w:rFonts w:ascii="宋体" w:hAnsi="宋体" w:cs="宋体"/>
          <w:sz w:val="24"/>
        </w:rPr>
      </w:pPr>
      <w:r>
        <w:rPr>
          <w:rFonts w:hint="eastAsia" w:ascii="宋体" w:hAnsi="宋体" w:cs="宋体"/>
          <w:b/>
          <w:sz w:val="24"/>
        </w:rPr>
        <w:t>23.5</w:t>
      </w:r>
      <w:r>
        <w:rPr>
          <w:rFonts w:hint="eastAsia" w:ascii="宋体" w:hAnsi="宋体" w:cs="宋体"/>
          <w:sz w:val="24"/>
        </w:rPr>
        <w:t>各类资格（资质）文件提供扫描件，专用条款另有要求的除外。</w:t>
      </w:r>
      <w:bookmarkEnd w:id="61"/>
    </w:p>
    <w:p w14:paraId="7F393EC6">
      <w:pPr>
        <w:ind w:firstLine="470" w:firstLineChars="196"/>
        <w:rPr>
          <w:rFonts w:ascii="宋体" w:hAnsi="宋体" w:cs="宋体"/>
          <w:sz w:val="24"/>
        </w:rPr>
      </w:pPr>
    </w:p>
    <w:p w14:paraId="32DA8B74">
      <w:pPr>
        <w:pStyle w:val="6"/>
        <w:numPr>
          <w:ilvl w:val="0"/>
          <w:numId w:val="21"/>
        </w:numPr>
        <w:spacing w:before="120" w:beforeLines="50" w:after="120" w:afterLines="50"/>
        <w:ind w:left="562" w:hanging="562"/>
        <w:rPr>
          <w:sz w:val="28"/>
          <w:szCs w:val="28"/>
        </w:rPr>
      </w:pPr>
      <w:r>
        <w:rPr>
          <w:rFonts w:hint="eastAsia"/>
          <w:sz w:val="28"/>
          <w:szCs w:val="28"/>
        </w:rPr>
        <w:t>投标文件的递交</w:t>
      </w:r>
    </w:p>
    <w:p w14:paraId="17826E59">
      <w:pPr>
        <w:rPr>
          <w:rFonts w:ascii="宋体" w:hAnsi="宋体" w:cs="宋体"/>
          <w:sz w:val="24"/>
        </w:rPr>
      </w:pPr>
      <w:bookmarkStart w:id="62" w:name="_Hlk72405459"/>
      <w:r>
        <w:rPr>
          <w:rFonts w:hint="eastAsia" w:ascii="黑体" w:hAnsi="宋体" w:eastAsia="黑体"/>
          <w:sz w:val="24"/>
        </w:rPr>
        <w:t>24．</w:t>
      </w:r>
      <w:r>
        <w:rPr>
          <w:rFonts w:hint="eastAsia" w:ascii="宋体" w:hAnsi="宋体" w:cs="宋体"/>
          <w:sz w:val="24"/>
        </w:rPr>
        <w:t>投标文件的保密</w:t>
      </w:r>
    </w:p>
    <w:p w14:paraId="07981563">
      <w:pPr>
        <w:ind w:firstLine="470" w:firstLineChars="196"/>
        <w:rPr>
          <w:rFonts w:ascii="宋体" w:hAnsi="宋体" w:cs="宋体"/>
          <w:sz w:val="24"/>
        </w:rPr>
      </w:pPr>
      <w:r>
        <w:rPr>
          <w:rFonts w:hint="eastAsia" w:ascii="宋体" w:hAnsi="宋体" w:cs="宋体"/>
          <w:sz w:val="24"/>
        </w:rPr>
        <w:t>24.1在投标文件制作完成后，在投标书编制软件点击【生成标书】按钮进入【填写开标一览表界面】界面，在该界面填写完开标一览表信息后点击【确定】，进入投标文件生成环节。投标文件制作软件会在投标文件生成过程中，提示用户输入密码，输入密码后对投标文件自动进行加密，此加密程序确保投标文件在到达投标截止时间后才能解密查看。在加密过程中，请按照软件提示进行操作。加密界面如下图所示：</w:t>
      </w:r>
    </w:p>
    <w:p w14:paraId="00331207">
      <w:pPr>
        <w:ind w:firstLine="470" w:firstLineChars="196"/>
        <w:rPr>
          <w:rFonts w:ascii="宋体" w:hAnsi="宋体" w:cs="宋体"/>
          <w:sz w:val="24"/>
        </w:rPr>
      </w:pPr>
    </w:p>
    <w:p w14:paraId="66FF2FAB">
      <w:pPr>
        <w:ind w:firstLine="470" w:firstLineChars="196"/>
        <w:rPr>
          <w:rFonts w:ascii="宋体" w:hAnsi="宋体" w:cs="宋体"/>
          <w:sz w:val="24"/>
        </w:rPr>
      </w:pPr>
      <w:r>
        <w:rPr>
          <w:rFonts w:hint="eastAsia" w:ascii="宋体" w:hAnsi="宋体" w:cs="宋体"/>
          <w:sz w:val="24"/>
        </w:rPr>
        <w:drawing>
          <wp:inline distT="0" distB="0" distL="0" distR="0">
            <wp:extent cx="5279390" cy="2719070"/>
            <wp:effectExtent l="0" t="0" r="8890" b="8890"/>
            <wp:docPr id="10" name="图片 7"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descr="图形用户界面, 应用程序&#10;&#10;描述已自动生成"/>
                    <pic:cNvPicPr>
                      <a:picLocks noChangeAspect="1" noChangeArrowheads="1"/>
                    </pic:cNvPicPr>
                  </pic:nvPicPr>
                  <pic:blipFill>
                    <a:blip r:embed="rId12"/>
                    <a:stretch>
                      <a:fillRect/>
                    </a:stretch>
                  </pic:blipFill>
                  <pic:spPr>
                    <a:xfrm>
                      <a:off x="0" y="0"/>
                      <a:ext cx="5279390" cy="2719070"/>
                    </a:xfrm>
                    <a:prstGeom prst="rect">
                      <a:avLst/>
                    </a:prstGeom>
                    <a:noFill/>
                    <a:ln w="9525">
                      <a:noFill/>
                      <a:miter lim="800000"/>
                      <a:headEnd/>
                      <a:tailEnd/>
                    </a:ln>
                  </pic:spPr>
                </pic:pic>
              </a:graphicData>
            </a:graphic>
          </wp:inline>
        </w:drawing>
      </w:r>
    </w:p>
    <w:p w14:paraId="160D1363">
      <w:pPr>
        <w:ind w:firstLine="470" w:firstLineChars="196"/>
        <w:rPr>
          <w:rFonts w:ascii="宋体" w:hAnsi="宋体" w:cs="宋体"/>
          <w:sz w:val="24"/>
        </w:rPr>
      </w:pPr>
    </w:p>
    <w:p w14:paraId="4A5E60BE">
      <w:pPr>
        <w:ind w:firstLine="470" w:firstLineChars="196"/>
        <w:rPr>
          <w:rFonts w:ascii="宋体" w:hAnsi="宋体" w:cs="宋体"/>
          <w:sz w:val="24"/>
        </w:rPr>
      </w:pPr>
      <w:r>
        <w:rPr>
          <w:rFonts w:hint="eastAsia" w:ascii="宋体" w:hAnsi="宋体" w:cs="宋体"/>
          <w:sz w:val="24"/>
        </w:rPr>
        <w:drawing>
          <wp:inline distT="0" distB="0" distL="0" distR="0">
            <wp:extent cx="5279390" cy="2727325"/>
            <wp:effectExtent l="0" t="0" r="8890" b="635"/>
            <wp:docPr id="13" name="图片 8"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descr="图形用户界面&#10;&#10;描述已自动生成"/>
                    <pic:cNvPicPr>
                      <a:picLocks noChangeAspect="1" noChangeArrowheads="1"/>
                    </pic:cNvPicPr>
                  </pic:nvPicPr>
                  <pic:blipFill>
                    <a:blip r:embed="rId13"/>
                    <a:stretch>
                      <a:fillRect/>
                    </a:stretch>
                  </pic:blipFill>
                  <pic:spPr>
                    <a:xfrm>
                      <a:off x="0" y="0"/>
                      <a:ext cx="5279390" cy="2727325"/>
                    </a:xfrm>
                    <a:prstGeom prst="rect">
                      <a:avLst/>
                    </a:prstGeom>
                    <a:noFill/>
                    <a:ln w="9525">
                      <a:noFill/>
                      <a:miter lim="800000"/>
                      <a:headEnd/>
                      <a:tailEnd/>
                    </a:ln>
                  </pic:spPr>
                </pic:pic>
              </a:graphicData>
            </a:graphic>
          </wp:inline>
        </w:drawing>
      </w:r>
    </w:p>
    <w:p w14:paraId="0E9074D8">
      <w:pPr>
        <w:ind w:firstLine="470" w:firstLineChars="196"/>
        <w:rPr>
          <w:rFonts w:ascii="宋体" w:hAnsi="宋体" w:cs="宋体"/>
          <w:sz w:val="24"/>
        </w:rPr>
      </w:pPr>
    </w:p>
    <w:p w14:paraId="02803A65">
      <w:pPr>
        <w:widowControl/>
        <w:jc w:val="left"/>
        <w:rPr>
          <w:rFonts w:ascii="宋体" w:hAnsi="宋体" w:cs="宋体"/>
          <w:sz w:val="24"/>
        </w:rPr>
      </w:pPr>
    </w:p>
    <w:p w14:paraId="21D0FC7B">
      <w:pPr>
        <w:rPr>
          <w:rFonts w:ascii="宋体" w:hAnsi="宋体" w:cs="宋体"/>
          <w:b/>
          <w:sz w:val="24"/>
        </w:rPr>
      </w:pPr>
      <w:r>
        <w:rPr>
          <w:rFonts w:hint="eastAsia" w:ascii="宋体" w:hAnsi="宋体" w:cs="宋体"/>
          <w:b/>
          <w:sz w:val="24"/>
        </w:rPr>
        <w:t>24.2若采购项目出现延期情况：</w:t>
      </w:r>
    </w:p>
    <w:p w14:paraId="1F696469">
      <w:pPr>
        <w:ind w:firstLine="482" w:firstLineChars="200"/>
        <w:rPr>
          <w:rFonts w:ascii="宋体" w:hAnsi="宋体" w:cs="宋体"/>
          <w:b/>
          <w:sz w:val="24"/>
        </w:rPr>
      </w:pPr>
      <w:r>
        <w:rPr>
          <w:rFonts w:hint="eastAsia" w:ascii="宋体" w:hAnsi="宋体" w:cs="宋体"/>
          <w:b/>
          <w:sz w:val="24"/>
        </w:rPr>
        <w:t>如果供下载的招标文件（后缀名为.szczf）有更新，投标人必须重新下载招标文件、重新制作投标文件、重新加密投标文件、重新上传投标文件；如果供下载的招标文件（后缀名为.szczf）没有更新，投标人必须重新加密投标文件、重新上传投标文件（是否重新制作投标文件根据项目实际情</w:t>
      </w:r>
      <w:r>
        <w:rPr>
          <w:rFonts w:hint="eastAsia" w:ascii="宋体" w:hAnsi="宋体" w:cs="宋体"/>
          <w:b/>
          <w:sz w:val="24"/>
          <w:lang w:eastAsia="zh-CN"/>
        </w:rPr>
        <w:t>况确</w:t>
      </w:r>
      <w:r>
        <w:rPr>
          <w:rFonts w:hint="eastAsia" w:ascii="宋体" w:hAnsi="宋体" w:cs="宋体"/>
          <w:b/>
          <w:sz w:val="24"/>
        </w:rPr>
        <w:t>定）。否则，投标人自行承担投标文件无法解密导致投标无效的后果。</w:t>
      </w:r>
    </w:p>
    <w:p w14:paraId="24C1D1CA">
      <w:pPr>
        <w:rPr>
          <w:rFonts w:ascii="宋体" w:hAnsi="宋体" w:cs="宋体"/>
          <w:sz w:val="24"/>
        </w:rPr>
      </w:pPr>
      <w:r>
        <w:rPr>
          <w:rFonts w:hint="eastAsia" w:ascii="宋体" w:hAnsi="宋体" w:cs="宋体"/>
          <w:sz w:val="24"/>
        </w:rPr>
        <w:t>25．上传投标文件及投标截止日期</w:t>
      </w:r>
    </w:p>
    <w:p w14:paraId="20C0DA64">
      <w:pPr>
        <w:ind w:firstLine="470" w:firstLineChars="196"/>
        <w:rPr>
          <w:rFonts w:ascii="宋体" w:hAnsi="宋体" w:cs="宋体"/>
          <w:sz w:val="24"/>
        </w:rPr>
      </w:pPr>
      <w:r>
        <w:rPr>
          <w:rFonts w:hint="eastAsia" w:ascii="宋体" w:hAnsi="宋体" w:cs="宋体"/>
          <w:sz w:val="24"/>
        </w:rPr>
        <w:t>25.1实行网上投标，投标人必须在招标文件规定的投标截止时间前用电子密钥登录“深圳政府采购智慧平台用户网上办事子系统（http://zfcg.szggzy.com/TPBidder/memberLogin）”，用“【我的项目】→【项目流程】→【递交投标（应答）文件】”功能点上传投标文件。如上传过程中遇到问题，可拨打采购公告中的技术支持电话。如多次上传均告失败，请在投标截止时间之前携带加密后的电子投标文件送达至</w:t>
      </w:r>
      <w:r>
        <w:rPr>
          <w:rFonts w:hint="eastAsia" w:ascii="宋体" w:hAnsi="宋体"/>
          <w:b/>
          <w:bCs/>
          <w:sz w:val="24"/>
          <w:szCs w:val="21"/>
        </w:rPr>
        <w:t>深圳公共资源交易中心（深圳交易集团有限公司龙岗分公司）</w:t>
      </w:r>
      <w:r>
        <w:rPr>
          <w:rFonts w:hint="eastAsia" w:ascii="宋体" w:hAnsi="宋体"/>
          <w:b/>
          <w:bCs/>
          <w:sz w:val="24"/>
        </w:rPr>
        <w:t>（地址：深圳市龙岗区龙城街道黄阁路383号（原工程交易中心）），</w:t>
      </w:r>
      <w:r>
        <w:rPr>
          <w:rFonts w:hint="eastAsia" w:ascii="宋体" w:hAnsi="宋体" w:cs="宋体"/>
          <w:b/>
          <w:bCs/>
          <w:sz w:val="24"/>
        </w:rPr>
        <w:t>协助上传，</w:t>
      </w:r>
      <w:r>
        <w:rPr>
          <w:rFonts w:hint="eastAsia" w:ascii="宋体" w:hAnsi="宋体"/>
          <w:b/>
          <w:bCs/>
          <w:sz w:val="24"/>
        </w:rPr>
        <w:t>联系方式：0755-89552611，</w:t>
      </w:r>
      <w:r>
        <w:rPr>
          <w:rFonts w:hint="eastAsia" w:ascii="宋体" w:hAnsi="宋体" w:cs="宋体"/>
          <w:b/>
          <w:bCs/>
          <w:sz w:val="24"/>
        </w:rPr>
        <w:t>但上传过程中投标截止时间到达仍无法上传成功的，由投标人自行负责</w:t>
      </w:r>
      <w:r>
        <w:rPr>
          <w:rFonts w:hint="eastAsia" w:ascii="宋体" w:hAnsi="宋体" w:cs="宋体"/>
          <w:sz w:val="24"/>
        </w:rPr>
        <w:t>。</w:t>
      </w:r>
    </w:p>
    <w:p w14:paraId="297506E4">
      <w:pPr>
        <w:ind w:firstLine="470" w:firstLineChars="196"/>
        <w:rPr>
          <w:rFonts w:ascii="宋体" w:hAnsi="宋体" w:cs="宋体"/>
          <w:sz w:val="24"/>
        </w:rPr>
      </w:pPr>
      <w:r>
        <w:rPr>
          <w:rFonts w:hint="eastAsia" w:ascii="宋体" w:hAnsi="宋体" w:cs="宋体"/>
          <w:sz w:val="24"/>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14:paraId="28DF8F9C">
      <w:pPr>
        <w:ind w:firstLine="470" w:firstLineChars="196"/>
        <w:rPr>
          <w:rFonts w:ascii="宋体" w:hAnsi="宋体" w:cs="宋体"/>
          <w:sz w:val="24"/>
        </w:rPr>
      </w:pPr>
      <w:r>
        <w:rPr>
          <w:rFonts w:hint="eastAsia" w:ascii="宋体" w:hAnsi="宋体" w:cs="宋体"/>
          <w:sz w:val="24"/>
        </w:rPr>
        <w:t>25.3投标截止时间以后不得上传投标文件。</w:t>
      </w:r>
    </w:p>
    <w:p w14:paraId="059251CD">
      <w:pPr>
        <w:ind w:firstLine="470" w:firstLineChars="196"/>
        <w:rPr>
          <w:rFonts w:ascii="宋体" w:hAnsi="宋体" w:cs="宋体"/>
          <w:sz w:val="24"/>
        </w:rPr>
      </w:pPr>
    </w:p>
    <w:bookmarkEnd w:id="62"/>
    <w:p w14:paraId="66109EAF">
      <w:pPr>
        <w:rPr>
          <w:rFonts w:ascii="宋体" w:hAnsi="宋体" w:cs="宋体"/>
          <w:sz w:val="24"/>
        </w:rPr>
      </w:pPr>
      <w:r>
        <w:rPr>
          <w:rFonts w:hint="eastAsia" w:ascii="宋体" w:hAnsi="宋体" w:cs="宋体"/>
          <w:sz w:val="24"/>
        </w:rPr>
        <w:t>26.样品、现场演示、方案讲解</w:t>
      </w:r>
    </w:p>
    <w:p w14:paraId="2DA91556">
      <w:pPr>
        <w:ind w:firstLine="470" w:firstLineChars="196"/>
        <w:rPr>
          <w:rFonts w:ascii="宋体" w:hAnsi="宋体" w:cs="宋体"/>
          <w:sz w:val="24"/>
        </w:rPr>
      </w:pPr>
      <w:r>
        <w:rPr>
          <w:rFonts w:hint="eastAsia" w:ascii="宋体" w:hAnsi="宋体" w:cs="宋体"/>
          <w:sz w:val="24"/>
        </w:rPr>
        <w:t>26.1样品、现场演示、方案讲解等事项在招标文件专用条款中进行规定。</w:t>
      </w:r>
    </w:p>
    <w:p w14:paraId="64F974F9">
      <w:pPr>
        <w:rPr>
          <w:rFonts w:ascii="宋体" w:hAnsi="宋体" w:cs="宋体"/>
          <w:sz w:val="24"/>
        </w:rPr>
      </w:pPr>
      <w:bookmarkStart w:id="63" w:name="_Hlk72428346"/>
      <w:r>
        <w:rPr>
          <w:rFonts w:hint="eastAsia" w:ascii="宋体" w:hAnsi="宋体" w:cs="宋体"/>
          <w:sz w:val="24"/>
        </w:rPr>
        <w:t>27．投标文件的修改和撤销</w:t>
      </w:r>
    </w:p>
    <w:p w14:paraId="07836F5F">
      <w:pPr>
        <w:ind w:firstLine="470" w:firstLineChars="196"/>
        <w:rPr>
          <w:rFonts w:ascii="宋体" w:hAnsi="宋体" w:cs="宋体"/>
          <w:sz w:val="24"/>
        </w:rPr>
      </w:pPr>
      <w:r>
        <w:rPr>
          <w:rFonts w:hint="eastAsia" w:ascii="宋体" w:hAnsi="宋体" w:cs="宋体"/>
          <w:sz w:val="24"/>
        </w:rPr>
        <w:t>27.1投标方在提交投标文件后可对其投标文件进行修改并重新上传投标文件或在网上进行撤销投标的操作。</w:t>
      </w:r>
    </w:p>
    <w:p w14:paraId="76FAB444">
      <w:pPr>
        <w:ind w:firstLine="470" w:firstLineChars="196"/>
        <w:rPr>
          <w:rFonts w:ascii="宋体" w:hAnsi="宋体" w:cs="宋体"/>
          <w:sz w:val="24"/>
        </w:rPr>
      </w:pPr>
      <w:r>
        <w:rPr>
          <w:rFonts w:hint="eastAsia" w:ascii="宋体" w:hAnsi="宋体" w:cs="宋体"/>
          <w:sz w:val="24"/>
        </w:rPr>
        <w:t>27.2投标截止时间以后不得修改投标文件。</w:t>
      </w:r>
    </w:p>
    <w:p w14:paraId="72C49367">
      <w:pPr>
        <w:ind w:firstLine="470" w:firstLineChars="196"/>
        <w:rPr>
          <w:rFonts w:ascii="宋体" w:hAnsi="宋体" w:cs="宋体"/>
          <w:sz w:val="24"/>
        </w:rPr>
      </w:pPr>
      <w:r>
        <w:rPr>
          <w:rFonts w:hint="eastAsia" w:ascii="宋体" w:hAnsi="宋体" w:cs="宋体"/>
          <w:sz w:val="24"/>
        </w:rPr>
        <w:t>27.3从投标截止期至投标人在投标文件中确定的投标有效期之间的这段时间内，投标人不得撤回其投标。</w:t>
      </w:r>
    </w:p>
    <w:p w14:paraId="7599E3C6">
      <w:pPr>
        <w:ind w:firstLine="470" w:firstLineChars="196"/>
        <w:rPr>
          <w:rFonts w:ascii="宋体" w:hAnsi="宋体" w:cs="宋体"/>
          <w:sz w:val="24"/>
        </w:rPr>
      </w:pPr>
      <w:r>
        <w:rPr>
          <w:rFonts w:hint="eastAsia" w:ascii="宋体" w:hAnsi="宋体" w:cs="宋体"/>
          <w:sz w:val="24"/>
        </w:rPr>
        <w:t>27.4政府集中采购机构不退还投标文件，专用条款另有规定的除外。</w:t>
      </w:r>
    </w:p>
    <w:bookmarkEnd w:id="63"/>
    <w:p w14:paraId="1ED75105">
      <w:pPr>
        <w:pStyle w:val="6"/>
        <w:numPr>
          <w:ilvl w:val="0"/>
          <w:numId w:val="21"/>
        </w:numPr>
        <w:spacing w:before="120" w:beforeLines="50" w:after="120" w:afterLines="50"/>
        <w:ind w:left="562" w:hanging="562"/>
        <w:rPr>
          <w:sz w:val="28"/>
          <w:szCs w:val="28"/>
        </w:rPr>
      </w:pPr>
      <w:r>
        <w:rPr>
          <w:rFonts w:hint="eastAsia"/>
          <w:sz w:val="28"/>
          <w:szCs w:val="28"/>
        </w:rPr>
        <w:t>开标</w:t>
      </w:r>
    </w:p>
    <w:p w14:paraId="619D75D0">
      <w:pPr>
        <w:rPr>
          <w:rFonts w:ascii="黑体" w:hAnsi="宋体" w:eastAsia="黑体"/>
          <w:sz w:val="24"/>
        </w:rPr>
      </w:pPr>
      <w:r>
        <w:rPr>
          <w:rFonts w:hint="eastAsia" w:ascii="黑体" w:hAnsi="宋体" w:eastAsia="黑体"/>
          <w:sz w:val="24"/>
        </w:rPr>
        <w:t>28．开标</w:t>
      </w:r>
    </w:p>
    <w:p w14:paraId="01694998">
      <w:pPr>
        <w:ind w:firstLine="360" w:firstLineChars="150"/>
        <w:rPr>
          <w:rFonts w:ascii="宋体" w:hAnsi="宋体"/>
          <w:sz w:val="24"/>
        </w:rPr>
      </w:pPr>
      <w:r>
        <w:rPr>
          <w:rFonts w:hint="eastAsia" w:ascii="宋体" w:hAnsi="宋体"/>
          <w:sz w:val="24"/>
        </w:rPr>
        <w:t>28.1投标人须在开标当日的开标时间至解密截止时间内进行解密，逾期未解密的作无效处理。解密方法：登录“深圳政府采购智慧平台用户网上办事子系统（http://zfcg.szggzy.com/TPBidder/memberLogin）”，使用本单位制作电子投标文件同一个电子密钥，在“【我的项目】→【项目流程】→【开标及解密】”进行在线解密、查询开标情况。</w:t>
      </w:r>
    </w:p>
    <w:p w14:paraId="63056EF9">
      <w:pPr>
        <w:ind w:firstLine="360" w:firstLineChars="150"/>
        <w:rPr>
          <w:rFonts w:ascii="宋体" w:hAnsi="宋体"/>
          <w:sz w:val="24"/>
        </w:rPr>
      </w:pPr>
      <w:r>
        <w:rPr>
          <w:rFonts w:hint="eastAsia" w:ascii="宋体" w:hAnsi="宋体"/>
          <w:sz w:val="24"/>
        </w:rPr>
        <w:t>28.2政府集中采购机构将在满足开标条件（①解密时间结束，解密后的投标供应商数量满足开标要求或②解密时间结束前所有投标供应商均完成投标文件解密）后，对投标文件进行开标，并在网上公布开标结果。</w:t>
      </w:r>
    </w:p>
    <w:p w14:paraId="481B8BB5">
      <w:pPr>
        <w:ind w:firstLine="315" w:firstLineChars="150"/>
        <w:rPr>
          <w:rFonts w:ascii="宋体" w:hAnsi="宋体"/>
          <w:szCs w:val="21"/>
        </w:rPr>
      </w:pPr>
    </w:p>
    <w:p w14:paraId="52171F5B">
      <w:pPr>
        <w:pStyle w:val="6"/>
        <w:numPr>
          <w:ilvl w:val="0"/>
          <w:numId w:val="21"/>
        </w:numPr>
        <w:spacing w:before="120" w:beforeLines="50" w:after="120" w:afterLines="50"/>
        <w:ind w:left="562" w:hanging="562"/>
        <w:rPr>
          <w:sz w:val="28"/>
          <w:szCs w:val="28"/>
        </w:rPr>
      </w:pPr>
      <w:r>
        <w:rPr>
          <w:rFonts w:hint="eastAsia"/>
          <w:sz w:val="28"/>
          <w:szCs w:val="28"/>
        </w:rPr>
        <w:t>评审要求</w:t>
      </w:r>
    </w:p>
    <w:p w14:paraId="65785E72">
      <w:pPr>
        <w:rPr>
          <w:rFonts w:ascii="黑体" w:hAnsi="宋体" w:eastAsia="黑体"/>
          <w:sz w:val="24"/>
        </w:rPr>
      </w:pPr>
      <w:r>
        <w:rPr>
          <w:rFonts w:hint="eastAsia" w:ascii="黑体" w:hAnsi="宋体" w:eastAsia="黑体"/>
          <w:sz w:val="24"/>
        </w:rPr>
        <w:t>29．评审委员会组成</w:t>
      </w:r>
    </w:p>
    <w:p w14:paraId="416E0906">
      <w:pPr>
        <w:ind w:firstLine="470" w:firstLineChars="196"/>
        <w:rPr>
          <w:rFonts w:ascii="宋体" w:hAnsi="宋体" w:cs="宋体"/>
          <w:sz w:val="24"/>
        </w:rPr>
      </w:pPr>
      <w:r>
        <w:rPr>
          <w:rFonts w:hint="eastAsia" w:ascii="宋体" w:hAnsi="宋体" w:cs="宋体"/>
          <w:sz w:val="24"/>
        </w:rPr>
        <w:t>29.1网上开标结束后召开评审会议，评审委员会由政府集中采购机构依法组建，负责评审活动。</w:t>
      </w:r>
    </w:p>
    <w:p w14:paraId="2539B255">
      <w:pPr>
        <w:ind w:firstLine="470" w:firstLineChars="196"/>
        <w:rPr>
          <w:rFonts w:ascii="宋体" w:hAnsi="宋体" w:cs="宋体"/>
          <w:sz w:val="24"/>
        </w:rPr>
      </w:pPr>
      <w:bookmarkStart w:id="64" w:name="_Hlk72436580"/>
      <w:r>
        <w:rPr>
          <w:rFonts w:hint="eastAsia" w:ascii="宋体" w:hAnsi="宋体" w:cs="宋体"/>
          <w:sz w:val="24"/>
        </w:rPr>
        <w:t>评审委员会由采购人代表和评审专家组成，成员人数应当为5人以上单数（部分条件下为7人以上单数），其中评审专家不得少于成员总数的三分之二。</w:t>
      </w:r>
      <w:bookmarkEnd w:id="64"/>
      <w:r>
        <w:rPr>
          <w:rFonts w:hint="eastAsia" w:ascii="宋体" w:hAnsi="宋体" w:cs="宋体"/>
          <w:sz w:val="24"/>
        </w:rPr>
        <w:t>评定分离项目评审专家均由评审专家组成。评审专家一般是从深圳市政府采购评审专家库中随机抽取。采购人代表须持本单位签发的《评审授权书》参加评审。</w:t>
      </w:r>
    </w:p>
    <w:p w14:paraId="1AC604CD">
      <w:pPr>
        <w:ind w:firstLine="470" w:firstLineChars="196"/>
        <w:rPr>
          <w:rFonts w:ascii="宋体" w:hAnsi="宋体" w:cs="宋体"/>
          <w:sz w:val="24"/>
        </w:rPr>
      </w:pPr>
      <w:r>
        <w:rPr>
          <w:rFonts w:hint="eastAsia" w:ascii="宋体" w:hAnsi="宋体" w:cs="宋体"/>
          <w:sz w:val="24"/>
        </w:rPr>
        <w:t>29.2评审定标应当遵循公平、公正、科学、择优的原则。</w:t>
      </w:r>
    </w:p>
    <w:p w14:paraId="34F1C6FC">
      <w:pPr>
        <w:ind w:firstLine="470" w:firstLineChars="196"/>
        <w:rPr>
          <w:rFonts w:ascii="宋体" w:hAnsi="宋体" w:cs="宋体"/>
          <w:sz w:val="24"/>
        </w:rPr>
      </w:pPr>
      <w:r>
        <w:rPr>
          <w:rFonts w:hint="eastAsia" w:ascii="宋体" w:hAnsi="宋体" w:cs="宋体"/>
          <w:sz w:val="24"/>
        </w:rPr>
        <w:t>29.3评审活动依法进行，任何单位和个人不得非法干预评标过程和结果。</w:t>
      </w:r>
    </w:p>
    <w:p w14:paraId="32E8F1FA">
      <w:pPr>
        <w:ind w:firstLine="470" w:firstLineChars="196"/>
        <w:rPr>
          <w:rFonts w:ascii="宋体" w:hAnsi="宋体" w:cs="宋体"/>
          <w:sz w:val="24"/>
        </w:rPr>
      </w:pPr>
      <w:r>
        <w:rPr>
          <w:rFonts w:hint="eastAsia" w:ascii="宋体" w:hAnsi="宋体" w:cs="宋体"/>
          <w:sz w:val="24"/>
        </w:rPr>
        <w:t>29.4评审过程中不允许违背评标程序或采用招标文件未载明的评标方法或评标因素进行评标。</w:t>
      </w:r>
    </w:p>
    <w:p w14:paraId="1781C846">
      <w:pPr>
        <w:ind w:firstLine="470" w:firstLineChars="196"/>
        <w:rPr>
          <w:rFonts w:ascii="宋体" w:hAnsi="宋体" w:cs="宋体"/>
          <w:bCs/>
          <w:sz w:val="24"/>
        </w:rPr>
      </w:pPr>
      <w:r>
        <w:rPr>
          <w:rFonts w:hint="eastAsia" w:ascii="宋体" w:hAnsi="宋体" w:cs="宋体"/>
          <w:bCs/>
          <w:sz w:val="24"/>
        </w:rPr>
        <w:t>29.5开标后，直到签订合同为止，凡属于对投标文件的审查、澄清、评价和比较的有关资料以及中标候选人的推荐情况、与评审有关的其他任何情况均严格保密（</w:t>
      </w:r>
      <w:r>
        <w:rPr>
          <w:rFonts w:hint="eastAsia" w:ascii="宋体" w:hAnsi="宋体" w:cs="宋体"/>
          <w:sz w:val="24"/>
        </w:rPr>
        <w:t>信息公开的内容除外</w:t>
      </w:r>
      <w:r>
        <w:rPr>
          <w:rFonts w:hint="eastAsia" w:ascii="宋体" w:hAnsi="宋体" w:cs="宋体"/>
          <w:bCs/>
          <w:sz w:val="24"/>
        </w:rPr>
        <w:t>）。</w:t>
      </w:r>
    </w:p>
    <w:p w14:paraId="17216111">
      <w:pPr>
        <w:rPr>
          <w:rFonts w:ascii="宋体" w:hAnsi="宋体" w:cs="宋体"/>
          <w:sz w:val="24"/>
        </w:rPr>
      </w:pPr>
      <w:r>
        <w:rPr>
          <w:rFonts w:hint="eastAsia" w:ascii="宋体" w:hAnsi="宋体" w:cs="宋体"/>
          <w:sz w:val="24"/>
        </w:rPr>
        <w:t>30．向评审委员会提供的资料</w:t>
      </w:r>
    </w:p>
    <w:p w14:paraId="7627820A">
      <w:pPr>
        <w:ind w:firstLine="470" w:firstLineChars="196"/>
        <w:rPr>
          <w:rFonts w:ascii="宋体" w:hAnsi="宋体" w:cs="宋体"/>
          <w:sz w:val="24"/>
        </w:rPr>
      </w:pPr>
      <w:r>
        <w:rPr>
          <w:rFonts w:hint="eastAsia" w:ascii="宋体" w:hAnsi="宋体" w:cs="宋体"/>
          <w:sz w:val="24"/>
        </w:rPr>
        <w:t>30.1公开发布的招标文件，包括图纸、服务清单、答疑文件等；</w:t>
      </w:r>
    </w:p>
    <w:p w14:paraId="1FAB7000">
      <w:pPr>
        <w:ind w:firstLine="470" w:firstLineChars="196"/>
        <w:rPr>
          <w:rFonts w:ascii="宋体" w:hAnsi="宋体" w:cs="宋体"/>
          <w:sz w:val="24"/>
        </w:rPr>
      </w:pPr>
      <w:r>
        <w:rPr>
          <w:rFonts w:hint="eastAsia" w:ascii="宋体" w:hAnsi="宋体" w:cs="宋体"/>
          <w:sz w:val="24"/>
        </w:rPr>
        <w:t>30.2其他评标必需的资料。</w:t>
      </w:r>
    </w:p>
    <w:p w14:paraId="77A61AFC">
      <w:pPr>
        <w:ind w:firstLine="470" w:firstLineChars="196"/>
        <w:rPr>
          <w:rFonts w:ascii="宋体" w:hAnsi="宋体" w:cs="宋体"/>
          <w:sz w:val="24"/>
        </w:rPr>
      </w:pPr>
      <w:r>
        <w:rPr>
          <w:rFonts w:hint="eastAsia" w:ascii="宋体" w:hAnsi="宋体" w:cs="宋体"/>
          <w:sz w:val="24"/>
        </w:rPr>
        <w:t>30.3评审委员会应当认真研究招标文件，至少应了解熟悉以下内容：</w:t>
      </w:r>
    </w:p>
    <w:p w14:paraId="3ACD2091">
      <w:pPr>
        <w:ind w:firstLine="470" w:firstLineChars="196"/>
        <w:rPr>
          <w:rFonts w:ascii="宋体" w:hAnsi="宋体" w:cs="宋体"/>
          <w:sz w:val="24"/>
        </w:rPr>
      </w:pPr>
      <w:r>
        <w:rPr>
          <w:rFonts w:hint="eastAsia" w:ascii="宋体" w:hAnsi="宋体" w:cs="宋体"/>
          <w:sz w:val="24"/>
        </w:rPr>
        <w:t>（1）招标的目的；</w:t>
      </w:r>
    </w:p>
    <w:p w14:paraId="4E5261F1">
      <w:pPr>
        <w:ind w:firstLine="470" w:firstLineChars="196"/>
        <w:rPr>
          <w:rFonts w:ascii="宋体" w:hAnsi="宋体" w:cs="宋体"/>
          <w:sz w:val="24"/>
        </w:rPr>
      </w:pPr>
      <w:r>
        <w:rPr>
          <w:rFonts w:hint="eastAsia" w:ascii="宋体" w:hAnsi="宋体" w:cs="宋体"/>
          <w:sz w:val="24"/>
        </w:rPr>
        <w:t>（2）招标项目需求的范围和性质；</w:t>
      </w:r>
    </w:p>
    <w:p w14:paraId="72A0E4CE">
      <w:pPr>
        <w:ind w:firstLine="470" w:firstLineChars="196"/>
        <w:rPr>
          <w:rFonts w:ascii="宋体" w:hAnsi="宋体" w:cs="宋体"/>
          <w:sz w:val="24"/>
        </w:rPr>
      </w:pPr>
      <w:r>
        <w:rPr>
          <w:rFonts w:hint="eastAsia" w:ascii="宋体" w:hAnsi="宋体" w:cs="宋体"/>
          <w:sz w:val="24"/>
        </w:rPr>
        <w:t>（3）招标文件规定的投标人的资格、财政预算限额、商务条款；</w:t>
      </w:r>
    </w:p>
    <w:p w14:paraId="668536FF">
      <w:pPr>
        <w:ind w:firstLine="470" w:firstLineChars="196"/>
        <w:rPr>
          <w:rFonts w:ascii="宋体" w:hAnsi="宋体" w:cs="宋体"/>
          <w:sz w:val="24"/>
        </w:rPr>
      </w:pPr>
      <w:r>
        <w:rPr>
          <w:rFonts w:hint="eastAsia" w:ascii="宋体" w:hAnsi="宋体" w:cs="宋体"/>
          <w:sz w:val="24"/>
        </w:rPr>
        <w:t>（4）招标文件规定的评标程序、评标方法和评标因素；</w:t>
      </w:r>
    </w:p>
    <w:p w14:paraId="385116EF">
      <w:pPr>
        <w:ind w:firstLine="470" w:firstLineChars="196"/>
        <w:rPr>
          <w:rFonts w:ascii="宋体" w:hAnsi="宋体" w:cs="宋体"/>
          <w:sz w:val="24"/>
        </w:rPr>
      </w:pPr>
      <w:r>
        <w:rPr>
          <w:rFonts w:hint="eastAsia" w:ascii="宋体" w:hAnsi="宋体" w:cs="宋体"/>
          <w:sz w:val="24"/>
        </w:rPr>
        <w:t>（5）招标文件所列示的资格性审查表及符合性审查表。</w:t>
      </w:r>
    </w:p>
    <w:p w14:paraId="61DC39A4">
      <w:pPr>
        <w:rPr>
          <w:rFonts w:ascii="宋体" w:hAnsi="宋体" w:cs="宋体"/>
          <w:sz w:val="24"/>
        </w:rPr>
      </w:pPr>
      <w:r>
        <w:rPr>
          <w:rFonts w:hint="eastAsia" w:ascii="宋体" w:hAnsi="宋体" w:cs="宋体"/>
          <w:sz w:val="24"/>
        </w:rPr>
        <w:t>31．独立评审</w:t>
      </w:r>
    </w:p>
    <w:p w14:paraId="3C3304B6">
      <w:pPr>
        <w:ind w:firstLine="470" w:firstLineChars="196"/>
        <w:rPr>
          <w:rFonts w:ascii="宋体" w:hAnsi="宋体" w:cs="宋体"/>
          <w:bCs/>
          <w:sz w:val="24"/>
        </w:rPr>
      </w:pPr>
      <w:r>
        <w:rPr>
          <w:rFonts w:hint="eastAsia" w:ascii="宋体" w:hAnsi="宋体" w:cs="宋体"/>
          <w:bCs/>
          <w:sz w:val="24"/>
        </w:rPr>
        <w:t>31.1</w:t>
      </w:r>
      <w:r>
        <w:rPr>
          <w:rFonts w:hint="eastAsia" w:ascii="宋体" w:hAnsi="宋体" w:cs="宋体"/>
          <w:sz w:val="24"/>
        </w:rPr>
        <w:t>评审委员会</w:t>
      </w:r>
      <w:r>
        <w:rPr>
          <w:rFonts w:hint="eastAsia" w:ascii="宋体" w:hAnsi="宋体" w:cs="宋体"/>
          <w:bCs/>
          <w:sz w:val="24"/>
        </w:rPr>
        <w:t>成员的评标活动应当独立进行，并应遵循投标文件初审、澄清有关问题、比较与评价、确定中标供应商、编写评审报告的工作程序。</w:t>
      </w:r>
    </w:p>
    <w:p w14:paraId="432469C3">
      <w:pPr>
        <w:ind w:firstLine="411" w:firstLineChars="196"/>
        <w:rPr>
          <w:rFonts w:ascii="宋体" w:hAnsi="宋体"/>
          <w:bCs/>
          <w:szCs w:val="21"/>
        </w:rPr>
      </w:pPr>
    </w:p>
    <w:p w14:paraId="0B361B77">
      <w:pPr>
        <w:pStyle w:val="6"/>
        <w:numPr>
          <w:ilvl w:val="0"/>
          <w:numId w:val="21"/>
        </w:numPr>
        <w:spacing w:before="120" w:beforeLines="50" w:after="120" w:afterLines="50"/>
        <w:ind w:left="562" w:hanging="562"/>
        <w:rPr>
          <w:sz w:val="28"/>
          <w:szCs w:val="28"/>
        </w:rPr>
      </w:pPr>
      <w:r>
        <w:rPr>
          <w:rFonts w:hint="eastAsia"/>
          <w:sz w:val="28"/>
          <w:szCs w:val="28"/>
        </w:rPr>
        <w:t>评审程序及评审方法</w:t>
      </w:r>
    </w:p>
    <w:p w14:paraId="4A1A7FAD">
      <w:pPr>
        <w:rPr>
          <w:rFonts w:ascii="黑体" w:hAnsi="宋体" w:eastAsia="黑体"/>
          <w:sz w:val="24"/>
        </w:rPr>
      </w:pPr>
      <w:r>
        <w:rPr>
          <w:rFonts w:hint="eastAsia" w:ascii="黑体" w:hAnsi="宋体" w:eastAsia="黑体"/>
          <w:sz w:val="24"/>
        </w:rPr>
        <w:t>32．投标文件初审</w:t>
      </w:r>
    </w:p>
    <w:p w14:paraId="597C13BA">
      <w:pPr>
        <w:ind w:firstLine="470" w:firstLineChars="196"/>
        <w:rPr>
          <w:rFonts w:ascii="宋体" w:hAnsi="宋体" w:cs="宋体"/>
          <w:sz w:val="24"/>
        </w:rPr>
      </w:pPr>
      <w:r>
        <w:rPr>
          <w:rFonts w:hint="eastAsia" w:ascii="宋体" w:hAnsi="宋体" w:cs="宋体"/>
          <w:sz w:val="24"/>
        </w:rPr>
        <w:t>32.1投标文件初审包括资格性审查和符合性审查。</w:t>
      </w:r>
    </w:p>
    <w:p w14:paraId="4EBE1E4D">
      <w:pPr>
        <w:ind w:firstLine="470" w:firstLineChars="196"/>
        <w:rPr>
          <w:rFonts w:ascii="宋体" w:hAnsi="宋体" w:cs="宋体"/>
          <w:sz w:val="24"/>
        </w:rPr>
      </w:pPr>
      <w:r>
        <w:rPr>
          <w:rFonts w:hint="eastAsia" w:ascii="宋体" w:hAnsi="宋体" w:cs="宋体"/>
          <w:sz w:val="24"/>
        </w:rPr>
        <w:t>资格性审查：依据法律法规和招标文件的规定，对投标文件中的资格证明等进行审查，以确定投标供应商是否具备投标资格。</w:t>
      </w:r>
    </w:p>
    <w:p w14:paraId="3DC204D2">
      <w:pPr>
        <w:ind w:firstLine="470" w:firstLineChars="196"/>
        <w:rPr>
          <w:rFonts w:ascii="宋体" w:hAnsi="宋体" w:cs="宋体"/>
          <w:sz w:val="24"/>
        </w:rPr>
      </w:pPr>
      <w:r>
        <w:rPr>
          <w:rFonts w:hint="eastAsia" w:ascii="宋体" w:hAnsi="宋体" w:cs="宋体"/>
          <w:sz w:val="24"/>
        </w:rPr>
        <w:t>符合性审查：依据招标文件的规定，对投标文件的有效性、完整性和对招标文件的响应程度进行审查，以确定是否满足符合性审查的要求。</w:t>
      </w:r>
    </w:p>
    <w:p w14:paraId="61908921">
      <w:pPr>
        <w:ind w:firstLine="470" w:firstLineChars="196"/>
        <w:rPr>
          <w:rFonts w:ascii="宋体" w:hAnsi="宋体" w:cs="宋体"/>
          <w:sz w:val="24"/>
        </w:rPr>
      </w:pPr>
      <w:r>
        <w:rPr>
          <w:rFonts w:hint="eastAsia" w:ascii="宋体" w:hAnsi="宋体" w:cs="宋体"/>
          <w:sz w:val="24"/>
        </w:rPr>
        <w:t>32.2投标文件初审内容请详见《资格性审查表》和《符合性审查表》部分。投标人若有一条审查不通过则按投标无效处理。</w:t>
      </w:r>
    </w:p>
    <w:p w14:paraId="1C61C9E7">
      <w:pPr>
        <w:ind w:firstLine="470" w:firstLineChars="196"/>
        <w:rPr>
          <w:rFonts w:ascii="宋体" w:hAnsi="宋体" w:cs="宋体"/>
          <w:bCs/>
          <w:sz w:val="24"/>
        </w:rPr>
      </w:pPr>
      <w:r>
        <w:rPr>
          <w:rFonts w:hint="eastAsia" w:ascii="宋体" w:hAnsi="宋体" w:cs="宋体"/>
          <w:bCs/>
          <w:sz w:val="24"/>
        </w:rPr>
        <w:t>32.3投标文件初审中关于供应商家数的计算</w:t>
      </w:r>
      <w:r>
        <w:rPr>
          <w:rFonts w:hint="eastAsia" w:ascii="宋体" w:hAnsi="宋体" w:cs="宋体"/>
          <w:bCs/>
          <w:sz w:val="24"/>
          <w:lang w:eastAsia="zh-CN"/>
        </w:rPr>
        <w:t>：</w:t>
      </w:r>
    </w:p>
    <w:p w14:paraId="00CFEF21">
      <w:pPr>
        <w:ind w:firstLine="470" w:firstLineChars="196"/>
        <w:rPr>
          <w:rFonts w:ascii="宋体" w:hAnsi="宋体" w:cs="宋体"/>
          <w:bCs/>
          <w:sz w:val="24"/>
        </w:rPr>
      </w:pPr>
      <w:r>
        <w:rPr>
          <w:rFonts w:hint="eastAsia" w:ascii="宋体" w:hAnsi="宋体" w:cs="宋体"/>
          <w:bCs/>
          <w:sz w:val="24"/>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2A25AF4A">
      <w:pPr>
        <w:ind w:firstLine="470" w:firstLineChars="196"/>
        <w:rPr>
          <w:rFonts w:ascii="宋体" w:hAnsi="宋体" w:cs="宋体"/>
          <w:bCs/>
          <w:sz w:val="24"/>
        </w:rPr>
      </w:pPr>
      <w:r>
        <w:rPr>
          <w:rFonts w:hint="eastAsia" w:ascii="宋体" w:hAnsi="宋体" w:cs="宋体"/>
          <w:bCs/>
          <w:sz w:val="24"/>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03B13582">
      <w:pPr>
        <w:ind w:firstLine="470" w:firstLineChars="196"/>
        <w:rPr>
          <w:rFonts w:ascii="宋体" w:hAnsi="宋体" w:cs="宋体"/>
          <w:bCs/>
          <w:sz w:val="24"/>
        </w:rPr>
      </w:pPr>
      <w:r>
        <w:rPr>
          <w:rFonts w:hint="eastAsia" w:ascii="宋体" w:hAnsi="宋体" w:cs="宋体"/>
          <w:bCs/>
          <w:sz w:val="24"/>
        </w:rPr>
        <w:t>32.3.3非单一产品采购项目，采购人应当根据采购项目技术构成、产品价格比重等合理确定核心产品，并在招标文件中载明。多家投标人提供的核心产品品牌相同的，按前两款规定处理。</w:t>
      </w:r>
    </w:p>
    <w:p w14:paraId="0A0ADD8A">
      <w:pPr>
        <w:ind w:firstLine="470" w:firstLineChars="196"/>
        <w:rPr>
          <w:rFonts w:ascii="宋体" w:hAnsi="宋体" w:cs="宋体"/>
          <w:sz w:val="24"/>
        </w:rPr>
      </w:pPr>
      <w:r>
        <w:rPr>
          <w:rFonts w:hint="eastAsia" w:ascii="宋体" w:hAnsi="宋体" w:cs="宋体"/>
          <w:sz w:val="24"/>
        </w:rPr>
        <w:t>32.4投标人投标文件作无效处理的情形，具体包括但不限于以下：</w:t>
      </w:r>
    </w:p>
    <w:p w14:paraId="031CC1D4">
      <w:pPr>
        <w:ind w:firstLine="470" w:firstLineChars="196"/>
        <w:rPr>
          <w:rFonts w:ascii="宋体" w:hAnsi="宋体" w:cs="宋体"/>
          <w:sz w:val="24"/>
        </w:rPr>
      </w:pPr>
      <w:r>
        <w:rPr>
          <w:rFonts w:hint="eastAsia" w:ascii="宋体" w:hAnsi="宋体" w:cs="宋体"/>
          <w:sz w:val="24"/>
        </w:rPr>
        <w:t>32.4.1不同投标人的投标文件由同一单位或者同一个人编制，或者由同一个人分阶段参与编制；</w:t>
      </w:r>
    </w:p>
    <w:p w14:paraId="6064F14A">
      <w:pPr>
        <w:ind w:firstLine="470" w:firstLineChars="196"/>
        <w:rPr>
          <w:rFonts w:ascii="宋体" w:hAnsi="宋体" w:cs="宋体"/>
          <w:sz w:val="24"/>
        </w:rPr>
      </w:pPr>
      <w:r>
        <w:rPr>
          <w:rFonts w:hint="eastAsia" w:ascii="宋体" w:hAnsi="宋体" w:cs="宋体"/>
          <w:sz w:val="24"/>
        </w:rPr>
        <w:t>32.4.2不同投标人委托同一单位或者个人办理投标事宜；</w:t>
      </w:r>
    </w:p>
    <w:p w14:paraId="7362DC6F">
      <w:pPr>
        <w:ind w:firstLine="470" w:firstLineChars="196"/>
        <w:rPr>
          <w:rFonts w:ascii="宋体" w:hAnsi="宋体" w:cs="宋体"/>
          <w:sz w:val="24"/>
        </w:rPr>
      </w:pPr>
      <w:r>
        <w:rPr>
          <w:rFonts w:hint="eastAsia" w:ascii="宋体" w:hAnsi="宋体" w:cs="宋体"/>
          <w:sz w:val="24"/>
        </w:rPr>
        <w:t>32.4.3不同投标人的投标文件载明的项目管理成员或者联系人员为同一人；</w:t>
      </w:r>
    </w:p>
    <w:p w14:paraId="5B721A45">
      <w:pPr>
        <w:ind w:firstLine="470" w:firstLineChars="196"/>
        <w:rPr>
          <w:rFonts w:ascii="宋体" w:hAnsi="宋体" w:cs="宋体"/>
          <w:sz w:val="24"/>
        </w:rPr>
      </w:pPr>
      <w:r>
        <w:rPr>
          <w:rFonts w:hint="eastAsia" w:ascii="宋体" w:hAnsi="宋体" w:cs="宋体"/>
          <w:sz w:val="24"/>
        </w:rPr>
        <w:t>32.4.4不同投标人的投标文件异常一致或者投标报价呈规律性差异；</w:t>
      </w:r>
    </w:p>
    <w:p w14:paraId="0CBF6411">
      <w:pPr>
        <w:ind w:firstLine="470" w:firstLineChars="196"/>
        <w:rPr>
          <w:rFonts w:ascii="宋体" w:hAnsi="宋体" w:cs="宋体"/>
          <w:sz w:val="24"/>
        </w:rPr>
      </w:pPr>
      <w:r>
        <w:rPr>
          <w:rFonts w:hint="eastAsia" w:ascii="宋体" w:hAnsi="宋体" w:cs="宋体"/>
          <w:sz w:val="24"/>
        </w:rPr>
        <w:t>32.4.5不同投标供应商的投标文件或部分投标文件相互混装；</w:t>
      </w:r>
    </w:p>
    <w:p w14:paraId="347BA4F0">
      <w:pPr>
        <w:ind w:firstLine="470" w:firstLineChars="196"/>
        <w:rPr>
          <w:rFonts w:ascii="宋体" w:hAnsi="宋体" w:cs="宋体"/>
          <w:sz w:val="24"/>
        </w:rPr>
      </w:pPr>
      <w:r>
        <w:rPr>
          <w:rFonts w:hint="eastAsia" w:ascii="宋体" w:hAnsi="宋体" w:cs="宋体"/>
          <w:sz w:val="24"/>
        </w:rPr>
        <w:t>32.4.6投标供应商之间相互约定给予未中标的供应商利益补偿；</w:t>
      </w:r>
    </w:p>
    <w:p w14:paraId="6CC51783">
      <w:pPr>
        <w:ind w:firstLine="470" w:firstLineChars="196"/>
        <w:rPr>
          <w:rFonts w:ascii="宋体" w:hAnsi="宋体" w:cs="宋体"/>
          <w:sz w:val="24"/>
        </w:rPr>
      </w:pPr>
      <w:r>
        <w:rPr>
          <w:rFonts w:hint="eastAsia" w:ascii="宋体" w:hAnsi="宋体" w:cs="宋体"/>
          <w:sz w:val="24"/>
        </w:rPr>
        <w:t>32.4.7不同投标供应商的法定代表人、主要经营负责人、项目投标授权代表人、项目负责人、主要技术人员为同一人、属同一单位或者同一单位缴纳社会保险；</w:t>
      </w:r>
    </w:p>
    <w:p w14:paraId="0B7F0732">
      <w:pPr>
        <w:ind w:firstLine="470" w:firstLineChars="196"/>
        <w:rPr>
          <w:rFonts w:ascii="宋体" w:hAnsi="宋体" w:cs="宋体"/>
          <w:sz w:val="24"/>
        </w:rPr>
      </w:pPr>
      <w:r>
        <w:rPr>
          <w:rFonts w:hint="eastAsia" w:ascii="宋体" w:hAnsi="宋体" w:cs="宋体"/>
          <w:sz w:val="24"/>
        </w:rPr>
        <w:t>32.4.8不同投标供应商的投标文件内容存在非正常一致；</w:t>
      </w:r>
    </w:p>
    <w:p w14:paraId="47D6F0FE">
      <w:pPr>
        <w:ind w:firstLine="470" w:firstLineChars="196"/>
        <w:rPr>
          <w:rFonts w:ascii="宋体" w:hAnsi="宋体" w:cs="宋体"/>
          <w:sz w:val="24"/>
        </w:rPr>
      </w:pPr>
      <w:r>
        <w:rPr>
          <w:rFonts w:hint="eastAsia" w:ascii="宋体" w:hAnsi="宋体" w:cs="宋体"/>
          <w:sz w:val="24"/>
        </w:rPr>
        <w:t>32.4.9在同一单位工作人员为两家以上（含两家）供应商进行同一项投标活动；</w:t>
      </w:r>
    </w:p>
    <w:p w14:paraId="7F9B907C">
      <w:pPr>
        <w:ind w:firstLine="470" w:firstLineChars="196"/>
        <w:rPr>
          <w:rFonts w:ascii="宋体" w:hAnsi="宋体" w:cs="宋体"/>
          <w:sz w:val="24"/>
        </w:rPr>
      </w:pPr>
      <w:r>
        <w:rPr>
          <w:rFonts w:hint="eastAsia" w:ascii="宋体" w:hAnsi="宋体" w:cs="宋体"/>
          <w:sz w:val="24"/>
        </w:rPr>
        <w:t>32.4.10主管部门依照法律、法规认定的其他情形。</w:t>
      </w:r>
    </w:p>
    <w:p w14:paraId="2B907B1F">
      <w:pPr>
        <w:ind w:firstLine="470" w:firstLineChars="196"/>
        <w:rPr>
          <w:rFonts w:ascii="宋体" w:hAnsi="宋体" w:cs="宋体"/>
          <w:sz w:val="24"/>
        </w:rPr>
      </w:pPr>
      <w:r>
        <w:rPr>
          <w:rFonts w:hint="eastAsia" w:ascii="宋体" w:hAnsi="宋体" w:cs="宋体"/>
          <w:sz w:val="24"/>
        </w:rPr>
        <w:t>32.5对不属于《资格性审查表》和《符合性审查表》所列的其他情形，除专用条款另有规定和32.4条款所列情形外，不得作为投标无效的理由。</w:t>
      </w:r>
    </w:p>
    <w:p w14:paraId="4E228B43">
      <w:pPr>
        <w:rPr>
          <w:rFonts w:ascii="宋体" w:hAnsi="宋体" w:cs="宋体"/>
          <w:sz w:val="24"/>
        </w:rPr>
      </w:pPr>
      <w:r>
        <w:rPr>
          <w:rFonts w:hint="eastAsia" w:ascii="宋体" w:hAnsi="宋体" w:cs="宋体"/>
          <w:sz w:val="24"/>
        </w:rPr>
        <w:t>33．澄清有关问题</w:t>
      </w:r>
    </w:p>
    <w:p w14:paraId="46AE2271">
      <w:pPr>
        <w:ind w:firstLine="470" w:firstLineChars="196"/>
        <w:rPr>
          <w:rFonts w:ascii="宋体" w:hAnsi="宋体" w:cs="宋体"/>
          <w:sz w:val="24"/>
        </w:rPr>
      </w:pPr>
      <w:bookmarkStart w:id="65" w:name="_Hlk71407321"/>
      <w:r>
        <w:rPr>
          <w:rFonts w:hint="eastAsia" w:ascii="宋体" w:hAnsi="宋体" w:cs="宋体"/>
          <w:sz w:val="24"/>
        </w:rPr>
        <w:t>33.1对招标文件中描述有歧义或前后不一致的地方（不含招标文件存在歧义、重大缺陷导致评审工作无法进行的情况），评审委员会有权进行评判，但对同一条款的评判应适用于每个投标人。</w:t>
      </w:r>
      <w:bookmarkEnd w:id="65"/>
    </w:p>
    <w:p w14:paraId="13DD8F25">
      <w:pPr>
        <w:ind w:firstLine="470" w:firstLineChars="196"/>
        <w:rPr>
          <w:rFonts w:ascii="宋体" w:hAnsi="宋体" w:cs="宋体"/>
          <w:sz w:val="24"/>
        </w:rPr>
      </w:pPr>
      <w:r>
        <w:rPr>
          <w:rFonts w:hint="eastAsia" w:ascii="宋体" w:hAnsi="宋体" w:cs="宋体"/>
          <w:sz w:val="24"/>
        </w:rPr>
        <w:t>33.2评审委员会发现招标文件存在歧义、重大缺陷导致评审工作无法进行，或者招标文件内容违反国家有关强制性规定的，应当停止评审工作，与政府集中采购机构沟通并作书面记录。经确认后，项目应当修改招标文件，重新组织采购活动。</w:t>
      </w:r>
    </w:p>
    <w:p w14:paraId="3C933268">
      <w:pPr>
        <w:ind w:firstLine="470" w:firstLineChars="196"/>
        <w:rPr>
          <w:rFonts w:ascii="宋体" w:hAnsi="宋体" w:cs="宋体"/>
          <w:sz w:val="24"/>
        </w:rPr>
      </w:pPr>
      <w:r>
        <w:rPr>
          <w:rFonts w:hint="eastAsia" w:ascii="宋体" w:hAnsi="宋体" w:cs="宋体"/>
          <w:sz w:val="24"/>
        </w:rPr>
        <w:t>33.3对于投标文件中含义不明确、同类问题表述不一致或者有明显文字和计算错误的内容，评审委员会应当以书面形式要求投标人作出必要的澄清、说明或者补正。</w:t>
      </w:r>
    </w:p>
    <w:p w14:paraId="77801463">
      <w:pPr>
        <w:ind w:firstLine="470" w:firstLineChars="196"/>
        <w:rPr>
          <w:rFonts w:ascii="宋体" w:hAnsi="宋体" w:cs="宋体"/>
          <w:sz w:val="24"/>
        </w:rPr>
      </w:pPr>
      <w:r>
        <w:rPr>
          <w:rFonts w:hint="eastAsia" w:ascii="宋体" w:hAnsi="宋体" w:cs="宋体"/>
          <w:sz w:val="24"/>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4795CC03">
      <w:pPr>
        <w:ind w:firstLine="470" w:firstLineChars="196"/>
        <w:rPr>
          <w:rFonts w:ascii="宋体" w:hAnsi="宋体" w:cs="宋体"/>
          <w:sz w:val="24"/>
        </w:rPr>
      </w:pPr>
      <w:r>
        <w:rPr>
          <w:rFonts w:hint="eastAsia" w:ascii="宋体" w:hAnsi="宋体" w:cs="宋体"/>
          <w:sz w:val="24"/>
        </w:rPr>
        <w:t>根据本通用条款第34条，凡属于评审委员会在评审中发现的算术错误进行核实的修改不在此列。</w:t>
      </w:r>
    </w:p>
    <w:p w14:paraId="3E46BD10">
      <w:pPr>
        <w:rPr>
          <w:rFonts w:ascii="宋体" w:hAnsi="宋体" w:cs="宋体"/>
          <w:sz w:val="24"/>
        </w:rPr>
      </w:pPr>
      <w:bookmarkStart w:id="66" w:name="_Toc73521581"/>
      <w:bookmarkStart w:id="67" w:name="_Toc100052400"/>
      <w:bookmarkStart w:id="68" w:name="_Toc73517673"/>
      <w:bookmarkStart w:id="69" w:name="_Toc73521669"/>
      <w:bookmarkStart w:id="70" w:name="_Toc73518151"/>
      <w:r>
        <w:rPr>
          <w:rFonts w:hint="eastAsia" w:ascii="宋体" w:hAnsi="宋体" w:cs="宋体"/>
          <w:sz w:val="24"/>
        </w:rPr>
        <w:t>34．错误的修正</w:t>
      </w:r>
      <w:bookmarkEnd w:id="66"/>
      <w:bookmarkEnd w:id="67"/>
      <w:bookmarkEnd w:id="68"/>
      <w:bookmarkEnd w:id="69"/>
      <w:bookmarkEnd w:id="70"/>
    </w:p>
    <w:p w14:paraId="77716078">
      <w:pPr>
        <w:ind w:firstLine="470" w:firstLineChars="196"/>
        <w:rPr>
          <w:rFonts w:ascii="宋体" w:hAnsi="宋体" w:cs="宋体"/>
          <w:sz w:val="24"/>
        </w:rPr>
      </w:pPr>
      <w:r>
        <w:rPr>
          <w:rFonts w:hint="eastAsia" w:ascii="宋体" w:hAnsi="宋体" w:cs="宋体"/>
          <w:sz w:val="24"/>
        </w:rPr>
        <w:t>投标文件报价出现前后不一致的，除专用条款另有规定外，按照下列规定修正：</w:t>
      </w:r>
    </w:p>
    <w:p w14:paraId="5A06FF0A">
      <w:pPr>
        <w:ind w:firstLine="470" w:firstLineChars="196"/>
        <w:rPr>
          <w:rFonts w:ascii="宋体" w:hAnsi="宋体" w:cs="宋体"/>
          <w:sz w:val="24"/>
        </w:rPr>
      </w:pPr>
      <w:r>
        <w:rPr>
          <w:rFonts w:hint="eastAsia" w:ascii="宋体" w:hAnsi="宋体" w:cs="宋体"/>
          <w:sz w:val="24"/>
        </w:rPr>
        <w:t>34.1投标文件中开标一览表投标报价内容与投标文件中投标报价相应内容不一致的，以开标一览表为准；</w:t>
      </w:r>
    </w:p>
    <w:p w14:paraId="080F3E5B">
      <w:pPr>
        <w:ind w:firstLine="470" w:firstLineChars="196"/>
        <w:rPr>
          <w:rFonts w:ascii="宋体" w:hAnsi="宋体" w:cs="宋体"/>
          <w:sz w:val="24"/>
        </w:rPr>
      </w:pPr>
      <w:r>
        <w:rPr>
          <w:rFonts w:hint="eastAsia" w:ascii="宋体" w:hAnsi="宋体" w:cs="宋体"/>
          <w:sz w:val="24"/>
        </w:rPr>
        <w:t>34.2大写金额和小写金额不一致的，以大写金额为准；</w:t>
      </w:r>
    </w:p>
    <w:p w14:paraId="6D28EE3A">
      <w:pPr>
        <w:ind w:firstLine="470" w:firstLineChars="196"/>
        <w:rPr>
          <w:rFonts w:ascii="宋体" w:hAnsi="宋体" w:cs="宋体"/>
          <w:sz w:val="24"/>
        </w:rPr>
      </w:pPr>
      <w:r>
        <w:rPr>
          <w:rFonts w:hint="eastAsia" w:ascii="宋体" w:hAnsi="宋体" w:cs="宋体"/>
          <w:sz w:val="24"/>
        </w:rPr>
        <w:t>34.3单价金额小数点或者百分比有明显错位，以开标一览表的总价为准，并修改单价；</w:t>
      </w:r>
    </w:p>
    <w:p w14:paraId="5642AEC1">
      <w:pPr>
        <w:ind w:firstLine="470" w:firstLineChars="196"/>
        <w:rPr>
          <w:rFonts w:ascii="宋体" w:hAnsi="宋体" w:cs="宋体"/>
          <w:sz w:val="24"/>
        </w:rPr>
      </w:pPr>
      <w:r>
        <w:rPr>
          <w:rFonts w:hint="eastAsia" w:ascii="宋体" w:hAnsi="宋体" w:cs="宋体"/>
          <w:sz w:val="24"/>
        </w:rPr>
        <w:t>34.4总价金额与按单价汇总金额不一致的，以单价金额计算结果为准。</w:t>
      </w:r>
    </w:p>
    <w:p w14:paraId="450779CD">
      <w:pPr>
        <w:ind w:firstLine="470" w:firstLineChars="196"/>
        <w:rPr>
          <w:rFonts w:ascii="宋体" w:hAnsi="宋体" w:cs="宋体"/>
          <w:sz w:val="24"/>
        </w:rPr>
      </w:pPr>
      <w:r>
        <w:rPr>
          <w:rFonts w:hint="eastAsia" w:ascii="宋体" w:hAnsi="宋体" w:cs="宋体"/>
          <w:sz w:val="24"/>
        </w:rPr>
        <w:t>34.5同时出现两种以上不一致的，按照前款规定的顺序修正。修正后的报价按照本通用条款33条的规定，经投标人确认后产生约束力，投标人不确认的，其投标无效。</w:t>
      </w:r>
    </w:p>
    <w:p w14:paraId="3EEBCEAD">
      <w:pPr>
        <w:rPr>
          <w:rFonts w:ascii="宋体" w:hAnsi="宋体" w:cs="宋体"/>
          <w:sz w:val="24"/>
        </w:rPr>
      </w:pPr>
      <w:r>
        <w:rPr>
          <w:rFonts w:hint="eastAsia" w:ascii="宋体" w:hAnsi="宋体" w:cs="宋体"/>
          <w:sz w:val="24"/>
        </w:rPr>
        <w:t>35．投标文件的比较与评价</w:t>
      </w:r>
    </w:p>
    <w:p w14:paraId="424667BF">
      <w:pPr>
        <w:ind w:firstLine="470" w:firstLineChars="196"/>
        <w:rPr>
          <w:rFonts w:ascii="宋体" w:hAnsi="宋体" w:cs="宋体"/>
          <w:sz w:val="24"/>
        </w:rPr>
      </w:pPr>
      <w:r>
        <w:rPr>
          <w:rFonts w:hint="eastAsia" w:ascii="宋体" w:hAnsi="宋体" w:cs="宋体"/>
          <w:sz w:val="24"/>
        </w:rPr>
        <w:t>评审委员会将按照《深圳经济特区政府采购条例</w:t>
      </w:r>
      <w:r>
        <w:rPr>
          <w:rFonts w:hint="eastAsia" w:ascii="宋体" w:hAnsi="宋体" w:cs="宋体"/>
          <w:sz w:val="24"/>
          <w:lang w:eastAsia="zh-CN"/>
        </w:rPr>
        <w:t>》《</w:t>
      </w:r>
      <w:r>
        <w:rPr>
          <w:rFonts w:hint="eastAsia" w:ascii="宋体" w:hAnsi="宋体" w:cs="宋体"/>
          <w:sz w:val="24"/>
        </w:rPr>
        <w:t>深圳经济特区政府采购条例实施细则》《深圳市政府采购评标定标分离管理办法》及政府采购其他法律法规，仅对通过资格性审查和符合性审查的投标文件进行综合比较与评价。</w:t>
      </w:r>
    </w:p>
    <w:p w14:paraId="7CAA4246">
      <w:pPr>
        <w:ind w:firstLine="470" w:firstLineChars="196"/>
        <w:rPr>
          <w:rFonts w:ascii="宋体" w:hAnsi="宋体" w:cs="宋体"/>
          <w:sz w:val="24"/>
        </w:rPr>
      </w:pPr>
      <w:r>
        <w:rPr>
          <w:rFonts w:hint="eastAsia" w:ascii="宋体" w:hAnsi="宋体" w:cs="宋体"/>
          <w:sz w:val="24"/>
        </w:rPr>
        <w:t>评审委员会成员对需要共同认定的事项存在争议的，应当按照少数服从多数的原则作出结论。持不同意见的评审委员会成员应当书面作出说明，否则视为无异议。</w:t>
      </w:r>
    </w:p>
    <w:p w14:paraId="4BE202D6">
      <w:pPr>
        <w:rPr>
          <w:rFonts w:ascii="宋体" w:hAnsi="宋体" w:cs="宋体"/>
          <w:sz w:val="24"/>
        </w:rPr>
      </w:pPr>
      <w:r>
        <w:rPr>
          <w:rFonts w:hint="eastAsia" w:ascii="宋体" w:hAnsi="宋体" w:cs="宋体"/>
          <w:sz w:val="24"/>
        </w:rPr>
        <w:t>36.实地考察或资料查验</w:t>
      </w:r>
    </w:p>
    <w:p w14:paraId="497283A5">
      <w:pPr>
        <w:ind w:firstLine="480" w:firstLineChars="200"/>
        <w:rPr>
          <w:rFonts w:ascii="宋体" w:hAnsi="宋体" w:cs="宋体"/>
          <w:sz w:val="24"/>
        </w:rPr>
      </w:pPr>
      <w:r>
        <w:rPr>
          <w:rFonts w:hint="eastAsia" w:ascii="宋体" w:hAnsi="宋体" w:cs="宋体"/>
          <w:sz w:val="24"/>
        </w:rPr>
        <w:t>36.1在评审期间，评审委员会根据招标文件规定（详见“一、对通用条款的补充内容”），有权对本项目的投标人开展实地考察，投标人需时刻做好接收实地考察的准备。</w:t>
      </w:r>
    </w:p>
    <w:p w14:paraId="42273323">
      <w:pPr>
        <w:ind w:firstLine="480" w:firstLineChars="200"/>
        <w:rPr>
          <w:rFonts w:ascii="宋体" w:hAnsi="宋体" w:cs="宋体"/>
          <w:sz w:val="24"/>
        </w:rPr>
      </w:pPr>
      <w:r>
        <w:rPr>
          <w:rFonts w:hint="eastAsia" w:ascii="宋体" w:hAnsi="宋体" w:cs="宋体"/>
          <w:sz w:val="24"/>
        </w:rPr>
        <w:t>37．评审方法</w:t>
      </w:r>
    </w:p>
    <w:p w14:paraId="77BF2E3A">
      <w:pPr>
        <w:ind w:firstLine="472" w:firstLineChars="196"/>
        <w:rPr>
          <w:rFonts w:ascii="宋体" w:hAnsi="宋体" w:cs="宋体"/>
          <w:b/>
          <w:bCs/>
          <w:sz w:val="24"/>
        </w:rPr>
      </w:pPr>
      <w:r>
        <w:rPr>
          <w:rFonts w:hint="eastAsia" w:ascii="宋体" w:hAnsi="宋体" w:cs="宋体"/>
          <w:b/>
          <w:bCs/>
          <w:sz w:val="24"/>
        </w:rPr>
        <w:t>37.1.1最低价法</w:t>
      </w:r>
    </w:p>
    <w:p w14:paraId="1D9A937B">
      <w:pPr>
        <w:ind w:firstLine="470" w:firstLineChars="196"/>
        <w:rPr>
          <w:rFonts w:ascii="宋体" w:hAnsi="宋体" w:cs="宋体"/>
          <w:sz w:val="24"/>
        </w:rPr>
      </w:pPr>
      <w:bookmarkStart w:id="71" w:name="_Hlk72438142"/>
      <w:r>
        <w:rPr>
          <w:rFonts w:hint="eastAsia" w:ascii="宋体" w:hAnsi="宋体" w:cs="宋体"/>
          <w:sz w:val="24"/>
        </w:rPr>
        <w:t>最低价法，是指完全满足招标文件实质性要求，按照报价由低到高的顺序，依据招标文件中规定的数量或者比例推荐候选中标供应商。</w:t>
      </w:r>
    </w:p>
    <w:p w14:paraId="3AC8C169">
      <w:pPr>
        <w:ind w:firstLine="472" w:firstLineChars="196"/>
        <w:rPr>
          <w:rFonts w:ascii="宋体" w:hAnsi="宋体" w:cs="宋体"/>
          <w:b/>
          <w:bCs/>
          <w:sz w:val="24"/>
        </w:rPr>
      </w:pPr>
      <w:r>
        <w:rPr>
          <w:rFonts w:hint="eastAsia" w:ascii="宋体" w:hAnsi="宋体" w:cs="宋体"/>
          <w:b/>
          <w:bCs/>
          <w:sz w:val="24"/>
        </w:rPr>
        <w:t>37.1.2综合评分法</w:t>
      </w:r>
    </w:p>
    <w:p w14:paraId="5715FB55">
      <w:pPr>
        <w:ind w:firstLine="470" w:firstLineChars="196"/>
        <w:rPr>
          <w:rFonts w:ascii="宋体" w:hAnsi="宋体" w:cs="宋体"/>
          <w:sz w:val="24"/>
        </w:rPr>
      </w:pPr>
      <w:r>
        <w:rPr>
          <w:rFonts w:hint="eastAsia" w:ascii="宋体" w:hAnsi="宋体" w:cs="宋体"/>
          <w:sz w:val="24"/>
        </w:rPr>
        <w:t>综合评分法，是指在满足招标文件全部实质性要求的前提下，按照招标文件中规定的各项因素进行综合评审，评审总得分排名前列的投标人，作为推荐的候选中标供应商。</w:t>
      </w:r>
      <w:bookmarkEnd w:id="71"/>
    </w:p>
    <w:p w14:paraId="1377058B">
      <w:pPr>
        <w:ind w:firstLine="472" w:firstLineChars="196"/>
        <w:rPr>
          <w:rFonts w:ascii="宋体" w:hAnsi="宋体" w:cs="宋体"/>
          <w:b/>
          <w:bCs/>
          <w:sz w:val="24"/>
        </w:rPr>
      </w:pPr>
      <w:r>
        <w:rPr>
          <w:rFonts w:hint="eastAsia" w:ascii="宋体" w:hAnsi="宋体" w:cs="宋体"/>
          <w:b/>
          <w:bCs/>
          <w:sz w:val="24"/>
        </w:rPr>
        <w:t>37.2本项目采用的评审方法见本项目招标文件第一册“专用条款”的相关内容。</w:t>
      </w:r>
    </w:p>
    <w:p w14:paraId="62FDD3C1">
      <w:pPr>
        <w:ind w:firstLine="472" w:firstLineChars="196"/>
        <w:rPr>
          <w:rFonts w:ascii="宋体" w:hAnsi="宋体" w:cs="宋体"/>
          <w:b/>
          <w:bCs/>
          <w:sz w:val="24"/>
        </w:rPr>
      </w:pPr>
      <w:r>
        <w:rPr>
          <w:rFonts w:hint="eastAsia" w:ascii="宋体" w:hAnsi="宋体" w:cs="宋体"/>
          <w:b/>
          <w:bCs/>
          <w:sz w:val="24"/>
        </w:rPr>
        <w:t>37.3重新评审的情形</w:t>
      </w:r>
    </w:p>
    <w:p w14:paraId="744BF492">
      <w:pPr>
        <w:ind w:firstLine="470" w:firstLineChars="196"/>
        <w:rPr>
          <w:rFonts w:ascii="宋体" w:hAnsi="宋体" w:cs="宋体"/>
          <w:b/>
          <w:bCs/>
          <w:sz w:val="24"/>
        </w:rPr>
      </w:pPr>
      <w:r>
        <w:rPr>
          <w:rFonts w:hint="eastAsia" w:ascii="宋体" w:hAnsi="宋体" w:cs="宋体"/>
          <w:kern w:val="0"/>
          <w:sz w:val="24"/>
        </w:rPr>
        <w:t>评审结果汇总完成后，除下列情形外，任何人不得修改评审结果：</w:t>
      </w:r>
    </w:p>
    <w:p w14:paraId="07017B27">
      <w:pPr>
        <w:ind w:firstLine="470" w:firstLineChars="196"/>
        <w:rPr>
          <w:rFonts w:ascii="宋体" w:hAnsi="宋体" w:cs="宋体"/>
          <w:kern w:val="0"/>
          <w:sz w:val="24"/>
        </w:rPr>
      </w:pPr>
      <w:r>
        <w:rPr>
          <w:rFonts w:hint="eastAsia" w:ascii="宋体" w:hAnsi="宋体" w:cs="宋体"/>
          <w:kern w:val="0"/>
          <w:sz w:val="24"/>
        </w:rPr>
        <w:t>37.3.1分值汇总计算错误的；</w:t>
      </w:r>
    </w:p>
    <w:p w14:paraId="5D41CF62">
      <w:pPr>
        <w:ind w:firstLine="470" w:firstLineChars="196"/>
        <w:rPr>
          <w:rFonts w:ascii="宋体" w:hAnsi="宋体" w:cs="宋体"/>
          <w:kern w:val="0"/>
          <w:sz w:val="24"/>
        </w:rPr>
      </w:pPr>
      <w:r>
        <w:rPr>
          <w:rFonts w:hint="eastAsia" w:ascii="宋体" w:hAnsi="宋体" w:cs="宋体"/>
          <w:kern w:val="0"/>
          <w:sz w:val="24"/>
        </w:rPr>
        <w:t>37.3.2分项评分超出评分标准范围的；</w:t>
      </w:r>
    </w:p>
    <w:p w14:paraId="5324E437">
      <w:pPr>
        <w:ind w:firstLine="470" w:firstLineChars="196"/>
        <w:rPr>
          <w:rFonts w:ascii="宋体" w:hAnsi="宋体" w:cs="宋体"/>
          <w:kern w:val="0"/>
          <w:sz w:val="24"/>
        </w:rPr>
      </w:pPr>
      <w:r>
        <w:rPr>
          <w:rFonts w:hint="eastAsia" w:ascii="宋体" w:hAnsi="宋体" w:cs="宋体"/>
          <w:kern w:val="0"/>
          <w:sz w:val="24"/>
        </w:rPr>
        <w:t>37.3.3评审委员会成员对客观评审因素评分不一致的；</w:t>
      </w:r>
    </w:p>
    <w:p w14:paraId="1B9E2763">
      <w:pPr>
        <w:ind w:firstLine="470" w:firstLineChars="196"/>
        <w:rPr>
          <w:rFonts w:ascii="宋体" w:hAnsi="宋体" w:cs="宋体"/>
          <w:kern w:val="0"/>
          <w:sz w:val="24"/>
        </w:rPr>
      </w:pPr>
      <w:r>
        <w:rPr>
          <w:rFonts w:hint="eastAsia" w:ascii="宋体" w:hAnsi="宋体" w:cs="宋体"/>
          <w:kern w:val="0"/>
          <w:sz w:val="24"/>
        </w:rPr>
        <w:t>37.3.4经评审委员会认定评分畸高、畸低的。</w:t>
      </w:r>
    </w:p>
    <w:p w14:paraId="3C032851">
      <w:pPr>
        <w:ind w:firstLine="470" w:firstLineChars="196"/>
        <w:rPr>
          <w:rFonts w:ascii="宋体" w:hAnsi="宋体" w:cs="宋体"/>
          <w:kern w:val="0"/>
          <w:sz w:val="24"/>
        </w:rPr>
      </w:pPr>
      <w:r>
        <w:rPr>
          <w:rFonts w:hint="eastAsia" w:ascii="宋体" w:hAnsi="宋体" w:cs="宋体"/>
          <w:kern w:val="0"/>
          <w:sz w:val="24"/>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783E2F51">
      <w:pPr>
        <w:ind w:firstLine="470" w:firstLineChars="196"/>
        <w:rPr>
          <w:rFonts w:ascii="宋体" w:hAnsi="宋体" w:cs="宋体"/>
          <w:kern w:val="0"/>
          <w:sz w:val="24"/>
        </w:rPr>
      </w:pPr>
      <w:r>
        <w:rPr>
          <w:rFonts w:hint="eastAsia" w:ascii="宋体" w:hAnsi="宋体" w:cs="宋体"/>
          <w:kern w:val="0"/>
          <w:sz w:val="24"/>
        </w:rPr>
        <w:t>投标人对本条第一款情形提出质疑的，采购人或者采购代理机构可以组织原评审委员会进行重新评审，重新评审改变评审结果的，应当书面报告本级财政部门。</w:t>
      </w:r>
    </w:p>
    <w:p w14:paraId="6546D15D">
      <w:pPr>
        <w:ind w:firstLine="472" w:firstLineChars="196"/>
        <w:rPr>
          <w:rFonts w:ascii="宋体" w:hAnsi="宋体" w:cs="宋体"/>
          <w:b/>
          <w:bCs/>
          <w:sz w:val="24"/>
        </w:rPr>
      </w:pPr>
      <w:r>
        <w:rPr>
          <w:rFonts w:hint="eastAsia" w:ascii="宋体" w:hAnsi="宋体" w:cs="宋体"/>
          <w:b/>
          <w:bCs/>
          <w:sz w:val="24"/>
        </w:rPr>
        <w:t>37.4重新组建评审委员会的情形</w:t>
      </w:r>
    </w:p>
    <w:p w14:paraId="7AFD28D4">
      <w:pPr>
        <w:ind w:firstLine="470" w:firstLineChars="196"/>
        <w:rPr>
          <w:rFonts w:ascii="宋体" w:hAnsi="宋体" w:cs="宋体"/>
          <w:kern w:val="0"/>
          <w:sz w:val="24"/>
        </w:rPr>
      </w:pPr>
      <w:r>
        <w:rPr>
          <w:rFonts w:hint="eastAsia" w:ascii="宋体" w:hAnsi="宋体" w:cs="宋体"/>
          <w:kern w:val="0"/>
          <w:sz w:val="24"/>
        </w:rPr>
        <w:t>评审委员会或者其成员存在下列情形导致评审结果无效的，重新组建评审委员会进行评标，并书面报告本级财政部门：</w:t>
      </w:r>
    </w:p>
    <w:p w14:paraId="78D06998">
      <w:pPr>
        <w:ind w:firstLine="470" w:firstLineChars="196"/>
        <w:rPr>
          <w:rFonts w:ascii="宋体" w:hAnsi="宋体" w:cs="宋体"/>
          <w:kern w:val="0"/>
          <w:sz w:val="24"/>
        </w:rPr>
      </w:pPr>
      <w:r>
        <w:rPr>
          <w:rFonts w:hint="eastAsia" w:ascii="宋体" w:hAnsi="宋体" w:cs="宋体"/>
          <w:kern w:val="0"/>
          <w:sz w:val="24"/>
        </w:rPr>
        <w:t>37.4.1评审委员会组成不符合《政府采购货物和服务招标投标管理办法》规定的；</w:t>
      </w:r>
    </w:p>
    <w:p w14:paraId="60DBDE6C">
      <w:pPr>
        <w:ind w:firstLine="470" w:firstLineChars="196"/>
        <w:rPr>
          <w:rFonts w:ascii="宋体" w:hAnsi="宋体" w:cs="宋体"/>
          <w:kern w:val="0"/>
          <w:sz w:val="24"/>
        </w:rPr>
      </w:pPr>
      <w:r>
        <w:rPr>
          <w:rFonts w:hint="eastAsia" w:ascii="宋体" w:hAnsi="宋体" w:cs="宋体"/>
          <w:kern w:val="0"/>
          <w:sz w:val="24"/>
        </w:rPr>
        <w:t>37.4.2有《政府采购货物和服务招标投标管理办法》第六十二条第一至五项情形的；</w:t>
      </w:r>
    </w:p>
    <w:p w14:paraId="6FC2E699">
      <w:pPr>
        <w:ind w:firstLine="470" w:firstLineChars="196"/>
        <w:rPr>
          <w:rFonts w:ascii="宋体" w:hAnsi="宋体" w:cs="宋体"/>
          <w:kern w:val="0"/>
          <w:sz w:val="24"/>
        </w:rPr>
      </w:pPr>
      <w:r>
        <w:rPr>
          <w:rFonts w:hint="eastAsia" w:ascii="宋体" w:hAnsi="宋体" w:cs="宋体"/>
          <w:kern w:val="0"/>
          <w:sz w:val="24"/>
        </w:rPr>
        <w:t>37.4.3评审委员会及其成员独立评标受到非法干预的；</w:t>
      </w:r>
    </w:p>
    <w:p w14:paraId="2FBDF504">
      <w:pPr>
        <w:ind w:firstLine="470" w:firstLineChars="196"/>
        <w:rPr>
          <w:rFonts w:ascii="宋体" w:hAnsi="宋体" w:cs="宋体"/>
          <w:kern w:val="0"/>
          <w:sz w:val="24"/>
        </w:rPr>
      </w:pPr>
      <w:r>
        <w:rPr>
          <w:rFonts w:hint="eastAsia" w:ascii="宋体" w:hAnsi="宋体" w:cs="宋体"/>
          <w:kern w:val="0"/>
          <w:sz w:val="24"/>
        </w:rPr>
        <w:t>37.4.4有政府采购法实施条例第七十五条规定的违法行为的。</w:t>
      </w:r>
    </w:p>
    <w:p w14:paraId="3DF9D8E9">
      <w:pPr>
        <w:ind w:firstLine="470" w:firstLineChars="196"/>
        <w:rPr>
          <w:rFonts w:ascii="宋体" w:hAnsi="宋体" w:cs="宋体"/>
          <w:kern w:val="0"/>
          <w:sz w:val="24"/>
        </w:rPr>
      </w:pPr>
      <w:r>
        <w:rPr>
          <w:rFonts w:hint="eastAsia" w:ascii="宋体" w:hAnsi="宋体" w:cs="宋体"/>
          <w:kern w:val="0"/>
          <w:sz w:val="24"/>
        </w:rPr>
        <w:t>有违法违规行为的原评审委员会成员不得参加重新组建的评审委员会。</w:t>
      </w:r>
    </w:p>
    <w:p w14:paraId="5DDB625E">
      <w:pPr>
        <w:ind w:firstLine="411" w:firstLineChars="196"/>
        <w:rPr>
          <w:rFonts w:ascii="宋体" w:hAnsi="宋体"/>
          <w:szCs w:val="21"/>
        </w:rPr>
      </w:pPr>
    </w:p>
    <w:p w14:paraId="648DAC2E">
      <w:pPr>
        <w:pStyle w:val="6"/>
        <w:numPr>
          <w:ilvl w:val="0"/>
          <w:numId w:val="21"/>
        </w:numPr>
        <w:spacing w:before="120" w:beforeLines="50" w:after="120" w:afterLines="50"/>
        <w:ind w:left="562" w:hanging="562"/>
        <w:rPr>
          <w:sz w:val="28"/>
          <w:szCs w:val="28"/>
        </w:rPr>
      </w:pPr>
      <w:r>
        <w:rPr>
          <w:rFonts w:hint="eastAsia"/>
          <w:sz w:val="28"/>
          <w:szCs w:val="28"/>
        </w:rPr>
        <w:t>定标及公示</w:t>
      </w:r>
    </w:p>
    <w:p w14:paraId="131AE0B6">
      <w:pPr>
        <w:rPr>
          <w:rFonts w:ascii="黑体" w:hAnsi="宋体" w:eastAsia="黑体"/>
          <w:sz w:val="24"/>
        </w:rPr>
      </w:pPr>
      <w:r>
        <w:rPr>
          <w:rFonts w:hint="eastAsia" w:ascii="黑体" w:hAnsi="宋体" w:eastAsia="黑体"/>
          <w:sz w:val="24"/>
        </w:rPr>
        <w:t>38．定标方法</w:t>
      </w:r>
    </w:p>
    <w:p w14:paraId="38F804A5">
      <w:pPr>
        <w:ind w:firstLine="470" w:firstLineChars="196"/>
        <w:rPr>
          <w:rFonts w:ascii="宋体" w:hAnsi="宋体" w:cs="宋体"/>
          <w:sz w:val="24"/>
        </w:rPr>
      </w:pPr>
      <w:r>
        <w:rPr>
          <w:rFonts w:hint="eastAsia" w:ascii="宋体" w:hAnsi="宋体" w:cs="宋体"/>
          <w:sz w:val="24"/>
        </w:rPr>
        <w:t>38.1非评定分离项目定标方法</w:t>
      </w:r>
    </w:p>
    <w:p w14:paraId="79170A94">
      <w:pPr>
        <w:ind w:firstLine="470" w:firstLineChars="196"/>
        <w:rPr>
          <w:rFonts w:ascii="宋体" w:hAnsi="宋体" w:cs="宋体"/>
          <w:sz w:val="24"/>
        </w:rPr>
      </w:pPr>
      <w:r>
        <w:rPr>
          <w:rFonts w:hint="eastAsia" w:ascii="宋体" w:hAnsi="宋体" w:cs="宋体"/>
          <w:sz w:val="24"/>
        </w:rPr>
        <w:t>38.1.1评审委员会依据本项目招标文件所约定的评审方法进行评审和比较，向政府集中采购机构提交书面评审报告，并根据评审方法比较评价结果从优到劣进行排序，确定候选中标供应商。</w:t>
      </w:r>
    </w:p>
    <w:p w14:paraId="7A1DFE84">
      <w:pPr>
        <w:ind w:firstLine="470" w:firstLineChars="196"/>
        <w:rPr>
          <w:rFonts w:ascii="宋体" w:hAnsi="宋体" w:cs="宋体"/>
          <w:sz w:val="24"/>
        </w:rPr>
      </w:pPr>
      <w:r>
        <w:rPr>
          <w:rFonts w:hint="eastAsia" w:ascii="宋体" w:hAnsi="宋体" w:cs="宋体"/>
          <w:sz w:val="24"/>
        </w:rPr>
        <w:t>38.1.2采用最低价法的，评审结果按投标报价由低到高顺序排列。投标报价相同的并列。投标文件满足招标文件全部实质性要求且投标报价最低的投标人为中标供应商（排名第二的投标人为第一替补中标候选人、排名第三的投标人为第二替补中标候选人）。</w:t>
      </w:r>
    </w:p>
    <w:p w14:paraId="7314841F">
      <w:pPr>
        <w:ind w:firstLine="470" w:firstLineChars="196"/>
        <w:rPr>
          <w:rFonts w:ascii="宋体" w:hAnsi="宋体" w:cs="宋体"/>
          <w:sz w:val="24"/>
        </w:rPr>
      </w:pPr>
      <w:r>
        <w:rPr>
          <w:rFonts w:hint="eastAsia" w:ascii="宋体" w:hAnsi="宋体" w:cs="宋体"/>
          <w:sz w:val="24"/>
        </w:rPr>
        <w:t>38.1.3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供应商（排名第二的投标人为第一替补中标候选人、排名第三的投标人为第二替补中标候选人）。出现得分且投标报价相同的并列情况时，采取随机抽取的方式确定，具体操作办法及流程由评审委员会确定。</w:t>
      </w:r>
    </w:p>
    <w:p w14:paraId="01828EEF">
      <w:pPr>
        <w:ind w:firstLine="470" w:firstLineChars="196"/>
        <w:rPr>
          <w:rFonts w:ascii="宋体" w:hAnsi="宋体" w:cs="宋体"/>
          <w:sz w:val="24"/>
        </w:rPr>
      </w:pPr>
      <w:r>
        <w:rPr>
          <w:rFonts w:hint="eastAsia" w:ascii="宋体" w:hAnsi="宋体" w:cs="宋体"/>
          <w:sz w:val="24"/>
        </w:rPr>
        <w:t>38.2评定分离项目定标方法</w:t>
      </w:r>
    </w:p>
    <w:p w14:paraId="56E64C09">
      <w:pPr>
        <w:ind w:firstLine="470" w:firstLineChars="196"/>
        <w:rPr>
          <w:rFonts w:ascii="宋体" w:hAnsi="宋体" w:cs="宋体"/>
          <w:sz w:val="24"/>
        </w:rPr>
      </w:pPr>
      <w:r>
        <w:rPr>
          <w:rFonts w:hint="eastAsia" w:ascii="宋体" w:hAnsi="宋体" w:cs="宋体"/>
          <w:sz w:val="24"/>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7CEF1D70">
      <w:pPr>
        <w:ind w:firstLine="470" w:firstLineChars="196"/>
        <w:rPr>
          <w:rFonts w:ascii="宋体" w:hAnsi="宋体" w:cs="宋体"/>
          <w:sz w:val="24"/>
        </w:rPr>
      </w:pPr>
      <w:r>
        <w:rPr>
          <w:rFonts w:hint="eastAsia" w:ascii="宋体" w:hAnsi="宋体" w:cs="宋体"/>
          <w:sz w:val="24"/>
        </w:rPr>
        <w:t>38.2.2</w:t>
      </w:r>
      <w:bookmarkStart w:id="72" w:name="_Hlk71469733"/>
      <w:r>
        <w:rPr>
          <w:rFonts w:hint="eastAsia" w:ascii="宋体" w:hAnsi="宋体" w:cs="宋体"/>
          <w:sz w:val="24"/>
        </w:rPr>
        <w:t>适用评定分离的政府采购项目，采用综合评分法评审。评审委员会按照评审结果，推荐三个合格的候选中标供应商。</w:t>
      </w:r>
    </w:p>
    <w:p w14:paraId="38E220E5">
      <w:pPr>
        <w:ind w:firstLine="470" w:firstLineChars="196"/>
        <w:rPr>
          <w:rFonts w:ascii="宋体" w:hAnsi="宋体" w:cs="宋体"/>
          <w:sz w:val="24"/>
        </w:rPr>
      </w:pPr>
      <w:r>
        <w:rPr>
          <w:rFonts w:hint="eastAsia" w:ascii="宋体" w:hAnsi="宋体" w:cs="宋体"/>
          <w:sz w:val="24"/>
        </w:rPr>
        <w:t>38.2.3</w:t>
      </w:r>
      <w:bookmarkStart w:id="73" w:name="_Hlk71469688"/>
      <w:r>
        <w:rPr>
          <w:rFonts w:hint="eastAsia" w:ascii="宋体" w:hAnsi="宋体" w:cs="宋体"/>
          <w:sz w:val="24"/>
        </w:rPr>
        <w:t>适用评定分离的政府采购项目，按照自定法确定中标供应商：自定法是指采购人组织定标委员会，由定标委员会在三家候选中标供应商中确定中标供应商。</w:t>
      </w:r>
      <w:bookmarkEnd w:id="72"/>
      <w:bookmarkEnd w:id="73"/>
    </w:p>
    <w:p w14:paraId="5F0FEF5B">
      <w:pPr>
        <w:ind w:firstLine="470" w:firstLineChars="196"/>
        <w:rPr>
          <w:rFonts w:ascii="宋体" w:hAnsi="宋体" w:cs="宋体"/>
          <w:sz w:val="24"/>
        </w:rPr>
      </w:pPr>
      <w:r>
        <w:rPr>
          <w:rFonts w:hint="eastAsia" w:ascii="宋体" w:hAnsi="宋体" w:cs="宋体"/>
          <w:sz w:val="24"/>
        </w:rPr>
        <w:t>38.2.4政府集中采购机构应当自评审结束之日起两个工作日内将候选中标供应商名单及其投标文件、评审报告送交采购人。采购人应当安排专人对定标过程进行书面记录，形成定标报告，作为采购文件的组成部分存档，并及时将定标结果反馈政府集中采购机构。具体定标程序及相关要求按照《深圳市财政局关于印发〈深圳市政府采购评标定标分离管理办法〉的通知》（深财规</w:t>
      </w:r>
      <w:r>
        <w:rPr>
          <w:rFonts w:hint="eastAsia" w:ascii="宋体" w:hAnsi="宋体" w:cs="宋体"/>
          <w:sz w:val="24"/>
          <w:lang w:eastAsia="zh-CN"/>
        </w:rPr>
        <w:t>〔2020〕1号</w:t>
      </w:r>
      <w:r>
        <w:rPr>
          <w:rFonts w:hint="eastAsia" w:ascii="宋体" w:hAnsi="宋体" w:cs="宋体"/>
          <w:sz w:val="24"/>
        </w:rPr>
        <w:t>）执行。</w:t>
      </w:r>
    </w:p>
    <w:p w14:paraId="6572A2A7">
      <w:pPr>
        <w:ind w:firstLine="470" w:firstLineChars="196"/>
        <w:rPr>
          <w:rFonts w:ascii="宋体" w:hAnsi="宋体" w:cs="宋体"/>
          <w:sz w:val="24"/>
        </w:rPr>
      </w:pPr>
      <w:r>
        <w:rPr>
          <w:rFonts w:hint="eastAsia" w:ascii="宋体" w:hAnsi="宋体" w:cs="宋体"/>
          <w:sz w:val="24"/>
        </w:rPr>
        <w:t>说明：采购人及投标供应商应按照上述方法提前做好相关准备。</w:t>
      </w:r>
    </w:p>
    <w:p w14:paraId="33395E7D">
      <w:pPr>
        <w:ind w:firstLine="470" w:firstLineChars="196"/>
        <w:rPr>
          <w:rFonts w:ascii="宋体" w:hAnsi="宋体" w:cs="宋体"/>
          <w:sz w:val="24"/>
        </w:rPr>
      </w:pPr>
      <w:r>
        <w:rPr>
          <w:rFonts w:hint="eastAsia" w:ascii="宋体" w:hAnsi="宋体" w:cs="宋体"/>
          <w:sz w:val="24"/>
        </w:rPr>
        <w:t>38.3专用条款另有规定的，按专用条款相关要求定标。</w:t>
      </w:r>
    </w:p>
    <w:p w14:paraId="52F134BC">
      <w:pPr>
        <w:rPr>
          <w:rFonts w:ascii="宋体" w:hAnsi="宋体" w:cs="宋体"/>
          <w:sz w:val="24"/>
        </w:rPr>
      </w:pPr>
      <w:r>
        <w:rPr>
          <w:rFonts w:hint="eastAsia" w:ascii="宋体" w:hAnsi="宋体" w:cs="宋体"/>
          <w:sz w:val="24"/>
        </w:rPr>
        <w:t>39．编写评审报告</w:t>
      </w:r>
    </w:p>
    <w:p w14:paraId="12AA9608">
      <w:pPr>
        <w:ind w:firstLine="470" w:firstLineChars="196"/>
        <w:rPr>
          <w:rFonts w:ascii="宋体" w:hAnsi="宋体" w:cs="宋体"/>
          <w:sz w:val="24"/>
        </w:rPr>
      </w:pPr>
      <w:r>
        <w:rPr>
          <w:rFonts w:hint="eastAsia" w:ascii="宋体" w:hAnsi="宋体" w:cs="宋体"/>
          <w:sz w:val="24"/>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4830FE04">
      <w:pPr>
        <w:rPr>
          <w:rFonts w:ascii="宋体" w:hAnsi="宋体" w:cs="宋体"/>
          <w:sz w:val="24"/>
        </w:rPr>
      </w:pPr>
      <w:r>
        <w:rPr>
          <w:rFonts w:hint="eastAsia" w:ascii="宋体" w:hAnsi="宋体" w:cs="宋体"/>
          <w:sz w:val="24"/>
        </w:rPr>
        <w:t>40．中标公告</w:t>
      </w:r>
    </w:p>
    <w:p w14:paraId="5DF8AE28">
      <w:pPr>
        <w:ind w:firstLine="470" w:firstLineChars="196"/>
        <w:rPr>
          <w:rFonts w:ascii="宋体" w:hAnsi="宋体" w:cs="宋体"/>
          <w:sz w:val="24"/>
        </w:rPr>
      </w:pPr>
      <w:r>
        <w:rPr>
          <w:rFonts w:hint="eastAsia" w:ascii="宋体" w:hAnsi="宋体" w:cs="宋体"/>
          <w:sz w:val="24"/>
        </w:rPr>
        <w:t>40.1</w:t>
      </w:r>
      <w:bookmarkStart w:id="74" w:name="_Hlk72438709"/>
      <w:r>
        <w:rPr>
          <w:rFonts w:hint="eastAsia" w:ascii="宋体" w:hAnsi="宋体" w:cs="宋体"/>
          <w:sz w:val="24"/>
        </w:rPr>
        <w:t>为体现“公开、公平、公正”的原则，评审结束后经采购人确认（确定）评审结果，政府集中采购机构将在</w:t>
      </w:r>
      <w:r>
        <w:rPr>
          <w:rFonts w:hint="eastAsia" w:ascii="宋体" w:hAnsi="宋体" w:cs="宋体"/>
          <w:b/>
          <w:bCs/>
          <w:sz w:val="24"/>
        </w:rPr>
        <w:t>“深圳公共资源交易网（https://szggzy.com/）”</w:t>
      </w:r>
      <w:r>
        <w:rPr>
          <w:rFonts w:hint="eastAsia" w:ascii="宋体" w:hAnsi="宋体" w:cs="宋体"/>
          <w:sz w:val="24"/>
        </w:rPr>
        <w:t>上发布中标结果公告。</w:t>
      </w:r>
      <w:bookmarkEnd w:id="74"/>
      <w:bookmarkStart w:id="75" w:name="_Hlk72438751"/>
      <w:r>
        <w:rPr>
          <w:rFonts w:hint="eastAsia" w:ascii="宋体" w:hAnsi="宋体" w:cs="宋体"/>
          <w:sz w:val="24"/>
        </w:rPr>
        <w:t>供应商如对评审结果有异议，可在发布公示日期起七个工作日内向政府集中采购机构提出。监督电话：0755-83948143。若在公示期内未提出质疑，则视为认同该评审结果。</w:t>
      </w:r>
    </w:p>
    <w:bookmarkEnd w:id="75"/>
    <w:p w14:paraId="6713654A">
      <w:pPr>
        <w:ind w:firstLine="470" w:firstLineChars="196"/>
        <w:rPr>
          <w:rFonts w:ascii="宋体" w:hAnsi="宋体" w:cs="宋体"/>
          <w:sz w:val="24"/>
        </w:rPr>
      </w:pPr>
      <w:r>
        <w:rPr>
          <w:rFonts w:hint="eastAsia" w:ascii="宋体" w:hAnsi="宋体" w:cs="宋体"/>
          <w:sz w:val="24"/>
        </w:rPr>
        <w:t>40.2质疑、投诉供应商应保证质疑、投诉内容的真实性和可靠性，并承担相应的法律责任。</w:t>
      </w:r>
    </w:p>
    <w:p w14:paraId="61E01F6A">
      <w:pPr>
        <w:rPr>
          <w:rFonts w:ascii="宋体" w:hAnsi="宋体" w:cs="宋体"/>
          <w:sz w:val="24"/>
        </w:rPr>
      </w:pPr>
      <w:r>
        <w:rPr>
          <w:rFonts w:hint="eastAsia" w:ascii="宋体" w:hAnsi="宋体" w:cs="宋体"/>
          <w:sz w:val="24"/>
        </w:rPr>
        <w:t>41．中标通知书</w:t>
      </w:r>
    </w:p>
    <w:p w14:paraId="2B087DD4">
      <w:pPr>
        <w:ind w:firstLine="470" w:firstLineChars="196"/>
        <w:rPr>
          <w:rFonts w:ascii="宋体" w:hAnsi="宋体" w:cs="宋体"/>
          <w:sz w:val="24"/>
        </w:rPr>
      </w:pPr>
      <w:r>
        <w:rPr>
          <w:rFonts w:hint="eastAsia" w:ascii="宋体" w:hAnsi="宋体" w:cs="宋体"/>
          <w:sz w:val="24"/>
        </w:rPr>
        <w:t>41.1</w:t>
      </w:r>
      <w:bookmarkStart w:id="76" w:name="_Hlk72438863"/>
      <w:r>
        <w:rPr>
          <w:rFonts w:hint="eastAsia" w:ascii="宋体" w:hAnsi="宋体" w:cs="宋体"/>
          <w:sz w:val="24"/>
        </w:rPr>
        <w:t>中标公告公布以后无异常的情况下</w:t>
      </w:r>
      <w:r>
        <w:rPr>
          <w:rFonts w:hint="eastAsia" w:ascii="宋体" w:hAnsi="宋体" w:cs="宋体"/>
          <w:sz w:val="24"/>
          <w:lang w:eastAsia="zh-CN"/>
        </w:rPr>
        <w:t>，</w:t>
      </w:r>
      <w:r>
        <w:rPr>
          <w:rFonts w:hint="eastAsia" w:ascii="宋体" w:hAnsi="宋体" w:cs="宋体"/>
          <w:sz w:val="24"/>
        </w:rPr>
        <w:t>中标供应商和采购人可自行在</w:t>
      </w:r>
      <w:r>
        <w:rPr>
          <w:rFonts w:hint="eastAsia" w:ascii="宋体" w:hAnsi="宋体" w:cs="宋体"/>
          <w:b/>
          <w:bCs/>
          <w:sz w:val="24"/>
        </w:rPr>
        <w:t>“深圳政府采购智慧平台（http://zfcg.szggzy.com/）”</w:t>
      </w:r>
      <w:r>
        <w:rPr>
          <w:rFonts w:hint="eastAsia" w:ascii="宋体" w:hAnsi="宋体" w:cs="宋体"/>
          <w:sz w:val="24"/>
        </w:rPr>
        <w:t>上打印</w:t>
      </w:r>
      <w:r>
        <w:rPr>
          <w:rFonts w:hint="eastAsia" w:ascii="宋体" w:hAnsi="宋体" w:cs="宋体"/>
          <w:b/>
          <w:sz w:val="24"/>
        </w:rPr>
        <w:t>《数字中标通知书》</w:t>
      </w:r>
      <w:r>
        <w:rPr>
          <w:rFonts w:hint="eastAsia" w:ascii="宋体" w:hAnsi="宋体" w:cs="宋体"/>
          <w:sz w:val="24"/>
        </w:rPr>
        <w:t>。</w:t>
      </w:r>
      <w:bookmarkEnd w:id="76"/>
    </w:p>
    <w:p w14:paraId="0F947890">
      <w:pPr>
        <w:ind w:firstLine="470" w:firstLineChars="196"/>
        <w:rPr>
          <w:rFonts w:ascii="宋体" w:hAnsi="宋体" w:cs="宋体"/>
          <w:sz w:val="24"/>
        </w:rPr>
      </w:pPr>
      <w:r>
        <w:rPr>
          <w:rFonts w:hint="eastAsia" w:ascii="宋体" w:hAnsi="宋体" w:cs="宋体"/>
          <w:sz w:val="24"/>
        </w:rPr>
        <w:t>41.2中标通知书是合同的重要组成部分。</w:t>
      </w:r>
    </w:p>
    <w:p w14:paraId="0E766B9B">
      <w:pPr>
        <w:ind w:firstLine="470" w:firstLineChars="196"/>
        <w:rPr>
          <w:rFonts w:ascii="宋体" w:hAnsi="宋体" w:cs="宋体"/>
          <w:sz w:val="24"/>
        </w:rPr>
      </w:pPr>
      <w:bookmarkStart w:id="77" w:name="_Hlk71407340"/>
      <w:r>
        <w:rPr>
          <w:rFonts w:hint="eastAsia" w:ascii="宋体" w:hAnsi="宋体" w:cs="宋体"/>
          <w:sz w:val="24"/>
        </w:rPr>
        <w:t>41.3因质疑投诉或其它原因导致项目结果变更或采购终止的，政府集中采购机构有权吊销中标通知书。</w:t>
      </w:r>
    </w:p>
    <w:bookmarkEnd w:id="77"/>
    <w:p w14:paraId="4E23B456">
      <w:pPr>
        <w:ind w:firstLine="411" w:firstLineChars="196"/>
        <w:rPr>
          <w:rFonts w:ascii="宋体" w:hAnsi="宋体"/>
          <w:szCs w:val="21"/>
        </w:rPr>
      </w:pPr>
    </w:p>
    <w:p w14:paraId="5B07D2AF">
      <w:pPr>
        <w:pStyle w:val="6"/>
        <w:numPr>
          <w:ilvl w:val="0"/>
          <w:numId w:val="21"/>
        </w:numPr>
        <w:spacing w:before="120" w:beforeLines="50" w:after="120" w:afterLines="50"/>
        <w:ind w:left="562" w:hanging="562"/>
        <w:rPr>
          <w:sz w:val="28"/>
          <w:szCs w:val="28"/>
        </w:rPr>
      </w:pPr>
      <w:r>
        <w:rPr>
          <w:rFonts w:hint="eastAsia"/>
          <w:sz w:val="28"/>
          <w:szCs w:val="28"/>
        </w:rPr>
        <w:t>公开招标失败的后续处理</w:t>
      </w:r>
    </w:p>
    <w:p w14:paraId="30861888">
      <w:pPr>
        <w:rPr>
          <w:rFonts w:ascii="黑体" w:hAnsi="宋体" w:eastAsia="黑体"/>
          <w:sz w:val="24"/>
        </w:rPr>
      </w:pPr>
      <w:r>
        <w:rPr>
          <w:rFonts w:hint="eastAsia" w:ascii="黑体" w:hAnsi="宋体" w:eastAsia="黑体"/>
          <w:sz w:val="24"/>
        </w:rPr>
        <w:t>42．公开招标失败的处理</w:t>
      </w:r>
    </w:p>
    <w:p w14:paraId="7946E630">
      <w:pPr>
        <w:ind w:firstLine="470" w:firstLineChars="196"/>
        <w:rPr>
          <w:rFonts w:ascii="宋体" w:hAnsi="宋体"/>
          <w:sz w:val="24"/>
        </w:rPr>
      </w:pPr>
      <w:r>
        <w:rPr>
          <w:rFonts w:hint="eastAsia" w:ascii="宋体" w:hAnsi="宋体"/>
          <w:sz w:val="24"/>
        </w:rPr>
        <w:t>42.1本项目公开招标过程中若由于投标截止后实际递交</w:t>
      </w:r>
      <w:r>
        <w:rPr>
          <w:rFonts w:ascii="宋体" w:hAnsi="宋体"/>
          <w:sz w:val="24"/>
        </w:rPr>
        <w:t>投标</w:t>
      </w:r>
      <w:r>
        <w:rPr>
          <w:rFonts w:hint="eastAsia" w:ascii="宋体" w:hAnsi="宋体"/>
          <w:sz w:val="24"/>
        </w:rPr>
        <w:t>文件的供应商数量不足、经评审委员会评审对招标文件作实质响应的供应商不足等原因造成公开招标失败，可由</w:t>
      </w:r>
      <w:r>
        <w:rPr>
          <w:rFonts w:hint="eastAsia" w:ascii="宋体" w:hAnsi="宋体" w:cs="宋体"/>
          <w:sz w:val="24"/>
        </w:rPr>
        <w:t>政府集中采购机构</w:t>
      </w:r>
      <w:r>
        <w:rPr>
          <w:rFonts w:hint="eastAsia" w:ascii="宋体" w:hAnsi="宋体"/>
          <w:sz w:val="24"/>
        </w:rPr>
        <w:t>重新组织采购。</w:t>
      </w:r>
    </w:p>
    <w:p w14:paraId="52214E57">
      <w:pPr>
        <w:ind w:firstLine="470" w:firstLineChars="196"/>
        <w:rPr>
          <w:rFonts w:ascii="宋体" w:hAnsi="宋体"/>
          <w:sz w:val="24"/>
        </w:rPr>
      </w:pPr>
      <w:r>
        <w:rPr>
          <w:rFonts w:hint="eastAsia" w:ascii="宋体" w:hAnsi="宋体"/>
          <w:sz w:val="24"/>
        </w:rPr>
        <w:t>42.2对公开招标失败的项目，评审委员会在出具该项目招标失败结论的同时，可以提出重新采购组织形式的建议，以及进一步完善招标文件的资格、技术、商务要求的修改建议。</w:t>
      </w:r>
    </w:p>
    <w:p w14:paraId="69197A39">
      <w:pPr>
        <w:ind w:firstLine="470" w:firstLineChars="196"/>
        <w:rPr>
          <w:rFonts w:ascii="宋体" w:hAnsi="宋体"/>
          <w:sz w:val="24"/>
        </w:rPr>
      </w:pPr>
      <w:r>
        <w:rPr>
          <w:rFonts w:hint="eastAsia" w:ascii="宋体" w:hAnsi="宋体"/>
          <w:sz w:val="24"/>
        </w:rPr>
        <w:t>42.3重新组织采购有以下两种组织形式：</w:t>
      </w:r>
    </w:p>
    <w:p w14:paraId="4836AA30">
      <w:pPr>
        <w:ind w:firstLine="470" w:firstLineChars="196"/>
        <w:rPr>
          <w:rFonts w:ascii="宋体" w:hAnsi="宋体"/>
          <w:sz w:val="24"/>
        </w:rPr>
      </w:pPr>
      <w:r>
        <w:rPr>
          <w:rFonts w:hint="eastAsia" w:ascii="宋体" w:hAnsi="宋体"/>
          <w:sz w:val="24"/>
        </w:rPr>
        <w:t>（1）由政府集中采购机构重新组织公开招标；</w:t>
      </w:r>
    </w:p>
    <w:p w14:paraId="42111B2A">
      <w:pPr>
        <w:ind w:firstLine="470" w:firstLineChars="196"/>
        <w:rPr>
          <w:rFonts w:ascii="宋体" w:hAnsi="宋体"/>
          <w:sz w:val="24"/>
        </w:rPr>
      </w:pPr>
      <w:r>
        <w:rPr>
          <w:rFonts w:hint="eastAsia" w:ascii="宋体" w:hAnsi="宋体"/>
          <w:sz w:val="24"/>
        </w:rPr>
        <w:t>（2）根据实际情况需要向同级财政部门提出非公开招标方式申请，经同级财政部门批准，公开招标失败采购项目可转为竞争性谈判或单一来源谈判方式采购。</w:t>
      </w:r>
    </w:p>
    <w:p w14:paraId="00FD6945">
      <w:pPr>
        <w:ind w:firstLine="470" w:firstLineChars="196"/>
        <w:rPr>
          <w:rFonts w:ascii="宋体" w:hAnsi="宋体"/>
          <w:sz w:val="24"/>
        </w:rPr>
      </w:pPr>
      <w:r>
        <w:rPr>
          <w:rFonts w:hint="eastAsia" w:ascii="宋体" w:hAnsi="宋体"/>
          <w:sz w:val="24"/>
        </w:rPr>
        <w:t>42.4公开招标失败的采购项目重新组织公开招标，由政府集中采购机构重新按公开招标流程组织采购活动。</w:t>
      </w:r>
    </w:p>
    <w:p w14:paraId="1B6CDBF0">
      <w:pPr>
        <w:rPr>
          <w:rFonts w:ascii="宋体" w:hAnsi="宋体"/>
          <w:sz w:val="24"/>
        </w:rPr>
      </w:pPr>
      <w:r>
        <w:rPr>
          <w:rFonts w:hint="eastAsia" w:ascii="宋体" w:hAnsi="宋体"/>
          <w:sz w:val="24"/>
        </w:rPr>
        <w:t>42.5公开招标失败的采购项目经同级财政部门批准转为竞争性谈判或单一来源谈判方式采购的，按规定要求组织政府采购工作。</w:t>
      </w:r>
    </w:p>
    <w:p w14:paraId="6D4FF1AB">
      <w:pPr>
        <w:rPr>
          <w:rFonts w:ascii="黑体" w:hAnsi="宋体" w:eastAsia="黑体"/>
          <w:sz w:val="24"/>
        </w:rPr>
      </w:pPr>
    </w:p>
    <w:p w14:paraId="214D6C6B">
      <w:pPr>
        <w:pStyle w:val="6"/>
        <w:numPr>
          <w:ilvl w:val="0"/>
          <w:numId w:val="21"/>
        </w:numPr>
        <w:spacing w:before="120" w:beforeLines="50" w:after="120" w:afterLines="50"/>
        <w:ind w:left="562" w:hanging="562"/>
        <w:rPr>
          <w:sz w:val="28"/>
          <w:szCs w:val="28"/>
        </w:rPr>
      </w:pPr>
      <w:bookmarkStart w:id="78" w:name="_Hlk72439043"/>
      <w:r>
        <w:rPr>
          <w:rFonts w:hint="eastAsia"/>
          <w:sz w:val="28"/>
          <w:szCs w:val="28"/>
        </w:rPr>
        <w:t>合同的授予与备案</w:t>
      </w:r>
      <w:bookmarkEnd w:id="78"/>
    </w:p>
    <w:p w14:paraId="38DD6EC4">
      <w:pPr>
        <w:rPr>
          <w:rFonts w:ascii="宋体" w:hAnsi="宋体" w:cs="宋体"/>
          <w:sz w:val="24"/>
        </w:rPr>
      </w:pPr>
      <w:bookmarkStart w:id="79" w:name="_Toc100052408"/>
      <w:bookmarkStart w:id="80" w:name="_Toc73518157"/>
      <w:bookmarkStart w:id="81" w:name="_Toc73521674"/>
      <w:bookmarkStart w:id="82" w:name="_Toc73521586"/>
      <w:bookmarkStart w:id="83" w:name="_Toc73517679"/>
      <w:bookmarkStart w:id="84" w:name="_Hlk72439088"/>
      <w:r>
        <w:rPr>
          <w:rFonts w:hint="eastAsia" w:ascii="宋体" w:hAnsi="宋体" w:cs="宋体"/>
          <w:sz w:val="24"/>
        </w:rPr>
        <w:t>43．合同授予标准</w:t>
      </w:r>
      <w:bookmarkEnd w:id="79"/>
      <w:bookmarkEnd w:id="80"/>
      <w:bookmarkEnd w:id="81"/>
      <w:bookmarkEnd w:id="82"/>
      <w:bookmarkEnd w:id="83"/>
    </w:p>
    <w:p w14:paraId="41F93D1B">
      <w:pPr>
        <w:ind w:firstLine="470" w:firstLineChars="196"/>
        <w:rPr>
          <w:rFonts w:ascii="宋体" w:hAnsi="宋体" w:cs="宋体"/>
          <w:sz w:val="24"/>
        </w:rPr>
      </w:pPr>
      <w:r>
        <w:rPr>
          <w:rFonts w:hint="eastAsia" w:ascii="宋体" w:hAnsi="宋体" w:cs="宋体"/>
          <w:sz w:val="24"/>
        </w:rPr>
        <w:t>本项目的合同将授予经本招标文件规定评审确定的中标供应商。</w:t>
      </w:r>
    </w:p>
    <w:p w14:paraId="2B0968C4">
      <w:pPr>
        <w:rPr>
          <w:rFonts w:ascii="宋体" w:hAnsi="宋体" w:cs="宋体"/>
          <w:sz w:val="24"/>
        </w:rPr>
      </w:pPr>
      <w:bookmarkStart w:id="85" w:name="_Toc73521675"/>
      <w:bookmarkStart w:id="86" w:name="_Toc100052409"/>
      <w:bookmarkStart w:id="87" w:name="_Toc73517680"/>
      <w:bookmarkStart w:id="88" w:name="_Toc73521587"/>
      <w:bookmarkStart w:id="89" w:name="_Toc73518158"/>
      <w:r>
        <w:rPr>
          <w:rFonts w:hint="eastAsia" w:ascii="宋体" w:hAnsi="宋体" w:cs="宋体"/>
          <w:sz w:val="24"/>
        </w:rPr>
        <w:t>44．</w:t>
      </w:r>
      <w:bookmarkEnd w:id="85"/>
      <w:bookmarkEnd w:id="86"/>
      <w:bookmarkEnd w:id="87"/>
      <w:bookmarkEnd w:id="88"/>
      <w:bookmarkEnd w:id="89"/>
      <w:r>
        <w:rPr>
          <w:rFonts w:hint="eastAsia" w:ascii="宋体" w:hAnsi="宋体" w:cs="宋体"/>
          <w:sz w:val="24"/>
        </w:rPr>
        <w:t>接受和拒绝任何或所有投标的权力</w:t>
      </w:r>
    </w:p>
    <w:p w14:paraId="116A4110">
      <w:pPr>
        <w:ind w:firstLine="470" w:firstLineChars="196"/>
        <w:rPr>
          <w:rFonts w:ascii="宋体" w:hAnsi="宋体" w:cs="宋体"/>
          <w:sz w:val="24"/>
        </w:rPr>
      </w:pPr>
      <w:r>
        <w:rPr>
          <w:rFonts w:hint="eastAsia" w:ascii="宋体" w:hAnsi="宋体" w:cs="宋体"/>
          <w:sz w:val="24"/>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51EE0ABC">
      <w:pPr>
        <w:rPr>
          <w:rFonts w:ascii="宋体" w:hAnsi="宋体" w:cs="宋体"/>
          <w:sz w:val="24"/>
        </w:rPr>
      </w:pPr>
      <w:bookmarkStart w:id="90" w:name="_Toc73518160"/>
      <w:bookmarkStart w:id="91" w:name="_Toc73517682"/>
      <w:bookmarkStart w:id="92" w:name="_Toc73521589"/>
      <w:bookmarkStart w:id="93" w:name="_Toc73521677"/>
      <w:bookmarkStart w:id="94" w:name="_Toc100052410"/>
      <w:r>
        <w:rPr>
          <w:rFonts w:hint="eastAsia" w:ascii="宋体" w:hAnsi="宋体" w:cs="宋体"/>
          <w:sz w:val="24"/>
        </w:rPr>
        <w:t>45．合同的签订</w:t>
      </w:r>
      <w:bookmarkEnd w:id="90"/>
      <w:bookmarkEnd w:id="91"/>
      <w:bookmarkEnd w:id="92"/>
      <w:bookmarkEnd w:id="93"/>
      <w:bookmarkEnd w:id="94"/>
    </w:p>
    <w:p w14:paraId="472DE2D0">
      <w:pPr>
        <w:ind w:firstLine="470" w:firstLineChars="196"/>
        <w:rPr>
          <w:rFonts w:ascii="宋体" w:hAnsi="宋体" w:cs="宋体"/>
          <w:sz w:val="24"/>
        </w:rPr>
      </w:pPr>
      <w:r>
        <w:rPr>
          <w:rFonts w:hint="eastAsia" w:ascii="宋体" w:hAnsi="宋体" w:cs="宋体"/>
          <w:sz w:val="24"/>
        </w:rPr>
        <w:t>45.1中标人将于中标通知书发出之日起十个工作日内，按照采购文件（招标文件和投标文件等）内容与采购人签订政府采购合同；合同的实质性内容应当符合招标文件的规定；</w:t>
      </w:r>
    </w:p>
    <w:p w14:paraId="1471EC1E">
      <w:pPr>
        <w:ind w:firstLine="470" w:firstLineChars="196"/>
        <w:rPr>
          <w:rFonts w:ascii="宋体" w:hAnsi="宋体" w:cs="宋体"/>
          <w:sz w:val="24"/>
        </w:rPr>
      </w:pPr>
      <w:r>
        <w:rPr>
          <w:rFonts w:hint="eastAsia" w:ascii="宋体" w:hAnsi="宋体" w:cs="宋体"/>
          <w:sz w:val="24"/>
        </w:rPr>
        <w:t>45.2中标人如不按本通用条款第45.1款的规定与采购人签订合同，</w:t>
      </w:r>
      <w:r>
        <w:rPr>
          <w:rFonts w:hint="eastAsia" w:ascii="宋体" w:hAnsi="宋体" w:cs="宋体"/>
          <w:kern w:val="0"/>
          <w:sz w:val="24"/>
        </w:rPr>
        <w:t>情节严重的，由同级财政部门记入供应商诚信档案，予以通报</w:t>
      </w:r>
      <w:r>
        <w:rPr>
          <w:rFonts w:hint="eastAsia" w:ascii="宋体" w:hAnsi="宋体" w:cs="宋体"/>
          <w:sz w:val="24"/>
        </w:rPr>
        <w:t>；</w:t>
      </w:r>
    </w:p>
    <w:p w14:paraId="15585B8D">
      <w:pPr>
        <w:ind w:firstLine="470" w:firstLineChars="196"/>
        <w:rPr>
          <w:rFonts w:ascii="宋体" w:hAnsi="宋体" w:cs="宋体"/>
          <w:sz w:val="24"/>
        </w:rPr>
      </w:pPr>
      <w:r>
        <w:rPr>
          <w:rFonts w:hint="eastAsia" w:ascii="宋体" w:hAnsi="宋体" w:cs="宋体"/>
          <w:sz w:val="24"/>
        </w:rPr>
        <w:t>45.3中标人应当按照合同约定履行义务，完成中标项目，不得将中标项目转让（转包）给他人。</w:t>
      </w:r>
    </w:p>
    <w:p w14:paraId="4FF99886">
      <w:pPr>
        <w:rPr>
          <w:rFonts w:ascii="宋体" w:hAnsi="宋体" w:cs="宋体"/>
          <w:sz w:val="24"/>
        </w:rPr>
      </w:pPr>
      <w:bookmarkStart w:id="95" w:name="_Toc73517683"/>
      <w:bookmarkStart w:id="96" w:name="_Toc73521590"/>
      <w:bookmarkStart w:id="97" w:name="_Toc73518161"/>
      <w:bookmarkStart w:id="98" w:name="_Toc100052411"/>
      <w:bookmarkStart w:id="99" w:name="_Toc73521678"/>
      <w:r>
        <w:rPr>
          <w:rFonts w:hint="eastAsia" w:ascii="宋体" w:hAnsi="宋体" w:cs="宋体"/>
          <w:sz w:val="24"/>
        </w:rPr>
        <w:t>46．履约担保</w:t>
      </w:r>
      <w:bookmarkEnd w:id="95"/>
      <w:bookmarkEnd w:id="96"/>
      <w:bookmarkEnd w:id="97"/>
      <w:bookmarkEnd w:id="98"/>
      <w:bookmarkEnd w:id="99"/>
    </w:p>
    <w:p w14:paraId="3B4EA179">
      <w:pPr>
        <w:ind w:firstLine="470" w:firstLineChars="196"/>
        <w:rPr>
          <w:rFonts w:ascii="宋体" w:hAnsi="宋体" w:cs="宋体"/>
          <w:sz w:val="24"/>
        </w:rPr>
      </w:pPr>
      <w:r>
        <w:rPr>
          <w:rFonts w:hint="eastAsia" w:ascii="宋体" w:hAnsi="宋体" w:cs="宋体"/>
          <w:sz w:val="24"/>
        </w:rPr>
        <w:t>46.1在签订项目合同的同时，中标人应按“对通用条款的补充内容”中规定的金额向采购人提交履约担保；</w:t>
      </w:r>
    </w:p>
    <w:p w14:paraId="6AA159DB">
      <w:pPr>
        <w:ind w:firstLine="470" w:firstLineChars="196"/>
        <w:rPr>
          <w:rFonts w:ascii="宋体" w:hAnsi="宋体" w:cs="宋体"/>
          <w:sz w:val="24"/>
        </w:rPr>
      </w:pPr>
      <w:r>
        <w:rPr>
          <w:rFonts w:hint="eastAsia" w:ascii="宋体" w:hAnsi="宋体" w:cs="宋体"/>
          <w:sz w:val="24"/>
        </w:rPr>
        <w:t>46.2，允许供应商自主选择以支票、汇票、本票、保函等非现金方式提交履约担保；中标人提交履约担保不是合同签订的前提条件，不要求中标人提供除法律、法规明确规定外的其他担保。</w:t>
      </w:r>
    </w:p>
    <w:p w14:paraId="44782814">
      <w:pPr>
        <w:rPr>
          <w:rFonts w:ascii="宋体" w:hAnsi="宋体" w:cs="宋体"/>
          <w:sz w:val="24"/>
        </w:rPr>
      </w:pPr>
      <w:r>
        <w:rPr>
          <w:rFonts w:hint="eastAsia" w:ascii="宋体" w:hAnsi="宋体" w:cs="宋体"/>
          <w:sz w:val="24"/>
        </w:rPr>
        <w:t>47.合同备案</w:t>
      </w:r>
    </w:p>
    <w:p w14:paraId="56289901">
      <w:pPr>
        <w:ind w:firstLine="470" w:firstLineChars="196"/>
        <w:rPr>
          <w:rFonts w:ascii="宋体" w:hAnsi="宋体" w:cs="宋体"/>
          <w:sz w:val="24"/>
        </w:rPr>
      </w:pPr>
      <w:r>
        <w:rPr>
          <w:rFonts w:hint="eastAsia" w:ascii="宋体" w:hAnsi="宋体" w:cs="宋体"/>
          <w:sz w:val="24"/>
        </w:rPr>
        <w:t>采购人与中标供应商自中标通知书发出之日起10个工作日内签订政府采购合同，并按财政部门规定提交备案。</w:t>
      </w:r>
    </w:p>
    <w:p w14:paraId="50F78CA2">
      <w:pPr>
        <w:rPr>
          <w:rFonts w:ascii="宋体" w:hAnsi="宋体" w:cs="宋体"/>
          <w:sz w:val="24"/>
        </w:rPr>
      </w:pPr>
      <w:r>
        <w:rPr>
          <w:rFonts w:hint="eastAsia" w:ascii="宋体" w:hAnsi="宋体" w:cs="宋体"/>
          <w:sz w:val="24"/>
        </w:rPr>
        <w:t>48.合同变更</w:t>
      </w:r>
    </w:p>
    <w:p w14:paraId="0EBC884B">
      <w:pPr>
        <w:ind w:firstLine="470" w:firstLineChars="196"/>
        <w:rPr>
          <w:rFonts w:ascii="宋体" w:hAnsi="宋体" w:cs="宋体"/>
          <w:sz w:val="24"/>
        </w:rPr>
      </w:pPr>
      <w:r>
        <w:rPr>
          <w:rFonts w:hint="eastAsia" w:ascii="宋体" w:hAnsi="宋体" w:cs="宋体"/>
          <w:sz w:val="24"/>
        </w:rPr>
        <w:t>合同变更事宜按《深圳市财政局关于优化政府采购合同备案的通知》（深财发保〔2022〕2号）相关规定执行。</w:t>
      </w:r>
    </w:p>
    <w:p w14:paraId="64A19B92">
      <w:pPr>
        <w:rPr>
          <w:rFonts w:ascii="宋体" w:hAnsi="宋体" w:cs="宋体"/>
          <w:sz w:val="24"/>
        </w:rPr>
      </w:pPr>
      <w:r>
        <w:rPr>
          <w:rFonts w:hint="eastAsia" w:ascii="宋体" w:hAnsi="宋体" w:cs="宋体"/>
          <w:sz w:val="24"/>
        </w:rPr>
        <w:t>49.项目验收</w:t>
      </w:r>
    </w:p>
    <w:p w14:paraId="0202075E">
      <w:pPr>
        <w:widowControl/>
        <w:ind w:right="176" w:firstLine="420"/>
        <w:jc w:val="left"/>
        <w:rPr>
          <w:rFonts w:ascii="宋体" w:hAnsi="宋体" w:cs="宋体"/>
          <w:sz w:val="24"/>
        </w:rPr>
      </w:pPr>
      <w:r>
        <w:rPr>
          <w:rFonts w:hint="eastAsia" w:ascii="宋体" w:hAnsi="宋体" w:cs="宋体"/>
          <w:sz w:val="24"/>
        </w:rPr>
        <w:t>49.1采购人应当按照招标文件和合同规定的标准和方法，及时组织验收。</w:t>
      </w:r>
    </w:p>
    <w:p w14:paraId="222D9529">
      <w:pPr>
        <w:rPr>
          <w:rFonts w:ascii="宋体" w:hAnsi="宋体" w:cs="宋体"/>
          <w:sz w:val="24"/>
        </w:rPr>
      </w:pPr>
      <w:r>
        <w:rPr>
          <w:rFonts w:hint="eastAsia" w:ascii="宋体" w:hAnsi="宋体" w:cs="宋体"/>
          <w:sz w:val="24"/>
        </w:rPr>
        <w:t>50.宣传</w:t>
      </w:r>
    </w:p>
    <w:p w14:paraId="172B58F4">
      <w:pPr>
        <w:ind w:left="210" w:leftChars="100" w:firstLine="470" w:firstLineChars="196"/>
        <w:rPr>
          <w:rFonts w:ascii="宋体" w:hAnsi="宋体" w:cs="宋体"/>
          <w:sz w:val="24"/>
        </w:rPr>
      </w:pPr>
      <w:r>
        <w:rPr>
          <w:rFonts w:hint="eastAsia" w:ascii="宋体" w:hAnsi="宋体" w:cs="宋体"/>
          <w:sz w:val="24"/>
        </w:rPr>
        <w:t>凡与政府采购活动有关的宣传或广告，若当中提及政府采购，必须事先将具体对外宣传方案报同级财政部门和政府集中采购机构，并征得其同意。对外市场宣传包括但不限于以下形式：</w:t>
      </w:r>
    </w:p>
    <w:p w14:paraId="606366B3">
      <w:pPr>
        <w:ind w:left="210" w:leftChars="100" w:firstLine="470" w:firstLineChars="196"/>
        <w:rPr>
          <w:rFonts w:ascii="宋体" w:hAnsi="宋体" w:cs="宋体"/>
          <w:sz w:val="24"/>
        </w:rPr>
      </w:pPr>
      <w:r>
        <w:rPr>
          <w:rFonts w:hint="eastAsia" w:ascii="宋体" w:hAnsi="宋体" w:cs="宋体"/>
          <w:sz w:val="24"/>
        </w:rPr>
        <w:t>a.名片、宣传册、广告标语等；</w:t>
      </w:r>
    </w:p>
    <w:p w14:paraId="1972B155">
      <w:pPr>
        <w:ind w:left="210" w:leftChars="100" w:firstLine="470" w:firstLineChars="196"/>
        <w:rPr>
          <w:rFonts w:ascii="宋体" w:hAnsi="宋体" w:cs="宋体"/>
          <w:sz w:val="24"/>
        </w:rPr>
      </w:pPr>
      <w:r>
        <w:rPr>
          <w:rFonts w:hint="eastAsia" w:ascii="宋体" w:hAnsi="宋体" w:cs="宋体"/>
          <w:sz w:val="24"/>
        </w:rPr>
        <w:t>b.案例介绍、推广等；</w:t>
      </w:r>
    </w:p>
    <w:p w14:paraId="1BEEC6AA">
      <w:pPr>
        <w:ind w:left="210" w:leftChars="100" w:firstLine="470" w:firstLineChars="196"/>
        <w:rPr>
          <w:rFonts w:ascii="宋体" w:hAnsi="宋体" w:cs="宋体"/>
          <w:sz w:val="24"/>
        </w:rPr>
      </w:pPr>
      <w:r>
        <w:rPr>
          <w:rFonts w:hint="eastAsia" w:ascii="宋体" w:hAnsi="宋体" w:cs="宋体"/>
          <w:sz w:val="24"/>
        </w:rPr>
        <w:t>c.工作人员向其他消费群体宣传。</w:t>
      </w:r>
    </w:p>
    <w:p w14:paraId="65EBEF55">
      <w:pPr>
        <w:rPr>
          <w:rFonts w:ascii="宋体" w:hAnsi="宋体" w:cs="宋体"/>
          <w:sz w:val="24"/>
        </w:rPr>
      </w:pPr>
      <w:r>
        <w:rPr>
          <w:rFonts w:hint="eastAsia" w:ascii="宋体" w:hAnsi="宋体" w:cs="宋体"/>
          <w:sz w:val="24"/>
        </w:rPr>
        <w:t>51.供应商违法责任</w:t>
      </w:r>
    </w:p>
    <w:p w14:paraId="2490CB1E">
      <w:pPr>
        <w:ind w:firstLine="470" w:firstLineChars="196"/>
        <w:rPr>
          <w:rFonts w:ascii="宋体" w:hAnsi="宋体" w:cs="宋体"/>
          <w:sz w:val="24"/>
        </w:rPr>
      </w:pPr>
      <w:r>
        <w:rPr>
          <w:rFonts w:hint="eastAsia" w:ascii="宋体" w:hAnsi="宋体" w:cs="宋体"/>
          <w:sz w:val="24"/>
        </w:rPr>
        <w:t>51.1《深圳经济特区政府采购条例》第五十七条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568E6A0E">
      <w:pPr>
        <w:ind w:firstLine="470" w:firstLineChars="196"/>
        <w:rPr>
          <w:rFonts w:ascii="宋体" w:hAnsi="宋体" w:cs="宋体"/>
          <w:sz w:val="24"/>
        </w:rPr>
      </w:pPr>
      <w:r>
        <w:rPr>
          <w:rFonts w:hint="eastAsia" w:ascii="宋体" w:hAnsi="宋体" w:cs="宋体"/>
          <w:sz w:val="24"/>
        </w:rPr>
        <w:t>（1）在采购活动中应当回避而未回避的；</w:t>
      </w:r>
    </w:p>
    <w:p w14:paraId="35F2B0F4">
      <w:pPr>
        <w:ind w:firstLine="470" w:firstLineChars="196"/>
        <w:rPr>
          <w:rFonts w:ascii="宋体" w:hAnsi="宋体" w:cs="宋体"/>
          <w:sz w:val="24"/>
        </w:rPr>
      </w:pPr>
      <w:r>
        <w:rPr>
          <w:rFonts w:hint="eastAsia" w:ascii="宋体" w:hAnsi="宋体" w:cs="宋体"/>
          <w:sz w:val="24"/>
        </w:rPr>
        <w:t>（2）未按本条例规定签订、履行采购合同，造成严重后果的；</w:t>
      </w:r>
    </w:p>
    <w:p w14:paraId="5A710A31">
      <w:pPr>
        <w:ind w:firstLine="470" w:firstLineChars="196"/>
        <w:rPr>
          <w:rFonts w:ascii="宋体" w:hAnsi="宋体" w:cs="宋体"/>
          <w:sz w:val="24"/>
        </w:rPr>
      </w:pPr>
      <w:r>
        <w:rPr>
          <w:rFonts w:hint="eastAsia" w:ascii="宋体" w:hAnsi="宋体" w:cs="宋体"/>
          <w:sz w:val="24"/>
        </w:rPr>
        <w:t>（3）隐瞒真实情况，提供虚假资料的；</w:t>
      </w:r>
    </w:p>
    <w:p w14:paraId="7826A37D">
      <w:pPr>
        <w:ind w:firstLine="470" w:firstLineChars="196"/>
        <w:rPr>
          <w:rFonts w:ascii="宋体" w:hAnsi="宋体" w:cs="宋体"/>
          <w:sz w:val="24"/>
        </w:rPr>
      </w:pPr>
      <w:r>
        <w:rPr>
          <w:rFonts w:hint="eastAsia" w:ascii="宋体" w:hAnsi="宋体" w:cs="宋体"/>
          <w:sz w:val="24"/>
        </w:rPr>
        <w:t>（4）以非法手段排斥其他供应商参与竞争的；</w:t>
      </w:r>
    </w:p>
    <w:p w14:paraId="0C1A2A99">
      <w:pPr>
        <w:ind w:firstLine="470" w:firstLineChars="196"/>
        <w:rPr>
          <w:rFonts w:ascii="宋体" w:hAnsi="宋体" w:cs="宋体"/>
          <w:sz w:val="24"/>
        </w:rPr>
      </w:pPr>
      <w:r>
        <w:rPr>
          <w:rFonts w:hint="eastAsia" w:ascii="宋体" w:hAnsi="宋体" w:cs="宋体"/>
          <w:sz w:val="24"/>
        </w:rPr>
        <w:t>（5）与其他采购参加人串通投标的；</w:t>
      </w:r>
    </w:p>
    <w:p w14:paraId="66501F7E">
      <w:pPr>
        <w:ind w:firstLine="470" w:firstLineChars="196"/>
        <w:rPr>
          <w:rFonts w:ascii="宋体" w:hAnsi="宋体" w:cs="宋体"/>
          <w:sz w:val="24"/>
        </w:rPr>
      </w:pPr>
      <w:r>
        <w:rPr>
          <w:rFonts w:hint="eastAsia" w:ascii="宋体" w:hAnsi="宋体" w:cs="宋体"/>
          <w:sz w:val="24"/>
        </w:rPr>
        <w:t>（6）恶意投诉的；</w:t>
      </w:r>
    </w:p>
    <w:p w14:paraId="37E8CC62">
      <w:pPr>
        <w:ind w:firstLine="470" w:firstLineChars="196"/>
        <w:rPr>
          <w:rFonts w:ascii="宋体" w:hAnsi="宋体" w:cs="宋体"/>
          <w:sz w:val="24"/>
        </w:rPr>
      </w:pPr>
      <w:r>
        <w:rPr>
          <w:rFonts w:hint="eastAsia" w:ascii="宋体" w:hAnsi="宋体" w:cs="宋体"/>
          <w:sz w:val="24"/>
        </w:rPr>
        <w:t>（7）向采购项目相关人行贿或者提供其他不当利益的；</w:t>
      </w:r>
    </w:p>
    <w:p w14:paraId="1A7B1945">
      <w:pPr>
        <w:ind w:firstLine="470" w:firstLineChars="196"/>
        <w:rPr>
          <w:rFonts w:ascii="宋体" w:hAnsi="宋体" w:cs="宋体"/>
          <w:sz w:val="24"/>
        </w:rPr>
      </w:pPr>
      <w:r>
        <w:rPr>
          <w:rFonts w:hint="eastAsia" w:ascii="宋体" w:hAnsi="宋体" w:cs="宋体"/>
          <w:sz w:val="24"/>
        </w:rPr>
        <w:t>（8）阻碍、抗拒主管部门监督检查的；</w:t>
      </w:r>
    </w:p>
    <w:p w14:paraId="3B1978EF">
      <w:pPr>
        <w:ind w:firstLine="470" w:firstLineChars="196"/>
        <w:rPr>
          <w:rFonts w:ascii="宋体" w:hAnsi="宋体" w:cs="宋体"/>
          <w:sz w:val="24"/>
        </w:rPr>
      </w:pPr>
      <w:r>
        <w:rPr>
          <w:rFonts w:hint="eastAsia" w:ascii="宋体" w:hAnsi="宋体" w:cs="宋体"/>
          <w:sz w:val="24"/>
        </w:rPr>
        <w:t>（9）其他违反本条例规定的行为。</w:t>
      </w:r>
    </w:p>
    <w:p w14:paraId="503C10C7">
      <w:pPr>
        <w:ind w:firstLine="470" w:firstLineChars="196"/>
        <w:rPr>
          <w:rFonts w:ascii="宋体" w:hAnsi="宋体" w:cs="宋体"/>
          <w:sz w:val="24"/>
        </w:rPr>
      </w:pPr>
      <w:r>
        <w:rPr>
          <w:rFonts w:hint="eastAsia" w:ascii="宋体" w:hAnsi="宋体" w:cs="宋体"/>
          <w:sz w:val="24"/>
        </w:rPr>
        <w:t>51.2根据《深圳市财政局关于调整政府采购投标（响应）保证金管理政策的通知》（深财购〔2021〕51号）的要求，供应商在政府采购活动中出现《深圳经济特区政府采购条例实施细则》第八十条所列情形的，</w:t>
      </w:r>
      <w:bookmarkStart w:id="100" w:name="_Hlk72440769"/>
      <w:r>
        <w:rPr>
          <w:rFonts w:hint="eastAsia" w:ascii="宋体" w:hAnsi="宋体" w:cs="宋体"/>
          <w:sz w:val="24"/>
        </w:rPr>
        <w:t>政府集中采购机构或采购人不予退还其交纳的谈判保证金，情节严重的，并由主管部门</w:t>
      </w:r>
      <w:bookmarkEnd w:id="100"/>
      <w:r>
        <w:rPr>
          <w:rFonts w:hint="eastAsia" w:ascii="宋体" w:hAnsi="宋体" w:cs="宋体"/>
          <w:sz w:val="24"/>
        </w:rPr>
        <w:t>记入供应商诚信档案，予以通报：</w:t>
      </w:r>
    </w:p>
    <w:p w14:paraId="379CDE91">
      <w:pPr>
        <w:ind w:firstLine="470" w:firstLineChars="196"/>
        <w:rPr>
          <w:rFonts w:ascii="宋体" w:hAnsi="宋体" w:cs="宋体"/>
          <w:sz w:val="24"/>
        </w:rPr>
      </w:pPr>
      <w:r>
        <w:rPr>
          <w:rFonts w:hint="eastAsia" w:ascii="宋体" w:hAnsi="宋体" w:cs="宋体"/>
          <w:sz w:val="24"/>
        </w:rPr>
        <w:t>（1）投标截止后，撤销投标的；</w:t>
      </w:r>
    </w:p>
    <w:p w14:paraId="6E9AB050">
      <w:pPr>
        <w:ind w:firstLine="470" w:firstLineChars="196"/>
        <w:rPr>
          <w:rFonts w:ascii="宋体" w:hAnsi="宋体" w:cs="宋体"/>
          <w:sz w:val="24"/>
        </w:rPr>
      </w:pPr>
      <w:r>
        <w:rPr>
          <w:rFonts w:hint="eastAsia" w:ascii="宋体" w:hAnsi="宋体" w:cs="宋体"/>
          <w:sz w:val="24"/>
        </w:rPr>
        <w:t>（2）中标后无正当理由未在规定期限内签订合同的；</w:t>
      </w:r>
    </w:p>
    <w:p w14:paraId="1333E32E">
      <w:pPr>
        <w:ind w:firstLine="470" w:firstLineChars="196"/>
        <w:rPr>
          <w:rFonts w:ascii="宋体" w:hAnsi="宋体" w:cs="宋体"/>
          <w:sz w:val="24"/>
        </w:rPr>
      </w:pPr>
      <w:r>
        <w:rPr>
          <w:rFonts w:hint="eastAsia" w:ascii="宋体" w:hAnsi="宋体" w:cs="宋体"/>
          <w:sz w:val="24"/>
        </w:rPr>
        <w:t>（3）将中标项目转让给他人，或者在投标文件中未说明且未经采购人、采购招标机构同意，将中标项目分包给他人的；</w:t>
      </w:r>
    </w:p>
    <w:p w14:paraId="13C43BA4">
      <w:pPr>
        <w:ind w:firstLine="470" w:firstLineChars="196"/>
        <w:rPr>
          <w:rFonts w:ascii="宋体" w:hAnsi="宋体" w:cs="宋体"/>
          <w:sz w:val="24"/>
        </w:rPr>
      </w:pPr>
      <w:r>
        <w:rPr>
          <w:rFonts w:hint="eastAsia" w:ascii="宋体" w:hAnsi="宋体" w:cs="宋体"/>
          <w:sz w:val="24"/>
        </w:rPr>
        <w:t>（4）拒绝履行合同义务的。</w:t>
      </w:r>
    </w:p>
    <w:bookmarkEnd w:id="84"/>
    <w:p w14:paraId="0681ECB1">
      <w:pPr>
        <w:pStyle w:val="6"/>
        <w:numPr>
          <w:ilvl w:val="0"/>
          <w:numId w:val="21"/>
        </w:numPr>
        <w:spacing w:before="120" w:beforeLines="50" w:after="120" w:afterLines="50"/>
        <w:ind w:left="562" w:hanging="562"/>
        <w:rPr>
          <w:sz w:val="28"/>
          <w:szCs w:val="28"/>
        </w:rPr>
      </w:pPr>
      <w:r>
        <w:rPr>
          <w:rFonts w:hint="eastAsia"/>
          <w:sz w:val="28"/>
          <w:szCs w:val="28"/>
        </w:rPr>
        <w:t>质疑处理</w:t>
      </w:r>
    </w:p>
    <w:p w14:paraId="1CDBEE0B">
      <w:pPr>
        <w:rPr>
          <w:rFonts w:ascii="黑体" w:hAnsi="宋体" w:eastAsia="黑体"/>
          <w:sz w:val="24"/>
        </w:rPr>
      </w:pPr>
      <w:r>
        <w:rPr>
          <w:rFonts w:hint="eastAsia" w:ascii="黑体" w:hAnsi="宋体" w:eastAsia="黑体"/>
          <w:sz w:val="24"/>
        </w:rPr>
        <w:t>52.质疑提出与答复</w:t>
      </w:r>
    </w:p>
    <w:p w14:paraId="7AC67F8A">
      <w:pPr>
        <w:rPr>
          <w:rFonts w:ascii="宋体" w:hAnsi="宋体" w:cs="宋体"/>
          <w:sz w:val="24"/>
        </w:rPr>
      </w:pPr>
      <w:r>
        <w:rPr>
          <w:rFonts w:hint="eastAsia" w:ascii="宋体" w:hAnsi="宋体" w:cs="宋体"/>
          <w:sz w:val="24"/>
        </w:rPr>
        <w:t>52.1提出质疑</w:t>
      </w:r>
    </w:p>
    <w:p w14:paraId="14A5675A">
      <w:pPr>
        <w:rPr>
          <w:rFonts w:ascii="宋体" w:hAnsi="宋体" w:cs="宋体"/>
          <w:sz w:val="24"/>
        </w:rPr>
      </w:pPr>
      <w:r>
        <w:rPr>
          <w:rFonts w:hint="eastAsia" w:ascii="宋体" w:hAnsi="宋体" w:cs="宋体"/>
          <w:sz w:val="24"/>
        </w:rPr>
        <w:t>参与政府采购活动的供应商认为自己的权益在采购活动中受到损害的，应当自知道或者应当知道其权益受到损害之日起七个工作日内向采购人、政府集中采购机构以书面形式提出质疑。</w:t>
      </w:r>
    </w:p>
    <w:p w14:paraId="09FF25FF">
      <w:pPr>
        <w:rPr>
          <w:rFonts w:ascii="宋体" w:hAnsi="宋体" w:cs="宋体"/>
          <w:sz w:val="24"/>
        </w:rPr>
      </w:pPr>
      <w:r>
        <w:rPr>
          <w:rFonts w:hint="eastAsia" w:ascii="宋体" w:hAnsi="宋体" w:cs="宋体"/>
          <w:sz w:val="24"/>
        </w:rPr>
        <w:t>52.2法律依据</w:t>
      </w:r>
    </w:p>
    <w:p w14:paraId="0A9231F9">
      <w:pPr>
        <w:rPr>
          <w:rFonts w:ascii="宋体" w:hAnsi="宋体" w:cs="宋体"/>
          <w:sz w:val="24"/>
        </w:rPr>
      </w:pPr>
      <w:r>
        <w:rPr>
          <w:rFonts w:hint="eastAsia" w:ascii="宋体" w:hAnsi="宋体" w:cs="宋体"/>
          <w:sz w:val="24"/>
        </w:rPr>
        <w:t>《中华人民共和国政府采购法</w:t>
      </w:r>
      <w:r>
        <w:rPr>
          <w:rFonts w:hint="eastAsia" w:ascii="宋体" w:hAnsi="宋体" w:cs="宋体"/>
          <w:sz w:val="24"/>
          <w:lang w:eastAsia="zh-CN"/>
        </w:rPr>
        <w:t>》《</w:t>
      </w:r>
      <w:r>
        <w:rPr>
          <w:rFonts w:hint="eastAsia" w:ascii="宋体" w:hAnsi="宋体" w:cs="宋体"/>
          <w:sz w:val="24"/>
        </w:rPr>
        <w:t>中华人民共和国政府采购法实施条例</w:t>
      </w:r>
      <w:r>
        <w:rPr>
          <w:rFonts w:hint="eastAsia" w:ascii="宋体" w:hAnsi="宋体" w:cs="宋体"/>
          <w:sz w:val="24"/>
          <w:lang w:eastAsia="zh-CN"/>
        </w:rPr>
        <w:t>》《</w:t>
      </w:r>
      <w:r>
        <w:rPr>
          <w:rFonts w:hint="eastAsia" w:ascii="宋体" w:hAnsi="宋体" w:cs="宋体"/>
          <w:sz w:val="24"/>
        </w:rPr>
        <w:t>深圳经济特区政府采购条例</w:t>
      </w:r>
      <w:r>
        <w:rPr>
          <w:rFonts w:hint="eastAsia" w:ascii="宋体" w:hAnsi="宋体" w:cs="宋体"/>
          <w:sz w:val="24"/>
          <w:lang w:eastAsia="zh-CN"/>
        </w:rPr>
        <w:t>》《</w:t>
      </w:r>
      <w:r>
        <w:rPr>
          <w:rFonts w:hint="eastAsia" w:ascii="宋体" w:hAnsi="宋体" w:cs="宋体"/>
          <w:sz w:val="24"/>
        </w:rPr>
        <w:t>深圳经济特区政府采购条例实施细则</w:t>
      </w:r>
      <w:r>
        <w:rPr>
          <w:rFonts w:hint="eastAsia" w:ascii="宋体" w:hAnsi="宋体" w:cs="宋体"/>
          <w:sz w:val="24"/>
          <w:lang w:eastAsia="zh-CN"/>
        </w:rPr>
        <w:t>》《</w:t>
      </w:r>
      <w:r>
        <w:rPr>
          <w:rFonts w:hint="eastAsia" w:ascii="宋体" w:hAnsi="宋体" w:cs="宋体"/>
          <w:sz w:val="24"/>
        </w:rPr>
        <w:t>政府采购质疑和投诉办法》（财政部令第94号）和其他有关法律法规规定。</w:t>
      </w:r>
    </w:p>
    <w:p w14:paraId="1AE6FB87">
      <w:pPr>
        <w:rPr>
          <w:rFonts w:ascii="宋体" w:hAnsi="宋体" w:cs="宋体"/>
          <w:sz w:val="24"/>
        </w:rPr>
      </w:pPr>
      <w:r>
        <w:rPr>
          <w:rFonts w:hint="eastAsia" w:ascii="宋体" w:hAnsi="宋体" w:cs="宋体"/>
          <w:sz w:val="24"/>
        </w:rPr>
        <w:t>52.3质疑条件</w:t>
      </w:r>
    </w:p>
    <w:p w14:paraId="2878CD32">
      <w:pPr>
        <w:rPr>
          <w:rFonts w:ascii="宋体" w:hAnsi="宋体" w:cs="宋体"/>
          <w:sz w:val="24"/>
        </w:rPr>
      </w:pPr>
      <w:r>
        <w:rPr>
          <w:rFonts w:hint="eastAsia" w:ascii="宋体" w:hAnsi="宋体" w:cs="宋体"/>
          <w:sz w:val="24"/>
        </w:rPr>
        <w:t>52.3.1提出质疑的供应商应当是参与所质疑项目采购活动的供应商；以联合体形式参与的，质疑应当由组成联合体的所有成员共同提出；</w:t>
      </w:r>
    </w:p>
    <w:p w14:paraId="7C61E25A">
      <w:pPr>
        <w:ind w:firstLine="420"/>
        <w:rPr>
          <w:rFonts w:ascii="宋体" w:hAnsi="宋体" w:cs="宋体"/>
          <w:sz w:val="24"/>
        </w:rPr>
      </w:pPr>
      <w:r>
        <w:rPr>
          <w:rFonts w:hint="eastAsia" w:ascii="宋体" w:hAnsi="宋体" w:cs="宋体"/>
          <w:sz w:val="24"/>
        </w:rPr>
        <w:t xml:space="preserve"> 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成交）结果以及评审委员会组成人员的质疑，为中标（成交）结果公示之日；</w:t>
      </w:r>
    </w:p>
    <w:p w14:paraId="18CA7243">
      <w:pPr>
        <w:ind w:firstLine="420"/>
        <w:rPr>
          <w:rFonts w:ascii="宋体" w:hAnsi="宋体" w:cs="宋体"/>
          <w:sz w:val="24"/>
        </w:rPr>
      </w:pPr>
      <w:r>
        <w:rPr>
          <w:rFonts w:hint="eastAsia" w:ascii="宋体" w:hAnsi="宋体" w:cs="宋体"/>
          <w:sz w:val="24"/>
        </w:rPr>
        <w:t>52.3.3应提交书面质疑函，质疑函应当包括以下内容：</w:t>
      </w:r>
    </w:p>
    <w:p w14:paraId="6E2A5F17">
      <w:pPr>
        <w:ind w:firstLine="420"/>
        <w:rPr>
          <w:rFonts w:ascii="宋体" w:hAnsi="宋体" w:cs="宋体"/>
          <w:sz w:val="24"/>
        </w:rPr>
      </w:pPr>
      <w:r>
        <w:rPr>
          <w:rFonts w:hint="eastAsia" w:ascii="宋体" w:hAnsi="宋体" w:cs="宋体"/>
          <w:sz w:val="24"/>
        </w:rPr>
        <w:t>（1）供应商的名称（或者姓名）、地址、邮编、邮箱、联系人及联系电话；</w:t>
      </w:r>
    </w:p>
    <w:p w14:paraId="77696322">
      <w:pPr>
        <w:ind w:firstLine="480" w:firstLineChars="200"/>
        <w:rPr>
          <w:rFonts w:ascii="宋体" w:hAnsi="宋体" w:cs="宋体"/>
          <w:sz w:val="24"/>
        </w:rPr>
      </w:pPr>
      <w:r>
        <w:rPr>
          <w:rFonts w:hint="eastAsia" w:ascii="宋体" w:hAnsi="宋体" w:cs="宋体"/>
          <w:sz w:val="24"/>
        </w:rPr>
        <w:t>（2）质疑项目的名称、编号；</w:t>
      </w:r>
    </w:p>
    <w:p w14:paraId="74117919">
      <w:pPr>
        <w:ind w:firstLine="480" w:firstLineChars="200"/>
        <w:rPr>
          <w:rFonts w:ascii="宋体" w:hAnsi="宋体" w:cs="宋体"/>
          <w:sz w:val="24"/>
        </w:rPr>
      </w:pPr>
      <w:r>
        <w:rPr>
          <w:rFonts w:hint="eastAsia" w:ascii="宋体" w:hAnsi="宋体" w:cs="宋体"/>
          <w:sz w:val="24"/>
        </w:rPr>
        <w:t>（3）具体、明确的质疑对象、质疑事项和质疑请求；</w:t>
      </w:r>
    </w:p>
    <w:p w14:paraId="0FC0331E">
      <w:pPr>
        <w:ind w:firstLine="480" w:firstLineChars="200"/>
        <w:rPr>
          <w:rFonts w:ascii="宋体" w:hAnsi="宋体" w:cs="宋体"/>
          <w:sz w:val="24"/>
        </w:rPr>
      </w:pPr>
      <w:r>
        <w:rPr>
          <w:rFonts w:hint="eastAsia" w:ascii="宋体" w:hAnsi="宋体" w:cs="宋体"/>
          <w:sz w:val="24"/>
        </w:rPr>
        <w:t>（4）因质疑事项而受损害的权益；</w:t>
      </w:r>
    </w:p>
    <w:p w14:paraId="207F3254">
      <w:pPr>
        <w:ind w:firstLine="480" w:firstLineChars="200"/>
        <w:rPr>
          <w:rFonts w:ascii="宋体" w:hAnsi="宋体" w:cs="宋体"/>
          <w:sz w:val="24"/>
        </w:rPr>
      </w:pPr>
      <w:r>
        <w:rPr>
          <w:rFonts w:hint="eastAsia" w:ascii="宋体" w:hAnsi="宋体" w:cs="宋体"/>
          <w:sz w:val="24"/>
        </w:rPr>
        <w:t>（5）事实依据；</w:t>
      </w:r>
    </w:p>
    <w:p w14:paraId="2E786B06">
      <w:pPr>
        <w:ind w:firstLine="480" w:firstLineChars="200"/>
        <w:rPr>
          <w:rFonts w:ascii="宋体" w:hAnsi="宋体" w:cs="宋体"/>
          <w:sz w:val="24"/>
        </w:rPr>
      </w:pPr>
      <w:r>
        <w:rPr>
          <w:rFonts w:hint="eastAsia" w:ascii="宋体" w:hAnsi="宋体" w:cs="宋体"/>
          <w:sz w:val="24"/>
        </w:rPr>
        <w:t>（6）必要的法律依据；</w:t>
      </w:r>
    </w:p>
    <w:p w14:paraId="5D2BB113">
      <w:pPr>
        <w:ind w:firstLine="480" w:firstLineChars="200"/>
        <w:rPr>
          <w:rFonts w:ascii="宋体" w:hAnsi="宋体" w:cs="宋体"/>
          <w:sz w:val="24"/>
        </w:rPr>
      </w:pPr>
      <w:r>
        <w:rPr>
          <w:rFonts w:hint="eastAsia" w:ascii="宋体" w:hAnsi="宋体" w:cs="宋体"/>
          <w:sz w:val="24"/>
        </w:rPr>
        <w:t>（7）提出质疑的日期。</w:t>
      </w:r>
    </w:p>
    <w:p w14:paraId="4824568A">
      <w:pPr>
        <w:ind w:firstLine="480" w:firstLineChars="200"/>
        <w:rPr>
          <w:rFonts w:ascii="宋体" w:hAnsi="宋体" w:cs="宋体"/>
          <w:sz w:val="24"/>
        </w:rPr>
      </w:pPr>
      <w:r>
        <w:rPr>
          <w:rFonts w:hint="eastAsia" w:ascii="宋体" w:hAnsi="宋体" w:cs="宋体"/>
          <w:sz w:val="24"/>
        </w:rPr>
        <w:t>供应商为自然人的，应当由本人签字；供应商为法人或者其他组织的，应当由法定代表人（负责人），或者其授权代理人签字或者盖章，并加盖公章。</w:t>
      </w:r>
    </w:p>
    <w:p w14:paraId="00E2C32B">
      <w:pPr>
        <w:ind w:firstLine="480" w:firstLineChars="200"/>
        <w:rPr>
          <w:rFonts w:ascii="宋体" w:hAnsi="宋体" w:cs="宋体"/>
          <w:sz w:val="24"/>
        </w:rPr>
      </w:pPr>
      <w:r>
        <w:rPr>
          <w:rFonts w:hint="eastAsia" w:ascii="宋体" w:hAnsi="宋体" w:cs="宋体"/>
          <w:sz w:val="24"/>
        </w:rPr>
        <w:t>52.4提交材料</w:t>
      </w:r>
    </w:p>
    <w:p w14:paraId="58650B3D">
      <w:pPr>
        <w:ind w:firstLine="480" w:firstLineChars="200"/>
        <w:rPr>
          <w:rFonts w:ascii="宋体" w:hAnsi="宋体" w:cs="宋体"/>
          <w:sz w:val="24"/>
        </w:rPr>
      </w:pPr>
      <w:r>
        <w:rPr>
          <w:rFonts w:hint="eastAsia" w:ascii="宋体" w:hAnsi="宋体" w:cs="宋体"/>
          <w:sz w:val="24"/>
        </w:rPr>
        <w:t>供应商质疑实行实名制。供应商为自然人的，应当提交本人身份证复印件；供应商为法人或者其他组织的，应当根据自身性质提交营业执照复印件或者其他证明文件（如事业单位法人证书等）复印件。</w:t>
      </w:r>
    </w:p>
    <w:p w14:paraId="6F8A31EC">
      <w:pPr>
        <w:ind w:firstLine="480" w:firstLineChars="200"/>
        <w:rPr>
          <w:rFonts w:ascii="宋体" w:hAnsi="宋体" w:cs="宋体"/>
          <w:sz w:val="24"/>
        </w:rPr>
      </w:pPr>
      <w:r>
        <w:rPr>
          <w:rFonts w:hint="eastAsia" w:ascii="宋体" w:hAnsi="宋体" w:cs="宋体"/>
          <w:sz w:val="24"/>
        </w:rPr>
        <w:t>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58B88DE1">
      <w:pPr>
        <w:ind w:firstLine="480" w:firstLineChars="200"/>
        <w:rPr>
          <w:rFonts w:ascii="宋体" w:hAnsi="宋体" w:cs="宋体"/>
          <w:sz w:val="24"/>
        </w:rPr>
      </w:pPr>
      <w:r>
        <w:rPr>
          <w:rFonts w:hint="eastAsia" w:ascii="宋体" w:hAnsi="宋体" w:cs="宋体"/>
          <w:sz w:val="24"/>
        </w:rPr>
        <w:t>52.5收文地点</w:t>
      </w:r>
    </w:p>
    <w:p w14:paraId="707C5278">
      <w:pPr>
        <w:ind w:firstLine="482" w:firstLineChars="200"/>
        <w:rPr>
          <w:rFonts w:ascii="宋体" w:hAnsi="宋体" w:cs="宋体"/>
          <w:b/>
          <w:bCs/>
          <w:sz w:val="24"/>
        </w:rPr>
      </w:pPr>
      <w:r>
        <w:rPr>
          <w:rFonts w:hint="eastAsia" w:ascii="宋体" w:hAnsi="宋体" w:cs="宋体"/>
          <w:b/>
          <w:bCs/>
          <w:sz w:val="24"/>
        </w:rPr>
        <w:t>地址：</w:t>
      </w:r>
      <w:r>
        <w:rPr>
          <w:rFonts w:hint="eastAsia" w:ascii="宋体" w:hAnsi="宋体"/>
          <w:b/>
          <w:bCs/>
          <w:sz w:val="24"/>
          <w:szCs w:val="21"/>
        </w:rPr>
        <w:t>深圳公共资源交易中心（深圳交易集团有限公司龙岗分公司），地址：深圳市龙岗区龙城街道黄阁路383号（原工程交易中心），质疑咨询电话：0755-</w:t>
      </w:r>
      <w:r>
        <w:rPr>
          <w:rFonts w:ascii="宋体" w:hAnsi="宋体"/>
          <w:b/>
          <w:bCs/>
          <w:sz w:val="24"/>
          <w:szCs w:val="21"/>
        </w:rPr>
        <w:t>8955</w:t>
      </w:r>
      <w:r>
        <w:rPr>
          <w:rFonts w:hint="eastAsia" w:ascii="宋体" w:hAnsi="宋体"/>
          <w:b/>
          <w:bCs/>
          <w:sz w:val="24"/>
          <w:szCs w:val="21"/>
        </w:rPr>
        <w:t>2611。</w:t>
      </w:r>
    </w:p>
    <w:p w14:paraId="69FE9030">
      <w:pPr>
        <w:ind w:firstLine="480" w:firstLineChars="200"/>
        <w:rPr>
          <w:rFonts w:ascii="宋体" w:hAnsi="宋体" w:cs="宋体"/>
          <w:sz w:val="24"/>
        </w:rPr>
      </w:pPr>
      <w:r>
        <w:rPr>
          <w:rFonts w:hint="eastAsia" w:ascii="宋体" w:hAnsi="宋体" w:cs="宋体"/>
          <w:sz w:val="24"/>
        </w:rPr>
        <w:t>52.6收文办理程序</w:t>
      </w:r>
    </w:p>
    <w:p w14:paraId="15816B07">
      <w:pPr>
        <w:ind w:firstLine="480" w:firstLineChars="200"/>
        <w:rPr>
          <w:rFonts w:ascii="宋体" w:hAnsi="宋体" w:cs="宋体"/>
          <w:sz w:val="24"/>
        </w:rPr>
      </w:pPr>
      <w:r>
        <w:rPr>
          <w:rFonts w:hint="eastAsia" w:ascii="宋体" w:hAnsi="宋体" w:cs="宋体"/>
          <w:sz w:val="24"/>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0209BC6C">
      <w:pPr>
        <w:ind w:firstLine="480" w:firstLineChars="200"/>
        <w:rPr>
          <w:rFonts w:ascii="宋体" w:hAnsi="宋体" w:cs="宋体"/>
          <w:sz w:val="24"/>
        </w:rPr>
      </w:pPr>
      <w:r>
        <w:rPr>
          <w:rFonts w:hint="eastAsia" w:ascii="宋体" w:hAnsi="宋体" w:cs="宋体"/>
          <w:sz w:val="24"/>
        </w:rPr>
        <w:t>52.6.2供应商提交的质疑材料不符合质疑条件的，视情况处理：</w:t>
      </w:r>
    </w:p>
    <w:p w14:paraId="00B92693">
      <w:pPr>
        <w:ind w:firstLine="480" w:firstLineChars="200"/>
        <w:rPr>
          <w:rFonts w:ascii="宋体" w:hAnsi="宋体" w:cs="宋体"/>
          <w:sz w:val="24"/>
        </w:rPr>
      </w:pPr>
      <w:r>
        <w:rPr>
          <w:rFonts w:hint="eastAsia" w:ascii="宋体" w:hAnsi="宋体" w:cs="宋体"/>
          <w:sz w:val="24"/>
        </w:rPr>
        <w:t>供应商提交的质疑材料不全或者未按要求签字或者盖章的，政府集中采购机构应当一次性告知供应商需补正的内容和补正期限。</w:t>
      </w:r>
    </w:p>
    <w:p w14:paraId="6842F9CA">
      <w:pPr>
        <w:ind w:firstLine="480" w:firstLineChars="200"/>
        <w:rPr>
          <w:rFonts w:ascii="宋体" w:hAnsi="宋体" w:cs="宋体"/>
          <w:sz w:val="24"/>
        </w:rPr>
      </w:pPr>
      <w:r>
        <w:rPr>
          <w:rFonts w:hint="eastAsia" w:ascii="宋体" w:hAnsi="宋体" w:cs="宋体"/>
          <w:sz w:val="24"/>
        </w:rPr>
        <w:t>供应商提交的质疑存在下列情形之一的，不予受理：</w:t>
      </w:r>
    </w:p>
    <w:p w14:paraId="65DAD038">
      <w:pPr>
        <w:ind w:firstLine="480" w:firstLineChars="200"/>
        <w:rPr>
          <w:rFonts w:ascii="宋体" w:hAnsi="宋体" w:cs="宋体"/>
          <w:sz w:val="24"/>
        </w:rPr>
      </w:pPr>
      <w:r>
        <w:rPr>
          <w:rFonts w:hint="eastAsia" w:ascii="宋体" w:hAnsi="宋体" w:cs="宋体"/>
          <w:sz w:val="24"/>
        </w:rPr>
        <w:t>（1）质疑主体不满足要求的；</w:t>
      </w:r>
    </w:p>
    <w:p w14:paraId="2A18DC3D">
      <w:pPr>
        <w:ind w:firstLine="480" w:firstLineChars="200"/>
        <w:rPr>
          <w:rFonts w:ascii="宋体" w:hAnsi="宋体" w:cs="宋体"/>
          <w:sz w:val="24"/>
        </w:rPr>
      </w:pPr>
      <w:r>
        <w:rPr>
          <w:rFonts w:hint="eastAsia" w:ascii="宋体" w:hAnsi="宋体" w:cs="宋体"/>
          <w:sz w:val="24"/>
        </w:rPr>
        <w:t>（2）供应商自身权益未受到损害的；</w:t>
      </w:r>
    </w:p>
    <w:p w14:paraId="4267198C">
      <w:pPr>
        <w:ind w:firstLine="480" w:firstLineChars="200"/>
        <w:rPr>
          <w:rFonts w:ascii="宋体" w:hAnsi="宋体" w:cs="宋体"/>
          <w:sz w:val="24"/>
        </w:rPr>
      </w:pPr>
      <w:r>
        <w:rPr>
          <w:rFonts w:hint="eastAsia" w:ascii="宋体" w:hAnsi="宋体" w:cs="宋体"/>
          <w:sz w:val="24"/>
        </w:rPr>
        <w:t>（3）供应商未在法定质疑期限内提出质疑的；</w:t>
      </w:r>
    </w:p>
    <w:p w14:paraId="1263903F">
      <w:pPr>
        <w:ind w:firstLine="480" w:firstLineChars="200"/>
        <w:rPr>
          <w:rFonts w:ascii="宋体" w:hAnsi="宋体" w:cs="宋体"/>
          <w:sz w:val="24"/>
        </w:rPr>
      </w:pPr>
      <w:r>
        <w:rPr>
          <w:rFonts w:hint="eastAsia" w:ascii="宋体" w:hAnsi="宋体" w:cs="宋体"/>
          <w:sz w:val="24"/>
        </w:rPr>
        <w:t>（4）质疑材料不全或者未按要求签字或者盖章的情况下，要求补正后，逾期未补正或者补正后仍不符合规定的；</w:t>
      </w:r>
    </w:p>
    <w:p w14:paraId="005231A3">
      <w:pPr>
        <w:ind w:firstLine="480" w:firstLineChars="200"/>
        <w:rPr>
          <w:rFonts w:ascii="宋体" w:hAnsi="宋体" w:cs="宋体"/>
          <w:sz w:val="24"/>
        </w:rPr>
      </w:pPr>
      <w:r>
        <w:rPr>
          <w:rFonts w:hint="eastAsia" w:ascii="宋体" w:hAnsi="宋体" w:cs="宋体"/>
          <w:sz w:val="24"/>
        </w:rPr>
        <w:t>（5）其他不符合受理条件情形的。</w:t>
      </w:r>
    </w:p>
    <w:p w14:paraId="48BDD812">
      <w:pPr>
        <w:ind w:firstLine="480" w:firstLineChars="200"/>
        <w:rPr>
          <w:rFonts w:ascii="宋体" w:hAnsi="宋体" w:cs="宋体"/>
          <w:sz w:val="24"/>
        </w:rPr>
      </w:pPr>
      <w:r>
        <w:rPr>
          <w:rFonts w:hint="eastAsia" w:ascii="宋体" w:hAnsi="宋体" w:cs="宋体"/>
          <w:sz w:val="24"/>
        </w:rPr>
        <w:t>质疑事项不予受理的，政府集中采购机构应当向供应商出具不符合质疑条件告知书。</w:t>
      </w:r>
    </w:p>
    <w:p w14:paraId="481826E2">
      <w:pPr>
        <w:rPr>
          <w:rFonts w:ascii="宋体" w:hAnsi="宋体" w:cs="宋体"/>
          <w:sz w:val="24"/>
        </w:rPr>
      </w:pPr>
      <w:r>
        <w:rPr>
          <w:rFonts w:hint="eastAsia" w:ascii="宋体" w:hAnsi="宋体" w:cs="宋体"/>
          <w:sz w:val="24"/>
        </w:rPr>
        <w:t>52.7质疑答复时限</w:t>
      </w:r>
    </w:p>
    <w:p w14:paraId="4CA39D31">
      <w:pPr>
        <w:rPr>
          <w:rFonts w:ascii="宋体" w:hAnsi="宋体" w:cs="宋体"/>
          <w:sz w:val="24"/>
        </w:rPr>
      </w:pPr>
      <w:r>
        <w:rPr>
          <w:rFonts w:hint="eastAsia" w:ascii="宋体" w:hAnsi="宋体" w:cs="宋体"/>
          <w:sz w:val="24"/>
        </w:rPr>
        <w:t>自收文之日起七个工作日内。</w:t>
      </w:r>
    </w:p>
    <w:p w14:paraId="6E9570DD">
      <w:pPr>
        <w:rPr>
          <w:rFonts w:ascii="宋体" w:hAnsi="宋体" w:cs="宋体"/>
          <w:sz w:val="24"/>
        </w:rPr>
      </w:pPr>
      <w:r>
        <w:rPr>
          <w:rFonts w:hint="eastAsia" w:ascii="宋体" w:hAnsi="宋体" w:cs="宋体"/>
          <w:sz w:val="24"/>
        </w:rPr>
        <w:t>52.8投诉</w:t>
      </w:r>
    </w:p>
    <w:p w14:paraId="01039D31">
      <w:pPr>
        <w:rPr>
          <w:rFonts w:ascii="宋体" w:hAnsi="宋体" w:cs="宋体"/>
          <w:sz w:val="24"/>
        </w:rPr>
      </w:pPr>
      <w:r>
        <w:rPr>
          <w:rFonts w:hint="eastAsia" w:ascii="宋体" w:hAnsi="宋体" w:cs="宋体"/>
          <w:sz w:val="24"/>
        </w:rPr>
        <w:t>对质疑答复不满意或者未在规定时间内答复的，提出质疑的供应商可以在答复期满后15个工作日内向同级财政部门投诉。</w:t>
      </w:r>
    </w:p>
    <w:p w14:paraId="1D7EBE9E">
      <w:pPr>
        <w:rPr>
          <w:rFonts w:ascii="宋体" w:hAnsi="宋体" w:cs="宋体"/>
          <w:sz w:val="24"/>
        </w:rPr>
      </w:pPr>
      <w:r>
        <w:rPr>
          <w:rFonts w:hint="eastAsia" w:ascii="宋体" w:hAnsi="宋体" w:cs="宋体"/>
          <w:sz w:val="24"/>
        </w:rPr>
        <w:t>53.质疑后续处理</w:t>
      </w:r>
    </w:p>
    <w:p w14:paraId="58592CFC">
      <w:pPr>
        <w:rPr>
          <w:rFonts w:ascii="宋体" w:hAnsi="宋体" w:cs="宋体"/>
          <w:sz w:val="24"/>
        </w:rPr>
      </w:pPr>
      <w:r>
        <w:rPr>
          <w:rFonts w:hint="eastAsia" w:ascii="宋体" w:hAnsi="宋体" w:cs="宋体"/>
          <w:sz w:val="24"/>
        </w:rPr>
        <w:t>53.1供应商质疑不成立，或者成立但未对中标、成交结果构成影响的，继续开展采购活动。</w:t>
      </w:r>
    </w:p>
    <w:p w14:paraId="1555BFF4">
      <w:pPr>
        <w:ind w:firstLine="480" w:firstLineChars="200"/>
        <w:rPr>
          <w:rFonts w:ascii="宋体" w:hAnsi="宋体" w:cs="宋体"/>
          <w:sz w:val="24"/>
        </w:rPr>
      </w:pPr>
      <w:r>
        <w:rPr>
          <w:rFonts w:hint="eastAsia" w:ascii="宋体" w:hAnsi="宋体" w:cs="宋体"/>
          <w:sz w:val="24"/>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14:paraId="33F64E53">
      <w:pPr>
        <w:jc w:val="center"/>
      </w:pPr>
      <w:r>
        <w:rPr>
          <w:rFonts w:hint="eastAsia" w:ascii="宋体" w:hAnsi="宋体" w:cs="宋体"/>
          <w:sz w:val="24"/>
        </w:rPr>
        <w:t>----E</w:t>
      </w:r>
      <w:r>
        <w:t>ND----</w:t>
      </w:r>
    </w:p>
    <w:p w14:paraId="746D3A93">
      <w:pPr>
        <w:pStyle w:val="2"/>
      </w:pPr>
    </w:p>
    <w:sectPr>
      <w:headerReference r:id="rId7" w:type="first"/>
      <w:footerReference r:id="rId9" w:type="first"/>
      <w:headerReference r:id="rId6" w:type="default"/>
      <w:footerReference r:id="rId8" w:type="default"/>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F9296B5-9C0F-4384-BD68-0540EBB5B0A2}"/>
  </w:font>
  <w:font w:name="黑体">
    <w:panose1 w:val="02010600030101010101"/>
    <w:charset w:val="86"/>
    <w:family w:val="auto"/>
    <w:pitch w:val="default"/>
    <w:sig w:usb0="800002BF" w:usb1="38CF7CFA" w:usb2="00000016" w:usb3="00000000" w:csb0="00040001" w:csb1="00000000"/>
    <w:embedRegular r:id="rId2" w:fontKey="{EEBB314A-F09F-44F4-8E31-F756BAC02B9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monospace">
    <w:altName w:val="华文仿宋"/>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2E4C8F34-FC6C-4DD7-920F-83B0305047EE}"/>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华文仿宋"/>
    <w:panose1 w:val="00000000000000000000"/>
    <w:charset w:val="00"/>
    <w:family w:val="roman"/>
    <w:pitch w:val="default"/>
    <w:sig w:usb0="00000000" w:usb1="00000000" w:usb2="00000000" w:usb3="00000000" w:csb0="00040001" w:csb1="00000000"/>
  </w:font>
  <w:font w:name="??">
    <w:altName w:val="华文仿宋"/>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宋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汉仪叶叶相思体简">
    <w:altName w:val="幼圆"/>
    <w:panose1 w:val="00000000000000000000"/>
    <w:charset w:val="86"/>
    <w:family w:val="auto"/>
    <w:pitch w:val="default"/>
    <w:sig w:usb0="00000000" w:usb1="00000000" w:usb2="00000000" w:usb3="00000000" w:csb0="00040000" w:csb1="00000000"/>
    <w:embedRegular r:id="rId4" w:fontKey="{811ED2C2-31FD-483F-84F3-C1A8D6AAA97A}"/>
  </w:font>
  <w:font w:name="方正小标宋简体">
    <w:panose1 w:val="03000509000000000000"/>
    <w:charset w:val="86"/>
    <w:family w:val="script"/>
    <w:pitch w:val="default"/>
    <w:sig w:usb0="00000001" w:usb1="080E0000" w:usb2="00000000" w:usb3="00000000" w:csb0="00040000" w:csb1="00000000"/>
    <w:embedRegular r:id="rId5" w:fontKey="{4181091B-1810-4259-BE3A-6C6C226A51D6}"/>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31602">
    <w:pPr>
      <w:pStyle w:val="27"/>
      <w:framePr w:wrap="around" w:vAnchor="text" w:hAnchor="margin" w:xAlign="center" w:y="1"/>
      <w:rPr>
        <w:rStyle w:val="48"/>
      </w:rPr>
    </w:pPr>
    <w:r>
      <w:t>-</w:t>
    </w:r>
    <w:r>
      <w:fldChar w:fldCharType="begin"/>
    </w:r>
    <w:r>
      <w:instrText xml:space="preserve"> PAGE </w:instrText>
    </w:r>
    <w:r>
      <w:fldChar w:fldCharType="separate"/>
    </w:r>
    <w:r>
      <w:t>9</w:t>
    </w:r>
    <w:r>
      <w:fldChar w:fldCharType="end"/>
    </w:r>
    <w:r>
      <w:t>-</w:t>
    </w:r>
  </w:p>
  <w:p w14:paraId="4312EA06">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5F44C">
    <w:pPr>
      <w:pStyle w:val="27"/>
      <w:framePr w:wrap="around" w:vAnchor="text" w:hAnchor="margin" w:xAlign="center" w:y="1"/>
      <w:rPr>
        <w:rStyle w:val="48"/>
      </w:rPr>
    </w:pPr>
    <w:r>
      <w:rPr>
        <w:rStyle w:val="48"/>
      </w:rPr>
      <w:fldChar w:fldCharType="begin"/>
    </w:r>
    <w:r>
      <w:rPr>
        <w:rStyle w:val="48"/>
      </w:rPr>
      <w:instrText xml:space="preserve">PAGE  </w:instrText>
    </w:r>
    <w:r>
      <w:rPr>
        <w:rStyle w:val="48"/>
      </w:rPr>
      <w:fldChar w:fldCharType="end"/>
    </w:r>
  </w:p>
  <w:p w14:paraId="6AF274B7">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C5A8B">
    <w:pPr>
      <w:pStyle w:val="27"/>
      <w:framePr w:wrap="around" w:vAnchor="text" w:hAnchor="margin" w:xAlign="center" w:y="1"/>
      <w:rPr>
        <w:rStyle w:val="48"/>
      </w:rPr>
    </w:pPr>
    <w:r>
      <w:t>-</w:t>
    </w:r>
    <w:r>
      <w:fldChar w:fldCharType="begin"/>
    </w:r>
    <w:r>
      <w:instrText xml:space="preserve"> PAGE </w:instrText>
    </w:r>
    <w:r>
      <w:fldChar w:fldCharType="separate"/>
    </w:r>
    <w:r>
      <w:t>28</w:t>
    </w:r>
    <w:r>
      <w:fldChar w:fldCharType="end"/>
    </w:r>
    <w:r>
      <w:t>-</w:t>
    </w:r>
  </w:p>
  <w:p w14:paraId="154E0A9C">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79604">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63E89">
    <w:pPr>
      <w:pStyle w:val="29"/>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15C70">
    <w:pPr>
      <w:pStyle w:val="2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4692B">
    <w:pPr>
      <w:pStyle w:val="29"/>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77EA7D"/>
    <w:multiLevelType w:val="singleLevel"/>
    <w:tmpl w:val="DD77EA7D"/>
    <w:lvl w:ilvl="0" w:tentative="0">
      <w:start w:val="2"/>
      <w:numFmt w:val="chineseCounting"/>
      <w:suff w:val="nothing"/>
      <w:lvlText w:val="（%1）"/>
      <w:lvlJc w:val="left"/>
      <w:rPr>
        <w:rFonts w:hint="eastAsia"/>
      </w:rPr>
    </w:lvl>
  </w:abstractNum>
  <w:abstractNum w:abstractNumId="1">
    <w:nsid w:val="F3EB7513"/>
    <w:multiLevelType w:val="singleLevel"/>
    <w:tmpl w:val="F3EB7513"/>
    <w:lvl w:ilvl="0" w:tentative="0">
      <w:start w:val="7"/>
      <w:numFmt w:val="chineseCounting"/>
      <w:suff w:val="nothing"/>
      <w:lvlText w:val="%1、"/>
      <w:lvlJc w:val="left"/>
      <w:rPr>
        <w:rFonts w:hint="eastAsia"/>
      </w:rPr>
    </w:lvl>
  </w:abstractNum>
  <w:abstractNum w:abstractNumId="2">
    <w:nsid w:val="F694CA87"/>
    <w:multiLevelType w:val="singleLevel"/>
    <w:tmpl w:val="F694CA87"/>
    <w:lvl w:ilvl="0" w:tentative="0">
      <w:start w:val="4"/>
      <w:numFmt w:val="chineseCounting"/>
      <w:suff w:val="nothing"/>
      <w:lvlText w:val="%1、"/>
      <w:lvlJc w:val="left"/>
      <w:rPr>
        <w:rFonts w:hint="eastAsia"/>
        <w:b/>
        <w:bCs/>
      </w:rPr>
    </w:lvl>
  </w:abstractNum>
  <w:abstractNum w:abstractNumId="3">
    <w:nsid w:val="FFFFFF7C"/>
    <w:multiLevelType w:val="singleLevel"/>
    <w:tmpl w:val="FFFFFF7C"/>
    <w:lvl w:ilvl="0" w:tentative="0">
      <w:start w:val="1"/>
      <w:numFmt w:val="decimal"/>
      <w:pStyle w:val="69"/>
      <w:lvlText w:val="%1."/>
      <w:lvlJc w:val="left"/>
      <w:pPr>
        <w:tabs>
          <w:tab w:val="left" w:pos="2040"/>
        </w:tabs>
        <w:ind w:left="2040" w:leftChars="800" w:hanging="360" w:hangingChars="200"/>
      </w:pPr>
    </w:lvl>
  </w:abstractNum>
  <w:abstractNum w:abstractNumId="4">
    <w:nsid w:val="FFFFFF89"/>
    <w:multiLevelType w:val="singleLevel"/>
    <w:tmpl w:val="FFFFFF89"/>
    <w:lvl w:ilvl="0" w:tentative="0">
      <w:start w:val="1"/>
      <w:numFmt w:val="bullet"/>
      <w:pStyle w:val="15"/>
      <w:lvlText w:val=""/>
      <w:lvlJc w:val="left"/>
      <w:pPr>
        <w:tabs>
          <w:tab w:val="left" w:pos="360"/>
        </w:tabs>
        <w:ind w:left="360" w:hanging="360" w:hangingChars="200"/>
      </w:pPr>
      <w:rPr>
        <w:rFonts w:hint="default" w:ascii="Wingdings" w:hAnsi="Wingdings"/>
      </w:rPr>
    </w:lvl>
  </w:abstractNum>
  <w:abstractNum w:abstractNumId="5">
    <w:nsid w:val="00000026"/>
    <w:multiLevelType w:val="multilevel"/>
    <w:tmpl w:val="00000026"/>
    <w:lvl w:ilvl="0" w:tentative="0">
      <w:start w:val="1"/>
      <w:numFmt w:val="chineseCountingThousand"/>
      <w:lvlText w:val="%1、"/>
      <w:lvlJc w:val="left"/>
      <w:pPr>
        <w:tabs>
          <w:tab w:val="left" w:pos="510"/>
        </w:tabs>
        <w:ind w:left="510" w:hanging="510"/>
      </w:pPr>
      <w:rPr>
        <w:rFonts w:hint="default"/>
        <w:b w:val="0"/>
        <w:i w:val="0"/>
        <w:caps w:val="0"/>
        <w:strike w:val="0"/>
        <w:dstrike w:val="0"/>
        <w:color w:val="000000"/>
        <w:spacing w:val="0"/>
        <w:w w:val="100"/>
        <w:sz w:val="24"/>
        <w:szCs w:val="24"/>
        <w:u w:val="none"/>
        <w14:shadow w14:blurRad="0" w14:dist="0" w14:dir="0" w14:sx="0" w14:sy="0" w14:kx="0" w14:ky="0" w14:algn="none">
          <w14:srgbClr w14:val="000000"/>
        </w14:shadow>
      </w:rPr>
    </w:lvl>
    <w:lvl w:ilvl="1" w:tentative="0">
      <w:start w:val="1"/>
      <w:numFmt w:val="decimal"/>
      <w:lvlText w:val="%2."/>
      <w:lvlJc w:val="left"/>
      <w:pPr>
        <w:tabs>
          <w:tab w:val="left" w:pos="510"/>
        </w:tabs>
        <w:ind w:left="510" w:hanging="510"/>
      </w:pPr>
      <w:rPr>
        <w:rFonts w:hint="default"/>
        <w:b w:val="0"/>
        <w:i w:val="0"/>
        <w:caps w:val="0"/>
        <w:strike w:val="0"/>
        <w:dstrike w:val="0"/>
        <w:color w:val="000000"/>
        <w:spacing w:val="0"/>
        <w:w w:val="100"/>
        <w:sz w:val="24"/>
        <w:szCs w:val="24"/>
        <w:u w:val="none"/>
        <w14:shadow w14:blurRad="0" w14:dist="0" w14:dir="0" w14:sx="0" w14:sy="0" w14:kx="0" w14:ky="0" w14:algn="none">
          <w14:srgbClr w14:val="000000"/>
        </w14:shadow>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6">
    <w:nsid w:val="03D23113"/>
    <w:multiLevelType w:val="multilevel"/>
    <w:tmpl w:val="03D23113"/>
    <w:lvl w:ilvl="0" w:tentative="0">
      <w:start w:val="1"/>
      <w:numFmt w:val="chineseCountingThousand"/>
      <w:lvlText w:val="%1、"/>
      <w:lvlJc w:val="left"/>
      <w:pPr>
        <w:tabs>
          <w:tab w:val="left" w:pos="510"/>
        </w:tabs>
        <w:ind w:left="510" w:hanging="510"/>
      </w:pPr>
      <w:rPr>
        <w:rFonts w:hint="default"/>
        <w:b w:val="0"/>
        <w:i w:val="0"/>
        <w:caps w:val="0"/>
        <w:strike w:val="0"/>
        <w:dstrike w:val="0"/>
        <w:color w:val="000000"/>
        <w:spacing w:val="0"/>
        <w:w w:val="100"/>
        <w:sz w:val="24"/>
        <w:szCs w:val="24"/>
        <w:u w:val="none"/>
        <w14:shadow w14:blurRad="0" w14:dist="0" w14:dir="0" w14:sx="0" w14:sy="0" w14:kx="0" w14:ky="0" w14:algn="none">
          <w14:srgbClr w14:val="000000"/>
        </w14:shadow>
      </w:rPr>
    </w:lvl>
    <w:lvl w:ilvl="1" w:tentative="0">
      <w:start w:val="1"/>
      <w:numFmt w:val="decimal"/>
      <w:lvlText w:val="%2."/>
      <w:lvlJc w:val="left"/>
      <w:pPr>
        <w:tabs>
          <w:tab w:val="left" w:pos="510"/>
        </w:tabs>
        <w:ind w:left="510" w:hanging="510"/>
      </w:pPr>
      <w:rPr>
        <w:rFonts w:hint="default"/>
        <w:b w:val="0"/>
        <w:i w:val="0"/>
        <w:caps w:val="0"/>
        <w:strike w:val="0"/>
        <w:dstrike w:val="0"/>
        <w:color w:val="000000"/>
        <w:spacing w:val="0"/>
        <w:w w:val="100"/>
        <w:sz w:val="24"/>
        <w:szCs w:val="24"/>
        <w:u w:val="none"/>
        <w14:shadow w14:blurRad="0" w14:dist="0" w14:dir="0" w14:sx="0" w14:sy="0" w14:kx="0" w14:ky="0" w14:algn="none">
          <w14:srgbClr w14:val="000000"/>
        </w14:shadow>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7">
    <w:nsid w:val="06C0218E"/>
    <w:multiLevelType w:val="multilevel"/>
    <w:tmpl w:val="06C0218E"/>
    <w:lvl w:ilvl="0" w:tentative="0">
      <w:start w:val="1"/>
      <w:numFmt w:val="chineseCountingThousand"/>
      <w:lvlText w:val="%1、"/>
      <w:lvlJc w:val="left"/>
      <w:pPr>
        <w:tabs>
          <w:tab w:val="left" w:pos="510"/>
        </w:tabs>
        <w:ind w:left="510" w:hanging="510"/>
      </w:pPr>
      <w:rPr>
        <w:rFonts w:hint="default"/>
        <w:b w:val="0"/>
        <w:i w:val="0"/>
        <w:caps w:val="0"/>
        <w:strike w:val="0"/>
        <w:dstrike w:val="0"/>
        <w:color w:val="000000"/>
        <w:spacing w:val="0"/>
        <w:w w:val="100"/>
        <w:sz w:val="24"/>
        <w:szCs w:val="24"/>
        <w:u w:val="none"/>
        <w14:shadow w14:blurRad="0" w14:dist="0" w14:dir="0" w14:sx="0" w14:sy="0" w14:kx="0" w14:ky="0" w14:algn="none">
          <w14:srgbClr w14:val="000000"/>
        </w14:shadow>
      </w:rPr>
    </w:lvl>
    <w:lvl w:ilvl="1" w:tentative="0">
      <w:start w:val="1"/>
      <w:numFmt w:val="decimal"/>
      <w:lvlText w:val="%2."/>
      <w:lvlJc w:val="left"/>
      <w:pPr>
        <w:tabs>
          <w:tab w:val="left" w:pos="510"/>
        </w:tabs>
        <w:ind w:left="510" w:hanging="510"/>
      </w:pPr>
      <w:rPr>
        <w:rFonts w:hint="default"/>
        <w:b w:val="0"/>
        <w:i w:val="0"/>
        <w:caps w:val="0"/>
        <w:strike w:val="0"/>
        <w:dstrike w:val="0"/>
        <w:color w:val="000000"/>
        <w:spacing w:val="0"/>
        <w:w w:val="100"/>
        <w:sz w:val="24"/>
        <w:szCs w:val="24"/>
        <w:u w:val="none"/>
        <w14:shadow w14:blurRad="0" w14:dist="0" w14:dir="0" w14:sx="0" w14:sy="0" w14:kx="0" w14:ky="0" w14:algn="none">
          <w14:srgbClr w14:val="000000"/>
        </w14:shadow>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8">
    <w:nsid w:val="08E72D7F"/>
    <w:multiLevelType w:val="multilevel"/>
    <w:tmpl w:val="08E72D7F"/>
    <w:lvl w:ilvl="0" w:tentative="0">
      <w:start w:val="2"/>
      <w:numFmt w:val="chineseCountingThousand"/>
      <w:lvlText w:val="%1、"/>
      <w:lvlJc w:val="left"/>
      <w:pPr>
        <w:tabs>
          <w:tab w:val="left" w:pos="510"/>
        </w:tabs>
        <w:ind w:left="510" w:hanging="510"/>
      </w:pPr>
      <w:rPr>
        <w:rFonts w:hint="default"/>
        <w:b w:val="0"/>
        <w:i w:val="0"/>
        <w:caps w:val="0"/>
        <w:strike w:val="0"/>
        <w:dstrike w:val="0"/>
        <w:color w:val="000000"/>
        <w:spacing w:val="0"/>
        <w:w w:val="100"/>
        <w:sz w:val="24"/>
        <w:szCs w:val="24"/>
        <w:u w:val="none"/>
      </w:rPr>
    </w:lvl>
    <w:lvl w:ilvl="1" w:tentative="0">
      <w:start w:val="1"/>
      <w:numFmt w:val="decimal"/>
      <w:lvlText w:val="%2."/>
      <w:lvlJc w:val="left"/>
      <w:pPr>
        <w:tabs>
          <w:tab w:val="left" w:pos="510"/>
        </w:tabs>
        <w:ind w:left="510" w:hanging="510"/>
      </w:pPr>
      <w:rPr>
        <w:rFonts w:hint="default"/>
        <w:b w:val="0"/>
        <w:i w:val="0"/>
        <w:caps w:val="0"/>
        <w:strike w:val="0"/>
        <w:dstrike w:val="0"/>
        <w:color w:val="000000"/>
        <w:spacing w:val="0"/>
        <w:w w:val="100"/>
        <w:sz w:val="24"/>
        <w:szCs w:val="24"/>
        <w:u w:val="none"/>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9">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2503483"/>
    <w:multiLevelType w:val="multilevel"/>
    <w:tmpl w:val="12503483"/>
    <w:lvl w:ilvl="0" w:tentative="0">
      <w:start w:val="1"/>
      <w:numFmt w:val="bullet"/>
      <w:pStyle w:val="117"/>
      <w:lvlText w:val=""/>
      <w:lvlJc w:val="left"/>
      <w:pPr>
        <w:tabs>
          <w:tab w:val="left" w:pos="420"/>
        </w:tabs>
        <w:ind w:left="420" w:hanging="420"/>
      </w:pPr>
      <w:rPr>
        <w:rFonts w:hint="default" w:ascii="Wingdings" w:hAnsi="Wingdings"/>
      </w:rPr>
    </w:lvl>
    <w:lvl w:ilvl="1" w:tentative="0">
      <w:start w:val="1"/>
      <w:numFmt w:val="bullet"/>
      <w:pStyle w:val="116"/>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160D20D0"/>
    <w:multiLevelType w:val="multilevel"/>
    <w:tmpl w:val="160D20D0"/>
    <w:lvl w:ilvl="0" w:tentative="0">
      <w:start w:val="1"/>
      <w:numFmt w:val="bullet"/>
      <w:pStyle w:val="85"/>
      <w:lvlText w:val=""/>
      <w:lvlJc w:val="left"/>
      <w:pPr>
        <w:tabs>
          <w:tab w:val="left" w:pos="840"/>
        </w:tabs>
        <w:ind w:left="840" w:hanging="420"/>
      </w:pPr>
      <w:rPr>
        <w:rFonts w:hint="default" w:ascii="Wingdings" w:hAnsi="Wingdings"/>
      </w:rPr>
    </w:lvl>
    <w:lvl w:ilvl="1" w:tentative="0">
      <w:start w:val="1"/>
      <w:numFmt w:val="bullet"/>
      <w:pStyle w:val="86"/>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2">
    <w:nsid w:val="21B023C8"/>
    <w:multiLevelType w:val="singleLevel"/>
    <w:tmpl w:val="21B023C8"/>
    <w:lvl w:ilvl="0" w:tentative="0">
      <w:start w:val="4"/>
      <w:numFmt w:val="decimal"/>
      <w:suff w:val="nothing"/>
      <w:lvlText w:val="（%1）"/>
      <w:lvlJc w:val="left"/>
    </w:lvl>
  </w:abstractNum>
  <w:abstractNum w:abstractNumId="13">
    <w:nsid w:val="25F97816"/>
    <w:multiLevelType w:val="multilevel"/>
    <w:tmpl w:val="25F97816"/>
    <w:lvl w:ilvl="0" w:tentative="0">
      <w:start w:val="2"/>
      <w:numFmt w:val="chineseCountingThousand"/>
      <w:lvlText w:val="%1、"/>
      <w:lvlJc w:val="left"/>
      <w:pPr>
        <w:tabs>
          <w:tab w:val="left" w:pos="510"/>
        </w:tabs>
        <w:ind w:left="510" w:hanging="510"/>
      </w:pPr>
      <w:rPr>
        <w:rFonts w:hint="default"/>
        <w:b w:val="0"/>
        <w:i w:val="0"/>
        <w:caps w:val="0"/>
        <w:strike w:val="0"/>
        <w:dstrike w:val="0"/>
        <w:color w:val="000000"/>
        <w:spacing w:val="0"/>
        <w:w w:val="100"/>
        <w:sz w:val="24"/>
        <w:szCs w:val="24"/>
        <w:u w:val="none"/>
      </w:rPr>
    </w:lvl>
    <w:lvl w:ilvl="1" w:tentative="0">
      <w:start w:val="1"/>
      <w:numFmt w:val="decimal"/>
      <w:lvlText w:val="%2."/>
      <w:lvlJc w:val="left"/>
      <w:pPr>
        <w:tabs>
          <w:tab w:val="left" w:pos="510"/>
        </w:tabs>
        <w:ind w:left="510" w:hanging="510"/>
      </w:pPr>
      <w:rPr>
        <w:rFonts w:hint="default"/>
        <w:b w:val="0"/>
        <w:i w:val="0"/>
        <w:caps w:val="0"/>
        <w:strike w:val="0"/>
        <w:dstrike w:val="0"/>
        <w:color w:val="000000"/>
        <w:spacing w:val="0"/>
        <w:w w:val="100"/>
        <w:sz w:val="24"/>
        <w:szCs w:val="24"/>
        <w:u w:val="none"/>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4">
    <w:nsid w:val="2F395B7B"/>
    <w:multiLevelType w:val="multilevel"/>
    <w:tmpl w:val="2F395B7B"/>
    <w:lvl w:ilvl="0" w:tentative="0">
      <w:start w:val="1"/>
      <w:numFmt w:val="bullet"/>
      <w:pStyle w:val="177"/>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15">
    <w:nsid w:val="33D4F944"/>
    <w:multiLevelType w:val="singleLevel"/>
    <w:tmpl w:val="33D4F944"/>
    <w:lvl w:ilvl="0" w:tentative="0">
      <w:start w:val="4"/>
      <w:numFmt w:val="chineseCounting"/>
      <w:suff w:val="nothing"/>
      <w:lvlText w:val="%1、"/>
      <w:lvlJc w:val="left"/>
      <w:rPr>
        <w:rFonts w:hint="eastAsia"/>
      </w:rPr>
    </w:lvl>
  </w:abstractNum>
  <w:abstractNum w:abstractNumId="16">
    <w:nsid w:val="39D42B47"/>
    <w:multiLevelType w:val="multilevel"/>
    <w:tmpl w:val="39D42B47"/>
    <w:lvl w:ilvl="0" w:tentative="0">
      <w:start w:val="2"/>
      <w:numFmt w:val="chineseCountingThousand"/>
      <w:lvlText w:val="%1、"/>
      <w:lvlJc w:val="left"/>
      <w:pPr>
        <w:tabs>
          <w:tab w:val="left" w:pos="510"/>
        </w:tabs>
        <w:ind w:left="510" w:hanging="510"/>
      </w:pPr>
      <w:rPr>
        <w:rFonts w:hint="default"/>
        <w:b w:val="0"/>
        <w:i w:val="0"/>
        <w:caps w:val="0"/>
        <w:strike w:val="0"/>
        <w:dstrike w:val="0"/>
        <w:color w:val="000000"/>
        <w:spacing w:val="0"/>
        <w:w w:val="100"/>
        <w:sz w:val="24"/>
        <w:szCs w:val="24"/>
        <w:u w:val="none"/>
      </w:rPr>
    </w:lvl>
    <w:lvl w:ilvl="1" w:tentative="0">
      <w:start w:val="1"/>
      <w:numFmt w:val="decimal"/>
      <w:lvlText w:val="%2."/>
      <w:lvlJc w:val="left"/>
      <w:pPr>
        <w:tabs>
          <w:tab w:val="left" w:pos="510"/>
        </w:tabs>
        <w:ind w:left="510" w:hanging="510"/>
      </w:pPr>
      <w:rPr>
        <w:rFonts w:hint="default"/>
        <w:b w:val="0"/>
        <w:i w:val="0"/>
        <w:caps w:val="0"/>
        <w:strike w:val="0"/>
        <w:dstrike w:val="0"/>
        <w:color w:val="000000"/>
        <w:spacing w:val="0"/>
        <w:w w:val="100"/>
        <w:sz w:val="24"/>
        <w:szCs w:val="24"/>
        <w:u w:val="none"/>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7">
    <w:nsid w:val="42602A0E"/>
    <w:multiLevelType w:val="multilevel"/>
    <w:tmpl w:val="42602A0E"/>
    <w:lvl w:ilvl="0" w:tentative="0">
      <w:start w:val="1"/>
      <w:numFmt w:val="decimal"/>
      <w:lvlText w:val="%1."/>
      <w:lvlJc w:val="left"/>
      <w:pPr>
        <w:tabs>
          <w:tab w:val="left" w:pos="510"/>
        </w:tabs>
        <w:ind w:left="510" w:hanging="510"/>
      </w:pPr>
      <w:rPr>
        <w:rFonts w:hint="default"/>
        <w:b w:val="0"/>
        <w:i w:val="0"/>
        <w:caps w:val="0"/>
        <w:strike w:val="0"/>
        <w:dstrike w:val="0"/>
        <w:color w:val="000000"/>
        <w:spacing w:val="0"/>
        <w:w w:val="100"/>
        <w:sz w:val="24"/>
        <w:szCs w:val="24"/>
        <w:u w:val="none"/>
        <w14:shadow w14:blurRad="0" w14:dist="0" w14:dir="0" w14:sx="0" w14:sy="0" w14:kx="0" w14:ky="0" w14:algn="none">
          <w14:srgbClr w14:val="000000"/>
        </w14:shadow>
      </w:rPr>
    </w:lvl>
    <w:lvl w:ilvl="1" w:tentative="0">
      <w:start w:val="1"/>
      <w:numFmt w:val="decimal"/>
      <w:lvlText w:val="%2."/>
      <w:lvlJc w:val="left"/>
      <w:pPr>
        <w:tabs>
          <w:tab w:val="left" w:pos="510"/>
        </w:tabs>
        <w:ind w:left="510" w:hanging="510"/>
      </w:pPr>
      <w:rPr>
        <w:rFonts w:hint="default"/>
        <w:b w:val="0"/>
        <w:i w:val="0"/>
        <w:caps w:val="0"/>
        <w:strike w:val="0"/>
        <w:dstrike w:val="0"/>
        <w:color w:val="000000"/>
        <w:spacing w:val="0"/>
        <w:w w:val="100"/>
        <w:sz w:val="24"/>
        <w:szCs w:val="24"/>
        <w:u w:val="none"/>
        <w14:shadow w14:blurRad="0" w14:dist="0" w14:dir="0" w14:sx="0" w14:sy="0" w14:kx="0" w14:ky="0" w14:algn="none">
          <w14:srgbClr w14:val="000000"/>
        </w14:shadow>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8">
    <w:nsid w:val="646B2C3B"/>
    <w:multiLevelType w:val="multilevel"/>
    <w:tmpl w:val="646B2C3B"/>
    <w:lvl w:ilvl="0" w:tentative="0">
      <w:start w:val="2"/>
      <w:numFmt w:val="chineseCountingThousand"/>
      <w:lvlText w:val="%1、"/>
      <w:lvlJc w:val="left"/>
      <w:pPr>
        <w:tabs>
          <w:tab w:val="left" w:pos="510"/>
        </w:tabs>
        <w:ind w:left="510" w:hanging="510"/>
      </w:pPr>
      <w:rPr>
        <w:rFonts w:hint="default"/>
        <w:b w:val="0"/>
        <w:i w:val="0"/>
        <w:caps w:val="0"/>
        <w:strike w:val="0"/>
        <w:dstrike w:val="0"/>
        <w:color w:val="000000"/>
        <w:spacing w:val="0"/>
        <w:w w:val="100"/>
        <w:sz w:val="24"/>
        <w:szCs w:val="24"/>
        <w:u w:val="none"/>
      </w:rPr>
    </w:lvl>
    <w:lvl w:ilvl="1" w:tentative="0">
      <w:start w:val="1"/>
      <w:numFmt w:val="decimal"/>
      <w:lvlText w:val="%2."/>
      <w:lvlJc w:val="left"/>
      <w:pPr>
        <w:tabs>
          <w:tab w:val="left" w:pos="510"/>
        </w:tabs>
        <w:ind w:left="510" w:hanging="510"/>
      </w:pPr>
      <w:rPr>
        <w:rFonts w:hint="default"/>
        <w:b w:val="0"/>
        <w:i w:val="0"/>
        <w:caps w:val="0"/>
        <w:strike w:val="0"/>
        <w:dstrike w:val="0"/>
        <w:color w:val="000000"/>
        <w:spacing w:val="0"/>
        <w:w w:val="100"/>
        <w:sz w:val="24"/>
        <w:szCs w:val="24"/>
        <w:u w:val="none"/>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9">
    <w:nsid w:val="7A90263B"/>
    <w:multiLevelType w:val="multilevel"/>
    <w:tmpl w:val="7A90263B"/>
    <w:lvl w:ilvl="0" w:tentative="0">
      <w:start w:val="1"/>
      <w:numFmt w:val="chineseCountingThousand"/>
      <w:lvlText w:val="第%1条"/>
      <w:lvlJc w:val="left"/>
      <w:pPr>
        <w:ind w:left="57" w:hanging="57"/>
      </w:pPr>
      <w:rPr>
        <w:rFonts w:hint="eastAsia"/>
        <w:sz w:val="28"/>
        <w:szCs w:val="28"/>
      </w:rPr>
    </w:lvl>
    <w:lvl w:ilvl="1" w:tentative="0">
      <w:start w:val="1"/>
      <w:numFmt w:val="lowerLetter"/>
      <w:lvlText w:val="%2)"/>
      <w:lvlJc w:val="left"/>
      <w:pPr>
        <w:ind w:left="114" w:hanging="57"/>
      </w:pPr>
      <w:rPr>
        <w:rFonts w:hint="eastAsia"/>
      </w:rPr>
    </w:lvl>
    <w:lvl w:ilvl="2" w:tentative="0">
      <w:start w:val="1"/>
      <w:numFmt w:val="lowerRoman"/>
      <w:lvlText w:val="%3."/>
      <w:lvlJc w:val="right"/>
      <w:pPr>
        <w:ind w:left="171" w:hanging="57"/>
      </w:pPr>
      <w:rPr>
        <w:rFonts w:hint="eastAsia"/>
      </w:rPr>
    </w:lvl>
    <w:lvl w:ilvl="3" w:tentative="0">
      <w:start w:val="1"/>
      <w:numFmt w:val="decimal"/>
      <w:lvlText w:val="%4."/>
      <w:lvlJc w:val="left"/>
      <w:pPr>
        <w:ind w:left="228" w:hanging="57"/>
      </w:pPr>
      <w:rPr>
        <w:rFonts w:hint="eastAsia"/>
      </w:rPr>
    </w:lvl>
    <w:lvl w:ilvl="4" w:tentative="0">
      <w:start w:val="1"/>
      <w:numFmt w:val="lowerLetter"/>
      <w:lvlText w:val="%5)"/>
      <w:lvlJc w:val="left"/>
      <w:pPr>
        <w:ind w:left="285" w:hanging="57"/>
      </w:pPr>
      <w:rPr>
        <w:rFonts w:hint="eastAsia"/>
      </w:rPr>
    </w:lvl>
    <w:lvl w:ilvl="5" w:tentative="0">
      <w:start w:val="1"/>
      <w:numFmt w:val="lowerRoman"/>
      <w:lvlText w:val="%6."/>
      <w:lvlJc w:val="right"/>
      <w:pPr>
        <w:ind w:left="342" w:hanging="57"/>
      </w:pPr>
      <w:rPr>
        <w:rFonts w:hint="eastAsia"/>
      </w:rPr>
    </w:lvl>
    <w:lvl w:ilvl="6" w:tentative="0">
      <w:start w:val="1"/>
      <w:numFmt w:val="decimal"/>
      <w:lvlText w:val="%7."/>
      <w:lvlJc w:val="left"/>
      <w:pPr>
        <w:ind w:left="399" w:hanging="57"/>
      </w:pPr>
      <w:rPr>
        <w:rFonts w:hint="eastAsia"/>
      </w:rPr>
    </w:lvl>
    <w:lvl w:ilvl="7" w:tentative="0">
      <w:start w:val="1"/>
      <w:numFmt w:val="lowerLetter"/>
      <w:lvlText w:val="%8)"/>
      <w:lvlJc w:val="left"/>
      <w:pPr>
        <w:ind w:left="456" w:hanging="57"/>
      </w:pPr>
      <w:rPr>
        <w:rFonts w:hint="eastAsia"/>
      </w:rPr>
    </w:lvl>
    <w:lvl w:ilvl="8" w:tentative="0">
      <w:start w:val="1"/>
      <w:numFmt w:val="lowerRoman"/>
      <w:lvlText w:val="%9."/>
      <w:lvlJc w:val="right"/>
      <w:pPr>
        <w:ind w:left="513" w:hanging="57"/>
      </w:pPr>
      <w:rPr>
        <w:rFonts w:hint="eastAsia"/>
      </w:rPr>
    </w:lvl>
  </w:abstractNum>
  <w:abstractNum w:abstractNumId="20">
    <w:nsid w:val="7AEF7716"/>
    <w:multiLevelType w:val="multilevel"/>
    <w:tmpl w:val="7AEF7716"/>
    <w:lvl w:ilvl="0" w:tentative="0">
      <w:start w:val="1"/>
      <w:numFmt w:val="chineseCountingThousand"/>
      <w:pStyle w:val="130"/>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3"/>
  </w:num>
  <w:num w:numId="3">
    <w:abstractNumId w:val="11"/>
  </w:num>
  <w:num w:numId="4">
    <w:abstractNumId w:val="10"/>
  </w:num>
  <w:num w:numId="5">
    <w:abstractNumId w:val="20"/>
  </w:num>
  <w:num w:numId="6">
    <w:abstractNumId w:val="14"/>
  </w:num>
  <w:num w:numId="7">
    <w:abstractNumId w:val="0"/>
  </w:num>
  <w:num w:numId="8">
    <w:abstractNumId w:val="15"/>
  </w:num>
  <w:num w:numId="9">
    <w:abstractNumId w:val="12"/>
  </w:num>
  <w:num w:numId="10">
    <w:abstractNumId w:val="1"/>
  </w:num>
  <w:num w:numId="11">
    <w:abstractNumId w:val="2"/>
  </w:num>
  <w:num w:numId="12">
    <w:abstractNumId w:val="19"/>
  </w:num>
  <w:num w:numId="13">
    <w:abstractNumId w:val="5"/>
  </w:num>
  <w:num w:numId="14">
    <w:abstractNumId w:val="6"/>
  </w:num>
  <w:num w:numId="15">
    <w:abstractNumId w:val="7"/>
  </w:num>
  <w:num w:numId="16">
    <w:abstractNumId w:val="17"/>
  </w:num>
  <w:num w:numId="17">
    <w:abstractNumId w:val="13"/>
  </w:num>
  <w:num w:numId="18">
    <w:abstractNumId w:val="16"/>
  </w:num>
  <w:num w:numId="19">
    <w:abstractNumId w:val="8"/>
  </w:num>
  <w:num w:numId="20">
    <w:abstractNumId w:val="1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0OWI4MDU3YTJhYzdmNGM4MWU3MmRkYjBiZmM3MjgifQ=="/>
    <w:docVar w:name="KSO_WPS_MARK_KEY" w:val="f386cd90-9942-412c-b661-b9446ab9efcc"/>
  </w:docVars>
  <w:rsids>
    <w:rsidRoot w:val="001E0809"/>
    <w:rsid w:val="000B3105"/>
    <w:rsid w:val="001E0809"/>
    <w:rsid w:val="00221DF3"/>
    <w:rsid w:val="00223D40"/>
    <w:rsid w:val="002A6598"/>
    <w:rsid w:val="0043053C"/>
    <w:rsid w:val="0045458B"/>
    <w:rsid w:val="005700D6"/>
    <w:rsid w:val="005C5306"/>
    <w:rsid w:val="005E7D23"/>
    <w:rsid w:val="0068239F"/>
    <w:rsid w:val="006A78A0"/>
    <w:rsid w:val="006B4EC7"/>
    <w:rsid w:val="00734846"/>
    <w:rsid w:val="0080058D"/>
    <w:rsid w:val="00823EB2"/>
    <w:rsid w:val="00873308"/>
    <w:rsid w:val="008A2C58"/>
    <w:rsid w:val="008B34A8"/>
    <w:rsid w:val="008B47DC"/>
    <w:rsid w:val="00967E62"/>
    <w:rsid w:val="009F7111"/>
    <w:rsid w:val="00A76191"/>
    <w:rsid w:val="00AA1D76"/>
    <w:rsid w:val="00AE7AAE"/>
    <w:rsid w:val="00B32168"/>
    <w:rsid w:val="00D103F8"/>
    <w:rsid w:val="00D23E19"/>
    <w:rsid w:val="00E010B2"/>
    <w:rsid w:val="00E547BF"/>
    <w:rsid w:val="00FF7A9D"/>
    <w:rsid w:val="03107208"/>
    <w:rsid w:val="04410087"/>
    <w:rsid w:val="0D4279C8"/>
    <w:rsid w:val="0DB64DDA"/>
    <w:rsid w:val="0FE91B62"/>
    <w:rsid w:val="102422A9"/>
    <w:rsid w:val="1084657B"/>
    <w:rsid w:val="111D1246"/>
    <w:rsid w:val="152A04EF"/>
    <w:rsid w:val="178F7340"/>
    <w:rsid w:val="1C8E7927"/>
    <w:rsid w:val="1C9458AB"/>
    <w:rsid w:val="1E3F5E7E"/>
    <w:rsid w:val="221E19EC"/>
    <w:rsid w:val="22A243CB"/>
    <w:rsid w:val="273346A1"/>
    <w:rsid w:val="3C6D3607"/>
    <w:rsid w:val="3FF86978"/>
    <w:rsid w:val="445E5A50"/>
    <w:rsid w:val="46C23027"/>
    <w:rsid w:val="47243973"/>
    <w:rsid w:val="49A37EE9"/>
    <w:rsid w:val="51514A30"/>
    <w:rsid w:val="59B37115"/>
    <w:rsid w:val="59B50E2B"/>
    <w:rsid w:val="5BF67B4D"/>
    <w:rsid w:val="606B0FEB"/>
    <w:rsid w:val="607369CE"/>
    <w:rsid w:val="64C411CA"/>
    <w:rsid w:val="68DD57AE"/>
    <w:rsid w:val="69DD20D1"/>
    <w:rsid w:val="6BC43BC4"/>
    <w:rsid w:val="722321B2"/>
    <w:rsid w:val="770D7A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semiHidden="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qFormat="1" w:unhideWhenUsed="0" w:uiPriority="0" w:semiHidden="0" w:name="HTML Preformatted"/>
    <w:lsdException w:qFormat="1" w:uiPriority="0" w:semiHidden="0" w:name="HTML Sample"/>
    <w:lsdException w:qFormat="1" w:uiPriority="0" w:semiHidden="0" w:name="HTML Typewriter"/>
    <w:lsdException w:qFormat="1"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66"/>
    <w:qFormat/>
    <w:uiPriority w:val="0"/>
    <w:pPr>
      <w:spacing w:before="340" w:after="330" w:line="360" w:lineRule="auto"/>
      <w:jc w:val="center"/>
      <w:outlineLvl w:val="0"/>
    </w:pPr>
    <w:rPr>
      <w:rFonts w:eastAsia="黑体"/>
      <w:kern w:val="44"/>
      <w:szCs w:val="44"/>
    </w:rPr>
  </w:style>
  <w:style w:type="paragraph" w:styleId="6">
    <w:name w:val="heading 2"/>
    <w:basedOn w:val="4"/>
    <w:next w:val="5"/>
    <w:link w:val="81"/>
    <w:qFormat/>
    <w:uiPriority w:val="0"/>
    <w:pPr>
      <w:adjustRightInd w:val="0"/>
      <w:jc w:val="center"/>
      <w:textAlignment w:val="baseline"/>
      <w:outlineLvl w:val="1"/>
    </w:pPr>
    <w:rPr>
      <w:kern w:val="0"/>
      <w:sz w:val="24"/>
      <w:szCs w:val="20"/>
    </w:rPr>
  </w:style>
  <w:style w:type="paragraph" w:styleId="4">
    <w:name w:val="heading 3"/>
    <w:basedOn w:val="5"/>
    <w:next w:val="1"/>
    <w:link w:val="65"/>
    <w:qFormat/>
    <w:uiPriority w:val="9"/>
    <w:pPr>
      <w:spacing w:before="260" w:after="260" w:line="240" w:lineRule="auto"/>
      <w:outlineLvl w:val="2"/>
    </w:pPr>
    <w:rPr>
      <w:rFonts w:ascii="宋体" w:hAnsi="宋体" w:eastAsia="宋体"/>
      <w:szCs w:val="32"/>
    </w:rPr>
  </w:style>
  <w:style w:type="paragraph" w:styleId="5">
    <w:name w:val="heading 4"/>
    <w:basedOn w:val="1"/>
    <w:next w:val="1"/>
    <w:link w:val="63"/>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90"/>
    <w:qFormat/>
    <w:uiPriority w:val="0"/>
    <w:pPr>
      <w:keepNext/>
      <w:keepLines/>
      <w:spacing w:before="280" w:after="290" w:line="376" w:lineRule="auto"/>
      <w:outlineLvl w:val="4"/>
    </w:pPr>
    <w:rPr>
      <w:b/>
      <w:sz w:val="28"/>
      <w:szCs w:val="20"/>
    </w:rPr>
  </w:style>
  <w:style w:type="paragraph" w:styleId="9">
    <w:name w:val="heading 6"/>
    <w:basedOn w:val="1"/>
    <w:next w:val="8"/>
    <w:link w:val="93"/>
    <w:qFormat/>
    <w:uiPriority w:val="0"/>
    <w:pPr>
      <w:keepNext/>
      <w:keepLines/>
      <w:spacing w:before="240" w:after="64" w:line="320" w:lineRule="auto"/>
      <w:outlineLvl w:val="5"/>
    </w:pPr>
    <w:rPr>
      <w:rFonts w:ascii="Arial" w:hAnsi="Arial" w:eastAsia="黑体"/>
      <w:b/>
      <w:sz w:val="24"/>
      <w:szCs w:val="20"/>
    </w:rPr>
  </w:style>
  <w:style w:type="paragraph" w:styleId="10">
    <w:name w:val="heading 7"/>
    <w:basedOn w:val="1"/>
    <w:next w:val="8"/>
    <w:link w:val="94"/>
    <w:qFormat/>
    <w:uiPriority w:val="0"/>
    <w:pPr>
      <w:keepNext/>
      <w:keepLines/>
      <w:spacing w:before="240" w:after="64" w:line="320" w:lineRule="auto"/>
      <w:outlineLvl w:val="6"/>
    </w:pPr>
    <w:rPr>
      <w:b/>
      <w:sz w:val="24"/>
      <w:szCs w:val="20"/>
    </w:rPr>
  </w:style>
  <w:style w:type="paragraph" w:styleId="11">
    <w:name w:val="heading 8"/>
    <w:basedOn w:val="1"/>
    <w:next w:val="8"/>
    <w:link w:val="95"/>
    <w:qFormat/>
    <w:uiPriority w:val="0"/>
    <w:pPr>
      <w:keepNext/>
      <w:keepLines/>
      <w:spacing w:before="240" w:after="64" w:line="320" w:lineRule="auto"/>
      <w:outlineLvl w:val="7"/>
    </w:pPr>
    <w:rPr>
      <w:rFonts w:ascii="Arial" w:hAnsi="Arial" w:eastAsia="黑体"/>
      <w:sz w:val="24"/>
      <w:szCs w:val="20"/>
    </w:rPr>
  </w:style>
  <w:style w:type="paragraph" w:styleId="12">
    <w:name w:val="heading 9"/>
    <w:basedOn w:val="1"/>
    <w:next w:val="8"/>
    <w:link w:val="96"/>
    <w:qFormat/>
    <w:uiPriority w:val="0"/>
    <w:pPr>
      <w:keepNext/>
      <w:keepLines/>
      <w:spacing w:before="240" w:after="64" w:line="320" w:lineRule="auto"/>
      <w:outlineLvl w:val="8"/>
    </w:pPr>
    <w:rPr>
      <w:rFonts w:ascii="Arial" w:hAnsi="Arial" w:eastAsia="黑体"/>
      <w:szCs w:val="20"/>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02"/>
    <w:qFormat/>
    <w:uiPriority w:val="0"/>
    <w:pPr>
      <w:spacing w:line="360" w:lineRule="auto"/>
    </w:pPr>
    <w:rPr>
      <w:b/>
      <w:bCs/>
      <w:sz w:val="24"/>
    </w:rPr>
  </w:style>
  <w:style w:type="paragraph" w:styleId="8">
    <w:name w:val="Normal Indent"/>
    <w:basedOn w:val="1"/>
    <w:link w:val="67"/>
    <w:qFormat/>
    <w:uiPriority w:val="0"/>
    <w:pPr>
      <w:ind w:firstLine="420"/>
    </w:pPr>
    <w:rPr>
      <w:szCs w:val="20"/>
    </w:rPr>
  </w:style>
  <w:style w:type="paragraph" w:styleId="13">
    <w:name w:val="toc 7"/>
    <w:basedOn w:val="1"/>
    <w:next w:val="1"/>
    <w:semiHidden/>
    <w:qFormat/>
    <w:uiPriority w:val="0"/>
    <w:pPr>
      <w:ind w:left="1260"/>
      <w:jc w:val="left"/>
    </w:pPr>
    <w:rPr>
      <w:szCs w:val="21"/>
    </w:rPr>
  </w:style>
  <w:style w:type="paragraph" w:styleId="14">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5">
    <w:name w:val="List Bullet"/>
    <w:basedOn w:val="1"/>
    <w:qFormat/>
    <w:uiPriority w:val="0"/>
    <w:pPr>
      <w:numPr>
        <w:ilvl w:val="0"/>
        <w:numId w:val="1"/>
      </w:numPr>
    </w:pPr>
    <w:rPr>
      <w:szCs w:val="20"/>
    </w:rPr>
  </w:style>
  <w:style w:type="paragraph" w:styleId="16">
    <w:name w:val="Document Map"/>
    <w:basedOn w:val="1"/>
    <w:semiHidden/>
    <w:qFormat/>
    <w:uiPriority w:val="0"/>
    <w:pPr>
      <w:shd w:val="clear" w:color="auto" w:fill="000080"/>
    </w:pPr>
  </w:style>
  <w:style w:type="paragraph" w:styleId="17">
    <w:name w:val="annotation text"/>
    <w:basedOn w:val="1"/>
    <w:link w:val="194"/>
    <w:qFormat/>
    <w:uiPriority w:val="99"/>
    <w:pPr>
      <w:autoSpaceDE w:val="0"/>
      <w:autoSpaceDN w:val="0"/>
      <w:adjustRightInd w:val="0"/>
      <w:jc w:val="left"/>
      <w:textAlignment w:val="baseline"/>
    </w:pPr>
    <w:rPr>
      <w:rFonts w:ascii="宋体"/>
      <w:kern w:val="0"/>
      <w:sz w:val="34"/>
      <w:szCs w:val="20"/>
    </w:rPr>
  </w:style>
  <w:style w:type="paragraph" w:styleId="18">
    <w:name w:val="Body Text 3"/>
    <w:basedOn w:val="1"/>
    <w:link w:val="108"/>
    <w:qFormat/>
    <w:uiPriority w:val="0"/>
    <w:pPr>
      <w:spacing w:after="120"/>
    </w:pPr>
    <w:rPr>
      <w:sz w:val="16"/>
      <w:szCs w:val="16"/>
    </w:rPr>
  </w:style>
  <w:style w:type="paragraph" w:styleId="19">
    <w:name w:val="Body Text Indent"/>
    <w:basedOn w:val="1"/>
    <w:link w:val="89"/>
    <w:qFormat/>
    <w:uiPriority w:val="0"/>
    <w:pPr>
      <w:spacing w:line="360" w:lineRule="auto"/>
      <w:ind w:firstLine="420" w:firstLineChars="200"/>
    </w:pPr>
  </w:style>
  <w:style w:type="paragraph" w:styleId="20">
    <w:name w:val="toc 5"/>
    <w:basedOn w:val="1"/>
    <w:next w:val="1"/>
    <w:semiHidden/>
    <w:qFormat/>
    <w:uiPriority w:val="0"/>
    <w:pPr>
      <w:ind w:left="840"/>
      <w:jc w:val="left"/>
    </w:pPr>
    <w:rPr>
      <w:szCs w:val="21"/>
    </w:rPr>
  </w:style>
  <w:style w:type="paragraph" w:styleId="21">
    <w:name w:val="toc 3"/>
    <w:basedOn w:val="1"/>
    <w:next w:val="1"/>
    <w:semiHidden/>
    <w:qFormat/>
    <w:uiPriority w:val="0"/>
    <w:pPr>
      <w:ind w:left="420"/>
      <w:jc w:val="left"/>
    </w:pPr>
    <w:rPr>
      <w:i/>
      <w:iCs/>
    </w:rPr>
  </w:style>
  <w:style w:type="paragraph" w:styleId="22">
    <w:name w:val="Plain Text"/>
    <w:basedOn w:val="1"/>
    <w:link w:val="100"/>
    <w:qFormat/>
    <w:uiPriority w:val="0"/>
    <w:rPr>
      <w:rFonts w:ascii="宋体" w:hAnsi="Courier New"/>
      <w:szCs w:val="20"/>
    </w:rPr>
  </w:style>
  <w:style w:type="paragraph" w:styleId="23">
    <w:name w:val="toc 8"/>
    <w:basedOn w:val="1"/>
    <w:next w:val="1"/>
    <w:semiHidden/>
    <w:qFormat/>
    <w:uiPriority w:val="0"/>
    <w:pPr>
      <w:ind w:left="1470"/>
      <w:jc w:val="left"/>
    </w:pPr>
    <w:rPr>
      <w:szCs w:val="21"/>
    </w:rPr>
  </w:style>
  <w:style w:type="paragraph" w:styleId="24">
    <w:name w:val="Date"/>
    <w:basedOn w:val="1"/>
    <w:next w:val="1"/>
    <w:link w:val="98"/>
    <w:qFormat/>
    <w:uiPriority w:val="0"/>
    <w:rPr>
      <w:rFonts w:ascii="宋体" w:hAnsi="Courier New"/>
      <w:sz w:val="32"/>
      <w:szCs w:val="20"/>
    </w:rPr>
  </w:style>
  <w:style w:type="paragraph" w:styleId="25">
    <w:name w:val="Body Text Indent 2"/>
    <w:basedOn w:val="1"/>
    <w:link w:val="103"/>
    <w:qFormat/>
    <w:uiPriority w:val="0"/>
    <w:pPr>
      <w:spacing w:beforeLines="50" w:afterLines="50" w:line="120" w:lineRule="auto"/>
      <w:ind w:firstLine="840" w:firstLineChars="400"/>
      <w:jc w:val="left"/>
    </w:pPr>
    <w:rPr>
      <w:rFonts w:ascii="宋体" w:hAnsi="宋体"/>
    </w:rPr>
  </w:style>
  <w:style w:type="paragraph" w:styleId="26">
    <w:name w:val="Balloon Text"/>
    <w:basedOn w:val="1"/>
    <w:link w:val="109"/>
    <w:semiHidden/>
    <w:qFormat/>
    <w:uiPriority w:val="99"/>
    <w:rPr>
      <w:sz w:val="18"/>
      <w:szCs w:val="18"/>
    </w:rPr>
  </w:style>
  <w:style w:type="paragraph" w:styleId="27">
    <w:name w:val="footer"/>
    <w:basedOn w:val="1"/>
    <w:link w:val="107"/>
    <w:qFormat/>
    <w:uiPriority w:val="0"/>
    <w:pPr>
      <w:tabs>
        <w:tab w:val="center" w:pos="4153"/>
        <w:tab w:val="right" w:pos="8306"/>
      </w:tabs>
      <w:snapToGrid w:val="0"/>
      <w:jc w:val="left"/>
    </w:pPr>
    <w:rPr>
      <w:sz w:val="18"/>
      <w:szCs w:val="18"/>
    </w:rPr>
  </w:style>
  <w:style w:type="paragraph" w:styleId="28">
    <w:name w:val="envelope return"/>
    <w:basedOn w:val="1"/>
    <w:qFormat/>
    <w:uiPriority w:val="0"/>
    <w:pPr>
      <w:snapToGrid w:val="0"/>
    </w:pPr>
    <w:rPr>
      <w:rFonts w:ascii="Arial" w:hAnsi="Arial" w:cs="Arial"/>
      <w:szCs w:val="20"/>
    </w:rPr>
  </w:style>
  <w:style w:type="paragraph" w:styleId="29">
    <w:name w:val="header"/>
    <w:basedOn w:val="1"/>
    <w:link w:val="104"/>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semiHidden/>
    <w:qFormat/>
    <w:uiPriority w:val="0"/>
    <w:pPr>
      <w:spacing w:before="120" w:after="120"/>
      <w:jc w:val="left"/>
    </w:pPr>
    <w:rPr>
      <w:b/>
      <w:bCs/>
      <w:caps/>
    </w:rPr>
  </w:style>
  <w:style w:type="paragraph" w:styleId="31">
    <w:name w:val="toc 4"/>
    <w:basedOn w:val="1"/>
    <w:next w:val="1"/>
    <w:semiHidden/>
    <w:qFormat/>
    <w:uiPriority w:val="0"/>
    <w:pPr>
      <w:ind w:left="630"/>
      <w:jc w:val="left"/>
    </w:pPr>
    <w:rPr>
      <w:szCs w:val="21"/>
    </w:rPr>
  </w:style>
  <w:style w:type="paragraph" w:styleId="32">
    <w:name w:val="toc 6"/>
    <w:basedOn w:val="1"/>
    <w:next w:val="1"/>
    <w:semiHidden/>
    <w:qFormat/>
    <w:uiPriority w:val="0"/>
    <w:pPr>
      <w:ind w:left="1050"/>
      <w:jc w:val="left"/>
    </w:pPr>
    <w:rPr>
      <w:szCs w:val="21"/>
    </w:rPr>
  </w:style>
  <w:style w:type="paragraph" w:styleId="33">
    <w:name w:val="Body Text Indent 3"/>
    <w:basedOn w:val="1"/>
    <w:link w:val="105"/>
    <w:qFormat/>
    <w:uiPriority w:val="0"/>
    <w:pPr>
      <w:spacing w:line="360" w:lineRule="auto"/>
      <w:ind w:firstLine="482" w:firstLineChars="200"/>
    </w:pPr>
    <w:rPr>
      <w:rFonts w:ascii="宋体"/>
      <w:b/>
      <w:bCs/>
      <w:sz w:val="24"/>
    </w:rPr>
  </w:style>
  <w:style w:type="paragraph" w:styleId="34">
    <w:name w:val="toc 2"/>
    <w:basedOn w:val="1"/>
    <w:next w:val="1"/>
    <w:semiHidden/>
    <w:qFormat/>
    <w:uiPriority w:val="0"/>
    <w:pPr>
      <w:tabs>
        <w:tab w:val="right" w:leader="dot" w:pos="8296"/>
      </w:tabs>
      <w:ind w:left="210"/>
      <w:jc w:val="left"/>
    </w:pPr>
    <w:rPr>
      <w:smallCaps/>
    </w:rPr>
  </w:style>
  <w:style w:type="paragraph" w:styleId="35">
    <w:name w:val="toc 9"/>
    <w:basedOn w:val="1"/>
    <w:next w:val="1"/>
    <w:semiHidden/>
    <w:qFormat/>
    <w:uiPriority w:val="0"/>
    <w:pPr>
      <w:ind w:left="1680"/>
      <w:jc w:val="left"/>
    </w:pPr>
    <w:rPr>
      <w:szCs w:val="21"/>
    </w:rPr>
  </w:style>
  <w:style w:type="paragraph" w:styleId="36">
    <w:name w:val="Body Text 2"/>
    <w:basedOn w:val="1"/>
    <w:link w:val="106"/>
    <w:qFormat/>
    <w:uiPriority w:val="0"/>
    <w:pPr>
      <w:spacing w:line="360" w:lineRule="auto"/>
    </w:pPr>
    <w:rPr>
      <w:sz w:val="24"/>
    </w:rPr>
  </w:style>
  <w:style w:type="paragraph" w:styleId="37">
    <w:name w:val="HTML Preformatted"/>
    <w:basedOn w:val="1"/>
    <w:link w:val="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8">
    <w:name w:val="Normal (Web)"/>
    <w:basedOn w:val="1"/>
    <w:link w:val="200"/>
    <w:qFormat/>
    <w:uiPriority w:val="99"/>
    <w:rPr>
      <w:sz w:val="24"/>
    </w:rPr>
  </w:style>
  <w:style w:type="paragraph" w:styleId="39">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40">
    <w:name w:val="Title"/>
    <w:basedOn w:val="1"/>
    <w:link w:val="97"/>
    <w:qFormat/>
    <w:uiPriority w:val="0"/>
    <w:pPr>
      <w:spacing w:before="240" w:after="60"/>
      <w:jc w:val="center"/>
      <w:outlineLvl w:val="0"/>
    </w:pPr>
    <w:rPr>
      <w:rFonts w:ascii="Arial" w:hAnsi="Arial" w:eastAsia="隶书" w:cs="Arial"/>
      <w:b/>
      <w:bCs/>
      <w:sz w:val="32"/>
      <w:szCs w:val="32"/>
    </w:rPr>
  </w:style>
  <w:style w:type="paragraph" w:styleId="41">
    <w:name w:val="annotation subject"/>
    <w:basedOn w:val="17"/>
    <w:next w:val="17"/>
    <w:link w:val="195"/>
    <w:qFormat/>
    <w:uiPriority w:val="99"/>
    <w:pPr>
      <w:autoSpaceDE/>
      <w:autoSpaceDN/>
      <w:adjustRightInd/>
      <w:textAlignment w:val="auto"/>
    </w:pPr>
    <w:rPr>
      <w:rFonts w:ascii="Times New Roman"/>
      <w:b/>
      <w:bCs/>
      <w:kern w:val="2"/>
      <w:sz w:val="21"/>
      <w:szCs w:val="24"/>
    </w:rPr>
  </w:style>
  <w:style w:type="paragraph" w:styleId="42">
    <w:name w:val="Body Text First Indent"/>
    <w:basedOn w:val="2"/>
    <w:link w:val="140"/>
    <w:qFormat/>
    <w:uiPriority w:val="0"/>
    <w:pPr>
      <w:spacing w:after="120" w:line="240" w:lineRule="auto"/>
      <w:ind w:firstLine="420" w:firstLineChars="100"/>
    </w:pPr>
    <w:rPr>
      <w:sz w:val="21"/>
    </w:rPr>
  </w:style>
  <w:style w:type="paragraph" w:styleId="43">
    <w:name w:val="Body Text First Indent 2"/>
    <w:basedOn w:val="19"/>
    <w:qFormat/>
    <w:uiPriority w:val="99"/>
    <w:pPr>
      <w:spacing w:after="120" w:line="240" w:lineRule="auto"/>
      <w:ind w:left="420" w:leftChars="200"/>
    </w:p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Emphasis"/>
    <w:basedOn w:val="46"/>
    <w:qFormat/>
    <w:uiPriority w:val="0"/>
    <w:rPr>
      <w:b/>
      <w:bCs/>
    </w:rPr>
  </w:style>
  <w:style w:type="character" w:styleId="51">
    <w:name w:val="HTML Definition"/>
    <w:basedOn w:val="46"/>
    <w:unhideWhenUsed/>
    <w:qFormat/>
    <w:uiPriority w:val="0"/>
  </w:style>
  <w:style w:type="character" w:styleId="52">
    <w:name w:val="HTML Typewriter"/>
    <w:basedOn w:val="46"/>
    <w:unhideWhenUsed/>
    <w:qFormat/>
    <w:uiPriority w:val="0"/>
    <w:rPr>
      <w:rFonts w:ascii="monospace" w:hAnsi="monospace" w:eastAsia="monospace" w:cs="monospace"/>
      <w:sz w:val="20"/>
    </w:rPr>
  </w:style>
  <w:style w:type="character" w:styleId="53">
    <w:name w:val="HTML Acronym"/>
    <w:basedOn w:val="46"/>
    <w:unhideWhenUsed/>
    <w:qFormat/>
    <w:uiPriority w:val="0"/>
  </w:style>
  <w:style w:type="character" w:styleId="54">
    <w:name w:val="HTML Variable"/>
    <w:basedOn w:val="46"/>
    <w:unhideWhenUsed/>
    <w:qFormat/>
    <w:uiPriority w:val="0"/>
  </w:style>
  <w:style w:type="character" w:styleId="55">
    <w:name w:val="Hyperlink"/>
    <w:qFormat/>
    <w:uiPriority w:val="0"/>
    <w:rPr>
      <w:color w:val="0000FF"/>
      <w:u w:val="single"/>
    </w:rPr>
  </w:style>
  <w:style w:type="character" w:styleId="56">
    <w:name w:val="HTML Code"/>
    <w:basedOn w:val="46"/>
    <w:unhideWhenUsed/>
    <w:qFormat/>
    <w:uiPriority w:val="0"/>
    <w:rPr>
      <w:rFonts w:hint="default" w:ascii="monospace" w:hAnsi="monospace" w:eastAsia="monospace" w:cs="monospace"/>
      <w:sz w:val="20"/>
    </w:rPr>
  </w:style>
  <w:style w:type="character" w:styleId="57">
    <w:name w:val="annotation reference"/>
    <w:basedOn w:val="46"/>
    <w:qFormat/>
    <w:uiPriority w:val="99"/>
    <w:rPr>
      <w:sz w:val="21"/>
      <w:szCs w:val="21"/>
    </w:rPr>
  </w:style>
  <w:style w:type="character" w:styleId="58">
    <w:name w:val="HTML Cite"/>
    <w:basedOn w:val="46"/>
    <w:unhideWhenUsed/>
    <w:qFormat/>
    <w:uiPriority w:val="0"/>
    <w:rPr>
      <w:color w:val="5C5C5C"/>
      <w:sz w:val="18"/>
      <w:szCs w:val="18"/>
      <w:bdr w:val="single" w:color="EBEBEB" w:sz="6" w:space="0"/>
      <w:shd w:val="clear" w:color="auto" w:fill="FFFFFF"/>
    </w:rPr>
  </w:style>
  <w:style w:type="character" w:styleId="59">
    <w:name w:val="HTML Keyboard"/>
    <w:basedOn w:val="46"/>
    <w:unhideWhenUsed/>
    <w:qFormat/>
    <w:uiPriority w:val="0"/>
    <w:rPr>
      <w:rFonts w:hint="default" w:ascii="monospace" w:hAnsi="monospace" w:eastAsia="monospace" w:cs="monospace"/>
      <w:sz w:val="20"/>
    </w:rPr>
  </w:style>
  <w:style w:type="character" w:styleId="60">
    <w:name w:val="HTML Sample"/>
    <w:basedOn w:val="46"/>
    <w:unhideWhenUsed/>
    <w:qFormat/>
    <w:uiPriority w:val="0"/>
    <w:rPr>
      <w:rFonts w:hint="default" w:ascii="monospace" w:hAnsi="monospace" w:eastAsia="monospace" w:cs="monospace"/>
    </w:rPr>
  </w:style>
  <w:style w:type="paragraph" w:customStyle="1" w:styleId="61">
    <w:name w:val="表格文字"/>
    <w:basedOn w:val="1"/>
    <w:qFormat/>
    <w:uiPriority w:val="0"/>
    <w:pPr>
      <w:spacing w:before="25" w:after="25"/>
      <w:jc w:val="left"/>
    </w:pPr>
    <w:rPr>
      <w:bCs/>
      <w:spacing w:val="10"/>
      <w:kern w:val="0"/>
      <w:sz w:val="24"/>
    </w:rPr>
  </w:style>
  <w:style w:type="paragraph" w:customStyle="1" w:styleId="62">
    <w:name w:val="引用1"/>
    <w:basedOn w:val="1"/>
    <w:next w:val="1"/>
    <w:qFormat/>
    <w:uiPriority w:val="99"/>
    <w:rPr>
      <w:rFonts w:ascii="Calibri" w:hAnsi="Calibri" w:cs="Calibri"/>
      <w:i/>
      <w:iCs/>
      <w:color w:val="000000"/>
      <w:sz w:val="22"/>
      <w:szCs w:val="22"/>
    </w:rPr>
  </w:style>
  <w:style w:type="character" w:customStyle="1" w:styleId="63">
    <w:name w:val="标题 4 Char"/>
    <w:link w:val="5"/>
    <w:qFormat/>
    <w:uiPriority w:val="9"/>
    <w:rPr>
      <w:rFonts w:ascii="Arial" w:hAnsi="Arial" w:eastAsia="黑体"/>
      <w:b/>
      <w:bCs/>
      <w:kern w:val="2"/>
      <w:sz w:val="28"/>
      <w:szCs w:val="28"/>
      <w:lang w:val="en-US" w:eastAsia="zh-CN" w:bidi="ar-SA"/>
    </w:rPr>
  </w:style>
  <w:style w:type="paragraph" w:customStyle="1" w:styleId="64">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65">
    <w:name w:val="标题 3 Char1"/>
    <w:link w:val="4"/>
    <w:qFormat/>
    <w:uiPriority w:val="9"/>
    <w:rPr>
      <w:rFonts w:ascii="宋体" w:hAnsi="宋体" w:eastAsia="宋体"/>
      <w:b/>
      <w:bCs/>
      <w:kern w:val="2"/>
      <w:sz w:val="28"/>
      <w:szCs w:val="32"/>
      <w:lang w:val="en-US" w:eastAsia="zh-CN" w:bidi="ar-SA"/>
    </w:rPr>
  </w:style>
  <w:style w:type="character" w:customStyle="1" w:styleId="66">
    <w:name w:val="标题 1 Char"/>
    <w:link w:val="3"/>
    <w:qFormat/>
    <w:uiPriority w:val="0"/>
    <w:rPr>
      <w:rFonts w:ascii="宋体" w:hAnsi="宋体" w:eastAsia="黑体"/>
      <w:b/>
      <w:bCs/>
      <w:kern w:val="44"/>
      <w:sz w:val="28"/>
      <w:szCs w:val="44"/>
      <w:lang w:val="en-US" w:eastAsia="zh-CN" w:bidi="ar-SA"/>
    </w:rPr>
  </w:style>
  <w:style w:type="character" w:customStyle="1" w:styleId="67">
    <w:name w:val="正文缩进 Char"/>
    <w:link w:val="8"/>
    <w:qFormat/>
    <w:uiPriority w:val="0"/>
    <w:rPr>
      <w:rFonts w:eastAsia="宋体"/>
      <w:kern w:val="2"/>
      <w:sz w:val="21"/>
      <w:lang w:val="en-US" w:eastAsia="zh-CN" w:bidi="ar-SA"/>
    </w:rPr>
  </w:style>
  <w:style w:type="character" w:customStyle="1" w:styleId="68">
    <w:name w:val="标题 3 Char"/>
    <w:qFormat/>
    <w:uiPriority w:val="0"/>
    <w:rPr>
      <w:rFonts w:ascii="黑体" w:eastAsia="黑体"/>
      <w:bCs/>
      <w:sz w:val="30"/>
    </w:rPr>
  </w:style>
  <w:style w:type="paragraph" w:customStyle="1" w:styleId="69">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70">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71">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7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4">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6">
    <w:name w:val="自定义正文"/>
    <w:basedOn w:val="1"/>
    <w:qFormat/>
    <w:uiPriority w:val="0"/>
    <w:pPr>
      <w:spacing w:afterLines="50"/>
      <w:ind w:left="600" w:leftChars="600"/>
    </w:pPr>
  </w:style>
  <w:style w:type="paragraph" w:customStyle="1" w:styleId="77">
    <w:name w:val="Char Char Char Char Char"/>
    <w:basedOn w:val="1"/>
    <w:qFormat/>
    <w:uiPriority w:val="0"/>
    <w:rPr>
      <w:rFonts w:ascii="Tahoma" w:hAnsi="Tahoma"/>
      <w:sz w:val="24"/>
      <w:szCs w:val="20"/>
    </w:rPr>
  </w:style>
  <w:style w:type="paragraph" w:customStyle="1" w:styleId="78">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79">
    <w:name w:val="Char Char"/>
    <w:basedOn w:val="1"/>
    <w:qFormat/>
    <w:uiPriority w:val="0"/>
    <w:rPr>
      <w:rFonts w:ascii="Tahoma" w:hAnsi="Tahoma"/>
      <w:sz w:val="24"/>
      <w:szCs w:val="20"/>
    </w:rPr>
  </w:style>
  <w:style w:type="paragraph" w:customStyle="1" w:styleId="80">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81">
    <w:name w:val="标题 2 Char"/>
    <w:link w:val="6"/>
    <w:qFormat/>
    <w:uiPriority w:val="0"/>
    <w:rPr>
      <w:rFonts w:ascii="宋体" w:hAnsi="宋体" w:eastAsia="宋体"/>
      <w:b/>
      <w:bCs/>
      <w:sz w:val="24"/>
      <w:lang w:val="en-US" w:eastAsia="zh-CN" w:bidi="ar-SA"/>
    </w:rPr>
  </w:style>
  <w:style w:type="paragraph" w:customStyle="1" w:styleId="8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3">
    <w:name w:val="列出段落1"/>
    <w:basedOn w:val="1"/>
    <w:qFormat/>
    <w:uiPriority w:val="34"/>
    <w:pPr>
      <w:ind w:firstLine="420" w:firstLineChars="200"/>
    </w:pPr>
    <w:rPr>
      <w:rFonts w:ascii="Calibri" w:hAnsi="Calibri"/>
      <w:szCs w:val="22"/>
    </w:rPr>
  </w:style>
  <w:style w:type="paragraph" w:customStyle="1" w:styleId="84">
    <w:name w:val="USE 1"/>
    <w:basedOn w:val="1"/>
    <w:qFormat/>
    <w:uiPriority w:val="0"/>
    <w:pPr>
      <w:spacing w:line="200" w:lineRule="atLeast"/>
      <w:jc w:val="left"/>
    </w:pPr>
    <w:rPr>
      <w:rFonts w:ascii="宋体" w:hAnsi="宋体"/>
      <w:b/>
      <w:sz w:val="24"/>
      <w:szCs w:val="28"/>
    </w:rPr>
  </w:style>
  <w:style w:type="paragraph" w:customStyle="1" w:styleId="85">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86">
    <w:name w:val="正文文字缩进项目"/>
    <w:basedOn w:val="19"/>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87">
    <w:name w:val="样式 标题 2 + 段前: 13 磅 段后: 13 磅 行距: 单倍行距"/>
    <w:basedOn w:val="6"/>
    <w:qFormat/>
    <w:uiPriority w:val="0"/>
    <w:pPr>
      <w:adjustRightInd/>
      <w:spacing w:before="0" w:after="0"/>
      <w:jc w:val="both"/>
      <w:textAlignment w:val="auto"/>
    </w:pPr>
    <w:rPr>
      <w:rFonts w:ascii="Cambria" w:hAnsi="Cambria" w:cs="宋体"/>
      <w:kern w:val="2"/>
      <w:sz w:val="32"/>
    </w:rPr>
  </w:style>
  <w:style w:type="character" w:customStyle="1" w:styleId="88">
    <w:name w:val="H4 Char2"/>
    <w:qFormat/>
    <w:uiPriority w:val="0"/>
    <w:rPr>
      <w:rFonts w:ascii="Arial" w:hAnsi="Arial" w:eastAsia="黑体"/>
      <w:b/>
      <w:bCs/>
      <w:kern w:val="2"/>
      <w:sz w:val="28"/>
      <w:szCs w:val="28"/>
      <w:lang w:val="en-US" w:eastAsia="zh-CN" w:bidi="ar-SA"/>
    </w:rPr>
  </w:style>
  <w:style w:type="character" w:customStyle="1" w:styleId="89">
    <w:name w:val="正文文本缩进 Char"/>
    <w:link w:val="19"/>
    <w:qFormat/>
    <w:uiPriority w:val="0"/>
    <w:rPr>
      <w:rFonts w:eastAsia="宋体"/>
      <w:kern w:val="2"/>
      <w:sz w:val="21"/>
      <w:szCs w:val="24"/>
      <w:lang w:val="en-US" w:eastAsia="zh-CN" w:bidi="ar-SA"/>
    </w:rPr>
  </w:style>
  <w:style w:type="character" w:customStyle="1" w:styleId="90">
    <w:name w:val="标题 5 Char"/>
    <w:link w:val="7"/>
    <w:qFormat/>
    <w:uiPriority w:val="0"/>
    <w:rPr>
      <w:rFonts w:eastAsia="宋体"/>
      <w:b/>
      <w:kern w:val="2"/>
      <w:sz w:val="28"/>
      <w:lang w:val="en-US" w:eastAsia="zh-CN" w:bidi="ar-SA"/>
    </w:rPr>
  </w:style>
  <w:style w:type="character" w:customStyle="1" w:styleId="91">
    <w:name w:val="第*章 Char"/>
    <w:qFormat/>
    <w:uiPriority w:val="0"/>
    <w:rPr>
      <w:rFonts w:ascii="Arial" w:hAnsi="Arial" w:eastAsia="黑体"/>
      <w:b/>
      <w:bCs/>
      <w:kern w:val="2"/>
      <w:sz w:val="32"/>
      <w:szCs w:val="32"/>
    </w:rPr>
  </w:style>
  <w:style w:type="character" w:customStyle="1" w:styleId="92">
    <w:name w:val="章标题1 Char"/>
    <w:qFormat/>
    <w:uiPriority w:val="0"/>
    <w:rPr>
      <w:rFonts w:eastAsia="宋体"/>
      <w:b/>
      <w:bCs/>
      <w:kern w:val="2"/>
      <w:sz w:val="32"/>
      <w:szCs w:val="32"/>
      <w:lang w:val="en-US" w:eastAsia="zh-CN" w:bidi="ar-SA"/>
    </w:rPr>
  </w:style>
  <w:style w:type="character" w:customStyle="1" w:styleId="93">
    <w:name w:val="标题 6 Char"/>
    <w:link w:val="9"/>
    <w:qFormat/>
    <w:uiPriority w:val="0"/>
    <w:rPr>
      <w:rFonts w:ascii="Arial" w:hAnsi="Arial" w:eastAsia="黑体"/>
      <w:b/>
      <w:kern w:val="2"/>
      <w:sz w:val="24"/>
      <w:lang w:val="en-US" w:eastAsia="zh-CN" w:bidi="ar-SA"/>
    </w:rPr>
  </w:style>
  <w:style w:type="character" w:customStyle="1" w:styleId="94">
    <w:name w:val="标题 7 Char"/>
    <w:link w:val="10"/>
    <w:qFormat/>
    <w:uiPriority w:val="0"/>
    <w:rPr>
      <w:rFonts w:eastAsia="宋体"/>
      <w:b/>
      <w:kern w:val="2"/>
      <w:sz w:val="24"/>
      <w:lang w:val="en-US" w:eastAsia="zh-CN" w:bidi="ar-SA"/>
    </w:rPr>
  </w:style>
  <w:style w:type="character" w:customStyle="1" w:styleId="95">
    <w:name w:val="标题 8 Char"/>
    <w:link w:val="11"/>
    <w:qFormat/>
    <w:uiPriority w:val="0"/>
    <w:rPr>
      <w:rFonts w:ascii="Arial" w:hAnsi="Arial" w:eastAsia="黑体"/>
      <w:kern w:val="2"/>
      <w:sz w:val="24"/>
      <w:lang w:val="en-US" w:eastAsia="zh-CN" w:bidi="ar-SA"/>
    </w:rPr>
  </w:style>
  <w:style w:type="character" w:customStyle="1" w:styleId="96">
    <w:name w:val="标题 9 Char"/>
    <w:link w:val="12"/>
    <w:qFormat/>
    <w:uiPriority w:val="0"/>
    <w:rPr>
      <w:rFonts w:ascii="Arial" w:hAnsi="Arial" w:eastAsia="黑体"/>
      <w:kern w:val="2"/>
      <w:sz w:val="21"/>
      <w:lang w:val="en-US" w:eastAsia="zh-CN" w:bidi="ar-SA"/>
    </w:rPr>
  </w:style>
  <w:style w:type="character" w:customStyle="1" w:styleId="97">
    <w:name w:val="标题 Char"/>
    <w:link w:val="40"/>
    <w:qFormat/>
    <w:uiPriority w:val="0"/>
    <w:rPr>
      <w:rFonts w:ascii="Arial" w:hAnsi="Arial" w:eastAsia="隶书" w:cs="Arial"/>
      <w:b/>
      <w:bCs/>
      <w:kern w:val="2"/>
      <w:sz w:val="32"/>
      <w:szCs w:val="32"/>
      <w:lang w:val="en-US" w:eastAsia="zh-CN" w:bidi="ar-SA"/>
    </w:rPr>
  </w:style>
  <w:style w:type="character" w:customStyle="1" w:styleId="98">
    <w:name w:val="日期 Char"/>
    <w:link w:val="24"/>
    <w:qFormat/>
    <w:uiPriority w:val="0"/>
    <w:rPr>
      <w:rFonts w:ascii="宋体" w:hAnsi="Courier New" w:eastAsia="宋体"/>
      <w:kern w:val="2"/>
      <w:sz w:val="32"/>
      <w:lang w:val="en-US" w:eastAsia="zh-CN" w:bidi="ar-SA"/>
    </w:rPr>
  </w:style>
  <w:style w:type="character" w:customStyle="1" w:styleId="99">
    <w:name w:val="HTML 预设格式 Char"/>
    <w:link w:val="37"/>
    <w:qFormat/>
    <w:uiPriority w:val="0"/>
    <w:rPr>
      <w:rFonts w:ascii="Arial Unicode MS" w:hAnsi="Arial Unicode MS" w:eastAsia="Arial Unicode MS"/>
      <w:color w:val="000000"/>
      <w:lang w:val="en-US" w:eastAsia="zh-CN" w:bidi="ar-SA"/>
    </w:rPr>
  </w:style>
  <w:style w:type="character" w:customStyle="1" w:styleId="100">
    <w:name w:val="纯文本 Char"/>
    <w:link w:val="22"/>
    <w:qFormat/>
    <w:uiPriority w:val="0"/>
    <w:rPr>
      <w:rFonts w:ascii="宋体" w:hAnsi="Courier New" w:eastAsia="宋体"/>
      <w:kern w:val="2"/>
      <w:sz w:val="21"/>
      <w:lang w:val="en-US" w:eastAsia="zh-CN" w:bidi="ar-SA"/>
    </w:rPr>
  </w:style>
  <w:style w:type="character" w:customStyle="1" w:styleId="101">
    <w:name w:val="正文文字首行缩进 Char"/>
    <w:qFormat/>
    <w:uiPriority w:val="0"/>
    <w:rPr>
      <w:kern w:val="2"/>
      <w:sz w:val="21"/>
      <w:szCs w:val="24"/>
    </w:rPr>
  </w:style>
  <w:style w:type="character" w:customStyle="1" w:styleId="102">
    <w:name w:val="正文文本 Char"/>
    <w:link w:val="2"/>
    <w:qFormat/>
    <w:uiPriority w:val="0"/>
    <w:rPr>
      <w:rFonts w:eastAsia="宋体"/>
      <w:b/>
      <w:bCs/>
      <w:kern w:val="2"/>
      <w:sz w:val="24"/>
      <w:szCs w:val="24"/>
      <w:lang w:val="en-US" w:eastAsia="zh-CN" w:bidi="ar-SA"/>
    </w:rPr>
  </w:style>
  <w:style w:type="character" w:customStyle="1" w:styleId="103">
    <w:name w:val="正文文本缩进 2 Char"/>
    <w:link w:val="25"/>
    <w:qFormat/>
    <w:uiPriority w:val="0"/>
    <w:rPr>
      <w:rFonts w:ascii="宋体" w:hAnsi="宋体" w:eastAsia="宋体"/>
      <w:kern w:val="2"/>
      <w:sz w:val="21"/>
      <w:szCs w:val="24"/>
      <w:lang w:val="en-US" w:eastAsia="zh-CN" w:bidi="ar-SA"/>
    </w:rPr>
  </w:style>
  <w:style w:type="character" w:customStyle="1" w:styleId="104">
    <w:name w:val="页眉 Char"/>
    <w:link w:val="29"/>
    <w:qFormat/>
    <w:uiPriority w:val="99"/>
    <w:rPr>
      <w:rFonts w:eastAsia="宋体"/>
      <w:kern w:val="2"/>
      <w:sz w:val="18"/>
      <w:szCs w:val="18"/>
      <w:lang w:val="en-US" w:eastAsia="zh-CN" w:bidi="ar-SA"/>
    </w:rPr>
  </w:style>
  <w:style w:type="character" w:customStyle="1" w:styleId="105">
    <w:name w:val="正文文本缩进 3 Char"/>
    <w:link w:val="33"/>
    <w:qFormat/>
    <w:uiPriority w:val="0"/>
    <w:rPr>
      <w:rFonts w:ascii="宋体" w:eastAsia="宋体"/>
      <w:b/>
      <w:bCs/>
      <w:kern w:val="2"/>
      <w:sz w:val="24"/>
      <w:szCs w:val="24"/>
      <w:lang w:val="en-US" w:eastAsia="zh-CN" w:bidi="ar-SA"/>
    </w:rPr>
  </w:style>
  <w:style w:type="character" w:customStyle="1" w:styleId="106">
    <w:name w:val="正文文本 2 Char"/>
    <w:link w:val="36"/>
    <w:qFormat/>
    <w:uiPriority w:val="0"/>
    <w:rPr>
      <w:rFonts w:eastAsia="宋体"/>
      <w:kern w:val="2"/>
      <w:sz w:val="24"/>
      <w:szCs w:val="24"/>
      <w:lang w:val="en-US" w:eastAsia="zh-CN" w:bidi="ar-SA"/>
    </w:rPr>
  </w:style>
  <w:style w:type="character" w:customStyle="1" w:styleId="107">
    <w:name w:val="页脚 Char"/>
    <w:link w:val="27"/>
    <w:qFormat/>
    <w:uiPriority w:val="0"/>
    <w:rPr>
      <w:rFonts w:eastAsia="宋体"/>
      <w:kern w:val="2"/>
      <w:sz w:val="18"/>
      <w:szCs w:val="18"/>
      <w:lang w:val="en-US" w:eastAsia="zh-CN" w:bidi="ar-SA"/>
    </w:rPr>
  </w:style>
  <w:style w:type="character" w:customStyle="1" w:styleId="108">
    <w:name w:val="正文文本 3 Char"/>
    <w:link w:val="18"/>
    <w:qFormat/>
    <w:uiPriority w:val="0"/>
    <w:rPr>
      <w:rFonts w:eastAsia="宋体"/>
      <w:kern w:val="2"/>
      <w:sz w:val="16"/>
      <w:szCs w:val="16"/>
      <w:lang w:val="en-US" w:eastAsia="zh-CN" w:bidi="ar-SA"/>
    </w:rPr>
  </w:style>
  <w:style w:type="character" w:customStyle="1" w:styleId="109">
    <w:name w:val="批注框文本 Char"/>
    <w:link w:val="26"/>
    <w:semiHidden/>
    <w:qFormat/>
    <w:uiPriority w:val="99"/>
    <w:rPr>
      <w:rFonts w:eastAsia="宋体"/>
      <w:kern w:val="2"/>
      <w:sz w:val="18"/>
      <w:szCs w:val="18"/>
      <w:lang w:val="en-US" w:eastAsia="zh-CN" w:bidi="ar-SA"/>
    </w:rPr>
  </w:style>
  <w:style w:type="paragraph" w:customStyle="1" w:styleId="110">
    <w:name w:val="样式1"/>
    <w:basedOn w:val="40"/>
    <w:qFormat/>
    <w:uiPriority w:val="0"/>
    <w:pPr>
      <w:spacing w:before="120" w:after="120"/>
    </w:pPr>
    <w:rPr>
      <w:rFonts w:eastAsia="黑体"/>
      <w:b w:val="0"/>
      <w:sz w:val="30"/>
      <w:szCs w:val="21"/>
    </w:rPr>
  </w:style>
  <w:style w:type="paragraph" w:customStyle="1" w:styleId="111">
    <w:name w:val="样式2"/>
    <w:basedOn w:val="40"/>
    <w:next w:val="110"/>
    <w:qFormat/>
    <w:uiPriority w:val="0"/>
    <w:pPr>
      <w:spacing w:before="120" w:after="120"/>
    </w:pPr>
    <w:rPr>
      <w:rFonts w:eastAsia="黑体"/>
      <w:b w:val="0"/>
      <w:sz w:val="30"/>
      <w:szCs w:val="30"/>
    </w:rPr>
  </w:style>
  <w:style w:type="character" w:customStyle="1" w:styleId="112">
    <w:name w:val="标题 3 Char Char"/>
    <w:qFormat/>
    <w:uiPriority w:val="0"/>
    <w:rPr>
      <w:rFonts w:eastAsia="宋体"/>
      <w:b/>
      <w:bCs/>
      <w:kern w:val="2"/>
      <w:sz w:val="32"/>
      <w:szCs w:val="32"/>
      <w:lang w:val="en-US" w:eastAsia="zh-CN" w:bidi="ar-SA"/>
    </w:rPr>
  </w:style>
  <w:style w:type="paragraph" w:customStyle="1" w:styleId="113">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14">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15">
    <w:name w:val="--规划正文"/>
    <w:basedOn w:val="1"/>
    <w:qFormat/>
    <w:uiPriority w:val="0"/>
    <w:pPr>
      <w:spacing w:line="360" w:lineRule="auto"/>
      <w:ind w:firstLine="200" w:firstLineChars="200"/>
    </w:pPr>
    <w:rPr>
      <w:szCs w:val="20"/>
    </w:rPr>
  </w:style>
  <w:style w:type="paragraph" w:customStyle="1" w:styleId="116">
    <w:name w:val="设计依据"/>
    <w:basedOn w:val="2"/>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17">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18">
    <w:name w:val="样式4"/>
    <w:basedOn w:val="1"/>
    <w:qFormat/>
    <w:uiPriority w:val="0"/>
    <w:pPr>
      <w:tabs>
        <w:tab w:val="left" w:pos="842"/>
      </w:tabs>
      <w:spacing w:line="360" w:lineRule="auto"/>
      <w:ind w:left="842" w:hanging="420"/>
    </w:pPr>
    <w:rPr>
      <w:sz w:val="24"/>
    </w:rPr>
  </w:style>
  <w:style w:type="paragraph" w:customStyle="1" w:styleId="119">
    <w:name w:val="文字"/>
    <w:basedOn w:val="1"/>
    <w:qFormat/>
    <w:uiPriority w:val="0"/>
    <w:pPr>
      <w:tabs>
        <w:tab w:val="left" w:pos="8520"/>
      </w:tabs>
      <w:spacing w:line="312" w:lineRule="auto"/>
      <w:ind w:right="-210" w:firstLine="556"/>
    </w:pPr>
    <w:rPr>
      <w:rFonts w:ascii="宋体"/>
      <w:sz w:val="28"/>
      <w:szCs w:val="20"/>
    </w:rPr>
  </w:style>
  <w:style w:type="paragraph" w:customStyle="1" w:styleId="120">
    <w:name w:val="--规划-表格-居左"/>
    <w:basedOn w:val="115"/>
    <w:qFormat/>
    <w:uiPriority w:val="0"/>
    <w:pPr>
      <w:spacing w:line="240" w:lineRule="auto"/>
      <w:ind w:firstLine="0" w:firstLineChars="0"/>
    </w:pPr>
    <w:rPr>
      <w:sz w:val="20"/>
    </w:rPr>
  </w:style>
  <w:style w:type="paragraph" w:customStyle="1" w:styleId="121">
    <w:name w:val="--规划-表格-居中"/>
    <w:basedOn w:val="115"/>
    <w:qFormat/>
    <w:uiPriority w:val="0"/>
    <w:pPr>
      <w:spacing w:line="240" w:lineRule="auto"/>
      <w:ind w:firstLine="0" w:firstLineChars="0"/>
      <w:jc w:val="center"/>
    </w:pPr>
    <w:rPr>
      <w:sz w:val="20"/>
    </w:rPr>
  </w:style>
  <w:style w:type="paragraph" w:customStyle="1" w:styleId="122">
    <w:name w:val="--编号内缩进"/>
    <w:basedOn w:val="1"/>
    <w:qFormat/>
    <w:uiPriority w:val="0"/>
    <w:pPr>
      <w:spacing w:line="360" w:lineRule="auto"/>
      <w:ind w:left="420" w:firstLine="200" w:firstLineChars="200"/>
    </w:pPr>
    <w:rPr>
      <w:szCs w:val="21"/>
    </w:rPr>
  </w:style>
  <w:style w:type="paragraph" w:customStyle="1" w:styleId="123">
    <w:name w:val="--规划-题注"/>
    <w:basedOn w:val="1"/>
    <w:next w:val="115"/>
    <w:qFormat/>
    <w:uiPriority w:val="0"/>
    <w:pPr>
      <w:spacing w:line="360" w:lineRule="auto"/>
      <w:jc w:val="center"/>
    </w:pPr>
    <w:rPr>
      <w:rFonts w:eastAsia="黑体"/>
    </w:rPr>
  </w:style>
  <w:style w:type="paragraph" w:customStyle="1" w:styleId="124">
    <w:name w:val="--规划-图和表"/>
    <w:next w:val="115"/>
    <w:qFormat/>
    <w:uiPriority w:val="0"/>
    <w:pPr>
      <w:jc w:val="center"/>
    </w:pPr>
    <w:rPr>
      <w:rFonts w:ascii="Times New Roman" w:hAnsi="Times New Roman" w:eastAsia="宋体" w:cs="Times New Roman"/>
      <w:kern w:val="2"/>
      <w:sz w:val="21"/>
      <w:lang w:val="en-US" w:eastAsia="zh-CN" w:bidi="ar-SA"/>
    </w:rPr>
  </w:style>
  <w:style w:type="paragraph" w:customStyle="1" w:styleId="125">
    <w:name w:val="--规划-小标题"/>
    <w:basedOn w:val="1"/>
    <w:next w:val="115"/>
    <w:qFormat/>
    <w:uiPriority w:val="0"/>
    <w:pPr>
      <w:keepNext/>
      <w:keepLines/>
      <w:spacing w:line="360" w:lineRule="auto"/>
      <w:outlineLvl w:val="4"/>
    </w:pPr>
    <w:rPr>
      <w:rFonts w:eastAsia="黑体"/>
    </w:rPr>
  </w:style>
  <w:style w:type="paragraph" w:customStyle="1" w:styleId="126">
    <w:name w:val="--规划正文 Char"/>
    <w:basedOn w:val="1"/>
    <w:qFormat/>
    <w:uiPriority w:val="0"/>
    <w:pPr>
      <w:spacing w:line="360" w:lineRule="auto"/>
      <w:ind w:firstLine="200" w:firstLineChars="200"/>
    </w:pPr>
    <w:rPr>
      <w:sz w:val="24"/>
    </w:rPr>
  </w:style>
  <w:style w:type="paragraph" w:customStyle="1" w:styleId="127">
    <w:name w:val="缺省文本"/>
    <w:basedOn w:val="1"/>
    <w:qFormat/>
    <w:uiPriority w:val="0"/>
    <w:pPr>
      <w:autoSpaceDE w:val="0"/>
      <w:autoSpaceDN w:val="0"/>
      <w:adjustRightInd w:val="0"/>
      <w:jc w:val="left"/>
    </w:pPr>
    <w:rPr>
      <w:kern w:val="0"/>
    </w:rPr>
  </w:style>
  <w:style w:type="paragraph" w:customStyle="1" w:styleId="128">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29">
    <w:name w:val="--规划正文 Char Char"/>
    <w:qFormat/>
    <w:uiPriority w:val="0"/>
    <w:rPr>
      <w:rFonts w:eastAsia="宋体"/>
      <w:kern w:val="2"/>
      <w:sz w:val="24"/>
      <w:szCs w:val="24"/>
      <w:lang w:val="en-US" w:eastAsia="zh-CN" w:bidi="ar-SA"/>
    </w:rPr>
  </w:style>
  <w:style w:type="paragraph" w:customStyle="1" w:styleId="130">
    <w:name w:val="样式3"/>
    <w:basedOn w:val="3"/>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31">
    <w:name w:val="--规划正文 Char1"/>
    <w:qFormat/>
    <w:uiPriority w:val="0"/>
    <w:rPr>
      <w:rFonts w:eastAsia="宋体"/>
      <w:kern w:val="2"/>
      <w:sz w:val="21"/>
      <w:lang w:val="en-US" w:eastAsia="zh-CN" w:bidi="ar-SA"/>
    </w:rPr>
  </w:style>
  <w:style w:type="paragraph" w:customStyle="1" w:styleId="132">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33">
    <w:name w:val="列表项目"/>
    <w:basedOn w:val="1"/>
    <w:qFormat/>
    <w:uiPriority w:val="0"/>
    <w:pPr>
      <w:tabs>
        <w:tab w:val="left" w:pos="420"/>
        <w:tab w:val="left" w:pos="1080"/>
      </w:tabs>
      <w:spacing w:line="288" w:lineRule="auto"/>
      <w:ind w:left="1080" w:hanging="360"/>
    </w:pPr>
    <w:rPr>
      <w:sz w:val="24"/>
      <w:szCs w:val="20"/>
    </w:rPr>
  </w:style>
  <w:style w:type="character" w:customStyle="1" w:styleId="134">
    <w:name w:val="content1"/>
    <w:qFormat/>
    <w:uiPriority w:val="0"/>
    <w:rPr>
      <w:rFonts w:hint="default" w:ascii="??" w:hAnsi="??"/>
      <w:sz w:val="16"/>
      <w:szCs w:val="16"/>
      <w:u w:val="none"/>
    </w:rPr>
  </w:style>
  <w:style w:type="character" w:customStyle="1" w:styleId="135">
    <w:name w:val="unnamed4"/>
    <w:basedOn w:val="46"/>
    <w:qFormat/>
    <w:uiPriority w:val="0"/>
  </w:style>
  <w:style w:type="character" w:customStyle="1" w:styleId="136">
    <w:name w:val="font2"/>
    <w:basedOn w:val="46"/>
    <w:qFormat/>
    <w:uiPriority w:val="0"/>
  </w:style>
  <w:style w:type="character" w:customStyle="1" w:styleId="137">
    <w:name w:val="font41"/>
    <w:basedOn w:val="46"/>
    <w:qFormat/>
    <w:uiPriority w:val="0"/>
    <w:rPr>
      <w:color w:val="000000"/>
      <w:spacing w:val="260"/>
      <w:sz w:val="18"/>
      <w:szCs w:val="18"/>
      <w:u w:val="none"/>
    </w:rPr>
  </w:style>
  <w:style w:type="paragraph" w:customStyle="1" w:styleId="138">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39">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40">
    <w:name w:val="正文首行缩进 Char"/>
    <w:link w:val="42"/>
    <w:qFormat/>
    <w:uiPriority w:val="0"/>
    <w:rPr>
      <w:rFonts w:eastAsia="宋体"/>
      <w:b/>
      <w:bCs/>
      <w:kern w:val="2"/>
      <w:sz w:val="21"/>
      <w:szCs w:val="24"/>
      <w:lang w:val="en-US" w:eastAsia="zh-CN" w:bidi="ar-SA"/>
    </w:rPr>
  </w:style>
  <w:style w:type="paragraph" w:customStyle="1" w:styleId="141">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42">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43">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44">
    <w:name w:val="mode"/>
    <w:basedOn w:val="46"/>
    <w:qFormat/>
    <w:uiPriority w:val="0"/>
  </w:style>
  <w:style w:type="paragraph" w:customStyle="1" w:styleId="145">
    <w:name w:val="9"/>
    <w:basedOn w:val="1"/>
    <w:next w:val="8"/>
    <w:qFormat/>
    <w:uiPriority w:val="0"/>
    <w:pPr>
      <w:autoSpaceDE w:val="0"/>
      <w:autoSpaceDN w:val="0"/>
      <w:adjustRightInd w:val="0"/>
      <w:ind w:firstLine="420"/>
      <w:jc w:val="left"/>
      <w:textAlignment w:val="baseline"/>
    </w:pPr>
    <w:rPr>
      <w:rFonts w:ascii="宋体"/>
      <w:kern w:val="0"/>
      <w:sz w:val="34"/>
      <w:szCs w:val="20"/>
    </w:rPr>
  </w:style>
  <w:style w:type="character" w:customStyle="1" w:styleId="146">
    <w:name w:val="unnamed3"/>
    <w:basedOn w:val="46"/>
    <w:qFormat/>
    <w:uiPriority w:val="0"/>
  </w:style>
  <w:style w:type="paragraph" w:customStyle="1" w:styleId="147">
    <w:name w:val="8"/>
    <w:basedOn w:val="1"/>
    <w:next w:val="19"/>
    <w:qFormat/>
    <w:uiPriority w:val="0"/>
    <w:pPr>
      <w:spacing w:after="120"/>
      <w:ind w:left="420" w:leftChars="200"/>
    </w:pPr>
  </w:style>
  <w:style w:type="paragraph" w:customStyle="1" w:styleId="148">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49">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50">
    <w:name w:val="5"/>
    <w:basedOn w:val="1"/>
    <w:qFormat/>
    <w:uiPriority w:val="0"/>
    <w:pPr>
      <w:autoSpaceDE w:val="0"/>
      <w:autoSpaceDN w:val="0"/>
      <w:adjustRightInd w:val="0"/>
      <w:jc w:val="left"/>
    </w:pPr>
    <w:rPr>
      <w:rFonts w:ascii="宋体"/>
      <w:b/>
      <w:bCs/>
      <w:kern w:val="0"/>
      <w:sz w:val="18"/>
      <w:szCs w:val="18"/>
    </w:rPr>
  </w:style>
  <w:style w:type="paragraph" w:customStyle="1" w:styleId="151">
    <w:name w:val="6"/>
    <w:basedOn w:val="150"/>
    <w:qFormat/>
    <w:uiPriority w:val="0"/>
    <w:pPr>
      <w:spacing w:line="270" w:lineRule="atLeast"/>
      <w:jc w:val="both"/>
    </w:pPr>
    <w:rPr>
      <w:b w:val="0"/>
      <w:bCs w:val="0"/>
    </w:rPr>
  </w:style>
  <w:style w:type="paragraph" w:customStyle="1" w:styleId="152">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53">
    <w:name w:val="姜文清定义的正文"/>
    <w:basedOn w:val="1"/>
    <w:qFormat/>
    <w:uiPriority w:val="0"/>
    <w:pPr>
      <w:spacing w:line="240" w:lineRule="atLeast"/>
      <w:ind w:firstLine="567"/>
    </w:pPr>
    <w:rPr>
      <w:szCs w:val="20"/>
    </w:rPr>
  </w:style>
  <w:style w:type="paragraph" w:customStyle="1" w:styleId="154">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55">
    <w:name w:val="CM2"/>
    <w:basedOn w:val="154"/>
    <w:next w:val="154"/>
    <w:qFormat/>
    <w:uiPriority w:val="0"/>
    <w:pPr>
      <w:spacing w:line="200" w:lineRule="atLeast"/>
    </w:pPr>
    <w:rPr>
      <w:rFonts w:ascii="Arial" w:hAnsi="Arial" w:eastAsia="宋体" w:cs="Times New Roman"/>
      <w:color w:val="auto"/>
    </w:rPr>
  </w:style>
  <w:style w:type="paragraph" w:customStyle="1" w:styleId="156">
    <w:name w:val="Normal Paragraph"/>
    <w:basedOn w:val="1"/>
    <w:qFormat/>
    <w:uiPriority w:val="0"/>
    <w:pPr>
      <w:widowControl/>
      <w:spacing w:before="120" w:line="360" w:lineRule="auto"/>
      <w:ind w:firstLine="425"/>
    </w:pPr>
    <w:rPr>
      <w:kern w:val="0"/>
      <w:sz w:val="24"/>
    </w:rPr>
  </w:style>
  <w:style w:type="character" w:customStyle="1" w:styleId="157">
    <w:name w:val="blue"/>
    <w:basedOn w:val="46"/>
    <w:qFormat/>
    <w:uiPriority w:val="0"/>
  </w:style>
  <w:style w:type="paragraph" w:customStyle="1" w:styleId="158">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59">
    <w:name w:val="font"/>
    <w:basedOn w:val="46"/>
    <w:qFormat/>
    <w:uiPriority w:val="0"/>
  </w:style>
  <w:style w:type="character" w:customStyle="1" w:styleId="160">
    <w:name w:val="font11"/>
    <w:basedOn w:val="46"/>
    <w:qFormat/>
    <w:uiPriority w:val="0"/>
    <w:rPr>
      <w:rFonts w:hint="default" w:ascii="ˎ̥" w:hAnsi="ˎ̥"/>
    </w:rPr>
  </w:style>
  <w:style w:type="paragraph" w:customStyle="1" w:styleId="161">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62">
    <w:name w:val="proddescription"/>
    <w:basedOn w:val="46"/>
    <w:qFormat/>
    <w:uiPriority w:val="0"/>
  </w:style>
  <w:style w:type="character" w:customStyle="1" w:styleId="163">
    <w:name w:val="prodheadlines"/>
    <w:basedOn w:val="46"/>
    <w:qFormat/>
    <w:uiPriority w:val="0"/>
  </w:style>
  <w:style w:type="character" w:customStyle="1" w:styleId="164">
    <w:name w:val="text"/>
    <w:basedOn w:val="46"/>
    <w:qFormat/>
    <w:uiPriority w:val="0"/>
  </w:style>
  <w:style w:type="paragraph" w:customStyle="1" w:styleId="165">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6">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67">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68">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69">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70">
    <w:name w:val="段落正文"/>
    <w:basedOn w:val="22"/>
    <w:qFormat/>
    <w:uiPriority w:val="0"/>
    <w:pPr>
      <w:ind w:firstLine="560" w:firstLineChars="200"/>
    </w:pPr>
    <w:rPr>
      <w:sz w:val="28"/>
    </w:rPr>
  </w:style>
  <w:style w:type="character" w:customStyle="1" w:styleId="171">
    <w:name w:val="gray6"/>
    <w:basedOn w:val="46"/>
    <w:qFormat/>
    <w:uiPriority w:val="0"/>
  </w:style>
  <w:style w:type="character" w:customStyle="1" w:styleId="172">
    <w:name w:val="style9"/>
    <w:basedOn w:val="46"/>
    <w:qFormat/>
    <w:uiPriority w:val="0"/>
  </w:style>
  <w:style w:type="paragraph" w:customStyle="1" w:styleId="173">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74">
    <w:name w:val="grame"/>
    <w:basedOn w:val="46"/>
    <w:qFormat/>
    <w:uiPriority w:val="0"/>
  </w:style>
  <w:style w:type="paragraph" w:customStyle="1" w:styleId="175">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6">
    <w:name w:val="Char1"/>
    <w:basedOn w:val="1"/>
    <w:qFormat/>
    <w:uiPriority w:val="0"/>
    <w:pPr>
      <w:jc w:val="left"/>
    </w:pPr>
    <w:rPr>
      <w:rFonts w:ascii="Tahoma" w:hAnsi="Tahoma"/>
      <w:sz w:val="24"/>
      <w:szCs w:val="20"/>
    </w:rPr>
  </w:style>
  <w:style w:type="paragraph" w:customStyle="1" w:styleId="177">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78">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79">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8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81">
    <w:name w:val="font6"/>
    <w:basedOn w:val="1"/>
    <w:qFormat/>
    <w:uiPriority w:val="0"/>
    <w:pPr>
      <w:widowControl/>
      <w:spacing w:before="100" w:beforeAutospacing="1" w:after="100" w:afterAutospacing="1"/>
      <w:jc w:val="left"/>
    </w:pPr>
    <w:rPr>
      <w:kern w:val="0"/>
      <w:sz w:val="24"/>
    </w:rPr>
  </w:style>
  <w:style w:type="paragraph" w:customStyle="1" w:styleId="18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8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84">
    <w:name w:val="表格字"/>
    <w:basedOn w:val="1"/>
    <w:qFormat/>
    <w:uiPriority w:val="0"/>
    <w:pPr>
      <w:adjustRightInd w:val="0"/>
      <w:jc w:val="center"/>
    </w:pPr>
    <w:rPr>
      <w:rFonts w:ascii="宋体"/>
      <w:sz w:val="24"/>
      <w:szCs w:val="20"/>
    </w:rPr>
  </w:style>
  <w:style w:type="character" w:customStyle="1" w:styleId="185">
    <w:name w:val="样式 小三 加粗"/>
    <w:qFormat/>
    <w:uiPriority w:val="0"/>
    <w:rPr>
      <w:rFonts w:eastAsia="宋体"/>
      <w:b/>
      <w:bCs/>
      <w:sz w:val="32"/>
    </w:rPr>
  </w:style>
  <w:style w:type="paragraph" w:customStyle="1" w:styleId="18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7">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88">
    <w:name w:val="Char Char Char"/>
    <w:basedOn w:val="1"/>
    <w:qFormat/>
    <w:uiPriority w:val="0"/>
    <w:rPr>
      <w:rFonts w:ascii="Tahoma" w:hAnsi="Tahoma"/>
      <w:sz w:val="24"/>
      <w:szCs w:val="20"/>
    </w:rPr>
  </w:style>
  <w:style w:type="paragraph" w:customStyle="1" w:styleId="189">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90">
    <w:name w:val="info4"/>
    <w:basedOn w:val="46"/>
    <w:qFormat/>
    <w:uiPriority w:val="0"/>
  </w:style>
  <w:style w:type="paragraph" w:customStyle="1" w:styleId="191">
    <w:name w:val="缩进正文"/>
    <w:basedOn w:val="1"/>
    <w:link w:val="192"/>
    <w:qFormat/>
    <w:uiPriority w:val="0"/>
    <w:pPr>
      <w:ind w:firstLine="560" w:firstLineChars="200"/>
    </w:pPr>
    <w:rPr>
      <w:rFonts w:eastAsia="仿宋_GB2312" w:cs="宋体"/>
      <w:sz w:val="28"/>
      <w:szCs w:val="20"/>
    </w:rPr>
  </w:style>
  <w:style w:type="character" w:customStyle="1" w:styleId="192">
    <w:name w:val="缩进正文 Char"/>
    <w:link w:val="191"/>
    <w:qFormat/>
    <w:uiPriority w:val="0"/>
    <w:rPr>
      <w:rFonts w:eastAsia="仿宋_GB2312" w:cs="宋体"/>
      <w:kern w:val="2"/>
      <w:sz w:val="28"/>
      <w:lang w:val="en-US" w:eastAsia="zh-CN" w:bidi="ar-SA"/>
    </w:rPr>
  </w:style>
  <w:style w:type="paragraph" w:customStyle="1" w:styleId="193">
    <w:name w:val="列出段落11"/>
    <w:basedOn w:val="1"/>
    <w:qFormat/>
    <w:uiPriority w:val="0"/>
    <w:pPr>
      <w:ind w:firstLine="420" w:firstLineChars="200"/>
    </w:pPr>
    <w:rPr>
      <w:rFonts w:ascii="Calibri" w:hAnsi="Calibri" w:cs="Calibri"/>
      <w:szCs w:val="21"/>
    </w:rPr>
  </w:style>
  <w:style w:type="character" w:customStyle="1" w:styleId="194">
    <w:name w:val="批注文字 Char"/>
    <w:basedOn w:val="46"/>
    <w:link w:val="17"/>
    <w:qFormat/>
    <w:uiPriority w:val="99"/>
    <w:rPr>
      <w:rFonts w:ascii="宋体"/>
      <w:sz w:val="34"/>
    </w:rPr>
  </w:style>
  <w:style w:type="character" w:customStyle="1" w:styleId="195">
    <w:name w:val="批注主题 Char"/>
    <w:basedOn w:val="194"/>
    <w:link w:val="41"/>
    <w:qFormat/>
    <w:uiPriority w:val="99"/>
    <w:rPr>
      <w:rFonts w:ascii="宋体"/>
      <w:sz w:val="34"/>
    </w:rPr>
  </w:style>
  <w:style w:type="paragraph" w:customStyle="1" w:styleId="196">
    <w:name w:val="评价"/>
    <w:basedOn w:val="1"/>
    <w:qFormat/>
    <w:uiPriority w:val="0"/>
    <w:pPr>
      <w:spacing w:afterLines="20"/>
      <w:ind w:firstLine="1446" w:firstLineChars="200"/>
    </w:pPr>
    <w:rPr>
      <w:rFonts w:ascii="Calibri" w:hAnsi="Calibri"/>
      <w:sz w:val="24"/>
    </w:rPr>
  </w:style>
  <w:style w:type="paragraph" w:customStyle="1" w:styleId="197">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98">
    <w:name w:val="alt-edited1"/>
    <w:qFormat/>
    <w:uiPriority w:val="0"/>
    <w:rPr>
      <w:color w:val="4D90F0"/>
    </w:rPr>
  </w:style>
  <w:style w:type="character" w:customStyle="1" w:styleId="199">
    <w:name w:val="body text Char1"/>
    <w:qFormat/>
    <w:uiPriority w:val="0"/>
    <w:rPr>
      <w:rFonts w:eastAsia="宋体"/>
      <w:kern w:val="2"/>
      <w:sz w:val="21"/>
      <w:lang w:val="en-US" w:eastAsia="zh-CN" w:bidi="ar-SA"/>
    </w:rPr>
  </w:style>
  <w:style w:type="character" w:customStyle="1" w:styleId="200">
    <w:name w:val="普通(网站) Char"/>
    <w:link w:val="38"/>
    <w:qFormat/>
    <w:uiPriority w:val="0"/>
    <w:rPr>
      <w:kern w:val="2"/>
      <w:sz w:val="24"/>
      <w:szCs w:val="24"/>
    </w:rPr>
  </w:style>
  <w:style w:type="character" w:customStyle="1" w:styleId="201">
    <w:name w:val="批注文字 Char1"/>
    <w:qFormat/>
    <w:uiPriority w:val="99"/>
    <w:rPr>
      <w:rFonts w:ascii="宋体"/>
      <w:sz w:val="34"/>
    </w:rPr>
  </w:style>
  <w:style w:type="character" w:customStyle="1" w:styleId="202">
    <w:name w:val="正文缩进 Char1"/>
    <w:qFormat/>
    <w:uiPriority w:val="0"/>
    <w:rPr>
      <w:rFonts w:eastAsia="宋体"/>
      <w:kern w:val="2"/>
      <w:sz w:val="21"/>
      <w:lang w:val="en-US" w:eastAsia="zh-CN" w:bidi="ar-SA"/>
    </w:rPr>
  </w:style>
  <w:style w:type="table" w:customStyle="1" w:styleId="203">
    <w:name w:val="网格型1"/>
    <w:basedOn w:val="44"/>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4">
    <w:name w:val="修订2"/>
    <w:hidden/>
    <w:unhideWhenUsed/>
    <w:qFormat/>
    <w:uiPriority w:val="99"/>
    <w:rPr>
      <w:rFonts w:ascii="Times New Roman" w:hAnsi="Times New Roman" w:eastAsia="宋体" w:cs="Times New Roman"/>
      <w:kern w:val="2"/>
      <w:sz w:val="21"/>
      <w:szCs w:val="24"/>
      <w:lang w:val="en-US" w:eastAsia="zh-CN" w:bidi="ar-SA"/>
    </w:rPr>
  </w:style>
  <w:style w:type="character" w:customStyle="1" w:styleId="205">
    <w:name w:val="hover"/>
    <w:basedOn w:val="46"/>
    <w:qFormat/>
    <w:uiPriority w:val="0"/>
    <w:rPr>
      <w:color w:val="2590EB"/>
    </w:rPr>
  </w:style>
  <w:style w:type="character" w:customStyle="1" w:styleId="206">
    <w:name w:val="hover1"/>
    <w:basedOn w:val="46"/>
    <w:qFormat/>
    <w:uiPriority w:val="0"/>
    <w:rPr>
      <w:color w:val="2590EB"/>
    </w:rPr>
  </w:style>
  <w:style w:type="character" w:customStyle="1" w:styleId="207">
    <w:name w:val="hover2"/>
    <w:basedOn w:val="46"/>
    <w:qFormat/>
    <w:uiPriority w:val="0"/>
    <w:rPr>
      <w:color w:val="2590EB"/>
      <w:shd w:val="clear" w:color="auto" w:fill="E9F4FD"/>
    </w:rPr>
  </w:style>
  <w:style w:type="character" w:customStyle="1" w:styleId="208">
    <w:name w:val="hover3"/>
    <w:basedOn w:val="46"/>
    <w:qFormat/>
    <w:uiPriority w:val="0"/>
  </w:style>
  <w:style w:type="character" w:customStyle="1" w:styleId="209">
    <w:name w:val="hover4"/>
    <w:basedOn w:val="46"/>
    <w:qFormat/>
    <w:uiPriority w:val="0"/>
    <w:rPr>
      <w:color w:val="2590EB"/>
      <w:shd w:val="clear" w:color="auto" w:fill="E9F4FD"/>
    </w:rPr>
  </w:style>
  <w:style w:type="paragraph" w:customStyle="1" w:styleId="210">
    <w:name w:val="HtmlNormal"/>
    <w:basedOn w:val="1"/>
    <w:qFormat/>
    <w:uiPriority w:val="0"/>
    <w:pPr>
      <w:spacing w:before="100" w:beforeAutospacing="1" w:after="100" w:afterAutospacing="1"/>
    </w:pPr>
  </w:style>
  <w:style w:type="character" w:customStyle="1" w:styleId="211">
    <w:name w:val="NormalCharacter"/>
    <w:qFormat/>
    <w:uiPriority w:val="0"/>
  </w:style>
  <w:style w:type="paragraph" w:customStyle="1" w:styleId="212">
    <w:name w:val="Table Text"/>
    <w:basedOn w:val="1"/>
    <w:semiHidden/>
    <w:qFormat/>
    <w:uiPriority w:val="0"/>
    <w:rPr>
      <w:rFonts w:ascii="宋体" w:hAnsi="宋体" w:cs="宋体"/>
      <w:sz w:val="20"/>
      <w:szCs w:val="20"/>
      <w:lang w:eastAsia="en-US"/>
    </w:rPr>
  </w:style>
  <w:style w:type="table" w:customStyle="1" w:styleId="213">
    <w:name w:val="Table Normal_0"/>
    <w:unhideWhenUsed/>
    <w:qFormat/>
    <w:uiPriority w:val="0"/>
    <w:tblPr>
      <w:tblCellMar>
        <w:top w:w="0" w:type="dxa"/>
        <w:left w:w="0" w:type="dxa"/>
        <w:bottom w:w="0" w:type="dxa"/>
        <w:right w:w="0" w:type="dxa"/>
      </w:tblCellMar>
    </w:tblPr>
  </w:style>
  <w:style w:type="paragraph" w:customStyle="1" w:styleId="214">
    <w:name w:val="Table caption|1"/>
    <w:basedOn w:val="1"/>
    <w:qFormat/>
    <w:uiPriority w:val="0"/>
    <w:rPr>
      <w:rFonts w:ascii="宋体" w:hAnsi="宋体" w:cs="宋体"/>
      <w:color w:val="37373A"/>
      <w:sz w:val="20"/>
      <w:szCs w:val="20"/>
    </w:rPr>
  </w:style>
  <w:style w:type="character" w:customStyle="1" w:styleId="215">
    <w:name w:val="font121"/>
    <w:qFormat/>
    <w:uiPriority w:val="0"/>
    <w:rPr>
      <w:rFonts w:hint="eastAsia" w:ascii="宋体" w:hAnsi="宋体" w:eastAsia="宋体" w:cs="宋体"/>
      <w:b/>
      <w:color w:val="000000"/>
      <w:sz w:val="22"/>
      <w:szCs w:val="22"/>
      <w:u w:val="none"/>
    </w:rPr>
  </w:style>
  <w:style w:type="character" w:customStyle="1" w:styleId="216">
    <w:name w:val="font111"/>
    <w:qFormat/>
    <w:uiPriority w:val="0"/>
    <w:rPr>
      <w:rFonts w:hint="default" w:ascii="Times New Roman" w:hAnsi="Times New Roman" w:cs="Times New Roman"/>
      <w:color w:val="000000"/>
      <w:sz w:val="21"/>
      <w:szCs w:val="21"/>
      <w:u w:val="none"/>
    </w:rPr>
  </w:style>
  <w:style w:type="character" w:customStyle="1" w:styleId="217">
    <w:name w:val="font101"/>
    <w:qFormat/>
    <w:uiPriority w:val="0"/>
    <w:rPr>
      <w:rFonts w:hint="default" w:ascii="Times New Roman" w:hAnsi="Times New Roman" w:cs="Times New Roman"/>
      <w:color w:val="000000"/>
      <w:sz w:val="21"/>
      <w:szCs w:val="21"/>
      <w:u w:val="none"/>
    </w:rPr>
  </w:style>
  <w:style w:type="character" w:customStyle="1" w:styleId="218">
    <w:name w:val="font131"/>
    <w:qFormat/>
    <w:uiPriority w:val="0"/>
    <w:rPr>
      <w:rFonts w:hint="eastAsia" w:ascii="宋体" w:hAnsi="宋体" w:eastAsia="宋体" w:cs="宋体"/>
      <w:color w:val="000000"/>
      <w:sz w:val="22"/>
      <w:szCs w:val="22"/>
      <w:u w:val="none"/>
    </w:rPr>
  </w:style>
  <w:style w:type="character" w:customStyle="1" w:styleId="219">
    <w:name w:val="15"/>
    <w:basedOn w:val="46"/>
    <w:qFormat/>
    <w:uiPriority w:val="0"/>
    <w:rPr>
      <w:rFonts w:hint="default" w:ascii="Times New Roman" w:hAnsi="Times New Roman" w:cs="Times New Roman"/>
    </w:rPr>
  </w:style>
  <w:style w:type="character" w:customStyle="1" w:styleId="220">
    <w:name w:val="10"/>
    <w:basedOn w:val="46"/>
    <w:qFormat/>
    <w:uiPriority w:val="0"/>
    <w:rPr>
      <w:rFonts w:hint="default" w:ascii="Times New Roman" w:hAnsi="Times New Roman" w:cs="Times New Roman"/>
    </w:rPr>
  </w:style>
  <w:style w:type="paragraph" w:customStyle="1" w:styleId="221">
    <w:name w:val="_Style 1"/>
    <w:basedOn w:val="1"/>
    <w:qFormat/>
    <w:uiPriority w:val="34"/>
    <w:pPr>
      <w:ind w:firstLine="420" w:firstLineChars="200"/>
    </w:pPr>
    <w:rPr>
      <w:rFonts w:asciiTheme="minorHAnsi" w:hAnsiTheme="minorHAnsi" w:eastAsiaTheme="minorEastAsia" w:cstheme="minorBidi"/>
      <w:szCs w:val="22"/>
    </w:rPr>
  </w:style>
  <w:style w:type="character" w:customStyle="1" w:styleId="222">
    <w:name w:val="toolbarlabel"/>
    <w:basedOn w:val="46"/>
    <w:qFormat/>
    <w:uiPriority w:val="0"/>
    <w:rPr>
      <w:color w:val="333333"/>
      <w:sz w:val="18"/>
      <w:szCs w:val="18"/>
    </w:rPr>
  </w:style>
  <w:style w:type="paragraph" w:customStyle="1" w:styleId="223">
    <w:name w:val="列表段落1"/>
    <w:basedOn w:val="1"/>
    <w:unhideWhenUsed/>
    <w:qFormat/>
    <w:uiPriority w:val="99"/>
    <w:pPr>
      <w:ind w:firstLine="420" w:firstLineChars="200"/>
    </w:pPr>
  </w:style>
  <w:style w:type="paragraph" w:customStyle="1" w:styleId="224">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225">
    <w:name w:val="修订4"/>
    <w:hidden/>
    <w:unhideWhenUsed/>
    <w:qFormat/>
    <w:uiPriority w:val="99"/>
    <w:rPr>
      <w:rFonts w:ascii="Times New Roman" w:hAnsi="Times New Roman" w:eastAsia="宋体" w:cs="Times New Roman"/>
      <w:kern w:val="2"/>
      <w:sz w:val="21"/>
      <w:szCs w:val="24"/>
      <w:lang w:val="en-US" w:eastAsia="zh-CN" w:bidi="ar-SA"/>
    </w:rPr>
  </w:style>
  <w:style w:type="paragraph" w:styleId="226">
    <w:name w:val="Quote"/>
    <w:basedOn w:val="1"/>
    <w:next w:val="1"/>
    <w:qFormat/>
    <w:uiPriority w:val="99"/>
    <w:rPr>
      <w:rFonts w:ascii="Calibri" w:hAnsi="Calibri" w:cs="Calibri"/>
      <w:i/>
      <w:iCs/>
      <w:color w:val="000000"/>
      <w:sz w:val="22"/>
      <w:szCs w:val="22"/>
    </w:rPr>
  </w:style>
  <w:style w:type="paragraph" w:customStyle="1" w:styleId="227">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228">
    <w:name w:val="修订6"/>
    <w:hidden/>
    <w:unhideWhenUsed/>
    <w:qFormat/>
    <w:uiPriority w:val="99"/>
    <w:rPr>
      <w:rFonts w:ascii="Times New Roman" w:hAnsi="Times New Roman" w:eastAsia="宋体" w:cs="Times New Roman"/>
      <w:kern w:val="2"/>
      <w:sz w:val="21"/>
      <w:szCs w:val="24"/>
      <w:lang w:val="en-US" w:eastAsia="zh-CN" w:bidi="ar-SA"/>
    </w:rPr>
  </w:style>
  <w:style w:type="character" w:customStyle="1" w:styleId="229">
    <w:name w:val="mini-tree-nodetext3"/>
    <w:basedOn w:val="46"/>
    <w:qFormat/>
    <w:uiPriority w:val="0"/>
  </w:style>
  <w:style w:type="paragraph" w:styleId="230">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65</Pages>
  <Words>43241</Words>
  <Characters>45374</Characters>
  <Lines>340</Lines>
  <Paragraphs>95</Paragraphs>
  <TotalTime>0</TotalTime>
  <ScaleCrop>false</ScaleCrop>
  <LinksUpToDate>false</LinksUpToDate>
  <CharactersWithSpaces>46693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2024-10-23T08:25:00Z</dcterms:created>
  <dc:creator>thsware</dc:creator>
  <cp:lastModifiedBy>lan</cp:lastModifiedBy>
  <cp:lastPrinted>2024-11-18T02:41:00Z</cp:lastPrinted>
  <dcterms:modified xsi:type="dcterms:W3CDTF">2024-12-23T11:32:05Z</dcterms:modified>
  <dc:title>招  标　文　件</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81B6FBEF28C84FCA988424D05450830D_13</vt:lpwstr>
  </property>
  <property fmtid="{D5CDD505-2E9C-101B-9397-08002B2CF9AE}" pid="3" name="KSOProductBuildVer">
    <vt:lpwstr>2052-12.1.0.17133</vt:lpwstr>
  </property>
</Properties>
</file>