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92"/>
        <w:gridCol w:w="6630"/>
      </w:tblGrid>
      <w:tr w14:paraId="4C2BE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4" w:hRule="atLeast"/>
          <w:jc w:val="center"/>
        </w:trPr>
        <w:tc>
          <w:tcPr>
            <w:tcW w:w="990" w:type="pct"/>
            <w:vAlign w:val="center"/>
          </w:tcPr>
          <w:p w14:paraId="342ED370">
            <w:pPr>
              <w:widowControl w:val="0"/>
              <w:wordWrap w:val="0"/>
              <w:autoSpaceDE w:val="0"/>
              <w:autoSpaceDN w:val="0"/>
              <w:adjustRightInd w:val="0"/>
              <w:snapToGrid w:val="0"/>
              <w:ind w:firstLine="0" w:firstLineChars="0"/>
              <w:jc w:val="center"/>
              <w:rPr>
                <w:rFonts w:ascii="宋体" w:hAnsi="宋体"/>
                <w:color w:val="auto"/>
                <w:kern w:val="0"/>
                <w:szCs w:val="21"/>
                <w:highlight w:val="none"/>
              </w:rPr>
            </w:pPr>
            <w:r>
              <w:rPr>
                <w:rFonts w:hint="eastAsia" w:ascii="宋体" w:hAnsi="宋体"/>
                <w:color w:val="auto"/>
                <w:kern w:val="0"/>
                <w:szCs w:val="21"/>
                <w:highlight w:val="none"/>
              </w:rPr>
              <w:t>最高限价</w:t>
            </w:r>
          </w:p>
          <w:p w14:paraId="1DC460AB">
            <w:pPr>
              <w:widowControl w:val="0"/>
              <w:wordWrap w:val="0"/>
              <w:autoSpaceDE w:val="0"/>
              <w:autoSpaceDN w:val="0"/>
              <w:adjustRightInd w:val="0"/>
              <w:snapToGrid w:val="0"/>
              <w:ind w:firstLine="0" w:firstLineChars="0"/>
              <w:jc w:val="center"/>
              <w:rPr>
                <w:rFonts w:ascii="宋体" w:hAnsi="宋体"/>
                <w:color w:val="auto"/>
                <w:kern w:val="0"/>
                <w:szCs w:val="21"/>
                <w:highlight w:val="none"/>
              </w:rPr>
            </w:pPr>
            <w:r>
              <w:rPr>
                <w:rFonts w:hint="eastAsia" w:ascii="宋体" w:hAnsi="宋体"/>
                <w:color w:val="auto"/>
                <w:kern w:val="0"/>
                <w:szCs w:val="21"/>
                <w:highlight w:val="none"/>
              </w:rPr>
              <w:t>或其计算方法</w:t>
            </w:r>
          </w:p>
        </w:tc>
        <w:tc>
          <w:tcPr>
            <w:tcW w:w="3469" w:type="pct"/>
            <w:vAlign w:val="center"/>
          </w:tcPr>
          <w:p w14:paraId="75E52AAF">
            <w:pPr>
              <w:widowControl w:val="0"/>
              <w:wordWrap w:val="0"/>
              <w:autoSpaceDE w:val="0"/>
              <w:autoSpaceDN w:val="0"/>
              <w:adjustRightInd w:val="0"/>
              <w:snapToGrid w:val="0"/>
              <w:ind w:firstLine="0" w:firstLineChars="0"/>
              <w:rPr>
                <w:rFonts w:hint="eastAsia" w:ascii="宋体" w:hAnsi="宋体" w:cs="Segoe UI Symbol"/>
                <w:color w:val="auto"/>
                <w:kern w:val="0"/>
                <w:szCs w:val="21"/>
                <w:highlight w:val="none"/>
              </w:rPr>
            </w:pPr>
            <w:r>
              <w:rPr>
                <w:rFonts w:hint="eastAsia" w:ascii="宋体" w:hAnsi="宋体" w:cs="Segoe UI Symbol"/>
                <w:color w:val="auto"/>
                <w:kern w:val="0"/>
                <w:szCs w:val="21"/>
                <w:highlight w:val="none"/>
              </w:rPr>
              <w:t>最高限价说明或其计算方法：</w:t>
            </w:r>
          </w:p>
          <w:p w14:paraId="06E24A31">
            <w:pPr>
              <w:widowControl w:val="0"/>
              <w:autoSpaceDE w:val="0"/>
              <w:autoSpaceDN w:val="0"/>
              <w:adjustRightInd w:val="0"/>
              <w:snapToGrid w:val="0"/>
              <w:ind w:firstLine="0" w:firstLineChars="0"/>
              <w:rPr>
                <w:rFonts w:hint="eastAsia" w:ascii="宋体" w:hAnsi="宋体" w:cs="Segoe UI Symbol"/>
                <w:color w:val="auto"/>
                <w:kern w:val="0"/>
                <w:szCs w:val="21"/>
                <w:highlight w:val="none"/>
                <w:lang w:val="en-US" w:eastAsia="zh-CN"/>
              </w:rPr>
            </w:pPr>
            <w:r>
              <w:rPr>
                <w:rFonts w:hint="eastAsia" w:ascii="宋体" w:hAnsi="宋体" w:cs="Segoe UI Symbol"/>
                <w:color w:val="auto"/>
                <w:kern w:val="0"/>
                <w:szCs w:val="21"/>
                <w:highlight w:val="none"/>
                <w:lang w:val="en-US" w:eastAsia="zh-CN"/>
              </w:rPr>
              <w:t>本项目采用综合下浮率方式进行报价，综合下浮率应高于或等于0%，如：1.00%、1.50%、2.00%……小数点后可保留两位小数。投标人应充分考虑不可下浮的因素，如安全文明措施费、专供材料费等，合理投报综合下浮率；招标人后续将按照中标人所报综合下浮率对应不同项目类型执行差异化规则完成整体下浮结算。</w:t>
            </w:r>
          </w:p>
          <w:p w14:paraId="226621A8">
            <w:pPr>
              <w:widowControl w:val="0"/>
              <w:wordWrap w:val="0"/>
              <w:autoSpaceDE w:val="0"/>
              <w:autoSpaceDN w:val="0"/>
              <w:adjustRightInd w:val="0"/>
              <w:snapToGrid w:val="0"/>
              <w:ind w:firstLine="0" w:firstLineChars="0"/>
              <w:rPr>
                <w:rFonts w:ascii="宋体" w:hAnsi="宋体"/>
                <w:color w:val="auto"/>
                <w:kern w:val="0"/>
                <w:szCs w:val="21"/>
                <w:highlight w:val="none"/>
              </w:rPr>
            </w:pPr>
            <w:r>
              <w:rPr>
                <w:rFonts w:hint="eastAsia" w:ascii="宋体" w:hAnsi="宋体"/>
                <w:color w:val="auto"/>
                <w:kern w:val="0"/>
                <w:szCs w:val="21"/>
                <w:highlight w:val="none"/>
              </w:rPr>
              <w:t>（1）</w:t>
            </w:r>
            <w:r>
              <w:rPr>
                <w:rFonts w:hint="eastAsia" w:ascii="宋体" w:hAnsi="宋体"/>
                <w:color w:val="auto"/>
                <w:kern w:val="0"/>
                <w:szCs w:val="21"/>
                <w:highlight w:val="none"/>
                <w:lang w:val="en-US" w:eastAsia="zh-CN"/>
              </w:rPr>
              <w:t>居民用户零散户安装项目，</w:t>
            </w:r>
            <w:r>
              <w:rPr>
                <w:rFonts w:hint="eastAsia" w:ascii="宋体" w:hAnsi="宋体"/>
                <w:color w:val="auto"/>
                <w:sz w:val="21"/>
                <w:highlight w:val="none"/>
                <w:lang w:eastAsia="zh-CN"/>
              </w:rPr>
              <w:t>户内集中低压燃气管道建设项目，</w:t>
            </w:r>
            <w:r>
              <w:rPr>
                <w:rFonts w:hint="eastAsia" w:ascii="宋体" w:hAnsi="宋体"/>
                <w:color w:val="auto"/>
                <w:kern w:val="0"/>
                <w:szCs w:val="21"/>
                <w:highlight w:val="none"/>
              </w:rPr>
              <w:t>居民用户改管、维修作业项目（不含居民到期流量表更换项目），非居用户改造、维修作业项目，燃气管道及设施整改、维护（居民、非居通用）项目实行固定</w:t>
            </w:r>
            <w:r>
              <w:rPr>
                <w:rFonts w:hint="eastAsia" w:ascii="宋体" w:hAnsi="宋体"/>
                <w:color w:val="auto"/>
                <w:kern w:val="0"/>
                <w:szCs w:val="21"/>
                <w:highlight w:val="none"/>
                <w:lang w:val="en-US" w:eastAsia="zh-CN"/>
              </w:rPr>
              <w:t>全费用</w:t>
            </w:r>
            <w:r>
              <w:rPr>
                <w:rFonts w:hint="eastAsia" w:ascii="宋体" w:hAnsi="宋体"/>
                <w:color w:val="auto"/>
                <w:kern w:val="0"/>
                <w:szCs w:val="21"/>
                <w:highlight w:val="none"/>
              </w:rPr>
              <w:t>综合单价，投标时无需报价。按照《深圳市燃气集团股份有限公司坪山（大鹏）分公司一次发包工程造价100万元以下项目（202</w:t>
            </w:r>
            <w:r>
              <w:rPr>
                <w:rFonts w:hint="eastAsia" w:ascii="宋体" w:hAnsi="宋体"/>
                <w:color w:val="auto"/>
                <w:kern w:val="0"/>
                <w:szCs w:val="21"/>
                <w:highlight w:val="none"/>
                <w:lang w:val="en-US" w:eastAsia="zh-CN"/>
              </w:rPr>
              <w:t>6</w:t>
            </w:r>
            <w:r>
              <w:rPr>
                <w:rFonts w:hint="eastAsia" w:ascii="宋体" w:hAnsi="宋体"/>
                <w:color w:val="auto"/>
                <w:kern w:val="0"/>
                <w:szCs w:val="21"/>
                <w:highlight w:val="none"/>
              </w:rPr>
              <w:t>-202</w:t>
            </w:r>
            <w:r>
              <w:rPr>
                <w:rFonts w:hint="eastAsia" w:ascii="宋体" w:hAnsi="宋体"/>
                <w:color w:val="auto"/>
                <w:kern w:val="0"/>
                <w:szCs w:val="21"/>
                <w:highlight w:val="none"/>
                <w:lang w:val="en-US" w:eastAsia="zh-CN"/>
              </w:rPr>
              <w:t>8</w:t>
            </w:r>
            <w:r>
              <w:rPr>
                <w:rFonts w:hint="eastAsia" w:ascii="宋体" w:hAnsi="宋体"/>
                <w:color w:val="auto"/>
                <w:kern w:val="0"/>
                <w:szCs w:val="21"/>
                <w:highlight w:val="none"/>
              </w:rPr>
              <w:t>年度）承包商招标招标控制价》</w:t>
            </w:r>
            <w:r>
              <w:rPr>
                <w:rFonts w:hint="eastAsia" w:ascii="宋体" w:hAnsi="宋体"/>
                <w:color w:val="auto"/>
                <w:kern w:val="0"/>
                <w:szCs w:val="21"/>
                <w:highlight w:val="none"/>
                <w:lang w:val="en-US" w:eastAsia="zh-CN"/>
              </w:rPr>
              <w:t>中的全费用综合单价</w:t>
            </w:r>
            <w:r>
              <w:rPr>
                <w:rFonts w:hint="eastAsia" w:ascii="宋体" w:hAnsi="宋体"/>
                <w:color w:val="auto"/>
                <w:kern w:val="0"/>
                <w:szCs w:val="21"/>
                <w:highlight w:val="none"/>
              </w:rPr>
              <w:t>执行。</w:t>
            </w:r>
          </w:p>
          <w:p w14:paraId="5A3CB445">
            <w:pPr>
              <w:pStyle w:val="2"/>
              <w:ind w:firstLine="0" w:firstLineChars="0"/>
              <w:rPr>
                <w:rFonts w:hint="eastAsia" w:ascii="宋体" w:hAnsi="宋体"/>
                <w:color w:val="auto"/>
                <w:kern w:val="0"/>
                <w:szCs w:val="21"/>
                <w:highlight w:val="none"/>
              </w:rPr>
            </w:pPr>
            <w:r>
              <w:rPr>
                <w:rFonts w:hint="eastAsia" w:ascii="宋体" w:hAnsi="宋体"/>
                <w:color w:val="auto"/>
                <w:kern w:val="0"/>
                <w:szCs w:val="21"/>
                <w:highlight w:val="none"/>
              </w:rPr>
              <w:t>（2）中低压市政燃气管道项目实行固定综合单价，投标人投标时根据招标人公示的《深圳市燃气集团股份有限公司坪山（大鹏）分公司一次发包工程造价100万元以下项目（202</w:t>
            </w:r>
            <w:r>
              <w:rPr>
                <w:rFonts w:hint="eastAsia" w:ascii="宋体" w:hAnsi="宋体"/>
                <w:color w:val="auto"/>
                <w:kern w:val="0"/>
                <w:szCs w:val="21"/>
                <w:highlight w:val="none"/>
                <w:lang w:val="en-US" w:eastAsia="zh-CN"/>
              </w:rPr>
              <w:t>6</w:t>
            </w:r>
            <w:r>
              <w:rPr>
                <w:rFonts w:hint="eastAsia" w:ascii="宋体" w:hAnsi="宋体"/>
                <w:color w:val="auto"/>
                <w:kern w:val="0"/>
                <w:szCs w:val="21"/>
                <w:highlight w:val="none"/>
              </w:rPr>
              <w:t>-20</w:t>
            </w:r>
            <w:r>
              <w:rPr>
                <w:rFonts w:hint="eastAsia" w:ascii="宋体" w:hAnsi="宋体"/>
                <w:color w:val="auto"/>
                <w:kern w:val="0"/>
                <w:szCs w:val="21"/>
                <w:highlight w:val="none"/>
                <w:lang w:val="en-US" w:eastAsia="zh-CN"/>
              </w:rPr>
              <w:t>28</w:t>
            </w:r>
            <w:r>
              <w:rPr>
                <w:rFonts w:hint="eastAsia" w:ascii="宋体" w:hAnsi="宋体"/>
                <w:color w:val="auto"/>
                <w:kern w:val="0"/>
                <w:szCs w:val="21"/>
                <w:highlight w:val="none"/>
              </w:rPr>
              <w:t>年度）承包商招标招标控制价》中的中低压市政燃气管道项目、居民到期流量表更换项目两类项目采用综合下浮率进行报价</w:t>
            </w:r>
            <w:r>
              <w:rPr>
                <w:rFonts w:hint="eastAsia" w:ascii="宋体" w:hAnsi="宋体"/>
                <w:color w:val="auto"/>
                <w:kern w:val="0"/>
                <w:szCs w:val="21"/>
                <w:highlight w:val="none"/>
                <w:lang w:eastAsia="zh-CN"/>
              </w:rPr>
              <w:t>。</w:t>
            </w:r>
            <w:r>
              <w:rPr>
                <w:rFonts w:hint="eastAsia" w:ascii="宋体" w:hAnsi="宋体"/>
                <w:color w:val="auto"/>
                <w:kern w:val="0"/>
                <w:szCs w:val="21"/>
                <w:highlight w:val="none"/>
              </w:rPr>
              <w:t>子项目结算金额=</w:t>
            </w:r>
            <w:r>
              <w:rPr>
                <w:rFonts w:hint="eastAsia" w:ascii="宋体" w:hAnsi="宋体"/>
                <w:color w:val="auto"/>
                <w:szCs w:val="21"/>
                <w:highlight w:val="none"/>
              </w:rPr>
              <w:t>∑[工程量×分部分项综合单价×(1-综合下浮率)]+按规定计取的措施费+规费+税金。</w:t>
            </w:r>
          </w:p>
          <w:p w14:paraId="3B1D928A">
            <w:pPr>
              <w:widowControl w:val="0"/>
              <w:autoSpaceDE w:val="0"/>
              <w:autoSpaceDN w:val="0"/>
              <w:adjustRightInd w:val="0"/>
              <w:snapToGrid w:val="0"/>
              <w:ind w:firstLine="0" w:firstLineChars="0"/>
              <w:rPr>
                <w:rFonts w:hint="eastAsia" w:ascii="宋体" w:hAnsi="宋体" w:cs="Segoe UI Symbol"/>
                <w:color w:val="auto"/>
                <w:kern w:val="0"/>
                <w:szCs w:val="21"/>
                <w:highlight w:val="none"/>
                <w:lang w:val="en-US" w:eastAsia="zh-CN"/>
              </w:rPr>
            </w:pPr>
            <w:r>
              <w:rPr>
                <w:rFonts w:hint="eastAsia" w:ascii="宋体" w:hAnsi="宋体"/>
                <w:color w:val="auto"/>
                <w:kern w:val="0"/>
                <w:szCs w:val="21"/>
                <w:highlight w:val="none"/>
                <w:lang w:eastAsia="zh-CN"/>
              </w:rPr>
              <w:t>（</w:t>
            </w:r>
            <w:r>
              <w:rPr>
                <w:rFonts w:hint="eastAsia" w:ascii="宋体" w:hAnsi="宋体"/>
                <w:color w:val="auto"/>
                <w:kern w:val="0"/>
                <w:szCs w:val="21"/>
                <w:highlight w:val="none"/>
                <w:lang w:val="en-US" w:eastAsia="zh-CN"/>
              </w:rPr>
              <w:t>3</w:t>
            </w:r>
            <w:r>
              <w:rPr>
                <w:rFonts w:hint="eastAsia" w:ascii="宋体" w:hAnsi="宋体"/>
                <w:color w:val="auto"/>
                <w:kern w:val="0"/>
                <w:szCs w:val="21"/>
                <w:highlight w:val="none"/>
                <w:lang w:eastAsia="zh-CN"/>
              </w:rPr>
              <w:t>）工商、工业、公福</w:t>
            </w:r>
            <w:r>
              <w:rPr>
                <w:rFonts w:hint="eastAsia" w:ascii="宋体" w:hAnsi="宋体"/>
                <w:color w:val="auto"/>
                <w:kern w:val="0"/>
                <w:szCs w:val="21"/>
                <w:highlight w:val="none"/>
              </w:rPr>
              <w:t>用户燃气管道安装项目实行</w:t>
            </w:r>
            <w:r>
              <w:rPr>
                <w:rFonts w:hint="eastAsia" w:ascii="宋体" w:hAnsi="宋体" w:cs="Segoe UI Symbol"/>
                <w:color w:val="auto"/>
                <w:kern w:val="0"/>
                <w:szCs w:val="21"/>
                <w:highlight w:val="none"/>
                <w:lang w:val="en-US" w:eastAsia="zh-CN"/>
              </w:rPr>
              <w:t>全费用综合单价</w:t>
            </w:r>
            <w:r>
              <w:rPr>
                <w:rFonts w:hint="eastAsia" w:ascii="宋体" w:hAnsi="宋体"/>
                <w:color w:val="auto"/>
                <w:kern w:val="0"/>
                <w:szCs w:val="21"/>
                <w:highlight w:val="none"/>
              </w:rPr>
              <w:t>，投标人投标时根据招标人公示的</w:t>
            </w:r>
            <w:r>
              <w:rPr>
                <w:rFonts w:hint="eastAsia" w:ascii="宋体" w:hAnsi="宋体" w:cs="Segoe UI Symbol"/>
                <w:color w:val="auto"/>
                <w:kern w:val="0"/>
                <w:szCs w:val="21"/>
                <w:highlight w:val="none"/>
                <w:lang w:val="en-US" w:eastAsia="zh-CN"/>
              </w:rPr>
              <w:t>《</w:t>
            </w:r>
            <w:r>
              <w:rPr>
                <w:rFonts w:hint="eastAsia" w:ascii="宋体" w:hAnsi="宋体"/>
                <w:color w:val="auto"/>
                <w:kern w:val="0"/>
                <w:szCs w:val="21"/>
                <w:highlight w:val="none"/>
              </w:rPr>
              <w:t>深圳市燃气集团股份有限公司坪山（大鹏）分公司一次发包工程造价100万元以下项目（202</w:t>
            </w:r>
            <w:r>
              <w:rPr>
                <w:rFonts w:hint="eastAsia" w:ascii="宋体" w:hAnsi="宋体"/>
                <w:color w:val="auto"/>
                <w:kern w:val="0"/>
                <w:szCs w:val="21"/>
                <w:highlight w:val="none"/>
                <w:lang w:val="en-US" w:eastAsia="zh-CN"/>
              </w:rPr>
              <w:t>6</w:t>
            </w:r>
            <w:r>
              <w:rPr>
                <w:rFonts w:hint="eastAsia" w:ascii="宋体" w:hAnsi="宋体"/>
                <w:color w:val="auto"/>
                <w:kern w:val="0"/>
                <w:szCs w:val="21"/>
                <w:highlight w:val="none"/>
              </w:rPr>
              <w:t>-20</w:t>
            </w:r>
            <w:r>
              <w:rPr>
                <w:rFonts w:hint="eastAsia" w:ascii="宋体" w:hAnsi="宋体"/>
                <w:color w:val="auto"/>
                <w:kern w:val="0"/>
                <w:szCs w:val="21"/>
                <w:highlight w:val="none"/>
                <w:lang w:val="en-US" w:eastAsia="zh-CN"/>
              </w:rPr>
              <w:t>28</w:t>
            </w:r>
            <w:r>
              <w:rPr>
                <w:rFonts w:hint="eastAsia" w:ascii="宋体" w:hAnsi="宋体"/>
                <w:color w:val="auto"/>
                <w:kern w:val="0"/>
                <w:szCs w:val="21"/>
                <w:highlight w:val="none"/>
              </w:rPr>
              <w:t>年度）承包商招标招标控制价</w:t>
            </w:r>
            <w:r>
              <w:rPr>
                <w:rFonts w:hint="eastAsia" w:ascii="宋体" w:hAnsi="宋体" w:cs="Segoe UI Symbol"/>
                <w:color w:val="auto"/>
                <w:kern w:val="0"/>
                <w:szCs w:val="21"/>
                <w:highlight w:val="none"/>
                <w:lang w:val="en-US" w:eastAsia="zh-CN"/>
              </w:rPr>
              <w:t>》中的</w:t>
            </w:r>
            <w:r>
              <w:rPr>
                <w:rFonts w:hint="eastAsia" w:ascii="宋体" w:hAnsi="宋体"/>
                <w:color w:val="auto"/>
                <w:kern w:val="0"/>
                <w:szCs w:val="21"/>
                <w:highlight w:val="none"/>
                <w:lang w:eastAsia="zh-CN"/>
              </w:rPr>
              <w:t>工商、工业、公福</w:t>
            </w:r>
            <w:r>
              <w:rPr>
                <w:rFonts w:hint="eastAsia" w:ascii="宋体" w:hAnsi="宋体"/>
                <w:color w:val="auto"/>
                <w:kern w:val="0"/>
                <w:szCs w:val="21"/>
                <w:highlight w:val="none"/>
              </w:rPr>
              <w:t>用户燃气管道安装项目采用综合下浮率进行报价</w:t>
            </w:r>
            <w:r>
              <w:rPr>
                <w:rFonts w:hint="eastAsia" w:ascii="宋体" w:hAnsi="宋体"/>
                <w:color w:val="auto"/>
                <w:kern w:val="0"/>
                <w:szCs w:val="21"/>
                <w:highlight w:val="none"/>
                <w:lang w:eastAsia="zh-CN"/>
              </w:rPr>
              <w:t>。</w:t>
            </w:r>
            <w:r>
              <w:rPr>
                <w:rFonts w:hint="eastAsia" w:ascii="宋体" w:hAnsi="宋体"/>
                <w:color w:val="auto"/>
                <w:kern w:val="0"/>
                <w:szCs w:val="21"/>
                <w:highlight w:val="none"/>
              </w:rPr>
              <w:t>子项目结算金额=</w:t>
            </w:r>
            <w:r>
              <w:rPr>
                <w:rFonts w:hint="eastAsia" w:ascii="宋体" w:hAnsi="宋体" w:cs="Segoe UI Symbol"/>
                <w:color w:val="auto"/>
                <w:kern w:val="0"/>
                <w:szCs w:val="21"/>
                <w:highlight w:val="none"/>
                <w:lang w:val="en-US" w:eastAsia="zh-CN"/>
              </w:rPr>
              <w:t>∑[工程量×全费用综合单价×(1-综合下浮率)]。</w:t>
            </w:r>
          </w:p>
          <w:p w14:paraId="4001C1F3">
            <w:pPr>
              <w:widowControl w:val="0"/>
              <w:wordWrap w:val="0"/>
              <w:autoSpaceDE w:val="0"/>
              <w:autoSpaceDN w:val="0"/>
              <w:adjustRightInd w:val="0"/>
              <w:snapToGrid w:val="0"/>
              <w:ind w:firstLine="0" w:firstLineChars="0"/>
              <w:rPr>
                <w:color w:val="auto"/>
                <w:highlight w:val="none"/>
              </w:rPr>
            </w:pPr>
            <w:r>
              <w:rPr>
                <w:rFonts w:hint="eastAsia" w:ascii="宋体" w:hAnsi="宋体"/>
                <w:color w:val="auto"/>
                <w:kern w:val="0"/>
                <w:szCs w:val="21"/>
                <w:highlight w:val="none"/>
                <w:lang w:eastAsia="zh-CN"/>
              </w:rPr>
              <w:t>（</w:t>
            </w:r>
            <w:r>
              <w:rPr>
                <w:rFonts w:hint="eastAsia" w:ascii="宋体" w:hAnsi="宋体"/>
                <w:color w:val="auto"/>
                <w:kern w:val="0"/>
                <w:szCs w:val="21"/>
                <w:highlight w:val="none"/>
                <w:lang w:val="en-US" w:eastAsia="zh-CN"/>
              </w:rPr>
              <w:t>4</w:t>
            </w:r>
            <w:r>
              <w:rPr>
                <w:rFonts w:hint="eastAsia" w:ascii="宋体" w:hAnsi="宋体"/>
                <w:color w:val="auto"/>
                <w:kern w:val="0"/>
                <w:szCs w:val="21"/>
                <w:highlight w:val="none"/>
                <w:lang w:eastAsia="zh-CN"/>
              </w:rPr>
              <w:t>）</w:t>
            </w:r>
            <w:r>
              <w:rPr>
                <w:rFonts w:hint="eastAsia" w:ascii="宋体" w:hAnsi="宋体" w:cs="Segoe UI Symbol"/>
                <w:color w:val="auto"/>
                <w:kern w:val="0"/>
                <w:szCs w:val="21"/>
                <w:highlight w:val="none"/>
              </w:rPr>
              <w:t>居民到期流量表更换项目实行</w:t>
            </w:r>
            <w:r>
              <w:rPr>
                <w:rFonts w:hint="eastAsia" w:ascii="宋体" w:hAnsi="宋体" w:cs="Segoe UI Symbol"/>
                <w:color w:val="auto"/>
                <w:kern w:val="0"/>
                <w:szCs w:val="21"/>
                <w:highlight w:val="none"/>
                <w:lang w:val="en-US" w:eastAsia="zh-CN"/>
              </w:rPr>
              <w:t>全费用</w:t>
            </w:r>
            <w:r>
              <w:rPr>
                <w:rFonts w:hint="eastAsia" w:ascii="宋体" w:hAnsi="宋体" w:cs="Segoe UI Symbol"/>
                <w:color w:val="auto"/>
                <w:kern w:val="0"/>
                <w:szCs w:val="21"/>
                <w:highlight w:val="none"/>
              </w:rPr>
              <w:t>综合单价法，投标人根据所投标段公示的《</w:t>
            </w:r>
            <w:r>
              <w:rPr>
                <w:rFonts w:hint="eastAsia" w:ascii="宋体" w:hAnsi="宋体"/>
                <w:color w:val="auto"/>
                <w:kern w:val="0"/>
                <w:szCs w:val="21"/>
                <w:highlight w:val="none"/>
              </w:rPr>
              <w:t>深圳市燃气集团股份有限公司坪山（大鹏）分公司一次发包工程造价100万元以下项目（202</w:t>
            </w:r>
            <w:r>
              <w:rPr>
                <w:rFonts w:hint="eastAsia" w:ascii="宋体" w:hAnsi="宋体"/>
                <w:color w:val="auto"/>
                <w:kern w:val="0"/>
                <w:szCs w:val="21"/>
                <w:highlight w:val="none"/>
                <w:lang w:val="en-US" w:eastAsia="zh-CN"/>
              </w:rPr>
              <w:t>6</w:t>
            </w:r>
            <w:r>
              <w:rPr>
                <w:rFonts w:hint="eastAsia" w:ascii="宋体" w:hAnsi="宋体"/>
                <w:color w:val="auto"/>
                <w:kern w:val="0"/>
                <w:szCs w:val="21"/>
                <w:highlight w:val="none"/>
              </w:rPr>
              <w:t>-20</w:t>
            </w:r>
            <w:r>
              <w:rPr>
                <w:rFonts w:hint="eastAsia" w:ascii="宋体" w:hAnsi="宋体"/>
                <w:color w:val="auto"/>
                <w:kern w:val="0"/>
                <w:szCs w:val="21"/>
                <w:highlight w:val="none"/>
                <w:lang w:val="en-US" w:eastAsia="zh-CN"/>
              </w:rPr>
              <w:t>28</w:t>
            </w:r>
            <w:r>
              <w:rPr>
                <w:rFonts w:hint="eastAsia" w:ascii="宋体" w:hAnsi="宋体"/>
                <w:color w:val="auto"/>
                <w:kern w:val="0"/>
                <w:szCs w:val="21"/>
                <w:highlight w:val="none"/>
              </w:rPr>
              <w:t>年度）承包商招标招标控制价</w:t>
            </w:r>
            <w:r>
              <w:rPr>
                <w:rFonts w:hint="eastAsia" w:ascii="宋体" w:hAnsi="宋体" w:cs="Segoe UI Symbol"/>
                <w:color w:val="auto"/>
                <w:kern w:val="0"/>
                <w:szCs w:val="21"/>
                <w:highlight w:val="none"/>
              </w:rPr>
              <w:t>》，按小区为单位差异化结算：</w:t>
            </w:r>
          </w:p>
          <w:tbl>
            <w:tblPr>
              <w:tblStyle w:val="4"/>
              <w:tblpPr w:leftFromText="180" w:rightFromText="180" w:vertAnchor="text" w:horzAnchor="page" w:tblpX="127" w:tblpY="-2098"/>
              <w:tblOverlap w:val="never"/>
              <w:tblW w:w="599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75"/>
              <w:gridCol w:w="3216"/>
            </w:tblGrid>
            <w:tr w14:paraId="27D99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5" w:type="dxa"/>
                  <w:vAlign w:val="center"/>
                </w:tcPr>
                <w:p w14:paraId="4E0681A2">
                  <w:pPr>
                    <w:widowControl w:val="0"/>
                    <w:wordWrap w:val="0"/>
                    <w:adjustRightInd w:val="0"/>
                    <w:snapToGrid w:val="0"/>
                    <w:ind w:left="0" w:firstLine="0" w:firstLineChars="0"/>
                    <w:jc w:val="center"/>
                    <w:rPr>
                      <w:rFonts w:ascii="Calibri" w:hAnsi="Calibri"/>
                      <w:b/>
                      <w:bCs/>
                      <w:color w:val="auto"/>
                      <w:highlight w:val="none"/>
                    </w:rPr>
                  </w:pPr>
                  <w:r>
                    <w:rPr>
                      <w:rFonts w:ascii="Calibri" w:hAnsi="Calibri"/>
                      <w:b/>
                      <w:bCs/>
                      <w:color w:val="auto"/>
                      <w:highlight w:val="none"/>
                    </w:rPr>
                    <w:t>换表量占总计划量比例区间</w:t>
                  </w:r>
                </w:p>
              </w:tc>
              <w:tc>
                <w:tcPr>
                  <w:tcW w:w="3216" w:type="dxa"/>
                  <w:vAlign w:val="center"/>
                </w:tcPr>
                <w:p w14:paraId="765F8EF0">
                  <w:pPr>
                    <w:widowControl w:val="0"/>
                    <w:wordWrap w:val="0"/>
                    <w:adjustRightInd w:val="0"/>
                    <w:snapToGrid w:val="0"/>
                    <w:ind w:left="0" w:firstLine="0" w:firstLineChars="0"/>
                    <w:jc w:val="center"/>
                    <w:rPr>
                      <w:rFonts w:ascii="Calibri" w:hAnsi="Calibri"/>
                      <w:b/>
                      <w:bCs/>
                      <w:color w:val="auto"/>
                      <w:highlight w:val="none"/>
                    </w:rPr>
                  </w:pPr>
                  <w:r>
                    <w:rPr>
                      <w:rFonts w:hint="eastAsia" w:ascii="Calibri" w:hAnsi="Calibri"/>
                      <w:b/>
                      <w:bCs/>
                      <w:color w:val="auto"/>
                      <w:highlight w:val="none"/>
                    </w:rPr>
                    <w:t>结算单价计算公式</w:t>
                  </w:r>
                </w:p>
              </w:tc>
            </w:tr>
            <w:tr w14:paraId="4BE0C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5" w:type="dxa"/>
                  <w:vAlign w:val="center"/>
                </w:tcPr>
                <w:p w14:paraId="53D3CFFD">
                  <w:pPr>
                    <w:widowControl w:val="0"/>
                    <w:wordWrap w:val="0"/>
                    <w:adjustRightInd w:val="0"/>
                    <w:snapToGrid w:val="0"/>
                    <w:ind w:left="0" w:firstLine="0" w:firstLineChars="0"/>
                    <w:jc w:val="center"/>
                    <w:rPr>
                      <w:rFonts w:ascii="Calibri" w:hAnsi="Calibri"/>
                      <w:color w:val="auto"/>
                      <w:highlight w:val="none"/>
                    </w:rPr>
                  </w:pPr>
                  <w:r>
                    <w:rPr>
                      <w:rFonts w:hint="eastAsia" w:ascii="宋体" w:hAnsi="宋体" w:cs="Segoe UI Symbol"/>
                      <w:color w:val="auto"/>
                      <w:kern w:val="0"/>
                      <w:szCs w:val="21"/>
                      <w:highlight w:val="none"/>
                    </w:rPr>
                    <w:t>前80%的部分</w:t>
                  </w:r>
                </w:p>
              </w:tc>
              <w:tc>
                <w:tcPr>
                  <w:tcW w:w="3216" w:type="dxa"/>
                  <w:vAlign w:val="center"/>
                </w:tcPr>
                <w:p w14:paraId="78693FDB">
                  <w:pPr>
                    <w:widowControl w:val="0"/>
                    <w:wordWrap w:val="0"/>
                    <w:adjustRightInd w:val="0"/>
                    <w:snapToGrid w:val="0"/>
                    <w:ind w:left="0" w:firstLine="0" w:firstLineChars="0"/>
                    <w:jc w:val="center"/>
                    <w:rPr>
                      <w:rFonts w:ascii="Calibri" w:hAnsi="Calibri"/>
                      <w:color w:val="auto"/>
                      <w:highlight w:val="none"/>
                    </w:rPr>
                  </w:pPr>
                  <w:r>
                    <w:rPr>
                      <w:rFonts w:hint="eastAsia" w:ascii="宋体" w:hAnsi="宋体" w:cs="Segoe UI Symbol"/>
                      <w:color w:val="auto"/>
                      <w:kern w:val="0"/>
                      <w:szCs w:val="21"/>
                      <w:highlight w:val="none"/>
                    </w:rPr>
                    <w:t>60元</w:t>
                  </w:r>
                  <w:r>
                    <w:rPr>
                      <w:rFonts w:hint="eastAsia" w:ascii="Calibri" w:hAnsi="Calibri"/>
                      <w:color w:val="auto"/>
                      <w:highlight w:val="none"/>
                    </w:rPr>
                    <w:t>*（1-综合下浮率）</w:t>
                  </w:r>
                </w:p>
              </w:tc>
            </w:tr>
            <w:tr w14:paraId="0F538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5" w:type="dxa"/>
                  <w:vAlign w:val="center"/>
                </w:tcPr>
                <w:p w14:paraId="190B7D91">
                  <w:pPr>
                    <w:widowControl w:val="0"/>
                    <w:wordWrap w:val="0"/>
                    <w:adjustRightInd w:val="0"/>
                    <w:snapToGrid w:val="0"/>
                    <w:ind w:left="0" w:firstLine="0" w:firstLineChars="0"/>
                    <w:jc w:val="center"/>
                    <w:rPr>
                      <w:rFonts w:ascii="Calibri" w:hAnsi="Calibri"/>
                      <w:color w:val="auto"/>
                      <w:highlight w:val="none"/>
                    </w:rPr>
                  </w:pPr>
                  <w:r>
                    <w:rPr>
                      <w:rFonts w:hint="eastAsia" w:ascii="宋体" w:hAnsi="宋体" w:cs="Segoe UI Symbol"/>
                      <w:color w:val="auto"/>
                      <w:kern w:val="0"/>
                      <w:szCs w:val="21"/>
                      <w:highlight w:val="none"/>
                    </w:rPr>
                    <w:t>80%至90%区间的部分</w:t>
                  </w:r>
                </w:p>
              </w:tc>
              <w:tc>
                <w:tcPr>
                  <w:tcW w:w="3216" w:type="dxa"/>
                  <w:vAlign w:val="center"/>
                </w:tcPr>
                <w:p w14:paraId="36C65FC0">
                  <w:pPr>
                    <w:widowControl w:val="0"/>
                    <w:wordWrap w:val="0"/>
                    <w:adjustRightInd w:val="0"/>
                    <w:snapToGrid w:val="0"/>
                    <w:ind w:left="0" w:firstLine="0" w:firstLineChars="0"/>
                    <w:jc w:val="center"/>
                    <w:rPr>
                      <w:rFonts w:ascii="Calibri" w:hAnsi="Calibri"/>
                      <w:color w:val="auto"/>
                      <w:highlight w:val="none"/>
                    </w:rPr>
                  </w:pPr>
                  <w:r>
                    <w:rPr>
                      <w:rFonts w:hint="eastAsia" w:ascii="宋体" w:hAnsi="宋体" w:cs="Segoe UI Symbol"/>
                      <w:color w:val="auto"/>
                      <w:kern w:val="0"/>
                      <w:szCs w:val="21"/>
                      <w:highlight w:val="none"/>
                    </w:rPr>
                    <w:t>65元</w:t>
                  </w:r>
                  <w:r>
                    <w:rPr>
                      <w:rFonts w:hint="eastAsia" w:ascii="Calibri" w:hAnsi="Calibri"/>
                      <w:color w:val="auto"/>
                      <w:highlight w:val="none"/>
                    </w:rPr>
                    <w:t>*（1-综合下浮率）</w:t>
                  </w:r>
                </w:p>
              </w:tc>
            </w:tr>
            <w:tr w14:paraId="78E0C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5" w:type="dxa"/>
                  <w:vAlign w:val="center"/>
                </w:tcPr>
                <w:p w14:paraId="782752CC">
                  <w:pPr>
                    <w:widowControl w:val="0"/>
                    <w:wordWrap w:val="0"/>
                    <w:adjustRightInd w:val="0"/>
                    <w:snapToGrid w:val="0"/>
                    <w:ind w:left="0" w:firstLine="0" w:firstLineChars="0"/>
                    <w:jc w:val="center"/>
                    <w:rPr>
                      <w:rFonts w:ascii="Calibri" w:hAnsi="Calibri"/>
                      <w:color w:val="auto"/>
                      <w:highlight w:val="none"/>
                    </w:rPr>
                  </w:pPr>
                  <w:r>
                    <w:rPr>
                      <w:rFonts w:hint="eastAsia" w:ascii="宋体" w:hAnsi="宋体" w:cs="Segoe UI Symbol"/>
                      <w:color w:val="auto"/>
                      <w:kern w:val="0"/>
                      <w:szCs w:val="21"/>
                      <w:highlight w:val="none"/>
                    </w:rPr>
                    <w:t>超过90%的部分</w:t>
                  </w:r>
                </w:p>
              </w:tc>
              <w:tc>
                <w:tcPr>
                  <w:tcW w:w="3216" w:type="dxa"/>
                  <w:vAlign w:val="center"/>
                </w:tcPr>
                <w:p w14:paraId="50BE9865">
                  <w:pPr>
                    <w:widowControl w:val="0"/>
                    <w:wordWrap w:val="0"/>
                    <w:adjustRightInd w:val="0"/>
                    <w:snapToGrid w:val="0"/>
                    <w:ind w:left="0" w:firstLine="0" w:firstLineChars="0"/>
                    <w:jc w:val="center"/>
                    <w:rPr>
                      <w:rFonts w:ascii="Calibri" w:hAnsi="Calibri"/>
                      <w:color w:val="auto"/>
                      <w:highlight w:val="none"/>
                    </w:rPr>
                  </w:pPr>
                  <w:r>
                    <w:rPr>
                      <w:rFonts w:hint="eastAsia" w:ascii="宋体" w:hAnsi="宋体" w:cs="Segoe UI Symbol"/>
                      <w:color w:val="auto"/>
                      <w:kern w:val="0"/>
                      <w:szCs w:val="21"/>
                      <w:highlight w:val="none"/>
                    </w:rPr>
                    <w:t>按招标控制价</w:t>
                  </w:r>
                  <w:r>
                    <w:rPr>
                      <w:rFonts w:hint="eastAsia" w:ascii="宋体" w:hAnsi="宋体" w:cs="Segoe UI Symbol"/>
                      <w:color w:val="auto"/>
                      <w:kern w:val="0"/>
                      <w:szCs w:val="21"/>
                      <w:highlight w:val="none"/>
                      <w:lang w:val="en-US" w:eastAsia="zh-CN"/>
                    </w:rPr>
                    <w:t>全费用</w:t>
                  </w:r>
                  <w:r>
                    <w:rPr>
                      <w:rFonts w:hint="eastAsia" w:ascii="宋体" w:hAnsi="宋体" w:cs="Segoe UI Symbol"/>
                      <w:color w:val="auto"/>
                      <w:kern w:val="0"/>
                      <w:szCs w:val="21"/>
                      <w:highlight w:val="none"/>
                    </w:rPr>
                    <w:t>综合单价全额计算</w:t>
                  </w:r>
                </w:p>
              </w:tc>
            </w:tr>
          </w:tbl>
          <w:p w14:paraId="32BA8A77">
            <w:pPr>
              <w:widowControl w:val="0"/>
              <w:wordWrap w:val="0"/>
              <w:autoSpaceDE w:val="0"/>
              <w:autoSpaceDN w:val="0"/>
              <w:adjustRightInd w:val="0"/>
              <w:snapToGrid w:val="0"/>
              <w:ind w:firstLine="0" w:firstLineChars="0"/>
              <w:rPr>
                <w:rFonts w:hint="eastAsia"/>
                <w:color w:val="auto"/>
                <w:highlight w:val="none"/>
                <w:lang w:eastAsia="zh-CN"/>
              </w:rPr>
            </w:pPr>
            <w:r>
              <w:rPr>
                <w:rFonts w:hint="eastAsia" w:ascii="宋体" w:hAnsi="宋体" w:cs="宋体"/>
                <w:color w:val="auto"/>
                <w:kern w:val="2"/>
                <w:sz w:val="21"/>
                <w:szCs w:val="21"/>
                <w:highlight w:val="none"/>
              </w:rPr>
              <w:t>①</w:t>
            </w:r>
            <w:r>
              <w:rPr>
                <w:rFonts w:hint="eastAsia"/>
                <w:color w:val="auto"/>
                <w:highlight w:val="none"/>
              </w:rPr>
              <w:t>小区换表率&lt;90%的，按照40元综合单价进行结算进度款，项目仅在小区换表率≥90%时予以全额结算。同时，在小区换表率≥90%时全额结算采用阶梯计费结算。另外，因客观原因不具备换表条件、用户明确拒绝换表等无法实施换表的情形，乙方须完整留存过程佐证材料、做好专项台账记录，结算时一并报送甲方审核确认，经甲方核定后对对应换表基数予以核减，核减后换表率仍需满足≥90%方可办理结算。</w:t>
            </w:r>
          </w:p>
          <w:p w14:paraId="47BC7C7D">
            <w:pPr>
              <w:widowControl w:val="0"/>
              <w:wordWrap w:val="0"/>
              <w:autoSpaceDE w:val="0"/>
              <w:autoSpaceDN w:val="0"/>
              <w:adjustRightInd w:val="0"/>
              <w:snapToGrid w:val="0"/>
              <w:ind w:firstLine="0" w:firstLineChars="0"/>
              <w:rPr>
                <w:color w:val="auto"/>
                <w:highlight w:val="none"/>
              </w:rPr>
            </w:pPr>
            <w:r>
              <w:rPr>
                <w:rFonts w:hint="eastAsia"/>
                <w:color w:val="auto"/>
                <w:highlight w:val="none"/>
                <w:lang w:eastAsia="zh-CN"/>
              </w:rPr>
              <w:t>（</w:t>
            </w:r>
            <w:r>
              <w:rPr>
                <w:rFonts w:hint="eastAsia"/>
                <w:color w:val="auto"/>
                <w:highlight w:val="none"/>
                <w:lang w:val="en-US" w:eastAsia="zh-CN"/>
              </w:rPr>
              <w:t>5</w:t>
            </w:r>
            <w:r>
              <w:rPr>
                <w:rFonts w:hint="eastAsia"/>
                <w:color w:val="auto"/>
                <w:highlight w:val="none"/>
                <w:lang w:eastAsia="zh-CN"/>
              </w:rPr>
              <w:t>）</w:t>
            </w:r>
            <w:r>
              <w:rPr>
                <w:rFonts w:hint="eastAsia" w:ascii="宋体" w:hAnsi="宋体" w:cs="Segoe UI Symbol"/>
                <w:color w:val="auto"/>
                <w:kern w:val="0"/>
                <w:szCs w:val="21"/>
                <w:highlight w:val="none"/>
              </w:rPr>
              <w:t>居民用户安全检查项目实行</w:t>
            </w:r>
            <w:r>
              <w:rPr>
                <w:rFonts w:hint="eastAsia" w:ascii="宋体" w:hAnsi="宋体" w:cs="Segoe UI Symbol"/>
                <w:color w:val="auto"/>
                <w:kern w:val="0"/>
                <w:szCs w:val="21"/>
                <w:highlight w:val="none"/>
                <w:lang w:val="en-US" w:eastAsia="zh-CN"/>
              </w:rPr>
              <w:t>全费用</w:t>
            </w:r>
            <w:r>
              <w:rPr>
                <w:rFonts w:hint="eastAsia" w:ascii="宋体" w:hAnsi="宋体" w:cs="Segoe UI Symbol"/>
                <w:color w:val="auto"/>
                <w:kern w:val="0"/>
                <w:szCs w:val="21"/>
                <w:highlight w:val="none"/>
              </w:rPr>
              <w:t>综合单价法，投标人根据所投标段公示的《</w:t>
            </w:r>
            <w:r>
              <w:rPr>
                <w:rFonts w:hint="eastAsia" w:ascii="宋体" w:hAnsi="宋体"/>
                <w:color w:val="auto"/>
                <w:kern w:val="0"/>
                <w:szCs w:val="21"/>
                <w:highlight w:val="none"/>
              </w:rPr>
              <w:t>深圳市燃气集团股份有限公司坪山（大鹏）分公司一次发包工程造价100万元以下项目（202</w:t>
            </w:r>
            <w:r>
              <w:rPr>
                <w:rFonts w:hint="eastAsia" w:ascii="宋体" w:hAnsi="宋体"/>
                <w:color w:val="auto"/>
                <w:kern w:val="0"/>
                <w:szCs w:val="21"/>
                <w:highlight w:val="none"/>
                <w:lang w:val="en-US" w:eastAsia="zh-CN"/>
              </w:rPr>
              <w:t>6</w:t>
            </w:r>
            <w:r>
              <w:rPr>
                <w:rFonts w:hint="eastAsia" w:ascii="宋体" w:hAnsi="宋体"/>
                <w:color w:val="auto"/>
                <w:kern w:val="0"/>
                <w:szCs w:val="21"/>
                <w:highlight w:val="none"/>
              </w:rPr>
              <w:t>-20</w:t>
            </w:r>
            <w:r>
              <w:rPr>
                <w:rFonts w:hint="eastAsia" w:ascii="宋体" w:hAnsi="宋体"/>
                <w:color w:val="auto"/>
                <w:kern w:val="0"/>
                <w:szCs w:val="21"/>
                <w:highlight w:val="none"/>
                <w:lang w:val="en-US" w:eastAsia="zh-CN"/>
              </w:rPr>
              <w:t>28</w:t>
            </w:r>
            <w:r>
              <w:rPr>
                <w:rFonts w:hint="eastAsia" w:ascii="宋体" w:hAnsi="宋体"/>
                <w:color w:val="auto"/>
                <w:kern w:val="0"/>
                <w:szCs w:val="21"/>
                <w:highlight w:val="none"/>
              </w:rPr>
              <w:t>年度）承包商招标招标控制价</w:t>
            </w:r>
            <w:r>
              <w:rPr>
                <w:rFonts w:hint="eastAsia" w:ascii="宋体" w:hAnsi="宋体" w:cs="Segoe UI Symbol"/>
                <w:color w:val="auto"/>
                <w:kern w:val="0"/>
                <w:szCs w:val="21"/>
                <w:highlight w:val="none"/>
              </w:rPr>
              <w:t>》，按按小区为单位差异化结算：</w:t>
            </w:r>
          </w:p>
          <w:tbl>
            <w:tblPr>
              <w:tblStyle w:val="3"/>
              <w:tblpPr w:leftFromText="180" w:rightFromText="180" w:vertAnchor="text" w:horzAnchor="page" w:tblpX="112" w:tblpY="194"/>
              <w:tblOverlap w:val="never"/>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59"/>
              <w:gridCol w:w="3542"/>
            </w:tblGrid>
            <w:tr w14:paraId="55BD7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2233" w:type="pct"/>
                  <w:vAlign w:val="center"/>
                </w:tcPr>
                <w:p w14:paraId="6AF228F4">
                  <w:pPr>
                    <w:widowControl w:val="0"/>
                    <w:wordWrap w:val="0"/>
                    <w:autoSpaceDE w:val="0"/>
                    <w:autoSpaceDN w:val="0"/>
                    <w:adjustRightInd w:val="0"/>
                    <w:snapToGrid w:val="0"/>
                    <w:ind w:firstLine="0" w:firstLineChars="0"/>
                    <w:jc w:val="center"/>
                    <w:rPr>
                      <w:b/>
                      <w:bCs/>
                      <w:color w:val="auto"/>
                      <w:sz w:val="21"/>
                      <w:szCs w:val="21"/>
                      <w:highlight w:val="none"/>
                    </w:rPr>
                  </w:pPr>
                  <w:r>
                    <w:rPr>
                      <w:b/>
                      <w:bCs/>
                      <w:color w:val="auto"/>
                      <w:sz w:val="21"/>
                      <w:szCs w:val="21"/>
                      <w:highlight w:val="none"/>
                    </w:rPr>
                    <w:t>安检量占总计划量比例区间</w:t>
                  </w:r>
                </w:p>
              </w:tc>
              <w:tc>
                <w:tcPr>
                  <w:tcW w:w="2766" w:type="pct"/>
                  <w:vAlign w:val="center"/>
                </w:tcPr>
                <w:p w14:paraId="0185F736">
                  <w:pPr>
                    <w:widowControl w:val="0"/>
                    <w:wordWrap w:val="0"/>
                    <w:autoSpaceDE w:val="0"/>
                    <w:autoSpaceDN w:val="0"/>
                    <w:adjustRightInd w:val="0"/>
                    <w:snapToGrid w:val="0"/>
                    <w:ind w:firstLine="0" w:firstLineChars="0"/>
                    <w:jc w:val="center"/>
                    <w:rPr>
                      <w:b/>
                      <w:bCs/>
                      <w:color w:val="auto"/>
                      <w:sz w:val="21"/>
                      <w:szCs w:val="21"/>
                      <w:highlight w:val="none"/>
                    </w:rPr>
                  </w:pPr>
                  <w:r>
                    <w:rPr>
                      <w:rFonts w:hint="eastAsia"/>
                      <w:b/>
                      <w:bCs/>
                      <w:color w:val="auto"/>
                      <w:sz w:val="21"/>
                      <w:szCs w:val="21"/>
                      <w:highlight w:val="none"/>
                    </w:rPr>
                    <w:t>结算单价计算公式</w:t>
                  </w:r>
                </w:p>
              </w:tc>
            </w:tr>
            <w:tr w14:paraId="00005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2233" w:type="pct"/>
                  <w:vAlign w:val="center"/>
                </w:tcPr>
                <w:p w14:paraId="69E68D02">
                  <w:pPr>
                    <w:widowControl w:val="0"/>
                    <w:wordWrap w:val="0"/>
                    <w:autoSpaceDE w:val="0"/>
                    <w:autoSpaceDN w:val="0"/>
                    <w:adjustRightInd w:val="0"/>
                    <w:snapToGrid w:val="0"/>
                    <w:ind w:firstLine="0" w:firstLineChars="0"/>
                    <w:jc w:val="center"/>
                    <w:rPr>
                      <w:rFonts w:hint="default" w:ascii="宋体" w:hAnsi="宋体" w:cs="Segoe UI Symbol" w:eastAsiaTheme="minorEastAsia"/>
                      <w:color w:val="auto"/>
                      <w:kern w:val="0"/>
                      <w:sz w:val="21"/>
                      <w:szCs w:val="21"/>
                      <w:highlight w:val="none"/>
                      <w:lang w:val="en-US" w:eastAsia="zh-CN"/>
                    </w:rPr>
                  </w:pPr>
                  <w:r>
                    <w:rPr>
                      <w:rFonts w:hint="eastAsia" w:ascii="宋体" w:hAnsi="宋体" w:cs="Segoe UI Symbol"/>
                      <w:color w:val="auto"/>
                      <w:kern w:val="0"/>
                      <w:sz w:val="21"/>
                      <w:szCs w:val="21"/>
                      <w:highlight w:val="none"/>
                      <w:lang w:val="en-US" w:eastAsia="zh-CN"/>
                    </w:rPr>
                    <w:t>前80%部分</w:t>
                  </w:r>
                </w:p>
              </w:tc>
              <w:tc>
                <w:tcPr>
                  <w:tcW w:w="2766" w:type="pct"/>
                  <w:vAlign w:val="center"/>
                </w:tcPr>
                <w:p w14:paraId="75F63730">
                  <w:pPr>
                    <w:widowControl w:val="0"/>
                    <w:wordWrap w:val="0"/>
                    <w:autoSpaceDE w:val="0"/>
                    <w:autoSpaceDN w:val="0"/>
                    <w:adjustRightInd w:val="0"/>
                    <w:snapToGrid w:val="0"/>
                    <w:ind w:firstLine="0" w:firstLineChars="0"/>
                    <w:jc w:val="center"/>
                    <w:rPr>
                      <w:rFonts w:hint="eastAsia" w:ascii="宋体" w:hAnsi="宋体" w:cs="Segoe UI Symbol"/>
                      <w:color w:val="auto"/>
                      <w:kern w:val="0"/>
                      <w:sz w:val="21"/>
                      <w:szCs w:val="21"/>
                      <w:highlight w:val="none"/>
                    </w:rPr>
                  </w:pPr>
                  <w:r>
                    <w:rPr>
                      <w:rFonts w:hint="eastAsia" w:ascii="宋体" w:hAnsi="宋体" w:cs="Segoe UI Symbol"/>
                      <w:color w:val="auto"/>
                      <w:kern w:val="0"/>
                      <w:sz w:val="21"/>
                      <w:szCs w:val="21"/>
                      <w:highlight w:val="none"/>
                      <w:lang w:val="en-US" w:eastAsia="zh-CN"/>
                    </w:rPr>
                    <w:t>13</w:t>
                  </w:r>
                  <w:r>
                    <w:rPr>
                      <w:rFonts w:hint="eastAsia" w:ascii="宋体" w:hAnsi="宋体" w:cs="Segoe UI Symbol"/>
                      <w:color w:val="auto"/>
                      <w:kern w:val="0"/>
                      <w:sz w:val="21"/>
                      <w:szCs w:val="21"/>
                      <w:highlight w:val="none"/>
                    </w:rPr>
                    <w:t>元</w:t>
                  </w:r>
                  <w:r>
                    <w:rPr>
                      <w:rFonts w:hint="eastAsia"/>
                      <w:color w:val="auto"/>
                      <w:sz w:val="21"/>
                      <w:szCs w:val="21"/>
                      <w:highlight w:val="none"/>
                    </w:rPr>
                    <w:t>*（1-综合下浮率）</w:t>
                  </w:r>
                </w:p>
              </w:tc>
            </w:tr>
            <w:tr w14:paraId="5343E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2233" w:type="pct"/>
                  <w:vAlign w:val="center"/>
                </w:tcPr>
                <w:p w14:paraId="4249CDE3">
                  <w:pPr>
                    <w:widowControl w:val="0"/>
                    <w:wordWrap w:val="0"/>
                    <w:autoSpaceDE w:val="0"/>
                    <w:autoSpaceDN w:val="0"/>
                    <w:adjustRightInd w:val="0"/>
                    <w:snapToGrid w:val="0"/>
                    <w:ind w:firstLine="0" w:firstLineChars="0"/>
                    <w:jc w:val="center"/>
                    <w:rPr>
                      <w:color w:val="auto"/>
                      <w:sz w:val="21"/>
                      <w:szCs w:val="21"/>
                      <w:highlight w:val="none"/>
                    </w:rPr>
                  </w:pPr>
                  <w:r>
                    <w:rPr>
                      <w:rFonts w:hint="eastAsia" w:ascii="宋体" w:hAnsi="宋体" w:cs="Segoe UI Symbol"/>
                      <w:color w:val="auto"/>
                      <w:kern w:val="0"/>
                      <w:sz w:val="21"/>
                      <w:szCs w:val="21"/>
                      <w:highlight w:val="none"/>
                      <w:lang w:val="en-US" w:eastAsia="zh-CN"/>
                    </w:rPr>
                    <w:t>80</w:t>
                  </w:r>
                  <w:r>
                    <w:rPr>
                      <w:rFonts w:hint="eastAsia" w:ascii="宋体" w:hAnsi="宋体" w:cs="Segoe UI Symbol"/>
                      <w:color w:val="auto"/>
                      <w:kern w:val="0"/>
                      <w:sz w:val="21"/>
                      <w:szCs w:val="21"/>
                      <w:highlight w:val="none"/>
                    </w:rPr>
                    <w:t>%至9</w:t>
                  </w:r>
                  <w:r>
                    <w:rPr>
                      <w:rFonts w:hint="eastAsia" w:ascii="宋体" w:hAnsi="宋体" w:cs="Segoe UI Symbol"/>
                      <w:color w:val="auto"/>
                      <w:kern w:val="0"/>
                      <w:sz w:val="21"/>
                      <w:szCs w:val="21"/>
                      <w:highlight w:val="none"/>
                      <w:lang w:val="en-US" w:eastAsia="zh-CN"/>
                    </w:rPr>
                    <w:t>0</w:t>
                  </w:r>
                  <w:r>
                    <w:rPr>
                      <w:rFonts w:hint="eastAsia" w:ascii="宋体" w:hAnsi="宋体" w:cs="Segoe UI Symbol"/>
                      <w:color w:val="auto"/>
                      <w:kern w:val="0"/>
                      <w:sz w:val="21"/>
                      <w:szCs w:val="21"/>
                      <w:highlight w:val="none"/>
                    </w:rPr>
                    <w:t>%区间的部分</w:t>
                  </w:r>
                </w:p>
              </w:tc>
              <w:tc>
                <w:tcPr>
                  <w:tcW w:w="2766" w:type="pct"/>
                  <w:vAlign w:val="center"/>
                </w:tcPr>
                <w:p w14:paraId="26498B99">
                  <w:pPr>
                    <w:widowControl w:val="0"/>
                    <w:wordWrap w:val="0"/>
                    <w:autoSpaceDE w:val="0"/>
                    <w:autoSpaceDN w:val="0"/>
                    <w:adjustRightInd w:val="0"/>
                    <w:snapToGrid w:val="0"/>
                    <w:ind w:firstLine="0" w:firstLineChars="0"/>
                    <w:jc w:val="center"/>
                    <w:rPr>
                      <w:color w:val="auto"/>
                      <w:sz w:val="21"/>
                      <w:szCs w:val="21"/>
                      <w:highlight w:val="none"/>
                    </w:rPr>
                  </w:pPr>
                  <w:r>
                    <w:rPr>
                      <w:rFonts w:hint="eastAsia" w:ascii="宋体" w:hAnsi="宋体" w:cs="Segoe UI Symbol"/>
                      <w:color w:val="auto"/>
                      <w:kern w:val="0"/>
                      <w:sz w:val="21"/>
                      <w:szCs w:val="21"/>
                      <w:highlight w:val="none"/>
                      <w:lang w:val="en-US" w:eastAsia="zh-CN"/>
                    </w:rPr>
                    <w:t>14</w:t>
                  </w:r>
                  <w:r>
                    <w:rPr>
                      <w:rFonts w:hint="eastAsia" w:ascii="宋体" w:hAnsi="宋体" w:cs="Segoe UI Symbol"/>
                      <w:color w:val="auto"/>
                      <w:kern w:val="0"/>
                      <w:sz w:val="21"/>
                      <w:szCs w:val="21"/>
                      <w:highlight w:val="none"/>
                    </w:rPr>
                    <w:t>元</w:t>
                  </w:r>
                  <w:r>
                    <w:rPr>
                      <w:rFonts w:hint="eastAsia"/>
                      <w:color w:val="auto"/>
                      <w:sz w:val="21"/>
                      <w:szCs w:val="21"/>
                      <w:highlight w:val="none"/>
                    </w:rPr>
                    <w:t>*（1-综合下浮率）</w:t>
                  </w:r>
                </w:p>
              </w:tc>
            </w:tr>
            <w:tr w14:paraId="2F24E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3" w:type="pct"/>
                  <w:vAlign w:val="center"/>
                </w:tcPr>
                <w:p w14:paraId="49D6771A">
                  <w:pPr>
                    <w:widowControl w:val="0"/>
                    <w:wordWrap w:val="0"/>
                    <w:autoSpaceDE w:val="0"/>
                    <w:autoSpaceDN w:val="0"/>
                    <w:adjustRightInd w:val="0"/>
                    <w:snapToGrid w:val="0"/>
                    <w:ind w:firstLine="0" w:firstLineChars="0"/>
                    <w:jc w:val="center"/>
                    <w:rPr>
                      <w:color w:val="auto"/>
                      <w:sz w:val="21"/>
                      <w:szCs w:val="21"/>
                      <w:highlight w:val="none"/>
                    </w:rPr>
                  </w:pPr>
                  <w:r>
                    <w:rPr>
                      <w:rFonts w:hint="eastAsia" w:ascii="宋体" w:hAnsi="宋体" w:cs="Segoe UI Symbol"/>
                      <w:color w:val="auto"/>
                      <w:kern w:val="0"/>
                      <w:sz w:val="21"/>
                      <w:szCs w:val="21"/>
                      <w:highlight w:val="none"/>
                    </w:rPr>
                    <w:t>超过9</w:t>
                  </w:r>
                  <w:r>
                    <w:rPr>
                      <w:rFonts w:hint="eastAsia" w:ascii="宋体" w:hAnsi="宋体" w:cs="Segoe UI Symbol"/>
                      <w:color w:val="auto"/>
                      <w:kern w:val="0"/>
                      <w:sz w:val="21"/>
                      <w:szCs w:val="21"/>
                      <w:highlight w:val="none"/>
                      <w:lang w:val="en-US" w:eastAsia="zh-CN"/>
                    </w:rPr>
                    <w:t>0</w:t>
                  </w:r>
                  <w:r>
                    <w:rPr>
                      <w:rFonts w:hint="eastAsia" w:ascii="宋体" w:hAnsi="宋体" w:cs="Segoe UI Symbol"/>
                      <w:color w:val="auto"/>
                      <w:kern w:val="0"/>
                      <w:sz w:val="21"/>
                      <w:szCs w:val="21"/>
                      <w:highlight w:val="none"/>
                    </w:rPr>
                    <w:t>%的部分</w:t>
                  </w:r>
                </w:p>
              </w:tc>
              <w:tc>
                <w:tcPr>
                  <w:tcW w:w="2766" w:type="pct"/>
                  <w:vAlign w:val="center"/>
                </w:tcPr>
                <w:p w14:paraId="580F12C0">
                  <w:pPr>
                    <w:widowControl w:val="0"/>
                    <w:wordWrap w:val="0"/>
                    <w:autoSpaceDE w:val="0"/>
                    <w:autoSpaceDN w:val="0"/>
                    <w:adjustRightInd w:val="0"/>
                    <w:snapToGrid w:val="0"/>
                    <w:ind w:firstLine="0" w:firstLineChars="0"/>
                    <w:jc w:val="center"/>
                    <w:rPr>
                      <w:color w:val="auto"/>
                      <w:sz w:val="21"/>
                      <w:szCs w:val="21"/>
                      <w:highlight w:val="none"/>
                    </w:rPr>
                  </w:pPr>
                  <w:r>
                    <w:rPr>
                      <w:rFonts w:hint="eastAsia" w:ascii="宋体" w:hAnsi="宋体" w:cs="Segoe UI Symbol"/>
                      <w:color w:val="auto"/>
                      <w:kern w:val="0"/>
                      <w:sz w:val="21"/>
                      <w:szCs w:val="21"/>
                      <w:highlight w:val="none"/>
                    </w:rPr>
                    <w:t>按招标控制价综合单价全额计算</w:t>
                  </w:r>
                </w:p>
              </w:tc>
            </w:tr>
          </w:tbl>
          <w:p w14:paraId="76670E88">
            <w:pPr>
              <w:pStyle w:val="6"/>
              <w:ind w:left="0" w:leftChars="0" w:firstLine="0" w:firstLineChars="0"/>
              <w:rPr>
                <w:rFonts w:hint="eastAsia" w:ascii="宋体" w:hAnsi="宋体" w:cs="Times New Roman"/>
                <w:color w:val="auto"/>
                <w:kern w:val="0"/>
                <w:sz w:val="21"/>
                <w:szCs w:val="21"/>
                <w:highlight w:val="none"/>
                <w:lang w:val="en-US" w:eastAsia="zh-CN" w:bidi="ar-SA"/>
              </w:rPr>
            </w:pPr>
            <w:r>
              <w:rPr>
                <w:rFonts w:hint="eastAsia" w:ascii="宋体" w:hAnsi="宋体" w:cs="宋体"/>
                <w:snapToGrid w:val="0"/>
                <w:color w:val="auto"/>
                <w:kern w:val="0"/>
                <w:szCs w:val="21"/>
                <w:highlight w:val="none"/>
                <w:lang w:val="en-US" w:eastAsia="zh-CN"/>
              </w:rPr>
              <w:t>街道安检率&lt;安检率基准值的，按照9元综合单价进行结算进度款，项目仅在街道安检率≥安检率基准值时予以全额结算。同时，在街道安检率≥安检率基准值时全额结算采用阶梯计费结算</w:t>
            </w:r>
            <w:r>
              <w:rPr>
                <w:rFonts w:hint="eastAsia" w:ascii="宋体" w:hAnsi="宋体" w:cs="Times New Roman"/>
                <w:color w:val="auto"/>
                <w:kern w:val="0"/>
                <w:sz w:val="21"/>
                <w:szCs w:val="21"/>
                <w:highlight w:val="none"/>
                <w:lang w:val="en-US" w:eastAsia="zh-CN" w:bidi="ar-SA"/>
              </w:rPr>
              <w:t>。另外，安检率基准暂定为86%，各年度安检率基准值以甲方年初正式核定发布数值为准，达到安检率基准方可办理结算。</w:t>
            </w:r>
          </w:p>
          <w:p w14:paraId="6744027F">
            <w:pPr>
              <w:pStyle w:val="6"/>
              <w:ind w:left="0" w:leftChars="0" w:firstLine="0" w:firstLineChars="0"/>
              <w:rPr>
                <w:rFonts w:ascii="宋体" w:hAnsi="宋体" w:cs="Segoe UI Symbol"/>
                <w:color w:val="auto"/>
                <w:kern w:val="0"/>
                <w:szCs w:val="21"/>
                <w:highlight w:val="none"/>
              </w:rPr>
            </w:pPr>
            <w:r>
              <w:rPr>
                <w:rFonts w:hint="eastAsia" w:ascii="宋体" w:hAnsi="宋体" w:eastAsia="宋体" w:cs="Times New Roman"/>
                <w:color w:val="auto"/>
                <w:kern w:val="0"/>
                <w:sz w:val="21"/>
                <w:szCs w:val="21"/>
                <w:highlight w:val="none"/>
                <w:lang w:val="en-US" w:eastAsia="zh-CN" w:bidi="ar-SA"/>
              </w:rPr>
              <w:t>本招标控制价中各项（不限于）说明仅作为招标人编制招标控制价的依据，不作为投标人成本核算的参考或依据。投标人一旦应标报价（报下浮率），则表明投标人已综合考虑相关成本费用，市场价格波动及承包人使用机械设备、施工技术、组织管理水平等自身原因造成施工费用增加的，均由承包人全部承担。</w:t>
            </w:r>
          </w:p>
        </w:tc>
      </w:tr>
    </w:tbl>
    <w:p w14:paraId="00C84C57">
      <w:bookmarkStart w:id="0" w:name="_GoBack"/>
      <w:bookmarkEnd w:id="0"/>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Segoe UI Symbol">
    <w:panose1 w:val="020B0502040204020203"/>
    <w:charset w:val="00"/>
    <w:family w:val="swiss"/>
    <w:pitch w:val="default"/>
    <w:sig w:usb0="800001E3" w:usb1="1200FFEF" w:usb2="00040000" w:usb3="04000000" w:csb0="00000001" w:csb1="4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20"/>
      </w:pPr>
      <w:r>
        <w:separator/>
      </w:r>
    </w:p>
  </w:footnote>
  <w:footnote w:type="continuationSeparator" w:id="1">
    <w:p>
      <w:pPr>
        <w:spacing w:line="360" w:lineRule="auto"/>
        <w:ind w:firstLine="42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3D659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360" w:lineRule="auto"/>
      <w:ind w:firstLine="200" w:firstLineChars="20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table" w:styleId="4">
    <w:name w:val="Table Grid"/>
    <w:basedOn w:val="3"/>
    <w:qFormat/>
    <w:uiPriority w:val="0"/>
    <w:pPr>
      <w:ind w:left="840" w:hanging="420"/>
      <w:jc w:val="both"/>
    </w:pPr>
    <w:rPr>
      <w:rFonts w:ascii="Calibri" w:hAnsi="Calibri"/>
      <w:kern w:val="2"/>
      <w:sz w:val="21"/>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6">
    <w:name w:val="Default"/>
    <w:qFormat/>
    <w:uiPriority w:val="0"/>
    <w:pPr>
      <w:widowControl w:val="0"/>
      <w:autoSpaceDE w:val="0"/>
      <w:autoSpaceDN w:val="0"/>
      <w:adjustRightInd w:val="0"/>
      <w:spacing w:line="360" w:lineRule="auto"/>
      <w:ind w:firstLine="420"/>
      <w:jc w:val="both"/>
    </w:pPr>
    <w:rPr>
      <w:rFonts w:ascii="Times New Roman" w:hAnsi="Times New Roman" w:eastAsia="宋体" w:cs="Times New Roman"/>
      <w:color w:val="000000"/>
      <w:sz w:val="24"/>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2026-10-10T03:48:03Z</dcterms:created>
  <dc:creator>采购</dc:creator>
  <cp:lastModifiedBy>代理</cp:lastModifiedBy>
  <dcterms:modified xsi:type="dcterms:W3CDTF">2026-10-10T03:48:22Z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eyJoZGlkIjoiNzc3ODNmODZhOTU4ZjE1MWY5M2MxZmJhZGFlMzIyNzIiLCJ1c2VySWQiOiIyMTE2OTIyMDAifQ==</vt:lpwstr>
  </property>
  <property fmtid="{D5CDD505-2E9C-101B-9397-08002B2CF9AE}" pid="4" name="ICV">
    <vt:lpwstr>100C360B8F7547F6A8F69D885CD14B59_12</vt:lpwstr>
  </property>
</Properties>
</file>