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5762"/>
      </w:tblGrid>
      <w:tr w14:paraId="578A8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noWrap w:val="0"/>
            <w:vAlign w:val="center"/>
          </w:tcPr>
          <w:p w14:paraId="59383623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最高限价或其计算方法</w:t>
            </w:r>
          </w:p>
        </w:tc>
        <w:tc>
          <w:tcPr>
            <w:tcW w:w="5762" w:type="dxa"/>
            <w:tcBorders>
              <w:bottom w:val="single" w:color="auto" w:sz="2" w:space="0"/>
            </w:tcBorders>
            <w:noWrap w:val="0"/>
            <w:vAlign w:val="center"/>
          </w:tcPr>
          <w:p w14:paraId="63FD772B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 w:cs="Segoe UI Symbol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Segoe UI Symbol"/>
                <w:color w:val="auto"/>
                <w:kern w:val="0"/>
                <w:szCs w:val="21"/>
                <w:highlight w:val="none"/>
              </w:rPr>
              <w:t>设置最高限价：</w:t>
            </w:r>
          </w:p>
          <w:p w14:paraId="295A7425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hint="eastAsia" w:ascii="宋体" w:hAnsi="宋体" w:cs="Segoe UI Symbol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Segoe UI Symbol"/>
                <w:color w:val="auto"/>
                <w:kern w:val="0"/>
                <w:szCs w:val="21"/>
                <w:highlight w:val="none"/>
              </w:rPr>
              <w:t>最高限价说明或其计算方法：</w:t>
            </w:r>
          </w:p>
          <w:p w14:paraId="414919F5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firstLine="420"/>
              <w:jc w:val="left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本项目采用综合下浮率方式进行报价，综合下浮率应高于或等于1%，如：1.00%、1.50%、2.00%……小数点后可保留两位小数。（投标人应充分考虑不能下浮的因素，如安全文明措施费、专供材料费等，合理投报综合下浮率；招标人后续将按照中标人所报综合下浮率进行整体下浮结算）</w:t>
            </w:r>
          </w:p>
          <w:p w14:paraId="701F0370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firstLine="420"/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按照《深圳市深汕特别合作区深燃天然气有限公司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中低压燃气管道建设项目（一次发包工程造价100万以下项目）招标控制价》及以下标准执行：</w:t>
            </w:r>
          </w:p>
          <w:p w14:paraId="648D49F8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firstLine="420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1、深汕深燃公司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中低压燃气管道建设项目（一次发包工程造价100万以下项目）施工承包资格-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新建、改建或扩建的</w:t>
            </w:r>
            <w:r>
              <w:rPr>
                <w:rFonts w:hint="eastAsia" w:ascii="宋体" w:hAnsi="宋体" w:cs="Courier New"/>
                <w:szCs w:val="21"/>
                <w:highlight w:val="none"/>
                <w:lang w:val="en-US" w:eastAsia="zh-CN"/>
              </w:rPr>
              <w:t>运维项目、非居用户、土方配套、燃气美装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,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采用</w:t>
            </w:r>
            <w:r>
              <w:rPr>
                <w:rFonts w:hint="eastAsia" w:ascii="宋体" w:hAnsi="宋体" w:cs="Courier New"/>
                <w:szCs w:val="21"/>
                <w:highlight w:val="none"/>
                <w:lang w:val="en-US" w:eastAsia="zh-CN"/>
              </w:rPr>
              <w:t>全费用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综合单价法，按照深圳市深汕特别合作区深燃天然气有限公司编制的《深汕深燃公司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中低压燃气管道建设项目（一次发包工程造价100万以下项目）施工承包资格-</w:t>
            </w:r>
            <w:r>
              <w:rPr>
                <w:rFonts w:hint="eastAsia" w:ascii="宋体" w:hAnsi="宋体" w:cs="Courier New"/>
                <w:szCs w:val="21"/>
                <w:highlight w:val="none"/>
                <w:lang w:val="en-US" w:eastAsia="zh-CN"/>
              </w:rPr>
              <w:t>运维项目、非居用户燃气工程、土方配套工程、燃气美装部分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》采用综合下浮率进行报价。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  <w:t>备注：子项目结算金额=∑[工程量*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highlight w:val="none"/>
                <w:lang w:val="en-US" w:eastAsia="zh-CN"/>
              </w:rPr>
              <w:t>全费用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  <w:t>综合单价*（1-综合下浮率）]</w:t>
            </w:r>
          </w:p>
          <w:p w14:paraId="0CA43A88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360" w:lineRule="exact"/>
              <w:ind w:firstLine="420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2、深汕深燃公司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中低压燃气管道建设项目（一次发包工程造价100万以下项目）施工承包资格-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新建、改建或扩建的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中低压市政燃气管道项目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，采用综合单价法，按照深圳市深汕特别合作区深燃天然气有限公司编制的《深汕深燃公司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中低压燃气管道建设项目（一次发包工程造价100万以下项目）施工承包资格-中低压市政燃气管道项目》采用综合下浮率进行报价。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  <w:t>备注：子项目结算金额=∑[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  <w:t>工程量*综合单价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highlight w:val="none"/>
                <w:lang w:val="en-US" w:eastAsia="zh-CN"/>
              </w:rPr>
              <w:t>+措施费+规费+税金）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  <w:t>*（1-综合下浮率）]</w:t>
            </w:r>
          </w:p>
          <w:p w14:paraId="3CC81C19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360" w:lineRule="exact"/>
              <w:ind w:firstLine="420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、深汕深燃公司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中低压燃气管道建设项目（一次发包工程造价100万以下项目）施工承包资格-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新建、改建或扩建的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居民用户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项目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，采用</w:t>
            </w:r>
            <w:r>
              <w:rPr>
                <w:rFonts w:hint="eastAsia" w:ascii="宋体" w:hAnsi="宋体" w:cs="Courier New"/>
                <w:szCs w:val="21"/>
                <w:highlight w:val="none"/>
                <w:lang w:val="en-US" w:eastAsia="zh-CN"/>
              </w:rPr>
              <w:t>全费用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综合单价法，按照深圳市深汕特别合作区深燃天然气有限公司编制的《深汕深燃公司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中低压燃气管道建设项目（一次发包工程造价100万以下项目）施工承包资格-</w:t>
            </w:r>
            <w:r>
              <w:rPr>
                <w:rFonts w:hint="eastAsia" w:ascii="宋体" w:hAnsi="宋体" w:cs="Courier New"/>
                <w:szCs w:val="21"/>
                <w:highlight w:val="none"/>
                <w:lang w:val="en-US" w:eastAsia="zh-CN"/>
              </w:rPr>
              <w:t>居民用户燃气工程</w:t>
            </w: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》采用综合下浮率进行报价。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  <w:t>备注：子项目结算金额=∑[工程量*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highlight w:val="none"/>
                <w:lang w:val="en-US" w:eastAsia="zh-CN"/>
              </w:rPr>
              <w:t>全费用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</w:rPr>
              <w:t>综合单价*（1-综合下浮率）]</w:t>
            </w:r>
          </w:p>
          <w:p w14:paraId="2F4C6D0D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360" w:lineRule="exact"/>
              <w:ind w:firstLine="42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、本招标控制价中各项（不限于）说明仅作为招标人编制招标控制价的依据，不作为投标人成本核算的参考或依据。投标人一旦应标报价（报下浮率），则表明投标人已综合考虑相关成本费用，市场价格波动及承包人使用机械设备、施工技术、组织管理水平等自身原因造成施工费用增加的，均由承包人承担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，</w:t>
            </w:r>
            <w:r>
              <w:rPr>
                <w:rFonts w:hint="eastAsia" w:ascii="宋体" w:hAnsi="宋体" w:eastAsia="宋体" w:cs="Segoe UI Symbol"/>
                <w:kern w:val="0"/>
                <w:szCs w:val="21"/>
                <w:highlight w:val="none"/>
              </w:rPr>
              <w:t>按照中标人所报综合下浮率进行整体下浮结算。</w:t>
            </w:r>
          </w:p>
          <w:p w14:paraId="4A00ACC1">
            <w:pPr>
              <w:wordWrap w:val="0"/>
              <w:adjustRightInd w:val="0"/>
              <w:snapToGrid w:val="0"/>
              <w:spacing w:line="360" w:lineRule="exact"/>
              <w:ind w:firstLine="420"/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说明：</w:t>
            </w:r>
          </w:p>
          <w:p w14:paraId="4232CDDB">
            <w:pPr>
              <w:wordWrap w:val="0"/>
              <w:adjustRightInd w:val="0"/>
              <w:snapToGrid w:val="0"/>
              <w:spacing w:line="360" w:lineRule="exact"/>
              <w:ind w:firstLine="420"/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1.中低压市政燃气管道工程项目：本项目单价为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综合单价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，已包括人工费，材料费，机械费，管理费、利润及其他风险费用。安全文明施工措施费，规费，应纳税费按实记取。</w:t>
            </w:r>
          </w:p>
          <w:p w14:paraId="620440E7">
            <w:pPr>
              <w:wordWrap w:val="0"/>
              <w:adjustRightInd w:val="0"/>
              <w:snapToGrid w:val="0"/>
              <w:spacing w:line="360" w:lineRule="exact"/>
              <w:ind w:firstLine="420"/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2.非居用户燃气燃气管道工程项目：本项目单价为全费用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综合单价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，已包括人工费，材料费，机械费，管理费、利润、措施费、规范、税金及其他风险费用。</w:t>
            </w:r>
          </w:p>
          <w:p w14:paraId="0823534D">
            <w:pPr>
              <w:wordWrap w:val="0"/>
              <w:adjustRightInd w:val="0"/>
              <w:snapToGrid w:val="0"/>
              <w:spacing w:line="360" w:lineRule="exact"/>
              <w:ind w:firstLine="420"/>
              <w:jc w:val="left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3.深汕深燃公司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燃气管道建设项目（一次发包工程造价100万以下项目）施工承包资格-运维项目：本项目单价为全费用综合单价，已包括人工费，材料费，机械费，管理费、利润，安全文明施工费，规费，税金等一切费用。（其中标注主材甲供由乙方向甲方开领材料单，甲方提供。）</w:t>
            </w:r>
          </w:p>
          <w:p w14:paraId="251576E0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firstLine="420" w:firstLineChars="200"/>
              <w:rPr>
                <w:rFonts w:hint="default" w:ascii="宋体" w:hAnsi="宋体" w:eastAsia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其中，</w:t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居民到期流量表更换项目、居民用户安全检查项目</w:t>
            </w: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  <w:lang w:val="en-US" w:eastAsia="zh-CN"/>
              </w:rPr>
              <w:t>按完成率进行差异化结算，具体要求如下：</w:t>
            </w:r>
          </w:p>
          <w:p w14:paraId="7B8ACE5B">
            <w:pPr>
              <w:pStyle w:val="4"/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、居民到期流量表更换项目，以小区为单位计算换表率，其中：（1）前80%的部分，按照60元*（1-综合下浮率）综合单价进行结算；（2）80%至90%区间的部分，按照65元*（1-综合下浮率）综合单价进行结算；（3）超过90%的部分，按招标控制价综合单价全额进行结算；（4）小区换表率&lt;90%的，按照40元综合单价进行结算进度款。项目仅在小区换表率≥90%时予以全额结算。因客观原因不具备换表条件、用户明确拒绝换表等无法实施换表的情形，乙方须完整留存过程佐证材料、做好专项台账记录，结算时一并报送甲方审核确认，经甲方核定后对对应换表基数予以核减，核减后换表率仍需满足≥90%方可办理结算。</w:t>
            </w:r>
          </w:p>
          <w:p w14:paraId="181538F8">
            <w:pPr>
              <w:pStyle w:val="4"/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2、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居民用户安全检查项目，按小区为单位差异化结算，其中：（1）成功率在前80%的部分，按照13元*（1-综合下浮率）综合单价进行结算；（2）成功率在80%至安检率基准值区间的部分，按照14元*（1-综合下浮率）综合单价进行结算；（3）超过安检基准值的部分，按招标控制价综合单价全额进行结算。（4）安检率基准暂定为86%，各年度安检率基准值以甲方年初正式核定发布数值为准。（5）小区安检率&lt;安检率基准值的，按照9元综合单价进行结算进度款。项目仅在小区安检率≥安检率基准值时予以全额结算。</w:t>
            </w:r>
          </w:p>
          <w:p w14:paraId="61322741">
            <w:pPr>
              <w:wordWrap w:val="0"/>
              <w:adjustRightInd w:val="0"/>
              <w:snapToGrid w:val="0"/>
              <w:spacing w:line="360" w:lineRule="exact"/>
              <w:ind w:firstLine="420"/>
              <w:jc w:val="left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.深汕深燃公司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中低压燃气管道建设项目（一次发包工程造价100万以下项目）施工承包资格-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燃气美装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：本项目单价为全费用综合单价，已包括人工费，材料费，机械费，管理费、利润，安全文明施工费，规费，税金等一切费用。（其中标注主材甲供由乙方向甲方开领材料单，甲方提供。）</w:t>
            </w:r>
          </w:p>
          <w:p w14:paraId="4FB1FB59">
            <w:pPr>
              <w:widowControl w:val="0"/>
              <w:autoSpaceDE w:val="0"/>
              <w:autoSpaceDN w:val="0"/>
              <w:adjustRightInd w:val="0"/>
              <w:snapToGrid w:val="0"/>
              <w:ind w:firstLine="420" w:firstLineChars="200"/>
              <w:rPr>
                <w:rFonts w:hint="eastAsia" w:ascii="宋体" w:hAnsi="宋体" w:cs="Segoe UI Symbol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.深汕深燃公司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2026-2028年度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中低压燃气管道建设项目（一次发包工程造价100万以下项目）施工承包资格-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土方配套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：本项目单价为全费用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综合单价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，已包括人工费，材料费，机械费，管理费、利润、措施费、规范、税金及其他风险费用。</w:t>
            </w:r>
          </w:p>
        </w:tc>
      </w:tr>
    </w:tbl>
    <w:p w14:paraId="1334A4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4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  <w:ind w:firstLine="42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2026-10-13T01:39:39Z</dcterms:created>
  <dc:creator>采购</dc:creator>
  <cp:lastModifiedBy>代理</cp:lastModifiedBy>
  <dcterms:modified xsi:type="dcterms:W3CDTF">2026-10-13T01:39:47Z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eyJoZGlkIjoiNzc3ODNmODZhOTU4ZjE1MWY5M2MxZmJhZGFlMzIyNzIiLCJ1c2VySWQiOiIyMTE2OTIyMDAifQ==</vt:lpwstr>
  </property>
  <property fmtid="{D5CDD505-2E9C-101B-9397-08002B2CF9AE}" pid="4" name="ICV">
    <vt:lpwstr>33C8CC0938B34E71BC87BCF184A33676_12</vt:lpwstr>
  </property>
</Properties>
</file>