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7"/>
        <w:spacing w:before="120" w:after="120"/>
        <w:rPr>
          <w:rStyle w:val="8"/>
          <w:b w:val="0"/>
          <w:bCs w:val="0"/>
        </w:rPr>
      </w:pPr>
      <w:r>
        <w:rPr>
          <w:rStyle w:val="8"/>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项目名称；“双宜小村”视频门禁二期后端建设项目第三方测评服务</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kern w:val="0"/>
          <w:szCs w:val="21"/>
        </w:rPr>
        <w:t>314</w:t>
      </w:r>
      <w:r>
        <w:rPr>
          <w:rFonts w:hint="eastAsia" w:cs="宋体" w:asciiTheme="minorEastAsia" w:hAnsiTheme="minorEastAsia"/>
          <w:kern w:val="0"/>
          <w:szCs w:val="21"/>
        </w:rPr>
        <w:t>,</w:t>
      </w:r>
      <w:r>
        <w:rPr>
          <w:rFonts w:cs="宋体" w:asciiTheme="minorEastAsia" w:hAnsiTheme="minorEastAsia"/>
          <w:kern w:val="0"/>
          <w:szCs w:val="21"/>
        </w:rPr>
        <w:t>000</w:t>
      </w:r>
      <w:r>
        <w:rPr>
          <w:rFonts w:hint="eastAsia" w:cs="宋体" w:asciiTheme="minorEastAsia" w:hAnsi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AB0D08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项目背景；</w:t>
      </w:r>
      <w:r>
        <w:rPr>
          <w:rFonts w:hint="eastAsia" w:asciiTheme="minorEastAsia" w:hAnsiTheme="minorEastAsia" w:eastAsiaTheme="minorEastAsia"/>
          <w:szCs w:val="21"/>
        </w:rPr>
        <w:t xml:space="preserve"> </w:t>
      </w:r>
    </w:p>
    <w:p w14:paraId="13E11B21">
      <w:pPr>
        <w:pStyle w:val="4"/>
        <w:spacing w:line="360" w:lineRule="auto"/>
        <w:ind w:firstLine="424" w:firstLineChars="202"/>
        <w:rPr>
          <w:b/>
          <w:szCs w:val="21"/>
        </w:rPr>
      </w:pPr>
      <w:r>
        <w:rPr>
          <w:rFonts w:hint="eastAsia"/>
          <w:szCs w:val="21"/>
        </w:rPr>
        <w:t>按照市局有关标准，以各警种实际需求为导向，注重实效的原则，从系统的安全性、稳定性、易用性、兼容性和可扩展性方面进行全方位的提升，构造高质高效、规范严谨、安全稳定的“双宜小村”视频门禁后端二期建设项目。本期工程在已建设的智慧宝安视频门禁综合管理平台一期项目基础上进行接入性能扩容、可靠性提升、数据安全性保障等多项措施，主要包含智慧宝安视频门禁综合管理平台二期扩容、智慧宝安视频门禁数据汇聚子系统、平安宝安智慧门禁实战应用子系统二期扩容、视综节点流媒体扩容及视频资源汇聚子系统二期、宝安二类图像数据预处理子系统、存储资源池扩容、视频门禁数据汇聚应用管理子系统、网络扩容、视频门禁涉车汇聚应用管理子系统扩容、机房、国密改造等内容，实现城中村出租屋视频门禁系统安全稳定运行，社会面信息采集能力明显提高，打造立体全方位的警民协作出租的安全管理体系。通过汇聚各分局视频门禁综合管理平台中视频门禁数据，基于大数据底座进行展示数据，通过多维度的数据统计，直观了解全市的视频门禁建设情况。</w:t>
      </w:r>
    </w:p>
    <w:p w14:paraId="3DDA8CF7">
      <w:pPr>
        <w:pStyle w:val="4"/>
        <w:spacing w:line="360" w:lineRule="auto"/>
        <w:ind w:firstLine="424" w:firstLineChars="202"/>
        <w:rPr>
          <w:b/>
          <w:szCs w:val="21"/>
        </w:rPr>
      </w:pPr>
      <w:r>
        <w:rPr>
          <w:rFonts w:hint="eastAsia"/>
          <w:szCs w:val="21"/>
        </w:rPr>
        <w:t>“双宜小村”视频门禁二期后端建设项目第三方测评服务主要是为“双宜小村”视频门禁二期后端建设项目提供检测服务，“双宜小村”视频门禁二期后端建设项目合同信息如下：</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2146"/>
        <w:gridCol w:w="2410"/>
      </w:tblGrid>
      <w:tr w14:paraId="6E5C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98" w:type="dxa"/>
            <w:noWrap/>
            <w:vAlign w:val="center"/>
          </w:tcPr>
          <w:p w14:paraId="045EC09E">
            <w:pPr>
              <w:widowControl/>
              <w:spacing w:after="60" w:line="360" w:lineRule="auto"/>
              <w:jc w:val="center"/>
              <w:rPr>
                <w:rFonts w:hint="eastAsia" w:ascii="宋体" w:hAnsi="宋体"/>
                <w:b/>
                <w:bCs/>
                <w:kern w:val="0"/>
                <w:szCs w:val="21"/>
              </w:rPr>
            </w:pPr>
            <w:r>
              <w:rPr>
                <w:rFonts w:hint="eastAsia" w:ascii="宋体" w:hAnsi="宋体"/>
                <w:b/>
                <w:bCs/>
                <w:kern w:val="0"/>
                <w:szCs w:val="21"/>
              </w:rPr>
              <w:t>合同名称</w:t>
            </w:r>
          </w:p>
        </w:tc>
        <w:tc>
          <w:tcPr>
            <w:tcW w:w="2146" w:type="dxa"/>
            <w:noWrap/>
            <w:vAlign w:val="center"/>
          </w:tcPr>
          <w:p w14:paraId="42101B8E">
            <w:pPr>
              <w:widowControl/>
              <w:spacing w:after="60" w:line="360" w:lineRule="auto"/>
              <w:jc w:val="center"/>
              <w:rPr>
                <w:rFonts w:hint="eastAsia" w:ascii="宋体" w:hAnsi="宋体"/>
                <w:b/>
                <w:bCs/>
                <w:kern w:val="0"/>
                <w:szCs w:val="21"/>
              </w:rPr>
            </w:pPr>
            <w:r>
              <w:rPr>
                <w:rFonts w:hint="eastAsia" w:ascii="宋体" w:hAnsi="宋体"/>
                <w:b/>
                <w:bCs/>
                <w:kern w:val="0"/>
                <w:szCs w:val="21"/>
              </w:rPr>
              <w:t>实施单位名称</w:t>
            </w:r>
          </w:p>
        </w:tc>
        <w:tc>
          <w:tcPr>
            <w:tcW w:w="2410" w:type="dxa"/>
            <w:noWrap/>
            <w:vAlign w:val="center"/>
          </w:tcPr>
          <w:p w14:paraId="7EFDEC3A">
            <w:pPr>
              <w:widowControl/>
              <w:spacing w:after="60" w:line="360" w:lineRule="auto"/>
              <w:jc w:val="center"/>
              <w:rPr>
                <w:rFonts w:hint="eastAsia" w:ascii="宋体" w:hAnsi="宋体"/>
                <w:b/>
                <w:bCs/>
                <w:kern w:val="0"/>
                <w:szCs w:val="21"/>
              </w:rPr>
            </w:pPr>
            <w:r>
              <w:rPr>
                <w:rFonts w:hint="eastAsia" w:ascii="宋体" w:hAnsi="宋体"/>
                <w:b/>
                <w:bCs/>
                <w:kern w:val="0"/>
                <w:szCs w:val="21"/>
              </w:rPr>
              <w:t>合同金额（元）</w:t>
            </w:r>
          </w:p>
        </w:tc>
      </w:tr>
      <w:tr w14:paraId="209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98" w:type="dxa"/>
            <w:noWrap/>
            <w:vAlign w:val="center"/>
          </w:tcPr>
          <w:p w14:paraId="68A2A1BA">
            <w:pPr>
              <w:widowControl/>
              <w:spacing w:after="60" w:line="360" w:lineRule="auto"/>
              <w:jc w:val="center"/>
              <w:rPr>
                <w:rFonts w:hint="eastAsia" w:ascii="宋体" w:hAnsi="宋体"/>
                <w:kern w:val="0"/>
                <w:szCs w:val="21"/>
              </w:rPr>
            </w:pPr>
            <w:r>
              <w:rPr>
                <w:rFonts w:hint="eastAsia" w:ascii="宋体" w:hAnsi="宋体"/>
                <w:kern w:val="0"/>
                <w:szCs w:val="21"/>
              </w:rPr>
              <w:t>深圳市公安局宝安分局“双宜小村”视频门禁二期后端建设项目合同</w:t>
            </w:r>
          </w:p>
        </w:tc>
        <w:tc>
          <w:tcPr>
            <w:tcW w:w="2146" w:type="dxa"/>
            <w:vAlign w:val="center"/>
          </w:tcPr>
          <w:p w14:paraId="42234A31">
            <w:pPr>
              <w:widowControl/>
              <w:spacing w:after="60" w:line="360" w:lineRule="auto"/>
              <w:jc w:val="center"/>
              <w:rPr>
                <w:rFonts w:hint="eastAsia" w:ascii="宋体" w:hAnsi="宋体"/>
                <w:kern w:val="0"/>
                <w:szCs w:val="21"/>
              </w:rPr>
            </w:pPr>
            <w:r>
              <w:rPr>
                <w:rFonts w:hint="eastAsia" w:ascii="宋体" w:hAnsi="宋体"/>
                <w:kern w:val="0"/>
                <w:szCs w:val="21"/>
              </w:rPr>
              <w:t>中国电信股份有限公司深圳分公司</w:t>
            </w:r>
          </w:p>
        </w:tc>
        <w:tc>
          <w:tcPr>
            <w:tcW w:w="2410" w:type="dxa"/>
            <w:noWrap/>
            <w:vAlign w:val="center"/>
          </w:tcPr>
          <w:p w14:paraId="5EE209AC">
            <w:pPr>
              <w:widowControl/>
              <w:spacing w:after="60" w:line="360" w:lineRule="auto"/>
              <w:jc w:val="center"/>
              <w:rPr>
                <w:rFonts w:hint="eastAsia" w:ascii="宋体" w:hAnsi="宋体"/>
                <w:kern w:val="0"/>
                <w:szCs w:val="21"/>
              </w:rPr>
            </w:pPr>
            <w:r>
              <w:rPr>
                <w:rFonts w:hint="eastAsia" w:ascii="宋体" w:hAnsi="宋体"/>
                <w:kern w:val="0"/>
                <w:szCs w:val="21"/>
              </w:rPr>
              <w:t>61,855,730.00</w:t>
            </w:r>
          </w:p>
        </w:tc>
      </w:tr>
    </w:tbl>
    <w:p w14:paraId="450C7518">
      <w:pPr>
        <w:numPr>
          <w:ilvl w:val="0"/>
          <w:numId w:val="2"/>
        </w:numPr>
        <w:spacing w:afterLines="0" w:line="360" w:lineRule="auto"/>
        <w:ind w:firstLine="422" w:firstLineChars="200"/>
        <w:jc w:val="left"/>
        <w:rPr>
          <w:rFonts w:hint="eastAsia" w:asciiTheme="minorEastAsia" w:hAnsiTheme="minorEastAsia" w:eastAsiaTheme="minorEastAsia"/>
          <w:b/>
          <w:bCs/>
          <w:sz w:val="18"/>
          <w:szCs w:val="21"/>
        </w:rPr>
      </w:pPr>
      <w:r>
        <w:rPr>
          <w:rFonts w:hint="eastAsia" w:asciiTheme="minorEastAsia" w:hAnsiTheme="minorEastAsia" w:eastAsiaTheme="minorEastAsia" w:cstheme="minorEastAsia"/>
          <w:b/>
          <w:bCs/>
          <w:szCs w:val="21"/>
        </w:rPr>
        <w:t>★</w:t>
      </w:r>
      <w:r>
        <w:rPr>
          <w:rFonts w:hint="eastAsia" w:asciiTheme="minorEastAsia" w:hAnsiTheme="minorEastAsia" w:eastAsiaTheme="minorEastAsia"/>
          <w:b/>
          <w:szCs w:val="21"/>
        </w:rPr>
        <w:t>服务期限；</w:t>
      </w:r>
      <w:r>
        <w:rPr>
          <w:rFonts w:hint="eastAsia" w:asciiTheme="minorEastAsia" w:hAnsiTheme="minorEastAsia" w:eastAsiaTheme="minorEastAsia" w:cstheme="minorEastAsia"/>
          <w:szCs w:val="21"/>
        </w:rPr>
        <w:t>检测时间不超过60个日历日（不含需要整改的情况）。</w:t>
      </w:r>
    </w:p>
    <w:p w14:paraId="51B4A447">
      <w:pPr>
        <w:numPr>
          <w:ilvl w:val="0"/>
          <w:numId w:val="2"/>
        </w:numPr>
        <w:spacing w:afterLines="0" w:line="360" w:lineRule="auto"/>
        <w:ind w:firstLine="422" w:firstLineChars="200"/>
        <w:jc w:val="left"/>
        <w:rPr>
          <w:rStyle w:val="9"/>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57BF00A5">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（1）工作内容</w:t>
      </w:r>
    </w:p>
    <w:p w14:paraId="55889115">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由中标检测机构按照“双宜小村”视频门禁二期后端建设项目第三方测评服务项目的需求，遵循相应的国家标准、行业标准、地方标准和甲方提供的工程设计文件的要求对本项目进行系统检测，并出具相应检验报告。</w:t>
      </w:r>
    </w:p>
    <w:p w14:paraId="7332B5FB">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（2）服务方式</w:t>
      </w:r>
    </w:p>
    <w:p w14:paraId="7B7C58D7">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按相应的国家标准的要求进行现场检测。</w:t>
      </w:r>
    </w:p>
    <w:p w14:paraId="6C691748">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（3）服务依据及标准</w:t>
      </w:r>
    </w:p>
    <w:p w14:paraId="16AF03A5">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实施检测遵照现行国家、地区的有关法律、法规、规定为依据，确保在工程检测中遵循国家的有关法律法规，确保遵循国家信息化系统建设的有关标准和规范，并依照工程检测方案进行工程检测。</w:t>
      </w:r>
    </w:p>
    <w:p w14:paraId="532B865D">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1.《系统与软件工程 系统与软件质量要求和评价(SQuaRE) 第51部分:就绪可用软件产品(RUSP)的质量要求和测试细则》（GB/T25000.51-2016）</w:t>
      </w:r>
    </w:p>
    <w:p w14:paraId="47CE8B2E">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2.《计算机软件测试规范》（GB/T 15532-2008）</w:t>
      </w:r>
    </w:p>
    <w:p w14:paraId="59BE450B">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3.《计算机软件测试文档编制规范》（GB/T 9386-2008）</w:t>
      </w:r>
    </w:p>
    <w:p w14:paraId="736B8EF6">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4.《信息安全技术 信息安全风险评估方法》（GB/T 20984-2022）</w:t>
      </w:r>
    </w:p>
    <w:p w14:paraId="005856A7">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5.《信息安全技术 代码安全审计规范》（GB/T 39412-2020）</w:t>
      </w:r>
    </w:p>
    <w:p w14:paraId="5800EBB4">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6.《深圳市政务信息化项目检测与验收管理办法》（深政数[2022]136号）</w:t>
      </w:r>
    </w:p>
    <w:p w14:paraId="365F4A95">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7.《安全防范工程技术规范》（GB 50348-2018）</w:t>
      </w:r>
    </w:p>
    <w:p w14:paraId="00BD1777">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8.《数据中心基础设施施工及验收标准》（GB 50462-2024）</w:t>
      </w:r>
    </w:p>
    <w:p w14:paraId="4F5ED7E4">
      <w:pPr>
        <w:pStyle w:val="2"/>
        <w:ind w:firstLine="422" w:firstLineChars="200"/>
        <w:rPr>
          <w:b/>
          <w:bCs w:val="0"/>
        </w:rPr>
      </w:pPr>
      <w:r>
        <w:rPr>
          <w:rFonts w:hint="eastAsia"/>
          <w:b/>
          <w:bCs w:val="0"/>
        </w:rPr>
        <w:t>注：上述8项检测依据仅供参考，最终以行业最新检测标准、依据和实际需求为准。</w:t>
      </w:r>
    </w:p>
    <w:p w14:paraId="7139E1D5">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（4）技术服务要求</w:t>
      </w:r>
    </w:p>
    <w:p w14:paraId="54998BA9">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 xml:space="preserve">本项目服务内容主要是按照《深圳市政务信息化项目检测与验收管理办法》相关要求，为“双宜小村”视频门禁二期后端建设项目开展系统检测，并出具系统检测报告，具体要求如下：  </w:t>
      </w:r>
    </w:p>
    <w:p w14:paraId="218FAB56">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（一）测评总体要求</w:t>
      </w:r>
    </w:p>
    <w:p w14:paraId="1FACCD06">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1.中标人应遵循“面向应用、保证质量、客观公正、诚信守诺”的原则开展软件测评工作。</w:t>
      </w:r>
    </w:p>
    <w:p w14:paraId="43421D4C">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2.中标人应优先依据相关国家标准、行业标准开展测评工作。本测评要求所使用的标准和规范如与中标人所执行的标准不一致时，按照发布的相关标准规范为准。</w:t>
      </w:r>
    </w:p>
    <w:p w14:paraId="5A6AB656">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3.本测试要求中标人提供的是最低限度的要求，中标人应保证提供符合本测评要求和有关标准的优质服务，并确保测评报告符合项目最终验收的所有要求。</w:t>
      </w:r>
    </w:p>
    <w:p w14:paraId="4AE1F74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4.对测评服务过程中接触到的各种信息，不得泄漏给任何单位和个人，未经允许不得利用这些信息从事与服务无关的活动。</w:t>
      </w:r>
    </w:p>
    <w:p w14:paraId="59D755AC">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（5）管理要求</w:t>
      </w:r>
    </w:p>
    <w:p w14:paraId="34FE984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1.团队设置要求</w:t>
      </w:r>
    </w:p>
    <w:p w14:paraId="2623B74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 xml:space="preserve"> 在签订检测合同一个星期内中标人必须成立不少于3人的检测项目组，并在具备检测条件后至少派2名检测工程师进入建设单位现场，检测项目组在完成检测合同规定的检测服务工作后方可撤销。</w:t>
      </w:r>
    </w:p>
    <w:p w14:paraId="4339F096">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2.保密内容及要求</w:t>
      </w:r>
    </w:p>
    <w:p w14:paraId="20CF7845">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中标人中标后必须提供《保密承诺函（格式自拟）》，并对接触到采购人的所有资料保密，未经采购人书面许可，不得向外透露。否则采购人可单方面解除合同，同时中标人要需承担相应法律责任；中标后参与项目检测的人员必须与采购人签定安全保密协议书。</w:t>
      </w:r>
    </w:p>
    <w:p w14:paraId="5245B75F">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3.其他要求</w:t>
      </w:r>
    </w:p>
    <w:p w14:paraId="57989C37">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中标人应协助建设单位完成项目验收工作。</w:t>
      </w:r>
    </w:p>
    <w:p w14:paraId="14ADC89E">
      <w:pPr>
        <w:spacing w:after="60" w:line="360" w:lineRule="auto"/>
        <w:ind w:firstLine="422" w:firstLineChars="200"/>
        <w:outlineLvl w:val="2"/>
        <w:rPr>
          <w:rFonts w:hint="eastAsia" w:asciiTheme="minorEastAsia" w:hAnsiTheme="minorEastAsia"/>
          <w:b/>
          <w:bCs/>
          <w:szCs w:val="21"/>
        </w:rPr>
      </w:pPr>
      <w:r>
        <w:rPr>
          <w:rFonts w:hint="eastAsia" w:asciiTheme="minorEastAsia" w:hAnsiTheme="minorEastAsia"/>
          <w:b/>
          <w:bCs/>
          <w:szCs w:val="21"/>
        </w:rPr>
        <w:t>（6）测评范围</w:t>
      </w:r>
    </w:p>
    <w:p w14:paraId="69F618AF">
      <w:pPr>
        <w:spacing w:after="60" w:afterLines="0" w:line="360" w:lineRule="auto"/>
        <w:ind w:firstLine="630" w:firstLineChars="300"/>
        <w:outlineLvl w:val="2"/>
        <w:rPr>
          <w:rFonts w:hint="eastAsia" w:asciiTheme="minorEastAsia" w:hAnsiTheme="minorEastAsia" w:eastAsiaTheme="minorEastAsia"/>
          <w:szCs w:val="21"/>
        </w:rPr>
      </w:pPr>
      <w:r>
        <w:rPr>
          <w:rFonts w:hint="eastAsia" w:asciiTheme="minorEastAsia" w:hAnsiTheme="minorEastAsia" w:eastAsiaTheme="minorEastAsia"/>
          <w:szCs w:val="21"/>
        </w:rPr>
        <w:t>1．设备查验：对项目中外购的信息化类基础设施类软硬件产品进行到货文档查验、设备到货环境查验（设备数量、品牌、型号及设备运行状况查验）、集成功能查验、软件许可及一致性查验。验证设备完整到货且可用，到货设备是否满足建设需求及建设合同的要求及约定；</w:t>
      </w:r>
    </w:p>
    <w:p w14:paraId="211DCFC3">
      <w:pPr>
        <w:spacing w:after="60" w:afterLines="0" w:line="360" w:lineRule="auto"/>
        <w:ind w:firstLine="630" w:firstLineChars="300"/>
        <w:outlineLvl w:val="2"/>
        <w:rPr>
          <w:rFonts w:hint="eastAsia" w:asciiTheme="minorEastAsia" w:hAnsiTheme="minorEastAsia" w:eastAsiaTheme="minorEastAsia"/>
          <w:szCs w:val="21"/>
        </w:rPr>
      </w:pPr>
      <w:r>
        <w:rPr>
          <w:rFonts w:hint="eastAsia" w:asciiTheme="minorEastAsia" w:hAnsiTheme="minorEastAsia" w:eastAsiaTheme="minorEastAsia"/>
          <w:szCs w:val="21"/>
        </w:rPr>
        <w:t>2．安全专项检测：对项目中即将上线的应用系统及其运行环境进行应用系统安全测评、操作系统安全测评、数据库系统安全测评及中间件系统安全测评。验证上线的应用系统及其运行环境是否存在中、高危漏洞及安全风险；</w:t>
      </w:r>
    </w:p>
    <w:p w14:paraId="0FB82BAF">
      <w:pPr>
        <w:spacing w:after="60" w:afterLines="0" w:line="360" w:lineRule="auto"/>
        <w:ind w:firstLine="630" w:firstLineChars="300"/>
        <w:outlineLvl w:val="2"/>
        <w:rPr>
          <w:rFonts w:hint="eastAsia" w:asciiTheme="minorEastAsia" w:hAnsiTheme="minorEastAsia" w:eastAsiaTheme="minorEastAsia"/>
          <w:szCs w:val="21"/>
        </w:rPr>
      </w:pPr>
      <w:r>
        <w:rPr>
          <w:rFonts w:hint="eastAsia" w:asciiTheme="minorEastAsia" w:hAnsiTheme="minorEastAsia" w:eastAsiaTheme="minorEastAsia"/>
          <w:szCs w:val="21"/>
        </w:rPr>
        <w:t>3．系统检测：对项目中的应用系统进行文档性（用户文档集）检测、功能性检测、性能效率检测。验证应用系统在文档一致方面，功能实现方面，性能支撑方面是否满足建设需求及建设合同的约定；</w:t>
      </w:r>
    </w:p>
    <w:p w14:paraId="277082C3">
      <w:pPr>
        <w:spacing w:after="60" w:afterLines="0" w:line="360" w:lineRule="auto"/>
        <w:ind w:firstLine="630" w:firstLineChars="300"/>
        <w:outlineLvl w:val="2"/>
        <w:rPr>
          <w:rFonts w:hint="eastAsia" w:asciiTheme="minorEastAsia" w:hAnsiTheme="minorEastAsia" w:eastAsiaTheme="minorEastAsia"/>
          <w:szCs w:val="21"/>
        </w:rPr>
      </w:pPr>
      <w:r>
        <w:rPr>
          <w:rFonts w:hint="eastAsia" w:asciiTheme="minorEastAsia" w:hAnsiTheme="minorEastAsia" w:eastAsiaTheme="minorEastAsia"/>
          <w:szCs w:val="21"/>
        </w:rPr>
        <w:t>4．源代码安全审查：按照相关检测标准及规范对项目中的软件系统源代码进行安全审查，包含安全功能审查、代码实现安全审查、资源使用安全审查、环境使用安全审查，验证源代码的高危漏洞是否被有效屏蔽。</w:t>
      </w:r>
    </w:p>
    <w:p w14:paraId="2255306F">
      <w:pPr>
        <w:spacing w:after="60" w:afterLines="0" w:line="360" w:lineRule="auto"/>
        <w:ind w:firstLine="422" w:firstLineChars="200"/>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（7）测评成果要求</w:t>
      </w:r>
    </w:p>
    <w:p w14:paraId="392FD1A4">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按照采购人提交的材料及系统，完成对应项目的第三方检测工作，依据检测阶段出具阶段性检测说明及最终出具相应的检测报告。</w:t>
      </w:r>
    </w:p>
    <w:p w14:paraId="308A3011">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cstheme="minorEastAsia"/>
          <w:b/>
          <w:bCs/>
          <w:szCs w:val="21"/>
        </w:rPr>
        <w:t>★验收要求</w:t>
      </w:r>
      <w:r>
        <w:rPr>
          <w:rFonts w:hint="eastAsia" w:asciiTheme="minorEastAsia" w:hAnsiTheme="minorEastAsia" w:eastAsiaTheme="minorEastAsia"/>
          <w:b/>
          <w:szCs w:val="21"/>
        </w:rPr>
        <w:t>；</w:t>
      </w:r>
      <w:r>
        <w:rPr>
          <w:rFonts w:hint="eastAsia" w:asciiTheme="minorEastAsia" w:hAnsiTheme="minorEastAsia" w:eastAsiaTheme="minorEastAsia" w:cstheme="minorEastAsia"/>
          <w:szCs w:val="21"/>
        </w:rPr>
        <w:t>项目检测完毕且整改确认后10个工作日内提交规范、专业、准确且符合本合同要求的检测报告。</w:t>
      </w:r>
    </w:p>
    <w:p w14:paraId="5A0E7D3E">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cstheme="minorEastAsia"/>
          <w:b/>
          <w:bCs/>
          <w:szCs w:val="21"/>
        </w:rPr>
        <w:t>★付款方式</w:t>
      </w:r>
      <w:r>
        <w:rPr>
          <w:rFonts w:hint="eastAsia" w:asciiTheme="minorEastAsia" w:hAnsiTheme="minorEastAsia" w:eastAsiaTheme="minorEastAsia"/>
          <w:b/>
          <w:szCs w:val="21"/>
        </w:rPr>
        <w:t>；</w:t>
      </w:r>
      <w:r>
        <w:rPr>
          <w:rFonts w:hint="eastAsia" w:asciiTheme="minorEastAsia" w:hAnsiTheme="minorEastAsia" w:eastAsiaTheme="minorEastAsia" w:cstheme="minorEastAsia"/>
          <w:szCs w:val="21"/>
        </w:rPr>
        <w:t>一次性付款：出具检测报告后30个工作日内一次性支付100%款项。</w:t>
      </w:r>
    </w:p>
    <w:p w14:paraId="7C63C400">
      <w:pPr>
        <w:numPr>
          <w:ilvl w:val="0"/>
          <w:numId w:val="2"/>
        </w:numPr>
        <w:spacing w:afterLines="0" w:line="360" w:lineRule="auto"/>
        <w:ind w:firstLine="422" w:firstLineChars="200"/>
        <w:jc w:val="left"/>
        <w:rPr>
          <w:rFonts w:hint="eastAsia" w:ascii="宋体" w:hAnsi="宋体"/>
          <w:szCs w:val="21"/>
        </w:rPr>
      </w:pPr>
      <w:r>
        <w:rPr>
          <w:rFonts w:hint="eastAsia" w:asciiTheme="minorEastAsia" w:hAnsiTheme="minorEastAsia" w:eastAsiaTheme="minorEastAsia" w:cstheme="minorEastAsia"/>
          <w:b/>
          <w:bCs/>
          <w:szCs w:val="21"/>
        </w:rPr>
        <w:t>★其它商务要求</w:t>
      </w:r>
      <w:r>
        <w:rPr>
          <w:rFonts w:hint="eastAsia" w:asciiTheme="minorEastAsia" w:hAnsiTheme="minorEastAsia" w:eastAsiaTheme="minorEastAsia"/>
          <w:b/>
          <w:szCs w:val="21"/>
        </w:rPr>
        <w:t>；</w:t>
      </w:r>
    </w:p>
    <w:p w14:paraId="7D78BF32">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（1）合同的变更</w:t>
      </w:r>
    </w:p>
    <w:p w14:paraId="1C4BEAF6">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1）在合同履行过程中，采购人、中标人双方可就合同履行的时间、地点和方式等协商进行变更。协商一致后，双方应签订书面的补充协议。</w:t>
      </w:r>
    </w:p>
    <w:p w14:paraId="27819458">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2）在不改变合同其他条款的前提下，采购人有权在合同价款改变正负百分之十的范围内追加与合同标的相同的货物或服务，并就此与中标人签订补充合同，中标人不得拒绝。</w:t>
      </w:r>
    </w:p>
    <w:p w14:paraId="3124B78E">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3）除了双方签署书面协议，并成为合同不可分割的一部分之外，合同条件不得有任何变更。</w:t>
      </w:r>
    </w:p>
    <w:p w14:paraId="68A29647">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（2）合同转让和分包</w:t>
      </w:r>
    </w:p>
    <w:p w14:paraId="406C1DE0">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1）中标人不得以任何形式部分或全部转让其应履行的合同义务。</w:t>
      </w:r>
    </w:p>
    <w:p w14:paraId="0EC2EC6D">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2）除非在投标文件中提出的分包项目和建议的分包人，中标人不得采用分包方式履行合同。</w:t>
      </w:r>
    </w:p>
    <w:p w14:paraId="66F4C11A">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（3）解决争议的方法</w:t>
      </w:r>
    </w:p>
    <w:p w14:paraId="56A0E26D">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1）合同各方应通过友好协商，解决在执行合同过程中所发生的或与合同有关的一切争端。</w:t>
      </w:r>
    </w:p>
    <w:p w14:paraId="751B6395">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2）如从协商开始28个自然日内仍不能解决，任一方可向采购人所在地的人民法院提起诉讼。</w:t>
      </w:r>
    </w:p>
    <w:p w14:paraId="36C8523A">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3）在诉讼期间，除正在进行诉讼的部分外，合同的其他部分应继续执行。</w:t>
      </w:r>
    </w:p>
    <w:p w14:paraId="3E0741BA">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（4）合同语言</w:t>
      </w:r>
    </w:p>
    <w:p w14:paraId="3771616D">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合同以及双方来住的与合同有关的信件、传真和其它文件应用中文书写。</w:t>
      </w:r>
    </w:p>
    <w:p w14:paraId="13B358CF">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（5）法律适用</w:t>
      </w:r>
    </w:p>
    <w:p w14:paraId="6262B83E">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合同适用中华人民共和国现行法律、行政法规和规章，如合同条款与法律、行政法规和规章不一致的，按照法律、行政法规和规章修改合同。</w:t>
      </w:r>
    </w:p>
    <w:p w14:paraId="00430176">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（6）通知</w:t>
      </w:r>
    </w:p>
    <w:p w14:paraId="259BC4AA">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合同一方给另一方的通知均应采用书面形式，传真或快递送到对方的地址和办理签收手续。</w:t>
      </w:r>
    </w:p>
    <w:p w14:paraId="63D47B75">
      <w:pPr>
        <w:spacing w:after="60" w:line="360" w:lineRule="auto"/>
        <w:ind w:left="-2" w:leftChars="-1" w:firstLine="422" w:firstLineChars="201"/>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通知以送到之日或通知书中规定的生效之日起生效，两者中以较迟之日为准。</w:t>
      </w:r>
    </w:p>
    <w:p w14:paraId="69912D97">
      <w:pPr>
        <w:spacing w:after="60" w:line="360" w:lineRule="auto"/>
        <w:ind w:left="-2" w:leftChars="-1" w:firstLine="424" w:firstLineChars="201"/>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（7）合同解除和终止</w:t>
      </w:r>
    </w:p>
    <w:p w14:paraId="4DF2FA4A">
      <w:pPr>
        <w:pStyle w:val="2"/>
      </w:pPr>
      <w:r>
        <w:rPr>
          <w:rFonts w:hint="eastAsia" w:asciiTheme="minorEastAsia" w:hAnsiTheme="minorEastAsia" w:eastAsiaTheme="minorEastAsia" w:cstheme="minorEastAsia"/>
          <w:szCs w:val="21"/>
        </w:rPr>
        <w:t>如果中标人未能在协议规定的限期或采购人同意延长的限期内提供部分或全部服务，采购人可向中标人发出书面的违约通知书，提出终止部份或全部协议。采购人可在任何时候出于自身的便利向中标人发出书面通知终止部分合同，采购人在合同总价中扣除该终止部分服务的价款，并不再对中标人作出额外赔偿。</w:t>
      </w:r>
    </w:p>
    <w:p w14:paraId="2944F257">
      <w:pPr>
        <w:numPr>
          <w:ilvl w:val="0"/>
          <w:numId w:val="2"/>
        </w:numPr>
        <w:spacing w:afterLines="0" w:line="360"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投标报价；</w:t>
      </w:r>
      <w:r>
        <w:rPr>
          <w:rFonts w:asciiTheme="minorEastAsia" w:hAnsiTheme="minorEastAsia" w:eastAsiaTheme="minorEastAsia" w:cstheme="minorEastAsia"/>
          <w:b/>
          <w:bCs/>
          <w:szCs w:val="21"/>
        </w:rPr>
        <w:t xml:space="preserve"> </w:t>
      </w:r>
    </w:p>
    <w:p w14:paraId="33CBBF5B">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cs="宋体"/>
          <w:szCs w:val="21"/>
        </w:rPr>
        <w:t>本项目服务费采用包干制，应包括服务成本、法定税费和企业的利润。由企业根据招标文件</w:t>
      </w:r>
      <w:r>
        <w:rPr>
          <w:rFonts w:hint="eastAsia" w:ascii="宋体" w:hAnsi="宋体"/>
          <w:szCs w:val="21"/>
        </w:rPr>
        <w:t>所提供的资料自行测算投标报价；一经中标，投标报价总价作为中标单位与采购人签定的合同金额，合同期限内不做调整。</w:t>
      </w:r>
    </w:p>
    <w:p w14:paraId="2A78C30D">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szCs w:val="21"/>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DF9E04">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szCs w:val="21"/>
        </w:rPr>
        <w:t>投标人的投标报价，应是本项目招标范围和招标文件及合同条款上所列的各项内容中所述的全部，不得以任何理由予以重复，并以投标人在投标文件中提出的综合单价或总价为依据。</w:t>
      </w:r>
    </w:p>
    <w:p w14:paraId="1EBDE68F">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szCs w:val="21"/>
        </w:rPr>
        <w:t>除非招标文件作出变更，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642AD06">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szCs w:val="21"/>
        </w:rPr>
        <w:t>投标人应充分了解项目的位置、情况、道路及任何其它足以影响投标报价的情况，任何因忽视或误解项目情况而导致的索赔或服务期限延长申请将不获批准。</w:t>
      </w:r>
    </w:p>
    <w:p w14:paraId="76F4BE68">
      <w:pPr>
        <w:pStyle w:val="10"/>
        <w:numPr>
          <w:ilvl w:val="0"/>
          <w:numId w:val="3"/>
        </w:numPr>
        <w:spacing w:before="60" w:beforeLines="25" w:after="60" w:line="360" w:lineRule="auto"/>
        <w:ind w:left="0" w:firstLine="393" w:firstLineChars="0"/>
        <w:rPr>
          <w:rFonts w:hint="eastAsia" w:ascii="宋体" w:hAnsi="宋体"/>
          <w:szCs w:val="21"/>
        </w:rPr>
      </w:pPr>
      <w:r>
        <w:rPr>
          <w:rFonts w:hint="eastAsia" w:ascii="宋体" w:hAnsi="宋体"/>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0A9CBC8">
      <w:pPr>
        <w:pStyle w:val="2"/>
      </w:pPr>
    </w:p>
    <w:p w14:paraId="70C487CF">
      <w:pPr>
        <w:pStyle w:val="2"/>
      </w:pPr>
    </w:p>
    <w:p w14:paraId="5ADDBE2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abstractNum w:abstractNumId="2">
    <w:nsid w:val="54A178F0"/>
    <w:multiLevelType w:val="multilevel"/>
    <w:tmpl w:val="54A178F0"/>
    <w:lvl w:ilvl="0" w:tentative="0">
      <w:start w:val="1"/>
      <w:numFmt w:val="decimal"/>
      <w:lvlText w:val="%1)"/>
      <w:lvlJc w:val="left"/>
      <w:pPr>
        <w:ind w:left="833" w:hanging="440"/>
      </w:pPr>
    </w:lvl>
    <w:lvl w:ilvl="1" w:tentative="0">
      <w:start w:val="1"/>
      <w:numFmt w:val="lowerLetter"/>
      <w:lvlText w:val="%2)"/>
      <w:lvlJc w:val="left"/>
      <w:pPr>
        <w:ind w:left="1273" w:hanging="440"/>
      </w:pPr>
    </w:lvl>
    <w:lvl w:ilvl="2" w:tentative="0">
      <w:start w:val="1"/>
      <w:numFmt w:val="lowerRoman"/>
      <w:lvlText w:val="%3."/>
      <w:lvlJc w:val="right"/>
      <w:pPr>
        <w:ind w:left="1713" w:hanging="440"/>
      </w:pPr>
    </w:lvl>
    <w:lvl w:ilvl="3" w:tentative="0">
      <w:start w:val="1"/>
      <w:numFmt w:val="decimal"/>
      <w:lvlText w:val="%4."/>
      <w:lvlJc w:val="left"/>
      <w:pPr>
        <w:ind w:left="2153" w:hanging="440"/>
      </w:pPr>
    </w:lvl>
    <w:lvl w:ilvl="4" w:tentative="0">
      <w:start w:val="1"/>
      <w:numFmt w:val="lowerLetter"/>
      <w:lvlText w:val="%5)"/>
      <w:lvlJc w:val="left"/>
      <w:pPr>
        <w:ind w:left="2593" w:hanging="440"/>
      </w:pPr>
    </w:lvl>
    <w:lvl w:ilvl="5" w:tentative="0">
      <w:start w:val="1"/>
      <w:numFmt w:val="lowerRoman"/>
      <w:lvlText w:val="%6."/>
      <w:lvlJc w:val="right"/>
      <w:pPr>
        <w:ind w:left="3033" w:hanging="440"/>
      </w:pPr>
    </w:lvl>
    <w:lvl w:ilvl="6" w:tentative="0">
      <w:start w:val="1"/>
      <w:numFmt w:val="decimal"/>
      <w:lvlText w:val="%7."/>
      <w:lvlJc w:val="left"/>
      <w:pPr>
        <w:ind w:left="3473" w:hanging="440"/>
      </w:pPr>
    </w:lvl>
    <w:lvl w:ilvl="7" w:tentative="0">
      <w:start w:val="1"/>
      <w:numFmt w:val="lowerLetter"/>
      <w:lvlText w:val="%8)"/>
      <w:lvlJc w:val="left"/>
      <w:pPr>
        <w:ind w:left="3913" w:hanging="440"/>
      </w:pPr>
    </w:lvl>
    <w:lvl w:ilvl="8" w:tentative="0">
      <w:start w:val="1"/>
      <w:numFmt w:val="lowerRoman"/>
      <w:lvlText w:val="%9."/>
      <w:lvlJc w:val="right"/>
      <w:pPr>
        <w:ind w:left="4353"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4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8"/>
    <w:qFormat/>
    <w:uiPriority w:val="9"/>
    <w:pPr>
      <w:keepNext/>
      <w:keepLines/>
      <w:spacing w:before="34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styleId="4">
    <w:name w:val="Body Text"/>
    <w:basedOn w:val="1"/>
    <w:qFormat/>
    <w:uiPriority w:val="99"/>
    <w:pPr>
      <w:tabs>
        <w:tab w:val="left" w:pos="4760"/>
      </w:tabs>
      <w:spacing w:afterLines="0"/>
      <w:jc w:val="left"/>
    </w:pPr>
  </w:style>
  <w:style w:type="paragraph" w:customStyle="1" w:styleId="7">
    <w:name w:val="1册标题1"/>
    <w:basedOn w:val="1"/>
    <w:next w:val="1"/>
    <w:qFormat/>
    <w:uiPriority w:val="0"/>
    <w:pPr>
      <w:spacing w:beforeLines="50" w:afterLines="50"/>
      <w:jc w:val="center"/>
      <w:outlineLvl w:val="0"/>
    </w:pPr>
    <w:rPr>
      <w:rFonts w:eastAsia="黑体"/>
      <w:b/>
      <w:bCs/>
      <w:sz w:val="48"/>
      <w:szCs w:val="20"/>
    </w:rPr>
  </w:style>
  <w:style w:type="character" w:customStyle="1" w:styleId="8">
    <w:name w:val="标题 1 字符"/>
    <w:basedOn w:val="6"/>
    <w:link w:val="3"/>
    <w:qFormat/>
    <w:uiPriority w:val="9"/>
    <w:rPr>
      <w:b/>
      <w:bCs/>
      <w:kern w:val="44"/>
      <w:sz w:val="44"/>
      <w:szCs w:val="44"/>
    </w:rPr>
  </w:style>
  <w:style w:type="character" w:customStyle="1" w:styleId="9">
    <w:name w:val="ht1"/>
    <w:qFormat/>
    <w:uiPriority w:val="0"/>
    <w:rPr>
      <w:rFonts w:hint="default" w:ascii="_x000B__x000C_" w:hAnsi="_x000B__x000C_"/>
      <w:sz w:val="18"/>
      <w:szCs w:val="18"/>
    </w:rPr>
  </w:style>
  <w:style w:type="paragraph" w:styleId="10">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2025-06-24T09:43:42Z</dcterms:created>
  <dc:creator>Administrator</dc:creator>
  <cp:lastModifiedBy>Administrator</cp:lastModifiedBy>
  <dcterms:modified xsi:type="dcterms:W3CDTF">2025-06-24T09:43:49Z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E30FADCA550D447487A07A689B6E39A8_12</vt:lpwstr>
  </property>
</Properties>
</file>