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page" w:horzAnchor="page" w:tblpX="1745" w:tblpY="1783"/>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90"/>
        <w:gridCol w:w="999"/>
        <w:gridCol w:w="1264"/>
        <w:gridCol w:w="2322"/>
        <w:gridCol w:w="1603"/>
        <w:gridCol w:w="935"/>
        <w:gridCol w:w="915"/>
        <w:gridCol w:w="1465"/>
        <w:gridCol w:w="42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4168" w:type="dxa"/>
            <w:gridSpan w:val="9"/>
            <w:tcBorders>
              <w:top w:val="single" w:color="auto" w:sz="6" w:space="0"/>
              <w:left w:val="single" w:color="auto" w:sz="6" w:space="0"/>
              <w:bottom w:val="single" w:color="auto" w:sz="6" w:space="0"/>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rPr>
                <w:rStyle w:val="5"/>
                <w:rFonts w:ascii="微软雅黑" w:hAnsi="微软雅黑" w:eastAsia="微软雅黑" w:cs="微软雅黑"/>
                <w:i w:val="0"/>
                <w:iCs w:val="0"/>
                <w:caps w:val="0"/>
                <w:color w:val="000000"/>
                <w:spacing w:val="0"/>
                <w:sz w:val="18"/>
                <w:szCs w:val="18"/>
              </w:rPr>
            </w:pPr>
            <w:r>
              <w:rPr>
                <w:rStyle w:val="5"/>
                <w:rFonts w:ascii="微软雅黑" w:hAnsi="微软雅黑" w:eastAsia="微软雅黑" w:cs="微软雅黑"/>
                <w:i w:val="0"/>
                <w:iCs w:val="0"/>
                <w:caps w:val="0"/>
                <w:color w:val="000000"/>
                <w:spacing w:val="0"/>
                <w:sz w:val="18"/>
                <w:szCs w:val="18"/>
              </w:rPr>
              <w:t>标的资产清单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14168" w:type="dxa"/>
            <w:gridSpan w:val="9"/>
            <w:tcBorders>
              <w:top w:val="nil"/>
              <w:left w:val="single" w:color="auto" w:sz="6" w:space="0"/>
              <w:bottom w:val="single" w:color="auto" w:sz="6" w:space="0"/>
              <w:right w:val="single" w:color="auto" w:sz="6" w:space="0"/>
            </w:tcBorders>
            <w:shd w:val="clear" w:color="auto" w:fill="FFFFFF"/>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right"/>
              <w:rPr>
                <w:rFonts w:hint="eastAsia" w:ascii="微软雅黑" w:hAnsi="微软雅黑" w:eastAsia="微软雅黑" w:cs="微软雅黑"/>
                <w:i w:val="0"/>
                <w:iCs w:val="0"/>
                <w:caps w:val="0"/>
                <w:color w:val="1B1B1B"/>
                <w:spacing w:val="0"/>
                <w:sz w:val="18"/>
                <w:szCs w:val="18"/>
              </w:rPr>
            </w:pPr>
            <w:r>
              <w:rPr>
                <w:rFonts w:hint="eastAsia" w:ascii="微软雅黑" w:hAnsi="微软雅黑" w:eastAsia="微软雅黑" w:cs="微软雅黑"/>
                <w:i w:val="0"/>
                <w:iCs w:val="0"/>
                <w:caps w:val="0"/>
                <w:color w:val="1B1B1B"/>
                <w:spacing w:val="0"/>
                <w:sz w:val="18"/>
                <w:szCs w:val="18"/>
              </w:rPr>
              <w:t>基准日：202</w:t>
            </w:r>
            <w:r>
              <w:rPr>
                <w:rFonts w:hint="eastAsia" w:ascii="微软雅黑" w:hAnsi="微软雅黑" w:eastAsia="微软雅黑" w:cs="微软雅黑"/>
                <w:i w:val="0"/>
                <w:iCs w:val="0"/>
                <w:caps w:val="0"/>
                <w:color w:val="1B1B1B"/>
                <w:spacing w:val="0"/>
                <w:sz w:val="18"/>
                <w:szCs w:val="18"/>
                <w:lang w:val="en-US" w:eastAsia="zh-CN"/>
              </w:rPr>
              <w:t>5</w:t>
            </w:r>
            <w:r>
              <w:rPr>
                <w:rFonts w:hint="eastAsia" w:ascii="微软雅黑" w:hAnsi="微软雅黑" w:eastAsia="微软雅黑" w:cs="微软雅黑"/>
                <w:i w:val="0"/>
                <w:iCs w:val="0"/>
                <w:caps w:val="0"/>
                <w:color w:val="1B1B1B"/>
                <w:spacing w:val="0"/>
                <w:sz w:val="18"/>
                <w:szCs w:val="18"/>
              </w:rPr>
              <w:t>年</w:t>
            </w:r>
            <w:r>
              <w:rPr>
                <w:rFonts w:hint="eastAsia" w:ascii="微软雅黑" w:hAnsi="微软雅黑" w:eastAsia="微软雅黑" w:cs="微软雅黑"/>
                <w:i w:val="0"/>
                <w:iCs w:val="0"/>
                <w:caps w:val="0"/>
                <w:color w:val="1B1B1B"/>
                <w:spacing w:val="0"/>
                <w:sz w:val="18"/>
                <w:szCs w:val="18"/>
                <w:lang w:val="en-US" w:eastAsia="zh-CN"/>
              </w:rPr>
              <w:t>10</w:t>
            </w:r>
            <w:r>
              <w:rPr>
                <w:rFonts w:hint="eastAsia" w:ascii="微软雅黑" w:hAnsi="微软雅黑" w:eastAsia="微软雅黑" w:cs="微软雅黑"/>
                <w:i w:val="0"/>
                <w:iCs w:val="0"/>
                <w:caps w:val="0"/>
                <w:color w:val="1B1B1B"/>
                <w:spacing w:val="0"/>
                <w:sz w:val="18"/>
                <w:szCs w:val="18"/>
              </w:rPr>
              <w:t>月</w:t>
            </w:r>
            <w:r>
              <w:rPr>
                <w:rFonts w:hint="eastAsia" w:ascii="微软雅黑" w:hAnsi="微软雅黑" w:eastAsia="微软雅黑" w:cs="微软雅黑"/>
                <w:i w:val="0"/>
                <w:iCs w:val="0"/>
                <w:caps w:val="0"/>
                <w:color w:val="1B1B1B"/>
                <w:spacing w:val="0"/>
                <w:sz w:val="18"/>
                <w:szCs w:val="18"/>
                <w:lang w:val="en-US" w:eastAsia="zh-CN"/>
              </w:rPr>
              <w:t>16</w:t>
            </w:r>
            <w:r>
              <w:rPr>
                <w:rFonts w:hint="eastAsia" w:ascii="微软雅黑" w:hAnsi="微软雅黑" w:eastAsia="微软雅黑" w:cs="微软雅黑"/>
                <w:i w:val="0"/>
                <w:iCs w:val="0"/>
                <w:caps w:val="0"/>
                <w:color w:val="1B1B1B"/>
                <w:spacing w:val="0"/>
                <w:sz w:val="18"/>
                <w:szCs w:val="18"/>
              </w:rPr>
              <w:t>日；单位：人民币/元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390" w:type="dxa"/>
            <w:tcBorders>
              <w:top w:val="nil"/>
              <w:left w:val="single" w:color="auto" w:sz="6" w:space="0"/>
              <w:bottom w:val="single" w:color="auto" w:sz="6" w:space="0"/>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pPr>
            <w:r>
              <w:rPr>
                <w:rStyle w:val="5"/>
                <w:rFonts w:hint="eastAsia" w:ascii="微软雅黑" w:hAnsi="微软雅黑" w:eastAsia="微软雅黑" w:cs="微软雅黑"/>
                <w:i w:val="0"/>
                <w:iCs w:val="0"/>
                <w:caps w:val="0"/>
                <w:color w:val="1B1B1B"/>
                <w:spacing w:val="0"/>
                <w:sz w:val="18"/>
                <w:szCs w:val="18"/>
              </w:rPr>
              <w:t>序号</w:t>
            </w:r>
          </w:p>
        </w:tc>
        <w:tc>
          <w:tcPr>
            <w:tcW w:w="999" w:type="dxa"/>
            <w:vMerge w:val="restart"/>
            <w:tcBorders>
              <w:top w:val="nil"/>
              <w:left w:val="nil"/>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pPr>
            <w:r>
              <w:rPr>
                <w:rStyle w:val="5"/>
                <w:rFonts w:hint="eastAsia" w:ascii="微软雅黑" w:hAnsi="微软雅黑" w:eastAsia="微软雅黑" w:cs="微软雅黑"/>
                <w:i w:val="0"/>
                <w:iCs w:val="0"/>
                <w:caps w:val="0"/>
                <w:color w:val="1B1B1B"/>
                <w:spacing w:val="0"/>
                <w:sz w:val="18"/>
                <w:szCs w:val="18"/>
              </w:rPr>
              <w:t>债务人</w:t>
            </w:r>
          </w:p>
        </w:tc>
        <w:tc>
          <w:tcPr>
            <w:tcW w:w="1264" w:type="dxa"/>
            <w:vMerge w:val="restart"/>
            <w:tcBorders>
              <w:top w:val="nil"/>
              <w:left w:val="nil"/>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pPr>
            <w:r>
              <w:rPr>
                <w:rStyle w:val="5"/>
                <w:rFonts w:hint="eastAsia" w:ascii="微软雅黑" w:hAnsi="微软雅黑" w:eastAsia="微软雅黑" w:cs="微软雅黑"/>
                <w:i w:val="0"/>
                <w:iCs w:val="0"/>
                <w:caps w:val="0"/>
                <w:color w:val="1B1B1B"/>
                <w:spacing w:val="0"/>
                <w:sz w:val="18"/>
                <w:szCs w:val="18"/>
              </w:rPr>
              <w:t>本金余额</w:t>
            </w:r>
          </w:p>
        </w:tc>
        <w:tc>
          <w:tcPr>
            <w:tcW w:w="2322" w:type="dxa"/>
            <w:vMerge w:val="restart"/>
            <w:tcBorders>
              <w:top w:val="nil"/>
              <w:left w:val="nil"/>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pPr>
            <w:r>
              <w:rPr>
                <w:rStyle w:val="5"/>
                <w:rFonts w:hint="eastAsia" w:ascii="微软雅黑" w:hAnsi="微软雅黑" w:eastAsia="微软雅黑" w:cs="微软雅黑"/>
                <w:i w:val="0"/>
                <w:iCs w:val="0"/>
                <w:caps w:val="0"/>
                <w:color w:val="1B1B1B"/>
                <w:spacing w:val="0"/>
                <w:sz w:val="18"/>
                <w:szCs w:val="18"/>
              </w:rPr>
              <w:t>利息（含罚息）</w:t>
            </w:r>
          </w:p>
        </w:tc>
        <w:tc>
          <w:tcPr>
            <w:tcW w:w="1603" w:type="dxa"/>
            <w:vMerge w:val="restart"/>
            <w:tcBorders>
              <w:top w:val="nil"/>
              <w:left w:val="nil"/>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pPr>
            <w:r>
              <w:rPr>
                <w:rStyle w:val="5"/>
                <w:rFonts w:hint="eastAsia" w:ascii="微软雅黑" w:hAnsi="微软雅黑" w:eastAsia="微软雅黑" w:cs="微软雅黑"/>
                <w:i w:val="0"/>
                <w:iCs w:val="0"/>
                <w:caps w:val="0"/>
                <w:color w:val="1B1B1B"/>
                <w:spacing w:val="0"/>
                <w:sz w:val="18"/>
                <w:szCs w:val="18"/>
              </w:rPr>
              <w:t>其他垫付</w:t>
            </w:r>
            <w:r>
              <w:rPr>
                <w:rStyle w:val="5"/>
                <w:rFonts w:hint="eastAsia" w:ascii="微软雅黑" w:hAnsi="微软雅黑" w:eastAsia="微软雅黑" w:cs="微软雅黑"/>
                <w:i w:val="0"/>
                <w:iCs w:val="0"/>
                <w:caps w:val="0"/>
                <w:color w:val="1B1B1B"/>
                <w:spacing w:val="0"/>
                <w:sz w:val="18"/>
                <w:szCs w:val="18"/>
                <w:lang w:val="en-US" w:eastAsia="zh-CN"/>
              </w:rPr>
              <w:t>费</w:t>
            </w:r>
            <w:r>
              <w:rPr>
                <w:rStyle w:val="5"/>
                <w:rFonts w:hint="eastAsia" w:ascii="微软雅黑" w:hAnsi="微软雅黑" w:eastAsia="微软雅黑" w:cs="微软雅黑"/>
                <w:i w:val="0"/>
                <w:iCs w:val="0"/>
                <w:caps w:val="0"/>
                <w:color w:val="1B1B1B"/>
                <w:spacing w:val="0"/>
                <w:sz w:val="18"/>
                <w:szCs w:val="18"/>
              </w:rPr>
              <w:t>用</w:t>
            </w:r>
          </w:p>
        </w:tc>
        <w:tc>
          <w:tcPr>
            <w:tcW w:w="3315" w:type="dxa"/>
            <w:gridSpan w:val="3"/>
            <w:tcBorders>
              <w:top w:val="nil"/>
              <w:left w:val="nil"/>
              <w:bottom w:val="single" w:color="auto" w:sz="6" w:space="0"/>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rPr>
                <w:rStyle w:val="5"/>
                <w:rFonts w:hint="eastAsia" w:ascii="微软雅黑" w:hAnsi="微软雅黑" w:eastAsia="微软雅黑" w:cs="微软雅黑"/>
                <w:i w:val="0"/>
                <w:iCs w:val="0"/>
                <w:caps w:val="0"/>
                <w:color w:val="1B1B1B"/>
                <w:spacing w:val="0"/>
                <w:sz w:val="18"/>
                <w:szCs w:val="18"/>
              </w:rPr>
            </w:pPr>
            <w:r>
              <w:rPr>
                <w:rStyle w:val="5"/>
                <w:rFonts w:hint="eastAsia" w:ascii="微软雅黑" w:hAnsi="微软雅黑" w:eastAsia="微软雅黑" w:cs="微软雅黑"/>
                <w:i w:val="0"/>
                <w:iCs w:val="0"/>
                <w:caps w:val="0"/>
                <w:color w:val="1B1B1B"/>
                <w:spacing w:val="0"/>
                <w:sz w:val="18"/>
                <w:szCs w:val="18"/>
              </w:rPr>
              <w:t>担保方式</w:t>
            </w:r>
          </w:p>
        </w:tc>
        <w:tc>
          <w:tcPr>
            <w:tcW w:w="4275" w:type="dxa"/>
            <w:vMerge w:val="restart"/>
            <w:tcBorders>
              <w:top w:val="nil"/>
              <w:left w:val="nil"/>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rPr>
                <w:rStyle w:val="5"/>
                <w:rFonts w:hint="eastAsia" w:ascii="微软雅黑" w:hAnsi="微软雅黑" w:eastAsia="微软雅黑" w:cs="微软雅黑"/>
                <w:i w:val="0"/>
                <w:iCs w:val="0"/>
                <w:caps w:val="0"/>
                <w:color w:val="1B1B1B"/>
                <w:spacing w:val="0"/>
                <w:sz w:val="18"/>
                <w:szCs w:val="18"/>
              </w:rPr>
            </w:pPr>
            <w:r>
              <w:rPr>
                <w:rStyle w:val="5"/>
                <w:rFonts w:hint="eastAsia" w:ascii="微软雅黑" w:hAnsi="微软雅黑" w:eastAsia="微软雅黑" w:cs="微软雅黑"/>
                <w:i w:val="0"/>
                <w:iCs w:val="0"/>
                <w:caps w:val="0"/>
                <w:color w:val="1B1B1B"/>
                <w:spacing w:val="0"/>
                <w:sz w:val="18"/>
                <w:szCs w:val="18"/>
              </w:rPr>
              <w:t>诉讼情况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15" w:hRule="atLeast"/>
        </w:trPr>
        <w:tc>
          <w:tcPr>
            <w:tcW w:w="390" w:type="dxa"/>
            <w:tcBorders>
              <w:top w:val="nil"/>
              <w:left w:val="single" w:color="auto" w:sz="6" w:space="0"/>
              <w:bottom w:val="single" w:color="auto" w:sz="6" w:space="0"/>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rPr>
                <w:rStyle w:val="5"/>
                <w:rFonts w:hint="eastAsia" w:ascii="微软雅黑" w:hAnsi="微软雅黑" w:eastAsia="微软雅黑" w:cs="微软雅黑"/>
                <w:i w:val="0"/>
                <w:iCs w:val="0"/>
                <w:caps w:val="0"/>
                <w:color w:val="1B1B1B"/>
                <w:spacing w:val="0"/>
                <w:sz w:val="18"/>
                <w:szCs w:val="18"/>
              </w:rPr>
            </w:pPr>
          </w:p>
        </w:tc>
        <w:tc>
          <w:tcPr>
            <w:tcW w:w="999" w:type="dxa"/>
            <w:vMerge w:val="continue"/>
            <w:tcBorders>
              <w:left w:val="nil"/>
              <w:bottom w:val="single" w:color="auto" w:sz="6" w:space="0"/>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rPr>
                <w:rStyle w:val="5"/>
                <w:rFonts w:hint="eastAsia" w:ascii="微软雅黑" w:hAnsi="微软雅黑" w:eastAsia="微软雅黑" w:cs="微软雅黑"/>
                <w:i w:val="0"/>
                <w:iCs w:val="0"/>
                <w:caps w:val="0"/>
                <w:color w:val="1B1B1B"/>
                <w:spacing w:val="0"/>
                <w:sz w:val="18"/>
                <w:szCs w:val="18"/>
              </w:rPr>
            </w:pPr>
          </w:p>
        </w:tc>
        <w:tc>
          <w:tcPr>
            <w:tcW w:w="1264" w:type="dxa"/>
            <w:vMerge w:val="continue"/>
            <w:tcBorders>
              <w:left w:val="nil"/>
              <w:bottom w:val="single" w:color="auto" w:sz="6" w:space="0"/>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rPr>
                <w:rStyle w:val="5"/>
                <w:rFonts w:hint="eastAsia" w:ascii="微软雅黑" w:hAnsi="微软雅黑" w:eastAsia="微软雅黑" w:cs="微软雅黑"/>
                <w:i w:val="0"/>
                <w:iCs w:val="0"/>
                <w:caps w:val="0"/>
                <w:color w:val="1B1B1B"/>
                <w:spacing w:val="0"/>
                <w:sz w:val="18"/>
                <w:szCs w:val="18"/>
              </w:rPr>
            </w:pPr>
          </w:p>
        </w:tc>
        <w:tc>
          <w:tcPr>
            <w:tcW w:w="2322" w:type="dxa"/>
            <w:vMerge w:val="continue"/>
            <w:tcBorders>
              <w:left w:val="nil"/>
              <w:bottom w:val="single" w:color="auto" w:sz="6" w:space="0"/>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rPr>
                <w:rStyle w:val="5"/>
                <w:rFonts w:hint="eastAsia" w:ascii="微软雅黑" w:hAnsi="微软雅黑" w:eastAsia="微软雅黑" w:cs="微软雅黑"/>
                <w:i w:val="0"/>
                <w:iCs w:val="0"/>
                <w:caps w:val="0"/>
                <w:color w:val="1B1B1B"/>
                <w:spacing w:val="0"/>
                <w:sz w:val="18"/>
                <w:szCs w:val="18"/>
              </w:rPr>
            </w:pPr>
          </w:p>
        </w:tc>
        <w:tc>
          <w:tcPr>
            <w:tcW w:w="1603" w:type="dxa"/>
            <w:vMerge w:val="continue"/>
            <w:tcBorders>
              <w:left w:val="nil"/>
              <w:bottom w:val="single" w:color="auto" w:sz="6" w:space="0"/>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rPr>
                <w:rStyle w:val="5"/>
                <w:rFonts w:hint="eastAsia" w:ascii="微软雅黑" w:hAnsi="微软雅黑" w:eastAsia="微软雅黑" w:cs="微软雅黑"/>
                <w:i w:val="0"/>
                <w:iCs w:val="0"/>
                <w:caps w:val="0"/>
                <w:color w:val="1B1B1B"/>
                <w:spacing w:val="0"/>
                <w:sz w:val="18"/>
                <w:szCs w:val="18"/>
              </w:rPr>
            </w:pPr>
          </w:p>
        </w:tc>
        <w:tc>
          <w:tcPr>
            <w:tcW w:w="935" w:type="dxa"/>
            <w:tcBorders>
              <w:top w:val="nil"/>
              <w:left w:val="nil"/>
              <w:bottom w:val="single" w:color="auto" w:sz="6" w:space="0"/>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leftChars="0" w:right="0" w:rightChars="0"/>
              <w:jc w:val="center"/>
              <w:rPr>
                <w:rFonts w:hint="eastAsia" w:ascii="Calibri" w:hAnsi="Calibri" w:eastAsia="宋体" w:cs="Times New Roman"/>
                <w:kern w:val="0"/>
                <w:sz w:val="24"/>
                <w:szCs w:val="24"/>
                <w:lang w:val="en-US" w:eastAsia="zh-CN" w:bidi="ar"/>
              </w:rPr>
            </w:pPr>
            <w:r>
              <w:rPr>
                <w:rStyle w:val="5"/>
                <w:rFonts w:hint="eastAsia" w:ascii="微软雅黑" w:hAnsi="微软雅黑" w:eastAsia="微软雅黑" w:cs="微软雅黑"/>
                <w:i w:val="0"/>
                <w:iCs w:val="0"/>
                <w:caps w:val="0"/>
                <w:color w:val="1B1B1B"/>
                <w:spacing w:val="0"/>
                <w:sz w:val="18"/>
                <w:szCs w:val="18"/>
              </w:rPr>
              <w:t>保证</w:t>
            </w:r>
          </w:p>
        </w:tc>
        <w:tc>
          <w:tcPr>
            <w:tcW w:w="915" w:type="dxa"/>
            <w:tcBorders>
              <w:top w:val="nil"/>
              <w:left w:val="nil"/>
              <w:bottom w:val="single" w:color="auto" w:sz="6" w:space="0"/>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leftChars="0" w:right="0" w:rightChars="0"/>
              <w:jc w:val="center"/>
              <w:rPr>
                <w:rFonts w:hint="eastAsia" w:ascii="Calibri" w:hAnsi="Calibri" w:eastAsia="宋体" w:cs="Times New Roman"/>
                <w:kern w:val="0"/>
                <w:sz w:val="24"/>
                <w:szCs w:val="24"/>
                <w:lang w:val="en-US" w:eastAsia="zh-CN" w:bidi="ar"/>
              </w:rPr>
            </w:pPr>
            <w:r>
              <w:rPr>
                <w:rStyle w:val="5"/>
                <w:rFonts w:hint="eastAsia" w:ascii="微软雅黑" w:hAnsi="微软雅黑" w:eastAsia="微软雅黑" w:cs="微软雅黑"/>
                <w:i w:val="0"/>
                <w:iCs w:val="0"/>
                <w:caps w:val="0"/>
                <w:color w:val="1B1B1B"/>
                <w:spacing w:val="0"/>
                <w:sz w:val="18"/>
                <w:szCs w:val="18"/>
              </w:rPr>
              <w:t>抵押</w:t>
            </w:r>
          </w:p>
        </w:tc>
        <w:tc>
          <w:tcPr>
            <w:tcW w:w="1465" w:type="dxa"/>
            <w:tcBorders>
              <w:top w:val="nil"/>
              <w:left w:val="nil"/>
              <w:bottom w:val="single" w:color="auto" w:sz="6" w:space="0"/>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leftChars="0" w:right="0" w:rightChars="0"/>
              <w:jc w:val="center"/>
              <w:rPr>
                <w:rFonts w:hint="eastAsia" w:ascii="Calibri" w:hAnsi="Calibri" w:eastAsia="宋体" w:cs="Times New Roman"/>
                <w:kern w:val="0"/>
                <w:sz w:val="24"/>
                <w:szCs w:val="24"/>
                <w:lang w:val="en-US" w:eastAsia="zh-CN" w:bidi="ar"/>
              </w:rPr>
            </w:pPr>
            <w:r>
              <w:rPr>
                <w:rStyle w:val="5"/>
                <w:rFonts w:hint="eastAsia" w:ascii="微软雅黑" w:hAnsi="微软雅黑" w:eastAsia="微软雅黑" w:cs="微软雅黑"/>
                <w:i w:val="0"/>
                <w:iCs w:val="0"/>
                <w:caps w:val="0"/>
                <w:color w:val="1B1B1B"/>
                <w:spacing w:val="0"/>
                <w:sz w:val="18"/>
                <w:szCs w:val="18"/>
              </w:rPr>
              <w:t>质押</w:t>
            </w:r>
          </w:p>
        </w:tc>
        <w:tc>
          <w:tcPr>
            <w:tcW w:w="4275" w:type="dxa"/>
            <w:vMerge w:val="continue"/>
            <w:tcBorders>
              <w:left w:val="nil"/>
              <w:bottom w:val="single" w:color="auto" w:sz="6" w:space="0"/>
              <w:right w:val="single" w:color="auto" w:sz="6" w:space="0"/>
            </w:tcBorders>
            <w:shd w:val="clear" w:color="auto" w:fill="F2F2F2"/>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leftChars="0" w:right="0" w:rightChars="0"/>
              <w:jc w:val="center"/>
              <w:rPr>
                <w:rStyle w:val="5"/>
                <w:rFonts w:hint="eastAsia" w:ascii="微软雅黑" w:hAnsi="微软雅黑" w:eastAsia="微软雅黑" w:cs="微软雅黑"/>
                <w:i w:val="0"/>
                <w:iCs w:val="0"/>
                <w:caps w:val="0"/>
                <w:color w:val="1B1B1B"/>
                <w:spacing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390" w:type="dxa"/>
            <w:tcBorders>
              <w:top w:val="nil"/>
              <w:left w:val="single" w:color="auto" w:sz="6" w:space="0"/>
              <w:bottom w:val="single" w:color="auto" w:sz="6" w:space="0"/>
              <w:right w:val="single" w:color="auto" w:sz="6" w:space="0"/>
            </w:tcBorders>
            <w:shd w:val="clear" w:color="auto" w:fill="FFFFFF"/>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pPr>
            <w:r>
              <w:rPr>
                <w:rFonts w:hint="eastAsia" w:ascii="微软雅黑" w:hAnsi="微软雅黑" w:eastAsia="微软雅黑" w:cs="微软雅黑"/>
                <w:i w:val="0"/>
                <w:iCs w:val="0"/>
                <w:caps w:val="0"/>
                <w:color w:val="1B1B1B"/>
                <w:spacing w:val="0"/>
                <w:sz w:val="18"/>
                <w:szCs w:val="18"/>
              </w:rPr>
              <w:t>1</w:t>
            </w:r>
          </w:p>
        </w:tc>
        <w:tc>
          <w:tcPr>
            <w:tcW w:w="999"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rPr>
                <w:rFonts w:hint="eastAsia" w:ascii="微软雅黑" w:hAnsi="微软雅黑" w:eastAsia="微软雅黑" w:cs="微软雅黑"/>
                <w:i w:val="0"/>
                <w:iCs w:val="0"/>
                <w:caps w:val="0"/>
                <w:color w:val="1B1B1B"/>
                <w:spacing w:val="0"/>
                <w:sz w:val="16"/>
                <w:szCs w:val="16"/>
                <w:lang w:val="en-US" w:eastAsia="zh-CN"/>
              </w:rPr>
            </w:pPr>
            <w:r>
              <w:rPr>
                <w:rFonts w:hint="eastAsia" w:ascii="微软雅黑" w:hAnsi="微软雅黑" w:eastAsia="微软雅黑" w:cs="微软雅黑"/>
                <w:i w:val="0"/>
                <w:iCs w:val="0"/>
                <w:caps w:val="0"/>
                <w:color w:val="1B1B1B"/>
                <w:spacing w:val="0"/>
                <w:sz w:val="16"/>
                <w:szCs w:val="16"/>
                <w:lang w:val="en-US" w:eastAsia="zh-CN"/>
              </w:rPr>
              <w:t>深圳市宝能投资集团有限公司</w:t>
            </w:r>
          </w:p>
        </w:tc>
        <w:tc>
          <w:tcPr>
            <w:tcW w:w="1264"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rPr>
                <w:rFonts w:hint="default" w:ascii="微软雅黑" w:hAnsi="微软雅黑" w:eastAsia="微软雅黑" w:cs="微软雅黑"/>
                <w:i w:val="0"/>
                <w:iCs w:val="0"/>
                <w:caps w:val="0"/>
                <w:color w:val="1B1B1B"/>
                <w:spacing w:val="0"/>
                <w:sz w:val="16"/>
                <w:szCs w:val="16"/>
                <w:lang w:val="en-US" w:eastAsia="zh-CN"/>
              </w:rPr>
            </w:pPr>
            <w:r>
              <w:rPr>
                <w:rFonts w:hint="eastAsia" w:ascii="微软雅黑" w:hAnsi="微软雅黑" w:eastAsia="微软雅黑" w:cs="微软雅黑"/>
                <w:i w:val="0"/>
                <w:iCs w:val="0"/>
                <w:caps w:val="0"/>
                <w:color w:val="1B1B1B"/>
                <w:spacing w:val="0"/>
                <w:sz w:val="16"/>
                <w:szCs w:val="16"/>
                <w:lang w:val="en-US" w:eastAsia="zh-CN"/>
              </w:rPr>
              <w:t>23,760,000.00</w:t>
            </w:r>
          </w:p>
        </w:tc>
        <w:tc>
          <w:tcPr>
            <w:tcW w:w="2322"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rPr>
                <w:rFonts w:hint="eastAsia" w:ascii="微软雅黑" w:hAnsi="微软雅黑" w:eastAsia="微软雅黑" w:cs="微软雅黑"/>
                <w:i w:val="0"/>
                <w:iCs w:val="0"/>
                <w:caps w:val="0"/>
                <w:color w:val="1B1B1B"/>
                <w:spacing w:val="0"/>
                <w:sz w:val="16"/>
                <w:szCs w:val="16"/>
                <w:lang w:val="en-US" w:eastAsia="zh-CN"/>
              </w:rPr>
            </w:pPr>
            <w:r>
              <w:rPr>
                <w:rFonts w:hint="eastAsia" w:ascii="微软雅黑" w:hAnsi="微软雅黑" w:eastAsia="微软雅黑" w:cs="微软雅黑"/>
                <w:i w:val="0"/>
                <w:iCs w:val="0"/>
                <w:caps w:val="0"/>
                <w:color w:val="1B1B1B"/>
                <w:spacing w:val="0"/>
                <w:sz w:val="16"/>
                <w:szCs w:val="16"/>
                <w:lang w:val="en-US" w:eastAsia="zh-CN"/>
              </w:rPr>
              <w:t>7,587,786.36（其中违约金计算至2023年6月15日止，后以未付本金为基数，按同期银行一年期贷款市场报价利率四倍计算至实际履行完毕之日止；）</w:t>
            </w:r>
          </w:p>
        </w:tc>
        <w:tc>
          <w:tcPr>
            <w:tcW w:w="1603"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right="0"/>
              <w:jc w:val="center"/>
              <w:rPr>
                <w:rFonts w:hint="default" w:ascii="微软雅黑" w:hAnsi="微软雅黑" w:eastAsia="微软雅黑" w:cs="微软雅黑"/>
                <w:i w:val="0"/>
                <w:iCs w:val="0"/>
                <w:caps w:val="0"/>
                <w:color w:val="1B1B1B"/>
                <w:spacing w:val="0"/>
                <w:sz w:val="16"/>
                <w:szCs w:val="16"/>
                <w:lang w:val="en-US" w:eastAsia="zh-CN"/>
              </w:rPr>
            </w:pPr>
            <w:r>
              <w:rPr>
                <w:rFonts w:hint="eastAsia" w:ascii="微软雅黑" w:hAnsi="微软雅黑" w:eastAsia="微软雅黑" w:cs="微软雅黑"/>
                <w:i w:val="0"/>
                <w:iCs w:val="0"/>
                <w:caps w:val="0"/>
                <w:color w:val="1B1B1B"/>
                <w:spacing w:val="0"/>
                <w:sz w:val="16"/>
                <w:szCs w:val="16"/>
                <w:lang w:val="en-US" w:eastAsia="zh-CN"/>
              </w:rPr>
              <w:t>302,804（律师费、案件受理费）</w:t>
            </w:r>
          </w:p>
        </w:tc>
        <w:tc>
          <w:tcPr>
            <w:tcW w:w="935"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leftChars="0" w:right="0" w:rightChars="0"/>
              <w:jc w:val="center"/>
              <w:rPr>
                <w:rFonts w:hint="eastAsia" w:ascii="Calibri" w:hAnsi="Calibri" w:eastAsia="宋体" w:cs="Times New Roman"/>
                <w:kern w:val="0"/>
                <w:sz w:val="24"/>
                <w:szCs w:val="24"/>
                <w:lang w:val="en-US" w:eastAsia="zh-CN" w:bidi="ar"/>
              </w:rPr>
            </w:pPr>
            <w:r>
              <w:rPr>
                <w:rFonts w:hint="eastAsia" w:ascii="微软雅黑" w:hAnsi="微软雅黑" w:eastAsia="微软雅黑" w:cs="微软雅黑"/>
                <w:i w:val="0"/>
                <w:iCs w:val="0"/>
                <w:caps w:val="0"/>
                <w:color w:val="1B1B1B"/>
                <w:spacing w:val="0"/>
                <w:sz w:val="18"/>
                <w:szCs w:val="18"/>
                <w:lang w:val="en-US" w:eastAsia="zh-CN"/>
              </w:rPr>
              <w:t>/</w:t>
            </w:r>
          </w:p>
        </w:tc>
        <w:tc>
          <w:tcPr>
            <w:tcW w:w="915"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leftChars="0" w:right="0" w:rightChars="0"/>
              <w:jc w:val="center"/>
              <w:rPr>
                <w:rFonts w:hint="eastAsia" w:ascii="Calibri" w:hAnsi="Calibri" w:eastAsia="宋体" w:cs="Times New Roman"/>
                <w:kern w:val="0"/>
                <w:sz w:val="24"/>
                <w:szCs w:val="24"/>
                <w:lang w:val="en-US" w:eastAsia="zh-CN" w:bidi="ar"/>
              </w:rPr>
            </w:pPr>
            <w:r>
              <w:rPr>
                <w:rFonts w:hint="eastAsia" w:ascii="微软雅黑" w:hAnsi="微软雅黑" w:eastAsia="微软雅黑" w:cs="微软雅黑"/>
                <w:i w:val="0"/>
                <w:iCs w:val="0"/>
                <w:caps w:val="0"/>
                <w:color w:val="1B1B1B"/>
                <w:spacing w:val="0"/>
                <w:sz w:val="18"/>
                <w:szCs w:val="18"/>
                <w:lang w:val="en-US" w:eastAsia="zh-CN"/>
              </w:rPr>
              <w:t>/</w:t>
            </w:r>
          </w:p>
        </w:tc>
        <w:tc>
          <w:tcPr>
            <w:tcW w:w="1465"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leftChars="0" w:right="0" w:rightChars="0"/>
              <w:jc w:val="center"/>
              <w:rPr>
                <w:rFonts w:hint="eastAsia" w:ascii="Calibri" w:hAnsi="Calibri" w:eastAsia="宋体" w:cs="Times New Roman"/>
                <w:kern w:val="0"/>
                <w:sz w:val="24"/>
                <w:szCs w:val="24"/>
                <w:lang w:val="en-US" w:eastAsia="zh-CN" w:bidi="ar"/>
              </w:rPr>
            </w:pPr>
            <w:r>
              <w:rPr>
                <w:rFonts w:hint="eastAsia" w:ascii="微软雅黑" w:hAnsi="微软雅黑" w:eastAsia="微软雅黑" w:cs="微软雅黑"/>
                <w:i w:val="0"/>
                <w:iCs w:val="0"/>
                <w:caps w:val="0"/>
                <w:color w:val="1B1B1B"/>
                <w:spacing w:val="0"/>
                <w:sz w:val="16"/>
                <w:szCs w:val="16"/>
                <w:lang w:val="en-US" w:eastAsia="zh-CN"/>
              </w:rPr>
              <w:t>文昌宝能置业有限公司51%股权</w:t>
            </w:r>
          </w:p>
        </w:tc>
        <w:tc>
          <w:tcPr>
            <w:tcW w:w="4275" w:type="dxa"/>
            <w:tcBorders>
              <w:top w:val="nil"/>
              <w:left w:val="nil"/>
              <w:bottom w:val="single" w:color="auto" w:sz="6" w:space="0"/>
              <w:right w:val="single" w:color="auto" w:sz="6" w:space="0"/>
            </w:tcBorders>
            <w:shd w:val="clear" w:color="auto" w:fill="FFFFFF"/>
            <w:noWrap w:val="0"/>
            <w:tcMar>
              <w:left w:w="105" w:type="dxa"/>
              <w:right w:w="105" w:type="dxa"/>
            </w:tcMar>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1" w:after="100" w:afterAutospacing="1"/>
              <w:ind w:left="0" w:leftChars="0" w:right="0" w:rightChars="0"/>
              <w:jc w:val="center"/>
              <w:rPr>
                <w:rFonts w:hint="eastAsia" w:ascii="微软雅黑" w:hAnsi="微软雅黑" w:eastAsia="微软雅黑" w:cs="微软雅黑"/>
                <w:i w:val="0"/>
                <w:iCs w:val="0"/>
                <w:caps w:val="0"/>
                <w:color w:val="1B1B1B"/>
                <w:spacing w:val="0"/>
                <w:sz w:val="16"/>
                <w:szCs w:val="16"/>
                <w:lang w:val="en-US" w:eastAsia="zh-CN"/>
              </w:rPr>
            </w:pPr>
            <w:r>
              <w:rPr>
                <w:rFonts w:hint="eastAsia" w:ascii="微软雅黑" w:hAnsi="微软雅黑" w:eastAsia="微软雅黑" w:cs="微软雅黑"/>
                <w:i w:val="0"/>
                <w:iCs w:val="0"/>
                <w:caps w:val="0"/>
                <w:color w:val="1B1B1B"/>
                <w:spacing w:val="0"/>
                <w:sz w:val="16"/>
                <w:szCs w:val="16"/>
                <w:lang w:val="en-US" w:eastAsia="zh-CN"/>
              </w:rPr>
              <w:t>一审判决书裁定债务人向债权人支付31,650,590.36元；2025年3月我司收到二审判决书，二审判决结果为维持一审判决，驳回债务人的上诉；2025年4月，法院执行已经立案</w:t>
            </w:r>
          </w:p>
        </w:tc>
      </w:tr>
    </w:tbl>
    <w:p>
      <w:pPr>
        <w:rPr>
          <w:rFonts w:hint="eastAsia"/>
          <w:lang w:val="en-US" w:eastAsia="zh-CN"/>
        </w:rPr>
      </w:pPr>
    </w:p>
    <w:p>
      <w:pPr>
        <w:rPr>
          <w:rFonts w:hint="eastAsia"/>
          <w:lang w:val="en-US" w:eastAsia="zh-CN"/>
        </w:rPr>
      </w:pPr>
    </w:p>
    <w:p>
      <w:pPr>
        <w:rPr>
          <w:rFonts w:hint="eastAsia"/>
          <w:lang w:val="en-US" w:eastAsia="zh-CN"/>
        </w:rPr>
      </w:pPr>
    </w:p>
    <w:p>
      <w:pPr>
        <w:ind w:firstLine="420" w:firstLineChars="200"/>
      </w:pPr>
      <w:r>
        <w:rPr>
          <w:rFonts w:hint="eastAsia"/>
          <w:lang w:val="en-US" w:eastAsia="zh-CN"/>
        </w:rPr>
        <w:t>备注：资产清单以</w:t>
      </w:r>
      <w:bookmarkStart w:id="0" w:name="_GoBack"/>
      <w:bookmarkEnd w:id="0"/>
      <w:r>
        <w:rPr>
          <w:rFonts w:hint="eastAsia"/>
          <w:lang w:val="en-US" w:eastAsia="zh-CN"/>
        </w:rPr>
        <w:t>合同、法院判决等有关法律资料为准。</w:t>
      </w:r>
    </w:p>
    <w:p>
      <w:pPr>
        <w:rPr>
          <w:rFonts w:hint="eastAsia"/>
          <w:b/>
          <w:bCs/>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xOGZkMTA0N2FiNzgzZWMzM2E5ZDFjMmRkYjMzZGYifQ=="/>
  </w:docVars>
  <w:rsids>
    <w:rsidRoot w:val="7BB56B1E"/>
    <w:rsid w:val="344E2E15"/>
    <w:rsid w:val="7BB56B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2025-10-30T00:04:00Z</dcterms:created>
  <dc:creator>陈大雪</dc:creator>
  <cp:lastModifiedBy>long</cp:lastModifiedBy>
  <dcterms:modified xsi:type="dcterms:W3CDTF">2025-11-04T07:51:54Z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0435A922D4C84D968F09677D224DD7AF_11</vt:lpwstr>
  </property>
</Properties>
</file>