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54" w:firstLineChars="1300"/>
        <w:rPr>
          <w:rFonts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hint="eastAsia" w:ascii="Times New Roman" w:eastAsia="宋体"/>
          <w:b w:val="0"/>
          <w:bCs/>
          <w:color w:val="FF0000"/>
          <w:sz w:val="20"/>
          <w:szCs w:val="20"/>
          <w:lang w:val="en-US"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lang w:val="en-US" w:eastAsia="zh-CN"/>
        </w:rPr>
      </w:pPr>
      <w:r>
        <w:rPr>
          <w:rFonts w:hint="eastAsia" w:ascii="Times New Roman" w:eastAsia="宋体"/>
          <w:b/>
          <w:color w:val="FF0000"/>
          <w:lang w:val="en-US" w:eastAsia="zh-CN"/>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pPr>
        <w:pStyle w:val="51"/>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pPr>
        <w:pStyle w:val="15"/>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jc w:val="both"/>
        <w:textAlignment w:val="auto"/>
        <w:outlineLvl w:val="1"/>
        <w:rPr>
          <w:rFonts w:hint="eastAsia" w:ascii="黑体" w:hAnsi="宋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ascii="Times New Roman" w:hAnsi="Times New Roman" w:eastAsia="宋体" w:cs="Times New Roman"/>
          <w:b/>
          <w:color w:val="FF0000"/>
          <w:kern w:val="2"/>
          <w:sz w:val="21"/>
          <w:szCs w:val="24"/>
          <w:lang w:val="en-US" w:eastAsia="zh-CN" w:bidi="ar-SA"/>
        </w:rPr>
        <w:t>注：“特别警示条款”和《政府采购违法行为风险知悉确认书》用于对供应商违法行为的提醒，不作为供应商资格性审查及符合性审查条件。</w:t>
      </w:r>
    </w:p>
    <w:p>
      <w:pPr>
        <w:widowControl/>
        <w:spacing w:beforeAutospacing="1" w:afterAutospacing="1"/>
        <w:jc w:val="center"/>
        <w:outlineLvl w:val="0"/>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18"/>
        <w:tblW w:w="499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2879"/>
        <w:gridCol w:w="5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项目编号：</w:t>
            </w:r>
          </w:p>
        </w:tc>
        <w:tc>
          <w:tcPr>
            <w:tcW w:w="3285" w:type="pct"/>
            <w:vAlign w:val="center"/>
          </w:tcPr>
          <w:p>
            <w:pPr>
              <w:spacing w:line="290" w:lineRule="exact"/>
              <w:jc w:val="center"/>
              <w:rPr>
                <w:rFonts w:hint="default" w:ascii="宋体" w:hAnsi="宋体" w:eastAsia="宋体" w:cs="Times New Roman"/>
                <w:sz w:val="28"/>
                <w:szCs w:val="28"/>
                <w:lang w:val="en-US" w:eastAsia="zh-CN"/>
              </w:rPr>
            </w:pPr>
            <w:r>
              <w:rPr>
                <w:rFonts w:hint="default" w:ascii="宋体" w:hAnsi="宋体" w:eastAsia="宋体" w:cs="Times New Roman"/>
                <w:sz w:val="28"/>
                <w:szCs w:val="28"/>
                <w:lang w:val="en-US" w:eastAsia="zh-CN"/>
              </w:rPr>
              <w:t>LHAZXCG-2025-00055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项目名称：</w:t>
            </w:r>
          </w:p>
        </w:tc>
        <w:tc>
          <w:tcPr>
            <w:tcW w:w="3285" w:type="pct"/>
            <w:vAlign w:val="center"/>
          </w:tcPr>
          <w:p>
            <w:pPr>
              <w:spacing w:line="290" w:lineRule="exact"/>
              <w:jc w:val="center"/>
              <w:rPr>
                <w:rFonts w:hint="default" w:ascii="宋体" w:hAnsi="宋体" w:eastAsia="宋体" w:cs="Times New Roman"/>
                <w:sz w:val="28"/>
                <w:szCs w:val="28"/>
                <w:lang w:val="en-US" w:eastAsia="zh-CN"/>
              </w:rPr>
            </w:pPr>
            <w:r>
              <w:rPr>
                <w:rFonts w:hint="default" w:ascii="宋体" w:hAnsi="宋体" w:eastAsia="宋体" w:cs="Times New Roman"/>
                <w:sz w:val="28"/>
                <w:szCs w:val="28"/>
                <w:lang w:val="en-US" w:eastAsia="zh-CN"/>
              </w:rPr>
              <w:t>校园安全设备设施采购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包</w:t>
            </w:r>
            <w:r>
              <w:rPr>
                <w:rFonts w:hint="eastAsia" w:ascii="宋体" w:hAnsi="宋体" w:eastAsia="宋体" w:cs="Times New Roman"/>
                <w:sz w:val="28"/>
                <w:szCs w:val="28"/>
              </w:rPr>
              <w:t xml:space="preserve">    </w:t>
            </w:r>
            <w:r>
              <w:rPr>
                <w:rFonts w:ascii="宋体" w:hAnsi="宋体" w:eastAsia="宋体" w:cs="Times New Roman"/>
                <w:sz w:val="28"/>
                <w:szCs w:val="28"/>
              </w:rPr>
              <w:t>号：</w:t>
            </w:r>
          </w:p>
        </w:tc>
        <w:tc>
          <w:tcPr>
            <w:tcW w:w="3285"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项目类型：</w:t>
            </w:r>
          </w:p>
        </w:tc>
        <w:tc>
          <w:tcPr>
            <w:tcW w:w="3285" w:type="pct"/>
            <w:vAlign w:val="center"/>
          </w:tcPr>
          <w:p>
            <w:pPr>
              <w:spacing w:line="290" w:lineRule="exact"/>
              <w:jc w:val="center"/>
              <w:rPr>
                <w:rFonts w:ascii="宋体" w:hAnsi="宋体" w:eastAsia="宋体" w:cs="Times New Roman"/>
                <w:sz w:val="28"/>
                <w:szCs w:val="28"/>
              </w:rPr>
            </w:pPr>
            <w:r>
              <w:rPr>
                <w:rFonts w:hint="eastAsia" w:ascii="宋体" w:hAnsi="宋体" w:eastAsia="宋体" w:cs="Times New Roman"/>
                <w:sz w:val="28"/>
                <w:szCs w:val="28"/>
              </w:rPr>
              <w:t>货物</w:t>
            </w:r>
            <w:r>
              <w:rPr>
                <w:rFonts w:ascii="宋体" w:hAnsi="宋体" w:eastAsia="宋体" w:cs="Times New Roman"/>
                <w:sz w:val="28"/>
                <w:szCs w:val="28"/>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采购方式：</w:t>
            </w:r>
          </w:p>
        </w:tc>
        <w:tc>
          <w:tcPr>
            <w:tcW w:w="3285"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货币类型：</w:t>
            </w:r>
          </w:p>
        </w:tc>
        <w:tc>
          <w:tcPr>
            <w:tcW w:w="3285"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评标方法：</w:t>
            </w:r>
          </w:p>
        </w:tc>
        <w:tc>
          <w:tcPr>
            <w:tcW w:w="3285" w:type="pct"/>
            <w:vAlign w:val="center"/>
          </w:tcPr>
          <w:p>
            <w:pPr>
              <w:spacing w:line="290" w:lineRule="exact"/>
              <w:jc w:val="center"/>
              <w:rPr>
                <w:rFonts w:ascii="宋体" w:hAnsi="宋体" w:eastAsia="宋体" w:cs="Times New Roman"/>
                <w:sz w:val="28"/>
                <w:szCs w:val="28"/>
              </w:rPr>
            </w:pPr>
            <w:r>
              <w:rPr>
                <w:rFonts w:ascii="宋体" w:hAnsi="宋体" w:eastAsia="宋体" w:cs="Times New Roman"/>
                <w:sz w:val="28"/>
                <w:szCs w:val="28"/>
              </w:rPr>
              <w:t>综合评分法</w:t>
            </w:r>
          </w:p>
        </w:tc>
      </w:tr>
    </w:tbl>
    <w:p>
      <w:pPr>
        <w:tabs>
          <w:tab w:val="left" w:pos="2790"/>
        </w:tabs>
        <w:snapToGrid w:val="0"/>
        <w:spacing w:line="440" w:lineRule="exact"/>
        <w:jc w:val="left"/>
        <w:rPr>
          <w:rFonts w:hint="eastAsia" w:asciiTheme="minorEastAsia" w:hAnsiTheme="minorEastAsia"/>
          <w:sz w:val="30"/>
          <w:szCs w:val="30"/>
        </w:rPr>
      </w:pPr>
    </w:p>
    <w:p>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资格性审查表</w:t>
      </w:r>
    </w:p>
    <w:tbl>
      <w:tblPr>
        <w:tblStyle w:val="18"/>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hint="eastAsia"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hint="eastAsia" w:ascii="宋体" w:hAnsi="宋体" w:eastAsia="宋体" w:cs="宋体"/>
                <w:szCs w:val="21"/>
              </w:rPr>
            </w:pPr>
            <w:r>
              <w:rPr>
                <w:rFonts w:ascii="宋体" w:hAnsi="宋体" w:eastAsia="宋体" w:cs="Times New Roman"/>
                <w:szCs w:val="21"/>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hint="eastAsia"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pPr>
              <w:spacing w:line="290" w:lineRule="exact"/>
              <w:rPr>
                <w:rFonts w:hint="eastAsia" w:ascii="宋体" w:hAnsi="宋体" w:eastAsia="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pPr>
        <w:tabs>
          <w:tab w:val="left" w:pos="2790"/>
        </w:tabs>
        <w:snapToGrid w:val="0"/>
        <w:jc w:val="center"/>
        <w:rPr>
          <w:rFonts w:hint="eastAsia" w:ascii="黑体" w:hAnsi="黑体" w:eastAsia="黑体" w:cs="Times New Roman"/>
          <w:sz w:val="40"/>
          <w:szCs w:val="40"/>
        </w:rPr>
      </w:pPr>
    </w:p>
    <w:p>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符合性审查表</w:t>
      </w:r>
    </w:p>
    <w:tbl>
      <w:tblPr>
        <w:tblStyle w:val="18"/>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lang w:bidi="ar"/>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rPr>
                <w:szCs w:val="21"/>
              </w:rPr>
            </w:pPr>
            <w:r>
              <w:rPr>
                <w:rFonts w:hint="eastAsia"/>
                <w:lang w:val="en-US" w:eastAsia="zh-CN"/>
              </w:rPr>
              <w:t>不得</w:t>
            </w:r>
            <w:r>
              <w:rPr>
                <w:rFonts w:hint="eastAsia"/>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rPr>
                <w:szCs w:val="21"/>
              </w:rPr>
            </w:pPr>
            <w:r>
              <w:rPr>
                <w:rFonts w:hint="eastAsia"/>
              </w:rPr>
              <w:t>分项报价或投标总价</w:t>
            </w:r>
            <w:r>
              <w:rPr>
                <w:rFonts w:hint="eastAsia"/>
                <w:lang w:val="en-US" w:eastAsia="zh-CN"/>
              </w:rPr>
              <w:t>不得</w:t>
            </w:r>
            <w:r>
              <w:rPr>
                <w:rFonts w:hint="eastAsia"/>
              </w:rPr>
              <w:t>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hint="eastAsia" w:ascii="宋体" w:hAnsi="宋体" w:cs="宋体"/>
                <w:kern w:val="0"/>
                <w:szCs w:val="21"/>
                <w:lang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rPr>
                <w:szCs w:val="21"/>
              </w:rPr>
            </w:pPr>
            <w:r>
              <w:rPr>
                <w:rFonts w:hint="eastAsia"/>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rPr>
                <w:szCs w:val="21"/>
              </w:rPr>
            </w:pPr>
            <w:r>
              <w:rPr>
                <w:rFonts w:hint="eastAsia"/>
              </w:rPr>
              <w:t>投标文件电子文档</w:t>
            </w:r>
            <w:r>
              <w:rPr>
                <w:rFonts w:hint="eastAsia"/>
                <w:lang w:val="en-US" w:eastAsia="zh-CN"/>
              </w:rPr>
              <w:t>不得</w:t>
            </w:r>
            <w:r>
              <w:rPr>
                <w:rFonts w:hint="eastAsia"/>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rPr>
                <w:szCs w:val="21"/>
              </w:rPr>
            </w:pPr>
            <w:r>
              <w:rPr>
                <w:rFonts w:hint="eastAsia"/>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hint="eastAsia"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hint="eastAsia" w:ascii="宋体" w:hAnsi="宋体" w:cs="宋体"/>
                <w:kern w:val="0"/>
                <w:szCs w:val="21"/>
                <w:lang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top"/>
              <w:rPr>
                <w:rFonts w:ascii="宋体" w:hAnsi="宋体" w:cs="宋体"/>
                <w:kern w:val="0"/>
                <w:szCs w:val="21"/>
                <w:lang w:bidi="ar"/>
              </w:rPr>
            </w:pPr>
            <w:r>
              <w:rPr>
                <w:rFonts w:hint="eastAsia" w:ascii="宋体" w:hAnsi="宋体" w:cs="宋体"/>
                <w:kern w:val="0"/>
                <w:szCs w:val="21"/>
                <w:lang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pPr>
              <w:rPr>
                <w:szCs w:val="21"/>
              </w:rPr>
            </w:pPr>
            <w:r>
              <w:rPr>
                <w:rFonts w:hint="eastAsia"/>
              </w:rPr>
              <w:t>法律、法规、规章、规范性文件规定的其他情形。</w:t>
            </w:r>
          </w:p>
        </w:tc>
      </w:tr>
    </w:tbl>
    <w:p>
      <w:pPr>
        <w:tabs>
          <w:tab w:val="left" w:pos="2790"/>
        </w:tabs>
        <w:snapToGrid w:val="0"/>
        <w:jc w:val="left"/>
        <w:rPr>
          <w:sz w:val="24"/>
          <w:szCs w:val="24"/>
        </w:rPr>
      </w:pPr>
    </w:p>
    <w:p>
      <w:pPr>
        <w:tabs>
          <w:tab w:val="left" w:pos="2790"/>
        </w:tabs>
        <w:snapToGrid w:val="0"/>
        <w:jc w:val="left"/>
        <w:rPr>
          <w:sz w:val="24"/>
          <w:szCs w:val="24"/>
        </w:rPr>
      </w:pPr>
    </w:p>
    <w:p>
      <w:pPr>
        <w:tabs>
          <w:tab w:val="left" w:pos="2790"/>
        </w:tabs>
        <w:snapToGrid w:val="0"/>
        <w:jc w:val="left"/>
        <w:rPr>
          <w:sz w:val="24"/>
          <w:szCs w:val="24"/>
        </w:rPr>
      </w:pPr>
    </w:p>
    <w:p>
      <w:pPr>
        <w:tabs>
          <w:tab w:val="left" w:pos="2790"/>
        </w:tabs>
        <w:snapToGrid w:val="0"/>
        <w:jc w:val="left"/>
        <w:rPr>
          <w:sz w:val="24"/>
          <w:szCs w:val="24"/>
        </w:rPr>
      </w:pPr>
    </w:p>
    <w:p>
      <w:pPr>
        <w:pStyle w:val="15"/>
        <w:jc w:val="center"/>
        <w:outlineLvl w:val="0"/>
        <w:rPr>
          <w:rFonts w:hint="eastAsia" w:ascii="黑体" w:eastAsia="黑体"/>
          <w:sz w:val="40"/>
          <w:szCs w:val="40"/>
        </w:rPr>
      </w:pPr>
      <w:r>
        <w:rPr>
          <w:rFonts w:hint="eastAsia" w:ascii="黑体" w:hAnsi="黑体" w:eastAsia="黑体"/>
          <w:sz w:val="40"/>
          <w:szCs w:val="40"/>
        </w:rPr>
        <w:t>评标信息</w:t>
      </w:r>
    </w:p>
    <w:tbl>
      <w:tblPr>
        <w:tblStyle w:val="18"/>
        <w:tblW w:w="9224"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3"/>
        <w:gridCol w:w="353"/>
        <w:gridCol w:w="485"/>
        <w:gridCol w:w="1473"/>
        <w:gridCol w:w="979"/>
        <w:gridCol w:w="5768"/>
        <w:gridCol w:w="8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83" w:type="dxa"/>
          <w:tblCellSpacing w:w="0" w:type="dxa"/>
          <w:jc w:val="center"/>
        </w:trPr>
        <w:tc>
          <w:tcPr>
            <w:tcW w:w="9141" w:type="dxa"/>
            <w:gridSpan w:val="6"/>
            <w:shd w:val="clear" w:color="auto" w:fill="auto"/>
            <w:vAlign w:val="center"/>
          </w:tcPr>
          <w:p>
            <w:pPr>
              <w:jc w:val="left"/>
              <w:rPr>
                <w:rFonts w:ascii="宋体"/>
                <w:b/>
                <w:bCs/>
                <w:sz w:val="24"/>
              </w:rPr>
            </w:pPr>
            <w:r>
              <w:rPr>
                <w:b/>
                <w:bCs/>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gridBefore w:val="1"/>
          <w:wBefore w:w="83" w:type="dxa"/>
          <w:tblCellSpacing w:w="0" w:type="dxa"/>
          <w:jc w:val="center"/>
        </w:trPr>
        <w:tc>
          <w:tcPr>
            <w:tcW w:w="9141" w:type="dxa"/>
            <w:gridSpan w:val="6"/>
            <w:shd w:val="clear" w:color="auto" w:fill="auto"/>
            <w:vAlign w:val="center"/>
          </w:tcPr>
          <w:p>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pPr>
              <w:ind w:firstLine="420"/>
            </w:pPr>
          </w:p>
          <w:p>
            <w:pPr>
              <w:ind w:firstLine="420"/>
              <w:rPr>
                <w:szCs w:val="21"/>
              </w:rPr>
            </w:pPr>
            <w:r>
              <w:rPr>
                <w:szCs w:val="21"/>
              </w:rPr>
              <w:t>价格分计算方法：</w:t>
            </w:r>
          </w:p>
          <w:p>
            <w:pPr>
              <w:pStyle w:val="15"/>
              <w:spacing w:beforeAutospacing="0" w:afterAutospacing="0"/>
              <w:ind w:left="420"/>
              <w:rPr>
                <w:rFonts w:hint="eastAsia"/>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pPr>
              <w:pStyle w:val="15"/>
              <w:spacing w:beforeAutospacing="0" w:afterAutospacing="0"/>
              <w:ind w:left="420"/>
              <w:rPr>
                <w:rFonts w:hint="eastAsia"/>
              </w:rPr>
            </w:pPr>
            <w:r>
              <w:rPr>
                <w:rFonts w:hint="eastAsia"/>
                <w:sz w:val="21"/>
                <w:szCs w:val="21"/>
              </w:rPr>
              <w:t>因落实政府采购政策进行价格调整的，以调整后的价格计算评标基准价和投标报价。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ascii="宋体" w:hAnsi="宋体" w:cs="宋体"/>
                <w:b/>
                <w:bCs/>
                <w:szCs w:val="21"/>
              </w:rPr>
            </w:pPr>
            <w:r>
              <w:rPr>
                <w:rFonts w:hint="eastAsia" w:ascii="宋体" w:hAnsi="宋体" w:cs="宋体"/>
                <w:b/>
                <w:bCs/>
                <w:szCs w:val="21"/>
              </w:rPr>
              <w:t>序号</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ascii="宋体" w:hAnsi="宋体" w:cs="宋体"/>
                <w:b/>
                <w:bCs/>
                <w:szCs w:val="21"/>
              </w:rPr>
            </w:pPr>
            <w:r>
              <w:rPr>
                <w:rFonts w:hint="eastAsia" w:ascii="宋体" w:hAnsi="宋体" w:cs="宋体"/>
                <w:b/>
                <w:bCs/>
                <w:szCs w:val="21"/>
              </w:rPr>
              <w:t>评分项</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jc w:val="center"/>
              <w:rPr>
                <w:rFonts w:ascii="宋体" w:hAnsi="宋体" w:cs="宋体"/>
                <w:b/>
                <w:bCs/>
                <w:szCs w:val="21"/>
              </w:rPr>
            </w:pPr>
            <w:r>
              <w:rPr>
                <w:rFonts w:hint="eastAsia" w:ascii="宋体" w:hAnsi="宋体" w:cs="宋体"/>
                <w:b/>
                <w:bCs/>
                <w:szCs w:val="21"/>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ascii="宋体" w:hAnsi="宋体" w:cs="宋体"/>
                <w:b/>
                <w:bCs/>
                <w:szCs w:val="21"/>
              </w:rPr>
            </w:pPr>
            <w:r>
              <w:rPr>
                <w:rFonts w:hint="eastAsia" w:ascii="宋体" w:hAnsi="宋体" w:cs="宋体"/>
                <w:b/>
                <w:bCs/>
                <w:szCs w:val="21"/>
              </w:rPr>
              <w:t>1</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40" w:lineRule="exact"/>
              <w:jc w:val="center"/>
              <w:rPr>
                <w:rFonts w:ascii="宋体" w:hAnsi="宋体" w:cs="宋体"/>
                <w:b/>
                <w:bCs/>
                <w:szCs w:val="21"/>
              </w:rPr>
            </w:pPr>
            <w:r>
              <w:rPr>
                <w:rFonts w:hint="eastAsia" w:ascii="宋体" w:hAnsi="宋体" w:cs="宋体"/>
                <w:b/>
                <w:bCs/>
                <w:szCs w:val="21"/>
              </w:rPr>
              <w:t>价格</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40" w:lineRule="exact"/>
              <w:jc w:val="center"/>
              <w:rPr>
                <w:rFonts w:ascii="宋体" w:hAnsi="宋体" w:cs="宋体"/>
                <w:b/>
                <w:bCs/>
                <w:szCs w:val="21"/>
              </w:rPr>
            </w:pPr>
            <w:r>
              <w:rPr>
                <w:rFonts w:hint="eastAsia" w:ascii="宋体" w:hAnsi="宋体" w:cs="宋体"/>
                <w:b/>
                <w:bCs/>
                <w:szCs w:val="21"/>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ascii="宋体" w:hAnsi="宋体" w:cs="宋体"/>
                <w:b/>
                <w:bCs/>
                <w:szCs w:val="21"/>
              </w:rPr>
            </w:pPr>
            <w:r>
              <w:rPr>
                <w:rFonts w:hint="eastAsia" w:ascii="宋体" w:hAnsi="宋体" w:cs="宋体"/>
                <w:b/>
                <w:bCs/>
                <w:szCs w:val="21"/>
              </w:rPr>
              <w:t>2</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40" w:lineRule="exact"/>
              <w:jc w:val="center"/>
              <w:rPr>
                <w:rFonts w:ascii="宋体" w:hAnsi="宋体" w:cs="宋体"/>
                <w:b/>
                <w:bCs/>
                <w:szCs w:val="21"/>
              </w:rPr>
            </w:pPr>
            <w:r>
              <w:rPr>
                <w:rFonts w:hint="eastAsia" w:ascii="宋体" w:hAnsi="宋体" w:cs="宋体"/>
                <w:b/>
                <w:bCs/>
                <w:szCs w:val="21"/>
              </w:rPr>
              <w:t>技术部分</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40" w:lineRule="exact"/>
              <w:jc w:val="center"/>
              <w:rPr>
                <w:rFonts w:hint="default" w:ascii="宋体" w:hAnsi="宋体" w:cs="宋体" w:eastAsiaTheme="minorEastAsia"/>
                <w:b/>
                <w:bCs/>
                <w:szCs w:val="21"/>
                <w:lang w:val="en-US" w:eastAsia="zh-CN"/>
              </w:rPr>
            </w:pPr>
            <w:r>
              <w:rPr>
                <w:rFonts w:hint="eastAsia" w:ascii="宋体" w:hAnsi="宋体" w:cs="宋体"/>
                <w:b/>
                <w:bCs/>
                <w:szCs w:val="21"/>
                <w:lang w:val="en-US" w:eastAsia="zh-CN"/>
              </w:rPr>
              <w:t>53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序号</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评分因素</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权重</w:t>
            </w:r>
            <w:r>
              <w:rPr>
                <w:rFonts w:hint="eastAsia" w:ascii="宋体" w:hAnsi="宋体" w:cs="宋体"/>
                <w:bCs/>
                <w:szCs w:val="21"/>
              </w:rPr>
              <w:t>（%）</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240" w:lineRule="exact"/>
              <w:jc w:val="center"/>
              <w:rPr>
                <w:rFonts w:ascii="宋体" w:hAnsi="宋体" w:cs="宋体"/>
                <w:szCs w:val="21"/>
              </w:rPr>
            </w:pPr>
            <w:r>
              <w:rPr>
                <w:rFonts w:hint="eastAsia" w:ascii="宋体" w:hAnsi="宋体" w:cs="宋体"/>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240" w:lineRule="exact"/>
              <w:jc w:val="center"/>
              <w:rPr>
                <w:rFonts w:ascii="宋体" w:hAnsi="宋体" w:cs="宋体"/>
                <w:szCs w:val="21"/>
              </w:rPr>
            </w:pPr>
            <w:r>
              <w:rPr>
                <w:rFonts w:ascii="宋体" w:hAnsi="宋体"/>
                <w:szCs w:val="21"/>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总体</w:t>
            </w:r>
            <w:r>
              <w:rPr>
                <w:rFonts w:hint="eastAsia" w:asciiTheme="minorEastAsia" w:hAnsiTheme="minorEastAsia" w:eastAsiaTheme="minorEastAsia" w:cstheme="minorEastAsia"/>
                <w:kern w:val="0"/>
                <w:sz w:val="21"/>
                <w:szCs w:val="21"/>
                <w:lang w:val="en-US" w:eastAsia="zh-CN"/>
              </w:rPr>
              <w:t>施工组织</w:t>
            </w:r>
            <w:r>
              <w:rPr>
                <w:rFonts w:hint="eastAsia" w:asciiTheme="minorEastAsia" w:hAnsiTheme="minorEastAsia" w:eastAsiaTheme="minorEastAsia" w:cstheme="minorEastAsia"/>
                <w:kern w:val="0"/>
                <w:sz w:val="21"/>
                <w:szCs w:val="21"/>
              </w:rPr>
              <w:t>方案</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5</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wordWrap/>
              <w:spacing w:line="24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考察内容：</w:t>
            </w:r>
          </w:p>
          <w:p>
            <w:pPr>
              <w:wordWrap/>
              <w:spacing w:line="24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投标人提供的</w:t>
            </w:r>
            <w:r>
              <w:rPr>
                <w:rFonts w:hint="eastAsia" w:asciiTheme="minorEastAsia" w:hAnsiTheme="minorEastAsia" w:eastAsiaTheme="minorEastAsia" w:cstheme="minorEastAsia"/>
                <w:kern w:val="0"/>
                <w:szCs w:val="21"/>
                <w:lang w:val="en-US" w:eastAsia="zh-CN"/>
              </w:rPr>
              <w:t>施工组织</w:t>
            </w:r>
            <w:r>
              <w:rPr>
                <w:rFonts w:hint="eastAsia" w:asciiTheme="minorEastAsia" w:hAnsiTheme="minorEastAsia" w:eastAsiaTheme="minorEastAsia" w:cstheme="minorEastAsia"/>
                <w:kern w:val="0"/>
                <w:szCs w:val="21"/>
              </w:rPr>
              <w:t>方案</w:t>
            </w:r>
            <w:r>
              <w:rPr>
                <w:rFonts w:hint="eastAsia" w:asciiTheme="minorEastAsia" w:hAnsiTheme="minorEastAsia" w:eastAsiaTheme="minorEastAsia" w:cstheme="minorEastAsia"/>
                <w:b w:val="0"/>
                <w:bCs w:val="0"/>
                <w:szCs w:val="21"/>
              </w:rPr>
              <w:t>方案中包括：</w:t>
            </w:r>
          </w:p>
          <w:p>
            <w:pPr>
              <w:wordWrap/>
              <w:spacing w:line="24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（1）项目</w:t>
            </w:r>
            <w:r>
              <w:rPr>
                <w:rFonts w:hint="eastAsia" w:asciiTheme="minorEastAsia" w:hAnsiTheme="minorEastAsia" w:eastAsiaTheme="minorEastAsia" w:cstheme="minorEastAsia"/>
                <w:b w:val="0"/>
                <w:bCs w:val="0"/>
                <w:szCs w:val="21"/>
                <w:lang w:val="en-US" w:eastAsia="zh-CN"/>
              </w:rPr>
              <w:t>项目</w:t>
            </w:r>
            <w:r>
              <w:rPr>
                <w:rFonts w:hint="eastAsia" w:asciiTheme="minorEastAsia" w:hAnsiTheme="minorEastAsia" w:eastAsiaTheme="minorEastAsia" w:cstheme="minorEastAsia"/>
                <w:b w:val="0"/>
                <w:bCs w:val="0"/>
                <w:szCs w:val="21"/>
              </w:rPr>
              <w:t>组织方案；</w:t>
            </w:r>
          </w:p>
          <w:p>
            <w:pPr>
              <w:wordWrap/>
              <w:spacing w:line="24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（2）项目分项设计方案；</w:t>
            </w:r>
          </w:p>
          <w:p>
            <w:pPr>
              <w:wordWrap/>
              <w:spacing w:line="24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（3）</w:t>
            </w:r>
            <w:r>
              <w:rPr>
                <w:rFonts w:hint="eastAsia" w:asciiTheme="minorEastAsia" w:hAnsiTheme="minorEastAsia" w:eastAsiaTheme="minorEastAsia" w:cstheme="minorEastAsia"/>
                <w:b w:val="0"/>
                <w:bCs w:val="0"/>
                <w:szCs w:val="21"/>
                <w:lang w:val="en-US" w:eastAsia="zh-CN"/>
              </w:rPr>
              <w:t>项目</w:t>
            </w:r>
            <w:r>
              <w:rPr>
                <w:rFonts w:hint="eastAsia" w:asciiTheme="minorEastAsia" w:hAnsiTheme="minorEastAsia" w:eastAsiaTheme="minorEastAsia" w:cstheme="minorEastAsia"/>
                <w:b w:val="0"/>
                <w:bCs w:val="0"/>
                <w:szCs w:val="21"/>
              </w:rPr>
              <w:t>工期保证措施；</w:t>
            </w:r>
          </w:p>
          <w:p>
            <w:pPr>
              <w:wordWrap/>
              <w:spacing w:line="24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（4）</w:t>
            </w:r>
            <w:r>
              <w:rPr>
                <w:rFonts w:hint="eastAsia" w:asciiTheme="minorEastAsia" w:hAnsiTheme="minorEastAsia" w:eastAsiaTheme="minorEastAsia" w:cstheme="minorEastAsia"/>
                <w:b w:val="0"/>
                <w:bCs w:val="0"/>
                <w:szCs w:val="21"/>
                <w:lang w:val="en-US" w:eastAsia="zh-CN"/>
              </w:rPr>
              <w:t>项目</w:t>
            </w:r>
            <w:r>
              <w:rPr>
                <w:rFonts w:hint="eastAsia" w:asciiTheme="minorEastAsia" w:hAnsiTheme="minorEastAsia" w:eastAsiaTheme="minorEastAsia" w:cstheme="minorEastAsia"/>
                <w:b w:val="0"/>
                <w:bCs w:val="0"/>
                <w:szCs w:val="21"/>
              </w:rPr>
              <w:t>质量保证及安全文明</w:t>
            </w:r>
            <w:r>
              <w:rPr>
                <w:rFonts w:hint="eastAsia" w:asciiTheme="minorEastAsia" w:hAnsiTheme="minorEastAsia" w:eastAsiaTheme="minorEastAsia" w:cstheme="minorEastAsia"/>
                <w:b w:val="0"/>
                <w:bCs w:val="0"/>
                <w:szCs w:val="21"/>
                <w:lang w:val="en-US" w:eastAsia="zh-CN"/>
              </w:rPr>
              <w:t>保障</w:t>
            </w:r>
            <w:r>
              <w:rPr>
                <w:rFonts w:hint="eastAsia" w:asciiTheme="minorEastAsia" w:hAnsiTheme="minorEastAsia" w:eastAsiaTheme="minorEastAsia" w:cstheme="minorEastAsia"/>
                <w:b w:val="0"/>
                <w:bCs w:val="0"/>
                <w:szCs w:val="21"/>
              </w:rPr>
              <w:t>措施；</w:t>
            </w:r>
          </w:p>
          <w:p>
            <w:pPr>
              <w:wordWrap/>
              <w:spacing w:line="24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（5）服务组织机构设置（含人员安排、车辆工具配置、备品备件配置等）。</w:t>
            </w:r>
          </w:p>
          <w:p>
            <w:pPr>
              <w:wordWrap/>
              <w:spacing w:line="24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评审标准：</w:t>
            </w:r>
          </w:p>
          <w:p>
            <w:pPr>
              <w:wordWrap/>
              <w:spacing w:line="24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评审委员会根据招标文件的需求和投标文件的响应情况，进行评价及分档评分： </w:t>
            </w:r>
          </w:p>
          <w:p>
            <w:pPr>
              <w:wordWrap/>
              <w:spacing w:line="24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1、满足5点得</w:t>
            </w:r>
            <w:r>
              <w:rPr>
                <w:rFonts w:hint="eastAsia" w:asciiTheme="minorEastAsia" w:hAnsiTheme="minorEastAsia" w:eastAsiaTheme="minorEastAsia" w:cstheme="minorEastAsia"/>
                <w:b w:val="0"/>
                <w:bCs w:val="0"/>
                <w:szCs w:val="21"/>
                <w:lang w:val="en-US" w:eastAsia="zh-CN"/>
              </w:rPr>
              <w:t>50</w:t>
            </w:r>
            <w:r>
              <w:rPr>
                <w:rFonts w:hint="eastAsia" w:asciiTheme="minorEastAsia" w:hAnsiTheme="minorEastAsia" w:eastAsiaTheme="minorEastAsia" w:cstheme="minorEastAsia"/>
                <w:b w:val="0"/>
                <w:bCs w:val="0"/>
                <w:szCs w:val="21"/>
              </w:rPr>
              <w:t>分；</w:t>
            </w:r>
          </w:p>
          <w:p>
            <w:pPr>
              <w:wordWrap/>
              <w:spacing w:line="24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2、满足任意4点得</w:t>
            </w:r>
            <w:r>
              <w:rPr>
                <w:rFonts w:hint="eastAsia" w:asciiTheme="minorEastAsia" w:hAnsiTheme="minorEastAsia" w:eastAsiaTheme="minorEastAsia" w:cstheme="minorEastAsia"/>
                <w:b w:val="0"/>
                <w:bCs w:val="0"/>
                <w:szCs w:val="21"/>
                <w:lang w:val="en-US" w:eastAsia="zh-CN"/>
              </w:rPr>
              <w:t>25</w:t>
            </w:r>
            <w:r>
              <w:rPr>
                <w:rFonts w:hint="eastAsia" w:asciiTheme="minorEastAsia" w:hAnsiTheme="minorEastAsia" w:eastAsiaTheme="minorEastAsia" w:cstheme="minorEastAsia"/>
                <w:b w:val="0"/>
                <w:bCs w:val="0"/>
                <w:szCs w:val="21"/>
              </w:rPr>
              <w:t>分；</w:t>
            </w:r>
          </w:p>
          <w:p>
            <w:pPr>
              <w:wordWrap/>
              <w:spacing w:line="24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3、满足任意3点得</w:t>
            </w:r>
            <w:r>
              <w:rPr>
                <w:rFonts w:hint="eastAsia" w:asciiTheme="minorEastAsia" w:hAnsiTheme="minorEastAsia" w:eastAsiaTheme="minorEastAsia" w:cstheme="minorEastAsia"/>
                <w:b w:val="0"/>
                <w:bCs w:val="0"/>
                <w:szCs w:val="21"/>
                <w:lang w:val="en-US" w:eastAsia="zh-CN"/>
              </w:rPr>
              <w:t>10</w:t>
            </w:r>
            <w:r>
              <w:rPr>
                <w:rFonts w:hint="eastAsia" w:asciiTheme="minorEastAsia" w:hAnsiTheme="minorEastAsia" w:eastAsiaTheme="minorEastAsia" w:cstheme="minorEastAsia"/>
                <w:b w:val="0"/>
                <w:bCs w:val="0"/>
                <w:szCs w:val="21"/>
              </w:rPr>
              <w:t>分；</w:t>
            </w:r>
          </w:p>
          <w:p>
            <w:pPr>
              <w:wordWrap/>
              <w:spacing w:line="24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4、其他情况不得分。</w:t>
            </w:r>
          </w:p>
          <w:p>
            <w:pPr>
              <w:wordWrap/>
              <w:spacing w:line="24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在此基础上，专家根据各投标人的具体响应内容按照量化的评审因素指标进一步评审：</w:t>
            </w:r>
          </w:p>
          <w:p>
            <w:pPr>
              <w:wordWrap/>
              <w:spacing w:line="24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（1）评审为优（如项目实施方案完善，工作内容和安排考虑周到，流程合理，可行性高）的加</w:t>
            </w:r>
            <w:r>
              <w:rPr>
                <w:rFonts w:hint="eastAsia" w:asciiTheme="minorEastAsia" w:hAnsiTheme="minorEastAsia" w:eastAsiaTheme="minorEastAsia" w:cstheme="minorEastAsia"/>
                <w:b w:val="0"/>
                <w:bCs w:val="0"/>
                <w:szCs w:val="21"/>
                <w:lang w:val="en-US" w:eastAsia="zh-CN"/>
              </w:rPr>
              <w:t>50</w:t>
            </w:r>
            <w:r>
              <w:rPr>
                <w:rFonts w:hint="eastAsia" w:asciiTheme="minorEastAsia" w:hAnsiTheme="minorEastAsia" w:eastAsiaTheme="minorEastAsia" w:cstheme="minorEastAsia"/>
                <w:b w:val="0"/>
                <w:bCs w:val="0"/>
                <w:szCs w:val="21"/>
              </w:rPr>
              <w:t>分；</w:t>
            </w:r>
          </w:p>
          <w:p>
            <w:pPr>
              <w:wordWrap/>
              <w:spacing w:line="24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（2）评审为良（如项目实施方案较完善，工作内容和安排考虑较周到，流程较合理，可行性较高）的加</w:t>
            </w:r>
            <w:r>
              <w:rPr>
                <w:rFonts w:hint="eastAsia" w:asciiTheme="minorEastAsia" w:hAnsiTheme="minorEastAsia" w:eastAsiaTheme="minorEastAsia" w:cstheme="minorEastAsia"/>
                <w:b w:val="0"/>
                <w:bCs w:val="0"/>
                <w:szCs w:val="21"/>
                <w:lang w:val="en-US" w:eastAsia="zh-CN"/>
              </w:rPr>
              <w:t>25</w:t>
            </w:r>
            <w:r>
              <w:rPr>
                <w:rFonts w:hint="eastAsia" w:asciiTheme="minorEastAsia" w:hAnsiTheme="minorEastAsia" w:eastAsiaTheme="minorEastAsia" w:cstheme="minorEastAsia"/>
                <w:b w:val="0"/>
                <w:bCs w:val="0"/>
                <w:szCs w:val="21"/>
              </w:rPr>
              <w:t>分；</w:t>
            </w:r>
          </w:p>
          <w:p>
            <w:pPr>
              <w:wordWrap/>
              <w:spacing w:line="24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（3）评审为中（如项目实施方案一般，工作内容和安排考虑基本周到，流程基本合理，可行性一般）的</w:t>
            </w:r>
            <w:r>
              <w:rPr>
                <w:rFonts w:hint="eastAsia" w:asciiTheme="minorEastAsia" w:hAnsiTheme="minorEastAsia" w:cstheme="minorEastAsia"/>
                <w:b w:val="0"/>
                <w:bCs w:val="0"/>
                <w:szCs w:val="21"/>
                <w:lang w:val="en-US" w:eastAsia="zh-CN"/>
              </w:rPr>
              <w:t>加</w:t>
            </w:r>
            <w:r>
              <w:rPr>
                <w:rFonts w:hint="eastAsia" w:asciiTheme="minorEastAsia" w:hAnsiTheme="minorEastAsia" w:eastAsiaTheme="minorEastAsia" w:cstheme="minorEastAsia"/>
                <w:b w:val="0"/>
                <w:bCs w:val="0"/>
                <w:szCs w:val="21"/>
                <w:lang w:val="en-US" w:eastAsia="zh-CN"/>
              </w:rPr>
              <w:t>10</w:t>
            </w:r>
            <w:r>
              <w:rPr>
                <w:rFonts w:hint="eastAsia" w:asciiTheme="minorEastAsia" w:hAnsiTheme="minorEastAsia" w:eastAsiaTheme="minorEastAsia" w:cstheme="minorEastAsia"/>
                <w:b w:val="0"/>
                <w:bCs w:val="0"/>
                <w:szCs w:val="21"/>
              </w:rPr>
              <w:t>分；</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Cs w:val="21"/>
              </w:rPr>
              <w:t>（4）评审为差（如项目实施方案不完善，工作内容和安排考虑欠周到，流程不合理，可行性差）的不加分。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240" w:lineRule="exact"/>
              <w:jc w:val="center"/>
              <w:rPr>
                <w:rFonts w:ascii="宋体" w:hAnsi="宋体" w:cs="宋体"/>
                <w:szCs w:val="21"/>
              </w:rPr>
            </w:pPr>
            <w:r>
              <w:rPr>
                <w:rFonts w:ascii="宋体" w:hAnsi="宋体"/>
                <w:szCs w:val="21"/>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售后服务方案</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spacing w:line="2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kern w:val="0"/>
                <w:sz w:val="21"/>
                <w:szCs w:val="21"/>
                <w:lang w:val="en-US" w:eastAsia="zh-CN"/>
              </w:rPr>
              <w:t>5</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考察内容：</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投标人针对本项目提供的售后服务方案中包括：</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（1）售后服务措施；</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（2）故障响应时间；</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（3）售后服务承诺；</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（4）应急响应措施。</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评审标准：</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评审委员会根据招标文件的需求和投标文件的响应情况，进行评价及分档评分： </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1、满足4点得</w:t>
            </w:r>
            <w:r>
              <w:rPr>
                <w:rFonts w:hint="eastAsia" w:asciiTheme="minorEastAsia" w:hAnsiTheme="minorEastAsia" w:eastAsiaTheme="minorEastAsia" w:cstheme="minorEastAsia"/>
                <w:b w:val="0"/>
                <w:bCs w:val="0"/>
                <w:sz w:val="21"/>
                <w:szCs w:val="21"/>
                <w:lang w:val="en-US" w:eastAsia="zh-CN"/>
              </w:rPr>
              <w:t>50</w:t>
            </w:r>
            <w:r>
              <w:rPr>
                <w:rFonts w:hint="eastAsia" w:asciiTheme="minorEastAsia" w:hAnsiTheme="minorEastAsia" w:eastAsiaTheme="minorEastAsia" w:cstheme="minorEastAsia"/>
                <w:b w:val="0"/>
                <w:bCs w:val="0"/>
                <w:sz w:val="21"/>
                <w:szCs w:val="21"/>
              </w:rPr>
              <w:t>分；</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2、满足任意3点得</w:t>
            </w:r>
            <w:r>
              <w:rPr>
                <w:rFonts w:hint="eastAsia" w:asciiTheme="minorEastAsia" w:hAnsiTheme="minorEastAsia" w:eastAsiaTheme="minorEastAsia" w:cstheme="minorEastAsia"/>
                <w:b w:val="0"/>
                <w:bCs w:val="0"/>
                <w:sz w:val="21"/>
                <w:szCs w:val="21"/>
                <w:lang w:val="en-US" w:eastAsia="zh-CN"/>
              </w:rPr>
              <w:t>30</w:t>
            </w:r>
            <w:r>
              <w:rPr>
                <w:rFonts w:hint="eastAsia" w:asciiTheme="minorEastAsia" w:hAnsiTheme="minorEastAsia" w:eastAsiaTheme="minorEastAsia" w:cstheme="minorEastAsia"/>
                <w:b w:val="0"/>
                <w:bCs w:val="0"/>
                <w:sz w:val="21"/>
                <w:szCs w:val="21"/>
              </w:rPr>
              <w:t>分；</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3、满足任意2点得</w:t>
            </w:r>
            <w:r>
              <w:rPr>
                <w:rFonts w:hint="eastAsia" w:asciiTheme="minorEastAsia" w:hAnsiTheme="minorEastAsia" w:eastAsiaTheme="minorEastAsia" w:cstheme="minorEastAsia"/>
                <w:b w:val="0"/>
                <w:bCs w:val="0"/>
                <w:sz w:val="21"/>
                <w:szCs w:val="21"/>
                <w:lang w:val="en-US" w:eastAsia="zh-CN"/>
              </w:rPr>
              <w:t>10</w:t>
            </w:r>
            <w:r>
              <w:rPr>
                <w:rFonts w:hint="eastAsia" w:asciiTheme="minorEastAsia" w:hAnsiTheme="minorEastAsia" w:eastAsiaTheme="minorEastAsia" w:cstheme="minorEastAsia"/>
                <w:b w:val="0"/>
                <w:bCs w:val="0"/>
                <w:sz w:val="21"/>
                <w:szCs w:val="21"/>
              </w:rPr>
              <w:t>分；</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4、其他情况不得分。</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在此基础上，专家根据各投标人的具体响应内容按照量化的评审因素指标进一步评审：</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（1）评审为优（如售后服务方案完善，考虑周到，响应及时）的加</w:t>
            </w:r>
            <w:r>
              <w:rPr>
                <w:rFonts w:hint="eastAsia" w:asciiTheme="minorEastAsia" w:hAnsiTheme="minorEastAsia" w:eastAsiaTheme="minorEastAsia" w:cstheme="minorEastAsia"/>
                <w:b w:val="0"/>
                <w:bCs w:val="0"/>
                <w:sz w:val="21"/>
                <w:szCs w:val="21"/>
                <w:lang w:val="en-US" w:eastAsia="zh-CN"/>
              </w:rPr>
              <w:t>50</w:t>
            </w:r>
            <w:r>
              <w:rPr>
                <w:rFonts w:hint="eastAsia" w:asciiTheme="minorEastAsia" w:hAnsiTheme="minorEastAsia" w:eastAsiaTheme="minorEastAsia" w:cstheme="minorEastAsia"/>
                <w:b w:val="0"/>
                <w:bCs w:val="0"/>
                <w:sz w:val="21"/>
                <w:szCs w:val="21"/>
              </w:rPr>
              <w:t>分；</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（2）评审为良（如售后服务方案较完善，考虑较周到，响应较及时）的加</w:t>
            </w:r>
            <w:r>
              <w:rPr>
                <w:rFonts w:hint="eastAsia" w:asciiTheme="minorEastAsia" w:hAnsiTheme="minorEastAsia" w:eastAsiaTheme="minorEastAsia" w:cstheme="minorEastAsia"/>
                <w:b w:val="0"/>
                <w:bCs w:val="0"/>
                <w:sz w:val="21"/>
                <w:szCs w:val="21"/>
                <w:lang w:val="en-US" w:eastAsia="zh-CN"/>
              </w:rPr>
              <w:t>30</w:t>
            </w:r>
            <w:r>
              <w:rPr>
                <w:rFonts w:hint="eastAsia" w:asciiTheme="minorEastAsia" w:hAnsiTheme="minorEastAsia" w:eastAsiaTheme="minorEastAsia" w:cstheme="minorEastAsia"/>
                <w:b w:val="0"/>
                <w:bCs w:val="0"/>
                <w:sz w:val="21"/>
                <w:szCs w:val="21"/>
              </w:rPr>
              <w:t>分；</w:t>
            </w:r>
          </w:p>
          <w:p>
            <w:pPr>
              <w:keepNext w:val="0"/>
              <w:keepLines w:val="0"/>
              <w:pageBreakBefore w:val="0"/>
              <w:kinsoku/>
              <w:wordWrap/>
              <w:overflowPunct/>
              <w:topLinePunct w:val="0"/>
              <w:autoSpaceDE/>
              <w:autoSpaceDN/>
              <w:bidi w:val="0"/>
              <w:adjustRightInd/>
              <w:spacing w:line="2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（3）评审为中（如售后服务方案一般，考虑欠周到，响应一般）的</w:t>
            </w:r>
            <w:r>
              <w:rPr>
                <w:rFonts w:hint="eastAsia" w:asciiTheme="minorEastAsia" w:hAnsiTheme="minorEastAsia" w:cstheme="minorEastAsia"/>
                <w:b w:val="0"/>
                <w:bCs w:val="0"/>
                <w:sz w:val="21"/>
                <w:szCs w:val="21"/>
                <w:lang w:val="en-US" w:eastAsia="zh-CN"/>
              </w:rPr>
              <w:t>加</w:t>
            </w:r>
            <w:bookmarkStart w:id="109" w:name="_GoBack"/>
            <w:bookmarkEnd w:id="109"/>
            <w:r>
              <w:rPr>
                <w:rFonts w:hint="eastAsia" w:asciiTheme="minorEastAsia" w:hAnsiTheme="minorEastAsia" w:eastAsiaTheme="minorEastAsia" w:cstheme="minorEastAsia"/>
                <w:b w:val="0"/>
                <w:bCs w:val="0"/>
                <w:sz w:val="21"/>
                <w:szCs w:val="21"/>
              </w:rPr>
              <w:t>1</w:t>
            </w:r>
            <w:r>
              <w:rPr>
                <w:rFonts w:hint="eastAsia" w:asciiTheme="minorEastAsia" w:hAnsiTheme="minorEastAsia" w:eastAsiaTheme="minorEastAsia" w:cstheme="minorEastAsia"/>
                <w:b w:val="0"/>
                <w:bCs w:val="0"/>
                <w:sz w:val="21"/>
                <w:szCs w:val="21"/>
                <w:lang w:val="en-US" w:eastAsia="zh-CN"/>
              </w:rPr>
              <w:t>0</w:t>
            </w:r>
            <w:r>
              <w:rPr>
                <w:rFonts w:hint="eastAsia" w:asciiTheme="minorEastAsia" w:hAnsiTheme="minorEastAsia" w:eastAsiaTheme="minorEastAsia" w:cstheme="minorEastAsia"/>
                <w:b w:val="0"/>
                <w:bCs w:val="0"/>
                <w:sz w:val="21"/>
                <w:szCs w:val="21"/>
              </w:rPr>
              <w:t>分；</w:t>
            </w:r>
          </w:p>
          <w:p>
            <w:pPr>
              <w:keepNext w:val="0"/>
              <w:keepLines w:val="0"/>
              <w:pageBreakBefore w:val="0"/>
              <w:kinsoku/>
              <w:wordWrap/>
              <w:overflowPunct/>
              <w:topLinePunct w:val="0"/>
              <w:autoSpaceDE/>
              <w:autoSpaceDN/>
              <w:bidi w:val="0"/>
              <w:adjustRightInd/>
              <w:spacing w:line="2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（4）评审为差（如售后服务方案不完善，考虑不周到，响应不及时）的不加分。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240" w:lineRule="exact"/>
              <w:jc w:val="center"/>
              <w:rPr>
                <w:rFonts w:hint="eastAsia" w:ascii="宋体" w:hAnsi="宋体" w:eastAsiaTheme="minorEastAsia"/>
                <w:szCs w:val="21"/>
                <w:lang w:val="en-US" w:eastAsia="zh-CN"/>
              </w:rPr>
            </w:pPr>
            <w:r>
              <w:rPr>
                <w:rFonts w:hint="eastAsia" w:ascii="宋体" w:hAnsi="宋体"/>
                <w:szCs w:val="21"/>
                <w:lang w:val="en-US" w:eastAsia="zh-CN"/>
              </w:rPr>
              <w:t>3</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技术要求偏离情况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spacing w:line="240" w:lineRule="exact"/>
              <w:jc w:val="center"/>
              <w:rPr>
                <w:rFonts w:hint="eastAsia" w:asciiTheme="minorEastAsia" w:hAnsiTheme="minorEastAsia" w:eastAsiaTheme="minorEastAsia" w:cstheme="minorEastAsia"/>
                <w:sz w:val="21"/>
                <w:szCs w:val="21"/>
                <w:lang w:val="en-US" w:eastAsia="zh-CN"/>
              </w:rPr>
            </w:pPr>
            <w:r>
              <w:rPr>
                <w:rFonts w:hint="eastAsia" w:ascii="宋体" w:hAnsi="宋体" w:cs="宋体"/>
                <w:kern w:val="0"/>
                <w:szCs w:val="21"/>
                <w:lang w:val="en-US" w:eastAsia="zh-CN"/>
              </w:rPr>
              <w:t>27</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spacing w:line="240" w:lineRule="exact"/>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考察内容：</w:t>
            </w:r>
          </w:p>
          <w:p>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评审委员会根据《技术要求偏离表》（以下简称“偏离表”）响应情况进行打分，全部满足的得</w:t>
            </w:r>
            <w:r>
              <w:rPr>
                <w:rFonts w:hint="eastAsia" w:asciiTheme="minorEastAsia" w:hAnsiTheme="minorEastAsia" w:eastAsiaTheme="minorEastAsia" w:cstheme="minorEastAsia"/>
                <w:szCs w:val="21"/>
                <w:lang w:val="en-US" w:eastAsia="zh-CN"/>
              </w:rPr>
              <w:t>100</w:t>
            </w:r>
            <w:r>
              <w:rPr>
                <w:rFonts w:hint="eastAsia" w:asciiTheme="minorEastAsia" w:hAnsiTheme="minorEastAsia" w:eastAsiaTheme="minorEastAsia" w:cstheme="minorEastAsia"/>
                <w:szCs w:val="21"/>
              </w:rPr>
              <w:t>分，一般参数每负偏离一项扣</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分，重点技术参数▲项每负偏离一项扣</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分。扣完为止。</w:t>
            </w:r>
          </w:p>
          <w:p>
            <w:pPr>
              <w:spacing w:line="240" w:lineRule="exact"/>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证明文件：</w:t>
            </w:r>
          </w:p>
          <w:p>
            <w:pPr>
              <w:keepNext w:val="0"/>
              <w:keepLines w:val="0"/>
              <w:pageBreakBefore w:val="0"/>
              <w:kinsoku/>
              <w:overflowPunct/>
              <w:topLinePunct w:val="0"/>
              <w:autoSpaceDE/>
              <w:autoSpaceDN/>
              <w:bidi w:val="0"/>
              <w:adjustRightInd/>
              <w:spacing w:line="2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Cs w:val="21"/>
              </w:rPr>
              <w:t>偏离表应如实对应填写所投产品的具体参数。如要求提供证明资料的，需按要求提供相关证明资料；提供的证明资料与所填写内容不一致的，以证明资料为准，原件备查。证明材料不能满足招标要求的，该项按负偏离处理。（未提供或未按要求提供或提供的不清晰导致专家无法判断的，不得分）投标人的“技术要求响应情况”“技术要求偏离情况”等必须与客观实际保持一致，响应不实且情节严重的，经查实，将依法记入供应商诚信档案或受到行政处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240" w:lineRule="exact"/>
              <w:jc w:val="center"/>
              <w:rPr>
                <w:rFonts w:hint="eastAsia" w:ascii="宋体" w:hAnsi="宋体" w:eastAsiaTheme="minorEastAsia"/>
                <w:szCs w:val="21"/>
                <w:lang w:val="en-US" w:eastAsia="zh-CN"/>
              </w:rPr>
            </w:pPr>
            <w:r>
              <w:rPr>
                <w:rFonts w:hint="eastAsia" w:ascii="宋体" w:hAnsi="宋体"/>
                <w:szCs w:val="21"/>
                <w:lang w:val="en-US" w:eastAsia="zh-CN"/>
              </w:rPr>
              <w:t>4</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拟安排项目负责人情况（仅限1人）</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spacing w:line="2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0"/>
                <w:sz w:val="21"/>
                <w:szCs w:val="21"/>
                <w:lang w:val="en-US" w:eastAsia="zh-CN"/>
              </w:rPr>
              <w:t>8</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pacing w:line="240" w:lineRule="exact"/>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
                <w:bCs/>
                <w:sz w:val="21"/>
                <w:szCs w:val="21"/>
                <w:lang w:val="en-US" w:eastAsia="zh-CN"/>
              </w:rPr>
              <w:t>考察内容：</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拟安排的项目负责人（仅限1人）需为投标人自有员工（提供社保证明），否则本项不得分，在此基础上：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1.具有人社部门颁发的计算机技术与软件专业技术资格（专业：系统与规划管理师）证书或计算机技术与软件专业技术资格（专业：信息系统项目管理师）证书，级别“高级”得25分，级别“中级”得15分级，级别“初级”得5分，其它情况不得分； </w:t>
            </w:r>
          </w:p>
          <w:p>
            <w:pPr>
              <w:keepNext w:val="0"/>
              <w:keepLines w:val="0"/>
              <w:pageBreakBefore w:val="0"/>
              <w:kinsoku/>
              <w:overflowPunct/>
              <w:topLinePunct w:val="0"/>
              <w:autoSpaceDE/>
              <w:autoSpaceDN/>
              <w:bidi w:val="0"/>
              <w:adjustRightInd/>
              <w:spacing w:line="240" w:lineRule="exact"/>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2.具有行政机关或事业单位颁发的信息安全保障人员认证证书，得25分；</w:t>
            </w:r>
          </w:p>
          <w:p>
            <w:pPr>
              <w:keepNext w:val="0"/>
              <w:keepLines w:val="0"/>
              <w:pageBreakBefore w:val="0"/>
              <w:kinsoku/>
              <w:overflowPunct/>
              <w:topLinePunct w:val="0"/>
              <w:autoSpaceDE/>
              <w:autoSpaceDN/>
              <w:bidi w:val="0"/>
              <w:adjustRightInd/>
              <w:spacing w:line="240" w:lineRule="exact"/>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3.具有工信部门颁发的安防系统工程师证书，级别“高级”得25分，级别“中级”得15分级，级别“初级”得5分，其它情况不得分；</w:t>
            </w:r>
          </w:p>
          <w:p>
            <w:pPr>
              <w:keepNext w:val="0"/>
              <w:keepLines w:val="0"/>
              <w:pageBreakBefore w:val="0"/>
              <w:kinsoku/>
              <w:overflowPunct/>
              <w:topLinePunct w:val="0"/>
              <w:autoSpaceDE/>
              <w:autoSpaceDN/>
              <w:bidi w:val="0"/>
              <w:adjustRightInd/>
              <w:spacing w:line="240" w:lineRule="exact"/>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4.具有工信部门颁发的人工智能类专业职称证书，级别“中级（或以上）”得15分，级别“初级”得5分，其它情况不得分；</w:t>
            </w:r>
          </w:p>
          <w:p>
            <w:pPr>
              <w:keepNext w:val="0"/>
              <w:keepLines w:val="0"/>
              <w:pageBreakBefore w:val="0"/>
              <w:kinsoku/>
              <w:overflowPunct/>
              <w:topLinePunct w:val="0"/>
              <w:autoSpaceDE/>
              <w:autoSpaceDN/>
              <w:bidi w:val="0"/>
              <w:adjustRightInd/>
              <w:spacing w:line="2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5.具有工信部门颁发的网络技术工程师证书，级别“高级”得10分，级别“中级”得5分，其它情况不得分</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cstheme="minorEastAsia"/>
                <w:i w:val="0"/>
                <w:iCs w:val="0"/>
                <w:color w:val="000000"/>
                <w:kern w:val="0"/>
                <w:sz w:val="21"/>
                <w:szCs w:val="21"/>
                <w:u w:val="none"/>
                <w:lang w:val="en-US" w:eastAsia="zh-CN" w:bidi="ar"/>
              </w:rPr>
              <w:br w:type="textWrapping"/>
            </w:r>
            <w:r>
              <w:rPr>
                <w:rFonts w:hint="eastAsia" w:asciiTheme="minorEastAsia" w:hAnsiTheme="minorEastAsia" w:cstheme="minorEastAsia"/>
                <w:i w:val="0"/>
                <w:iCs w:val="0"/>
                <w:color w:val="000000"/>
                <w:kern w:val="0"/>
                <w:sz w:val="21"/>
                <w:szCs w:val="21"/>
                <w:u w:val="none"/>
                <w:lang w:val="en-US" w:eastAsia="zh-CN" w:bidi="ar"/>
              </w:rPr>
              <w:t>以上最高累计得100分。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证明文件：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提供开标日前由投标人为拟投入本项目的负责人缴交的载有政府部门公章（或专用章）的2025年4月-2025年6月任意一个月的社保缴交证明材料，如开标日上一个月的社保材料因政府部门原因暂时无法取得，则可以往前顺延一个月；社保资料至少显示缴交养老保险信息，未显示该信息的该社保资料则不符合要求，原件备查。如供应商为新成立企业且成立时间不足1个月的，需承诺相关人员为投标人自有员工，承诺函格式自拟并加盖公章；</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2.第1-5项提供证书扫描件；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3.未提供或未按要求提供或提供的不清晰导致评审委员会无法判断的，不得分。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pacing w:line="240" w:lineRule="exact"/>
              <w:jc w:val="center"/>
              <w:rPr>
                <w:rFonts w:hint="eastAsia" w:ascii="宋体" w:hAnsi="宋体" w:eastAsiaTheme="minorEastAsia"/>
                <w:szCs w:val="21"/>
                <w:lang w:eastAsia="zh-CN"/>
              </w:rPr>
            </w:pPr>
            <w:r>
              <w:rPr>
                <w:rFonts w:hint="eastAsia" w:ascii="宋体" w:hAnsi="宋体"/>
                <w:szCs w:val="21"/>
                <w:lang w:val="en-US" w:eastAsia="zh-CN"/>
              </w:rPr>
              <w:t>5</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widowControl/>
              <w:suppressLineNumbers w:val="0"/>
              <w:spacing w:line="240" w:lineRule="exact"/>
              <w:jc w:val="both"/>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拟安排的项目主要团队成员（主要技术人员）情况（项目负责人除外）</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spacing w:line="24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kern w:val="0"/>
                <w:sz w:val="21"/>
                <w:szCs w:val="21"/>
                <w:lang w:val="en-US" w:eastAsia="zh-CN"/>
              </w:rPr>
              <w:t>8</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numPr>
                <w:ilvl w:val="0"/>
                <w:numId w:val="0"/>
              </w:numPr>
              <w:suppressLineNumbers w:val="0"/>
              <w:kinsoku/>
              <w:overflowPunct/>
              <w:topLinePunct w:val="0"/>
              <w:autoSpaceDE/>
              <w:autoSpaceDN/>
              <w:bidi w:val="0"/>
              <w:adjustRightInd/>
              <w:spacing w:line="240" w:lineRule="exact"/>
              <w:jc w:val="left"/>
              <w:textAlignment w:val="auto"/>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
                <w:bCs/>
                <w:sz w:val="21"/>
                <w:szCs w:val="21"/>
                <w:lang w:val="en-US" w:eastAsia="zh-CN"/>
              </w:rPr>
              <w:t>考察内容：</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拟安排项目团队成员（项目负责人除外）需为投标人自有员工（提供社保证明），否则本项不得分，在此基础上：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（一）技术负责人（1名）：</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（1）具有研究生学历证书，</w:t>
            </w:r>
            <w:r>
              <w:rPr>
                <w:rFonts w:hint="eastAsia" w:asciiTheme="minorEastAsia" w:hAnsiTheme="minorEastAsia" w:eastAsiaTheme="minorEastAsia" w:cstheme="minorEastAsia"/>
                <w:szCs w:val="21"/>
                <w:lang w:val="en-US" w:eastAsia="zh-CN"/>
              </w:rPr>
              <w:t>得15分</w:t>
            </w:r>
            <w:r>
              <w:rPr>
                <w:rFonts w:hint="eastAsia" w:asciiTheme="minorEastAsia" w:hAnsiTheme="minorEastAsia" w:eastAsia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（2）具有人力资源和社会保障局颁发的中级或以上的工程师证书的（专业：电子类），级别“</w:t>
            </w:r>
            <w:r>
              <w:rPr>
                <w:rFonts w:hint="eastAsia" w:asciiTheme="minorEastAsia" w:hAnsiTheme="minorEastAsia" w:eastAsiaTheme="minorEastAsia" w:cstheme="minorEastAsia"/>
                <w:bCs/>
                <w:szCs w:val="21"/>
              </w:rPr>
              <w:t>中级（或以上）</w:t>
            </w:r>
            <w:r>
              <w:rPr>
                <w:rFonts w:hint="eastAsia" w:asciiTheme="minorEastAsia" w:hAnsiTheme="minorEastAsia" w:eastAsia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szCs w:val="21"/>
                <w:lang w:val="en-US" w:eastAsia="zh-CN"/>
              </w:rPr>
              <w:t>得10分，</w:t>
            </w:r>
            <w:r>
              <w:rPr>
                <w:rFonts w:hint="eastAsia" w:asciiTheme="minorEastAsia" w:hAnsiTheme="minorEastAsia" w:eastAsiaTheme="minorEastAsia" w:cstheme="minorEastAsia"/>
                <w:i w:val="0"/>
                <w:iCs w:val="0"/>
                <w:color w:val="000000"/>
                <w:kern w:val="0"/>
                <w:sz w:val="21"/>
                <w:szCs w:val="21"/>
                <w:u w:val="none"/>
                <w:lang w:val="en-US" w:eastAsia="zh-CN" w:bidi="ar"/>
              </w:rPr>
              <w:t>级别“初级”</w:t>
            </w:r>
            <w:r>
              <w:rPr>
                <w:rFonts w:hint="eastAsia" w:asciiTheme="minorEastAsia" w:hAnsiTheme="minorEastAsia" w:eastAsiaTheme="minorEastAsia" w:cstheme="minorEastAsia"/>
                <w:szCs w:val="21"/>
                <w:lang w:val="en-US" w:eastAsia="zh-CN"/>
              </w:rPr>
              <w:t>得5分，</w:t>
            </w:r>
            <w:r>
              <w:rPr>
                <w:rFonts w:hint="eastAsia" w:asciiTheme="minorEastAsia" w:hAnsiTheme="minorEastAsia" w:eastAsiaTheme="minorEastAsia" w:cstheme="minorEastAsia"/>
                <w:i w:val="0"/>
                <w:iCs w:val="0"/>
                <w:color w:val="000000"/>
                <w:kern w:val="0"/>
                <w:sz w:val="21"/>
                <w:szCs w:val="21"/>
                <w:u w:val="none"/>
                <w:lang w:val="en-US" w:eastAsia="zh-CN" w:bidi="ar"/>
              </w:rPr>
              <w:t>其它情况不得分</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（3）具有工信部门颁发智能化系统集成项目经理证书，级别“高级”</w:t>
            </w:r>
            <w:r>
              <w:rPr>
                <w:rFonts w:hint="eastAsia" w:asciiTheme="minorEastAsia" w:hAnsiTheme="minorEastAsia" w:eastAsiaTheme="minorEastAsia" w:cstheme="minorEastAsia"/>
                <w:szCs w:val="21"/>
                <w:lang w:val="en-US" w:eastAsia="zh-CN"/>
              </w:rPr>
              <w:t>得15分，</w:t>
            </w:r>
            <w:r>
              <w:rPr>
                <w:rFonts w:hint="eastAsia" w:asciiTheme="minorEastAsia" w:hAnsiTheme="minorEastAsia" w:eastAsiaTheme="minorEastAsia" w:cstheme="minorEastAsia"/>
                <w:i w:val="0"/>
                <w:iCs w:val="0"/>
                <w:color w:val="000000"/>
                <w:kern w:val="0"/>
                <w:sz w:val="21"/>
                <w:szCs w:val="21"/>
                <w:u w:val="none"/>
                <w:lang w:val="en-US" w:eastAsia="zh-CN" w:bidi="ar"/>
              </w:rPr>
              <w:t>级别“中级”</w:t>
            </w:r>
            <w:r>
              <w:rPr>
                <w:rFonts w:hint="eastAsia" w:asciiTheme="minorEastAsia" w:hAnsiTheme="minorEastAsia" w:eastAsiaTheme="minorEastAsia" w:cstheme="minorEastAsia"/>
                <w:szCs w:val="21"/>
                <w:lang w:val="en-US" w:eastAsia="zh-CN"/>
              </w:rPr>
              <w:t>得8分</w:t>
            </w:r>
            <w:r>
              <w:rPr>
                <w:rFonts w:hint="eastAsia" w:asciiTheme="minorEastAsia" w:hAnsiTheme="minorEastAsia" w:eastAsiaTheme="minorEastAsia" w:cstheme="minorEastAsia"/>
                <w:i w:val="0"/>
                <w:iCs w:val="0"/>
                <w:color w:val="000000"/>
                <w:kern w:val="0"/>
                <w:sz w:val="21"/>
                <w:szCs w:val="21"/>
                <w:u w:val="none"/>
                <w:lang w:val="en-US" w:eastAsia="zh-CN" w:bidi="ar"/>
              </w:rPr>
              <w:t>级，级别“初级”得</w:t>
            </w:r>
            <w:r>
              <w:rPr>
                <w:rFonts w:hint="eastAsia" w:asciiTheme="minorEastAsia" w:hAnsiTheme="minorEastAsia" w:eastAsiaTheme="minorEastAsia" w:cstheme="minorEastAsia"/>
                <w:szCs w:val="21"/>
                <w:lang w:val="en-US" w:eastAsia="zh-CN"/>
              </w:rPr>
              <w:t>3分，</w:t>
            </w:r>
            <w:r>
              <w:rPr>
                <w:rFonts w:hint="eastAsia" w:asciiTheme="minorEastAsia" w:hAnsiTheme="minorEastAsia" w:eastAsiaTheme="minorEastAsia" w:cstheme="minorEastAsia"/>
                <w:i w:val="0"/>
                <w:iCs w:val="0"/>
                <w:color w:val="000000"/>
                <w:kern w:val="0"/>
                <w:sz w:val="21"/>
                <w:szCs w:val="21"/>
                <w:u w:val="none"/>
                <w:lang w:val="en-US" w:eastAsia="zh-CN" w:bidi="ar"/>
              </w:rPr>
              <w:t>其它情况不得分；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w:t>
            </w:r>
            <w:r>
              <w:rPr>
                <w:rFonts w:hint="eastAsia" w:asciiTheme="minorEastAsia" w:hAnsiTheme="minorEastAsia" w:eastAsiaTheme="minorEastAsia" w:cstheme="minorEastAsia"/>
                <w:szCs w:val="21"/>
              </w:rPr>
              <w:t>具有行政机关或事业单位颁发的注册信息安全工程师（CISE）证书</w:t>
            </w:r>
            <w:r>
              <w:rPr>
                <w:rFonts w:hint="eastAsia" w:asciiTheme="minorEastAsia" w:hAnsiTheme="minorEastAsia" w:eastAsia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szCs w:val="21"/>
                <w:lang w:val="en-US" w:eastAsia="zh-CN"/>
              </w:rPr>
              <w:t>得10分</w:t>
            </w:r>
            <w:r>
              <w:rPr>
                <w:rFonts w:hint="eastAsia" w:asciiTheme="minorEastAsia" w:hAnsiTheme="minorEastAsia" w:eastAsia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（二）安全售后负责人（1名）：</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1.具有行政机关或事业单位颁发的信息安全保障人员认证（CISAW）证书，</w:t>
            </w:r>
            <w:r>
              <w:rPr>
                <w:rFonts w:hint="eastAsia" w:asciiTheme="minorEastAsia" w:hAnsiTheme="minorEastAsia" w:eastAsiaTheme="minorEastAsia" w:cstheme="minorEastAsia"/>
                <w:szCs w:val="21"/>
                <w:lang w:val="en-US" w:eastAsia="zh-CN"/>
              </w:rPr>
              <w:t>得9分</w:t>
            </w:r>
            <w:r>
              <w:rPr>
                <w:rFonts w:hint="eastAsia" w:asciiTheme="minorEastAsia" w:hAnsiTheme="minorEastAsia" w:eastAsia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2.具有工信部门颁发的安全防范工程师证书，级别“高级”</w:t>
            </w:r>
            <w:r>
              <w:rPr>
                <w:rFonts w:hint="eastAsia" w:asciiTheme="minorEastAsia" w:hAnsiTheme="minorEastAsia" w:eastAsiaTheme="minorEastAsia" w:cstheme="minorEastAsia"/>
                <w:szCs w:val="21"/>
                <w:lang w:val="en-US" w:eastAsia="zh-CN"/>
              </w:rPr>
              <w:t>得8分，</w:t>
            </w:r>
            <w:r>
              <w:rPr>
                <w:rFonts w:hint="eastAsia" w:asciiTheme="minorEastAsia" w:hAnsiTheme="minorEastAsia" w:eastAsiaTheme="minorEastAsia" w:cstheme="minorEastAsia"/>
                <w:i w:val="0"/>
                <w:iCs w:val="0"/>
                <w:color w:val="000000"/>
                <w:kern w:val="0"/>
                <w:sz w:val="21"/>
                <w:szCs w:val="21"/>
                <w:u w:val="none"/>
                <w:lang w:val="en-US" w:eastAsia="zh-CN" w:bidi="ar"/>
              </w:rPr>
              <w:t>级别“中级”</w:t>
            </w:r>
            <w:r>
              <w:rPr>
                <w:rFonts w:hint="eastAsia" w:asciiTheme="minorEastAsia" w:hAnsiTheme="minorEastAsia" w:eastAsiaTheme="minorEastAsia" w:cstheme="minorEastAsia"/>
                <w:szCs w:val="21"/>
                <w:lang w:val="en-US" w:eastAsia="zh-CN"/>
              </w:rPr>
              <w:t>得4分</w:t>
            </w:r>
            <w:r>
              <w:rPr>
                <w:rFonts w:hint="eastAsia" w:asciiTheme="minorEastAsia" w:hAnsiTheme="minorEastAsia" w:eastAsiaTheme="minorEastAsia" w:cstheme="minorEastAsia"/>
                <w:i w:val="0"/>
                <w:iCs w:val="0"/>
                <w:color w:val="000000"/>
                <w:kern w:val="0"/>
                <w:sz w:val="21"/>
                <w:szCs w:val="21"/>
                <w:u w:val="none"/>
                <w:lang w:val="en-US" w:eastAsia="zh-CN" w:bidi="ar"/>
              </w:rPr>
              <w:t>级，级别“初级”得</w:t>
            </w:r>
            <w:r>
              <w:rPr>
                <w:rFonts w:hint="eastAsia" w:asciiTheme="minorEastAsia" w:hAnsiTheme="minorEastAsia" w:eastAsiaTheme="minorEastAsia" w:cstheme="minorEastAsia"/>
                <w:szCs w:val="21"/>
                <w:lang w:val="en-US" w:eastAsia="zh-CN"/>
              </w:rPr>
              <w:t>2分，</w:t>
            </w:r>
            <w:r>
              <w:rPr>
                <w:rFonts w:hint="eastAsia" w:asciiTheme="minorEastAsia" w:hAnsiTheme="minorEastAsia" w:eastAsiaTheme="minorEastAsia" w:cstheme="minorEastAsia"/>
                <w:i w:val="0"/>
                <w:iCs w:val="0"/>
                <w:color w:val="000000"/>
                <w:kern w:val="0"/>
                <w:sz w:val="21"/>
                <w:szCs w:val="21"/>
                <w:u w:val="none"/>
                <w:lang w:val="en-US" w:eastAsia="zh-CN" w:bidi="ar"/>
              </w:rPr>
              <w:t>其它情况不得分；；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3.具有工信部门颁发的数据安全工程师证书，级别“高级”</w:t>
            </w:r>
            <w:r>
              <w:rPr>
                <w:rFonts w:hint="eastAsia" w:asciiTheme="minorEastAsia" w:hAnsiTheme="minorEastAsia" w:eastAsiaTheme="minorEastAsia" w:cstheme="minorEastAsia"/>
                <w:szCs w:val="21"/>
                <w:lang w:val="en-US" w:eastAsia="zh-CN"/>
              </w:rPr>
              <w:t>得8分，</w:t>
            </w:r>
            <w:r>
              <w:rPr>
                <w:rFonts w:hint="eastAsia" w:asciiTheme="minorEastAsia" w:hAnsiTheme="minorEastAsia" w:eastAsiaTheme="minorEastAsia" w:cstheme="minorEastAsia"/>
                <w:i w:val="0"/>
                <w:iCs w:val="0"/>
                <w:color w:val="000000"/>
                <w:kern w:val="0"/>
                <w:sz w:val="21"/>
                <w:szCs w:val="21"/>
                <w:u w:val="none"/>
                <w:lang w:val="en-US" w:eastAsia="zh-CN" w:bidi="ar"/>
              </w:rPr>
              <w:t>级别“中级”</w:t>
            </w:r>
            <w:r>
              <w:rPr>
                <w:rFonts w:hint="eastAsia" w:asciiTheme="minorEastAsia" w:hAnsiTheme="minorEastAsia" w:eastAsiaTheme="minorEastAsia" w:cstheme="minorEastAsia"/>
                <w:szCs w:val="21"/>
                <w:lang w:val="en-US" w:eastAsia="zh-CN"/>
              </w:rPr>
              <w:t>得4分</w:t>
            </w:r>
            <w:r>
              <w:rPr>
                <w:rFonts w:hint="eastAsia" w:asciiTheme="minorEastAsia" w:hAnsiTheme="minorEastAsia" w:eastAsiaTheme="minorEastAsia" w:cstheme="minorEastAsia"/>
                <w:i w:val="0"/>
                <w:iCs w:val="0"/>
                <w:color w:val="000000"/>
                <w:kern w:val="0"/>
                <w:sz w:val="21"/>
                <w:szCs w:val="21"/>
                <w:u w:val="none"/>
                <w:lang w:val="en-US" w:eastAsia="zh-CN" w:bidi="ar"/>
              </w:rPr>
              <w:t>级，级别“初级”得2</w:t>
            </w:r>
            <w:r>
              <w:rPr>
                <w:rFonts w:hint="eastAsia" w:asciiTheme="minorEastAsia" w:hAnsiTheme="minorEastAsia" w:eastAsiaTheme="minorEastAsia" w:cstheme="minorEastAsia"/>
                <w:szCs w:val="21"/>
                <w:lang w:val="en-US" w:eastAsia="zh-CN"/>
              </w:rPr>
              <w:t>分，</w:t>
            </w:r>
            <w:r>
              <w:rPr>
                <w:rFonts w:hint="eastAsia" w:asciiTheme="minorEastAsia" w:hAnsiTheme="minorEastAsia" w:eastAsiaTheme="minorEastAsia" w:cstheme="minorEastAsia"/>
                <w:i w:val="0"/>
                <w:iCs w:val="0"/>
                <w:color w:val="000000"/>
                <w:kern w:val="0"/>
                <w:sz w:val="21"/>
                <w:szCs w:val="21"/>
                <w:u w:val="none"/>
                <w:lang w:val="en-US" w:eastAsia="zh-CN" w:bidi="ar"/>
              </w:rPr>
              <w:t>其它情况不得分；。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（三）项目实施人员（1人）：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1.具有行政机关或事业单位颁发的信息安全保障人员认证（CISAW）证书，</w:t>
            </w:r>
            <w:r>
              <w:rPr>
                <w:rFonts w:hint="eastAsia" w:asciiTheme="minorEastAsia" w:hAnsiTheme="minorEastAsia" w:eastAsiaTheme="minorEastAsia" w:cstheme="minorEastAsia"/>
                <w:szCs w:val="21"/>
                <w:lang w:val="en-US" w:eastAsia="zh-CN"/>
              </w:rPr>
              <w:t>得13分</w:t>
            </w:r>
            <w:r>
              <w:rPr>
                <w:rFonts w:hint="eastAsia" w:asciiTheme="minorEastAsia" w:hAnsiTheme="minorEastAsia" w:eastAsia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2.具有工信部门颁发的智能化系统集成项目经理，级别“高级”</w:t>
            </w:r>
            <w:r>
              <w:rPr>
                <w:rFonts w:hint="eastAsia" w:asciiTheme="minorEastAsia" w:hAnsiTheme="minorEastAsia" w:eastAsiaTheme="minorEastAsia" w:cstheme="minorEastAsia"/>
                <w:szCs w:val="21"/>
                <w:lang w:val="en-US" w:eastAsia="zh-CN"/>
              </w:rPr>
              <w:t>得12分，</w:t>
            </w:r>
            <w:r>
              <w:rPr>
                <w:rFonts w:hint="eastAsia" w:asciiTheme="minorEastAsia" w:hAnsiTheme="minorEastAsia" w:eastAsiaTheme="minorEastAsia" w:cstheme="minorEastAsia"/>
                <w:i w:val="0"/>
                <w:iCs w:val="0"/>
                <w:color w:val="000000"/>
                <w:kern w:val="0"/>
                <w:sz w:val="21"/>
                <w:szCs w:val="21"/>
                <w:u w:val="none"/>
                <w:lang w:val="en-US" w:eastAsia="zh-CN" w:bidi="ar"/>
              </w:rPr>
              <w:t>级别“中级”</w:t>
            </w:r>
            <w:r>
              <w:rPr>
                <w:rFonts w:hint="eastAsia" w:asciiTheme="minorEastAsia" w:hAnsiTheme="minorEastAsia" w:eastAsiaTheme="minorEastAsia" w:cstheme="minorEastAsia"/>
                <w:szCs w:val="21"/>
                <w:lang w:val="en-US" w:eastAsia="zh-CN"/>
              </w:rPr>
              <w:t>得6分</w:t>
            </w:r>
            <w:r>
              <w:rPr>
                <w:rFonts w:hint="eastAsia" w:asciiTheme="minorEastAsia" w:hAnsiTheme="minorEastAsia" w:eastAsiaTheme="minorEastAsia" w:cstheme="minorEastAsia"/>
                <w:i w:val="0"/>
                <w:iCs w:val="0"/>
                <w:color w:val="000000"/>
                <w:kern w:val="0"/>
                <w:sz w:val="21"/>
                <w:szCs w:val="21"/>
                <w:u w:val="none"/>
                <w:lang w:val="en-US" w:eastAsia="zh-CN" w:bidi="ar"/>
              </w:rPr>
              <w:t>级，级别“初级”得</w:t>
            </w:r>
            <w:r>
              <w:rPr>
                <w:rFonts w:hint="eastAsia" w:asciiTheme="minorEastAsia" w:hAnsiTheme="minorEastAsia" w:eastAsiaTheme="minorEastAsia" w:cstheme="minorEastAsia"/>
                <w:szCs w:val="21"/>
                <w:lang w:val="en-US" w:eastAsia="zh-CN"/>
              </w:rPr>
              <w:t>3分，</w:t>
            </w:r>
            <w:r>
              <w:rPr>
                <w:rFonts w:hint="eastAsia" w:asciiTheme="minorEastAsia" w:hAnsiTheme="minorEastAsia" w:eastAsiaTheme="minorEastAsia" w:cstheme="minorEastAsia"/>
                <w:i w:val="0"/>
                <w:iCs w:val="0"/>
                <w:color w:val="000000"/>
                <w:kern w:val="0"/>
                <w:sz w:val="21"/>
                <w:szCs w:val="21"/>
                <w:u w:val="none"/>
                <w:lang w:val="en-US" w:eastAsia="zh-CN" w:bidi="ar"/>
              </w:rPr>
              <w:t>其它情况不得分。；</w:t>
            </w:r>
          </w:p>
          <w:p>
            <w:pPr>
              <w:keepNext w:val="0"/>
              <w:keepLines w:val="0"/>
              <w:pageBreakBefore w:val="0"/>
              <w:widowControl/>
              <w:numPr>
                <w:ilvl w:val="-1"/>
                <w:numId w:val="0"/>
              </w:numPr>
              <w:suppressLineNumbers w:val="0"/>
              <w:kinsoku/>
              <w:overflowPunct/>
              <w:topLinePunct w:val="0"/>
              <w:autoSpaceDE/>
              <w:autoSpaceDN/>
              <w:bidi w:val="0"/>
              <w:adjustRightInd/>
              <w:spacing w:line="2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i w:val="0"/>
                <w:iCs w:val="0"/>
                <w:color w:val="000000"/>
                <w:kern w:val="0"/>
                <w:sz w:val="21"/>
                <w:szCs w:val="21"/>
                <w:u w:val="none"/>
                <w:lang w:val="en-US" w:eastAsia="zh-CN" w:bidi="ar"/>
              </w:rPr>
              <w:t>以上最高累计得100分。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bCs/>
                <w:i w:val="0"/>
                <w:iCs w:val="0"/>
                <w:color w:val="000000"/>
                <w:kern w:val="0"/>
                <w:sz w:val="21"/>
                <w:szCs w:val="21"/>
                <w:u w:val="none"/>
                <w:lang w:val="en-US" w:eastAsia="zh-CN" w:bidi="ar"/>
              </w:rPr>
              <w:t>证明文件：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提供开标日前由投标人为相关人员缴交的载有政府部门公章（或专用章）的2025年4月-2025年6月近三个月任意一个月的社保缴交证明材料，如开标日上一个月的社保材料因政府部门原因暂时无法取得，则可以往前顺延一个月；社保资料至少显示缴交养老保险信息，未显示该信息的该社保资料则不符合要求，原件备查。如供应商为新成立企业且成立时间不足1个月的，需承诺相关人员为投标人自有员工，承诺函格式自拟并加盖公章；</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2.提供上述评分项中对应的证书扫描件；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3.未提供或未按要求提供或提供的不清晰导致评审委员会无法判断的，不得分。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right w:val="single" w:color="000000" w:sz="8" w:space="0"/>
            </w:tcBorders>
            <w:shd w:val="clear" w:color="auto" w:fill="FFFFFF" w:themeFill="background1"/>
          </w:tcPr>
          <w:p>
            <w:pPr>
              <w:snapToGrid w:val="0"/>
              <w:jc w:val="center"/>
              <w:rPr>
                <w:rFonts w:ascii="宋体" w:hAnsi="宋体" w:cs="宋体"/>
                <w:b/>
                <w:bCs/>
                <w:szCs w:val="21"/>
              </w:rPr>
            </w:pPr>
            <w:r>
              <w:rPr>
                <w:rFonts w:hint="eastAsia" w:ascii="宋体" w:hAnsi="宋体" w:cs="宋体"/>
                <w:b/>
                <w:bCs/>
                <w:szCs w:val="21"/>
              </w:rPr>
              <w:t>3</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40" w:lineRule="exact"/>
              <w:jc w:val="center"/>
              <w:rPr>
                <w:rFonts w:ascii="宋体" w:hAnsi="宋体" w:cs="宋体"/>
                <w:b/>
                <w:bCs/>
                <w:szCs w:val="21"/>
              </w:rPr>
            </w:pPr>
            <w:r>
              <w:rPr>
                <w:rFonts w:hint="eastAsia" w:asciiTheme="minorEastAsia" w:hAnsiTheme="minorEastAsia"/>
                <w:b/>
                <w:bCs/>
                <w:szCs w:val="21"/>
              </w:rPr>
              <w:t>商务</w:t>
            </w:r>
            <w:r>
              <w:rPr>
                <w:rFonts w:hint="eastAsia" w:ascii="宋体" w:hAnsi="宋体" w:cs="宋体"/>
                <w:b/>
                <w:bCs/>
                <w:szCs w:val="21"/>
              </w:rPr>
              <w:t>部分</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overflowPunct/>
              <w:topLinePunct w:val="0"/>
              <w:autoSpaceDE/>
              <w:autoSpaceDN/>
              <w:bidi w:val="0"/>
              <w:adjustRightInd/>
              <w:snapToGrid w:val="0"/>
              <w:spacing w:line="240" w:lineRule="exact"/>
              <w:jc w:val="center"/>
              <w:rPr>
                <w:rFonts w:hint="default" w:ascii="宋体" w:hAnsi="宋体" w:cs="宋体" w:eastAsiaTheme="minorEastAsia"/>
                <w:b/>
                <w:bCs/>
                <w:szCs w:val="21"/>
                <w:lang w:val="en-US" w:eastAsia="zh-CN"/>
              </w:rPr>
            </w:pPr>
            <w:r>
              <w:rPr>
                <w:rFonts w:hint="eastAsia" w:ascii="宋体" w:hAnsi="宋体" w:cs="宋体"/>
                <w:b/>
                <w:bCs/>
                <w:szCs w:val="21"/>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序号</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评分因素</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权重</w:t>
            </w:r>
            <w:r>
              <w:rPr>
                <w:rFonts w:hint="eastAsia" w:ascii="宋体" w:hAnsi="宋体" w:cs="宋体"/>
                <w:bCs/>
                <w:szCs w:val="21"/>
              </w:rPr>
              <w:t>（%）</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240" w:lineRule="exact"/>
              <w:jc w:val="center"/>
              <w:rPr>
                <w:rFonts w:ascii="宋体" w:hAnsi="宋体" w:cs="宋体"/>
                <w:szCs w:val="21"/>
              </w:rPr>
            </w:pPr>
            <w:r>
              <w:rPr>
                <w:rFonts w:hint="eastAsia" w:ascii="宋体" w:hAnsi="宋体" w:cs="宋体"/>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spacing w:line="240" w:lineRule="exact"/>
              <w:jc w:val="center"/>
              <w:rPr>
                <w:rFonts w:ascii="宋体" w:hAnsi="宋体" w:cs="宋体"/>
                <w:szCs w:val="21"/>
              </w:rPr>
            </w:pPr>
            <w:r>
              <w:rPr>
                <w:rFonts w:hint="eastAsia" w:ascii="宋体" w:hAnsi="宋体" w:cs="宋体"/>
                <w:kern w:val="0"/>
                <w:szCs w:val="21"/>
              </w:rPr>
              <w:t>投标人通过相关认证情况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spacing w:line="240" w:lineRule="exact"/>
              <w:jc w:val="center"/>
              <w:rPr>
                <w:rFonts w:ascii="宋体" w:hAnsi="宋体" w:cs="宋体"/>
                <w:szCs w:val="21"/>
              </w:rPr>
            </w:pPr>
            <w:r>
              <w:rPr>
                <w:rFonts w:hint="eastAsia" w:ascii="宋体" w:hAnsi="宋体" w:cs="宋体"/>
                <w:kern w:val="0"/>
                <w:szCs w:val="21"/>
                <w:lang w:val="en-US" w:eastAsia="zh-CN"/>
              </w:rPr>
              <w:t>5</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suppressLineNumbers w:val="0"/>
              <w:kinsoku/>
              <w:overflowPunct/>
              <w:topLinePunct w:val="0"/>
              <w:autoSpaceDE/>
              <w:autoSpaceDN/>
              <w:bidi w:val="0"/>
              <w:adjustRightInd/>
              <w:spacing w:line="240" w:lineRule="exact"/>
              <w:jc w:val="left"/>
              <w:textAlignment w:val="auto"/>
              <w:rPr>
                <w:rFonts w:ascii="宋体" w:hAnsi="宋体" w:cs="宋体" w:eastAsiaTheme="minorEastAsia"/>
                <w:szCs w:val="21"/>
              </w:rPr>
            </w:pPr>
            <w:r>
              <w:rPr>
                <w:rFonts w:hint="eastAsia" w:ascii="宋体" w:hAnsi="宋体" w:eastAsia="宋体" w:cs="宋体"/>
                <w:b/>
                <w:bCs/>
                <w:i w:val="0"/>
                <w:iCs w:val="0"/>
                <w:kern w:val="0"/>
                <w:sz w:val="21"/>
                <w:szCs w:val="21"/>
                <w:u w:val="none"/>
                <w:lang w:val="en-US" w:eastAsia="zh-CN" w:bidi="ar"/>
              </w:rPr>
              <w:t>考察内容：</w:t>
            </w:r>
            <w:r>
              <w:rPr>
                <w:rFonts w:hint="eastAsia" w:ascii="宋体" w:hAnsi="宋体" w:eastAsia="宋体" w:cs="宋体"/>
                <w:i w:val="0"/>
                <w:iCs w:val="0"/>
                <w:kern w:val="0"/>
                <w:sz w:val="21"/>
                <w:szCs w:val="21"/>
                <w:u w:val="none"/>
                <w:lang w:val="en-US" w:eastAsia="zh-CN" w:bidi="ar"/>
              </w:rPr>
              <w:br w:type="textWrapping"/>
            </w:r>
            <w:r>
              <w:rPr>
                <w:rFonts w:hint="eastAsia" w:ascii="宋体" w:hAnsi="宋体" w:eastAsia="宋体" w:cs="宋体"/>
                <w:i w:val="0"/>
                <w:iCs w:val="0"/>
                <w:kern w:val="0"/>
                <w:sz w:val="21"/>
                <w:szCs w:val="21"/>
                <w:u w:val="none"/>
                <w:lang w:val="en-US" w:eastAsia="zh-CN" w:bidi="ar"/>
              </w:rPr>
              <w:t>1.具有质量管理体系认证证书得</w:t>
            </w:r>
            <w:r>
              <w:rPr>
                <w:rFonts w:hint="eastAsia" w:ascii="宋体" w:hAnsi="宋体" w:cs="宋体"/>
                <w:i w:val="0"/>
                <w:iCs w:val="0"/>
                <w:kern w:val="0"/>
                <w:sz w:val="21"/>
                <w:szCs w:val="21"/>
                <w:u w:val="none"/>
                <w:lang w:val="en-US" w:eastAsia="zh-CN" w:bidi="ar"/>
              </w:rPr>
              <w:t>20</w:t>
            </w:r>
            <w:r>
              <w:rPr>
                <w:rFonts w:hint="eastAsia" w:ascii="宋体" w:hAnsi="宋体" w:eastAsia="宋体" w:cs="宋体"/>
                <w:i w:val="0"/>
                <w:iCs w:val="0"/>
                <w:kern w:val="0"/>
                <w:sz w:val="21"/>
                <w:szCs w:val="21"/>
                <w:u w:val="none"/>
                <w:lang w:val="en-US" w:eastAsia="zh-CN" w:bidi="ar"/>
              </w:rPr>
              <w:t>分；</w:t>
            </w:r>
            <w:r>
              <w:rPr>
                <w:rFonts w:hint="eastAsia" w:ascii="宋体" w:hAnsi="宋体" w:eastAsia="宋体" w:cs="宋体"/>
                <w:i w:val="0"/>
                <w:iCs w:val="0"/>
                <w:kern w:val="0"/>
                <w:sz w:val="21"/>
                <w:szCs w:val="21"/>
                <w:u w:val="none"/>
                <w:lang w:val="en-US" w:eastAsia="zh-CN" w:bidi="ar"/>
              </w:rPr>
              <w:br w:type="textWrapping"/>
            </w:r>
            <w:r>
              <w:rPr>
                <w:rFonts w:hint="eastAsia" w:ascii="宋体" w:hAnsi="宋体" w:eastAsia="宋体" w:cs="宋体"/>
                <w:i w:val="0"/>
                <w:iCs w:val="0"/>
                <w:kern w:val="0"/>
                <w:sz w:val="21"/>
                <w:szCs w:val="21"/>
                <w:u w:val="none"/>
                <w:lang w:val="en-US" w:eastAsia="zh-CN" w:bidi="ar"/>
              </w:rPr>
              <w:t>2.具有售后服务认证证书得20分；</w:t>
            </w:r>
            <w:r>
              <w:rPr>
                <w:rFonts w:hint="eastAsia" w:ascii="宋体" w:hAnsi="宋体" w:eastAsia="宋体" w:cs="宋体"/>
                <w:i w:val="0"/>
                <w:iCs w:val="0"/>
                <w:kern w:val="0"/>
                <w:sz w:val="21"/>
                <w:szCs w:val="21"/>
                <w:u w:val="none"/>
                <w:lang w:val="en-US" w:eastAsia="zh-CN" w:bidi="ar"/>
              </w:rPr>
              <w:br w:type="textWrapping"/>
            </w:r>
            <w:r>
              <w:rPr>
                <w:rFonts w:hint="eastAsia" w:ascii="宋体" w:hAnsi="宋体" w:eastAsia="宋体" w:cs="宋体"/>
                <w:i w:val="0"/>
                <w:iCs w:val="0"/>
                <w:kern w:val="0"/>
                <w:sz w:val="21"/>
                <w:szCs w:val="21"/>
                <w:u w:val="none"/>
                <w:lang w:val="en-US" w:eastAsia="zh-CN" w:bidi="ar"/>
              </w:rPr>
              <w:t>3.具知识产权管理体系认证证书得20分；</w:t>
            </w:r>
            <w:r>
              <w:rPr>
                <w:rFonts w:hint="eastAsia" w:ascii="宋体" w:hAnsi="宋体" w:eastAsia="宋体" w:cs="宋体"/>
                <w:i w:val="0"/>
                <w:iCs w:val="0"/>
                <w:kern w:val="0"/>
                <w:sz w:val="21"/>
                <w:szCs w:val="21"/>
                <w:u w:val="none"/>
                <w:lang w:val="en-US" w:eastAsia="zh-CN" w:bidi="ar"/>
              </w:rPr>
              <w:br w:type="textWrapping"/>
            </w:r>
            <w:r>
              <w:rPr>
                <w:rFonts w:hint="eastAsia" w:ascii="宋体" w:hAnsi="宋体" w:eastAsia="宋体" w:cs="宋体"/>
                <w:i w:val="0"/>
                <w:iCs w:val="0"/>
                <w:kern w:val="0"/>
                <w:sz w:val="21"/>
                <w:szCs w:val="21"/>
                <w:u w:val="none"/>
                <w:lang w:val="en-US" w:eastAsia="zh-CN" w:bidi="ar"/>
              </w:rPr>
              <w:t>4.具有企业履约能力评价体系证书GB/T19001&amp;GB证书得20分；</w:t>
            </w:r>
            <w:r>
              <w:rPr>
                <w:rFonts w:hint="eastAsia" w:ascii="宋体" w:hAnsi="宋体" w:eastAsia="宋体" w:cs="宋体"/>
                <w:i w:val="0"/>
                <w:iCs w:val="0"/>
                <w:kern w:val="0"/>
                <w:sz w:val="21"/>
                <w:szCs w:val="21"/>
                <w:u w:val="none"/>
                <w:lang w:val="en-US" w:eastAsia="zh-CN" w:bidi="ar"/>
              </w:rPr>
              <w:br w:type="textWrapping"/>
            </w:r>
            <w:r>
              <w:rPr>
                <w:rFonts w:hint="eastAsia" w:ascii="宋体" w:hAnsi="宋体" w:eastAsia="宋体" w:cs="宋体"/>
                <w:i w:val="0"/>
                <w:iCs w:val="0"/>
                <w:kern w:val="0"/>
                <w:sz w:val="21"/>
                <w:szCs w:val="21"/>
                <w:u w:val="none"/>
                <w:lang w:val="en-US" w:eastAsia="zh-CN" w:bidi="ar"/>
              </w:rPr>
              <w:t>5.隐私信息管理体系标准认证ISO/IEC27701:2019证书得</w:t>
            </w:r>
            <w:r>
              <w:rPr>
                <w:rFonts w:hint="eastAsia" w:ascii="宋体" w:hAnsi="宋体" w:cs="宋体"/>
                <w:i w:val="0"/>
                <w:iCs w:val="0"/>
                <w:kern w:val="0"/>
                <w:sz w:val="21"/>
                <w:szCs w:val="21"/>
                <w:u w:val="none"/>
                <w:lang w:val="en-US" w:eastAsia="zh-CN" w:bidi="ar"/>
              </w:rPr>
              <w:t>20</w:t>
            </w:r>
            <w:r>
              <w:rPr>
                <w:rFonts w:hint="eastAsia" w:ascii="宋体" w:hAnsi="宋体" w:eastAsia="宋体" w:cs="宋体"/>
                <w:i w:val="0"/>
                <w:iCs w:val="0"/>
                <w:kern w:val="0"/>
                <w:sz w:val="21"/>
                <w:szCs w:val="21"/>
                <w:u w:val="none"/>
                <w:lang w:val="en-US" w:eastAsia="zh-CN" w:bidi="ar"/>
              </w:rPr>
              <w:t>分。</w:t>
            </w:r>
            <w:r>
              <w:rPr>
                <w:rFonts w:hint="eastAsia" w:ascii="宋体" w:hAnsi="宋体" w:eastAsia="宋体" w:cs="宋体"/>
                <w:i w:val="0"/>
                <w:iCs w:val="0"/>
                <w:kern w:val="0"/>
                <w:sz w:val="21"/>
                <w:szCs w:val="21"/>
                <w:u w:val="none"/>
                <w:lang w:val="en-US" w:eastAsia="zh-CN" w:bidi="ar"/>
              </w:rPr>
              <w:br w:type="textWrapping"/>
            </w:r>
            <w:r>
              <w:rPr>
                <w:rFonts w:hint="eastAsia" w:ascii="宋体" w:hAnsi="宋体" w:eastAsia="宋体" w:cs="宋体"/>
                <w:b/>
                <w:bCs/>
                <w:i w:val="0"/>
                <w:iCs w:val="0"/>
                <w:kern w:val="0"/>
                <w:sz w:val="21"/>
                <w:szCs w:val="21"/>
                <w:u w:val="none"/>
                <w:lang w:val="en-US" w:eastAsia="zh-CN" w:bidi="ar"/>
              </w:rPr>
              <w:t>证明文件：</w:t>
            </w:r>
            <w:r>
              <w:rPr>
                <w:rFonts w:hint="eastAsia" w:ascii="宋体" w:hAnsi="宋体" w:eastAsia="宋体" w:cs="宋体"/>
                <w:i w:val="0"/>
                <w:iCs w:val="0"/>
                <w:kern w:val="0"/>
                <w:sz w:val="21"/>
                <w:szCs w:val="21"/>
                <w:u w:val="none"/>
                <w:lang w:val="en-US" w:eastAsia="zh-CN" w:bidi="ar"/>
              </w:rPr>
              <w:br w:type="textWrapping"/>
            </w:r>
            <w:r>
              <w:rPr>
                <w:rFonts w:hint="eastAsia" w:ascii="宋体" w:hAnsi="宋体" w:eastAsia="宋体" w:cs="宋体"/>
                <w:i w:val="0"/>
                <w:iCs w:val="0"/>
                <w:kern w:val="0"/>
                <w:sz w:val="21"/>
                <w:szCs w:val="21"/>
                <w:u w:val="none"/>
                <w:lang w:val="en-US" w:eastAsia="zh-CN" w:bidi="ar"/>
              </w:rPr>
              <w:t>1.提供证书扫描件及全国认证认可信息公共服务平台（cx.cnca.cn）认证信息查询截图（截图需显示证书状态为有效）。相关证书在公开渠道无法查询的，投标人需提供颁发部门或者监管机构的证明材料，证明证书真实有效且为合法机构颁发；</w:t>
            </w:r>
            <w:r>
              <w:rPr>
                <w:rFonts w:hint="eastAsia" w:ascii="宋体" w:hAnsi="宋体" w:eastAsia="宋体" w:cs="宋体"/>
                <w:i w:val="0"/>
                <w:iCs w:val="0"/>
                <w:kern w:val="0"/>
                <w:sz w:val="21"/>
                <w:szCs w:val="21"/>
                <w:u w:val="none"/>
                <w:lang w:val="en-US" w:eastAsia="zh-CN" w:bidi="ar"/>
              </w:rPr>
              <w:br w:type="textWrapping"/>
            </w:r>
            <w:r>
              <w:rPr>
                <w:rFonts w:hint="eastAsia" w:ascii="宋体" w:hAnsi="宋体" w:eastAsia="宋体" w:cs="宋体"/>
                <w:i w:val="0"/>
                <w:iCs w:val="0"/>
                <w:kern w:val="0"/>
                <w:sz w:val="21"/>
                <w:szCs w:val="21"/>
                <w:u w:val="none"/>
                <w:lang w:val="en-US" w:eastAsia="zh-CN" w:bidi="ar"/>
              </w:rPr>
              <w:t>2.如投标人为分支机构，提供其总公司的证书也可按照评分规则计分；证书单位名称需与投标人名称或其总公司名称一致，否则不得分；</w:t>
            </w:r>
            <w:r>
              <w:rPr>
                <w:rFonts w:hint="eastAsia" w:ascii="宋体" w:hAnsi="宋体" w:eastAsia="宋体" w:cs="宋体"/>
                <w:i w:val="0"/>
                <w:iCs w:val="0"/>
                <w:kern w:val="0"/>
                <w:sz w:val="21"/>
                <w:szCs w:val="21"/>
                <w:u w:val="none"/>
                <w:lang w:val="en-US" w:eastAsia="zh-CN" w:bidi="ar"/>
              </w:rPr>
              <w:br w:type="textWrapping"/>
            </w:r>
            <w:r>
              <w:rPr>
                <w:rFonts w:hint="eastAsia" w:ascii="宋体" w:hAnsi="宋体" w:eastAsia="宋体" w:cs="宋体"/>
                <w:i w:val="0"/>
                <w:iCs w:val="0"/>
                <w:kern w:val="0"/>
                <w:sz w:val="21"/>
                <w:szCs w:val="21"/>
                <w:u w:val="none"/>
                <w:lang w:val="en-US" w:eastAsia="zh-CN" w:bidi="ar"/>
              </w:rPr>
              <w:t>3.未提供或未按要求提供或提供的不清晰导致评审委员会无法判断的，不得分。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widowControl/>
              <w:suppressLineNumbers w:val="0"/>
              <w:spacing w:line="240" w:lineRule="exact"/>
              <w:jc w:val="center"/>
              <w:textAlignment w:val="auto"/>
              <w:rPr>
                <w:rFonts w:ascii="宋体" w:hAnsi="宋体"/>
                <w:szCs w:val="21"/>
              </w:rPr>
            </w:pPr>
            <w:r>
              <w:rPr>
                <w:rFonts w:hint="eastAsia" w:ascii="宋体" w:hAnsi="宋体" w:eastAsia="宋体" w:cs="宋体"/>
                <w:i w:val="0"/>
                <w:iCs w:val="0"/>
                <w:color w:val="000000"/>
                <w:kern w:val="0"/>
                <w:sz w:val="21"/>
                <w:szCs w:val="21"/>
                <w:u w:val="none"/>
                <w:lang w:val="en-US" w:eastAsia="zh-CN" w:bidi="ar"/>
              </w:rPr>
              <w:t>投标人自主知识产权产品（创新、设计）情况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spacing w:line="240" w:lineRule="exact"/>
              <w:jc w:val="center"/>
              <w:rPr>
                <w:rFonts w:hint="eastAsia" w:ascii="宋体" w:hAnsi="宋体" w:eastAsiaTheme="minorEastAsia"/>
                <w:szCs w:val="21"/>
                <w:lang w:eastAsia="zh-CN"/>
              </w:rPr>
            </w:pPr>
            <w:r>
              <w:rPr>
                <w:rFonts w:hint="eastAsia" w:ascii="宋体" w:hAnsi="宋体" w:cs="宋体"/>
                <w:kern w:val="0"/>
                <w:szCs w:val="21"/>
                <w:lang w:val="en-US" w:eastAsia="zh-CN"/>
              </w:rPr>
              <w:t>5</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pacing w:line="240" w:lineRule="exact"/>
              <w:rPr>
                <w:rFonts w:hint="eastAsia" w:ascii="宋体" w:hAnsi="宋体" w:cs="宋体"/>
                <w:b/>
                <w:bCs/>
                <w:kern w:val="0"/>
                <w:szCs w:val="21"/>
              </w:rPr>
            </w:pPr>
            <w:r>
              <w:rPr>
                <w:rFonts w:hint="eastAsia" w:ascii="宋体" w:hAnsi="宋体" w:cs="宋体"/>
                <w:b/>
                <w:bCs/>
                <w:kern w:val="0"/>
                <w:szCs w:val="21"/>
              </w:rPr>
              <w:t>考察内容：</w:t>
            </w:r>
          </w:p>
          <w:p>
            <w:pPr>
              <w:keepNext w:val="0"/>
              <w:keepLines w:val="0"/>
              <w:pageBreakBefore w:val="0"/>
              <w:kinsoku/>
              <w:overflowPunct/>
              <w:topLinePunct w:val="0"/>
              <w:autoSpaceDE/>
              <w:autoSpaceDN/>
              <w:bidi w:val="0"/>
              <w:adjustRightInd/>
              <w:spacing w:line="240" w:lineRule="exact"/>
              <w:rPr>
                <w:rFonts w:hint="eastAsia" w:ascii="宋体" w:hAnsi="宋体" w:cs="宋体"/>
                <w:b w:val="0"/>
                <w:bCs w:val="0"/>
                <w:kern w:val="0"/>
                <w:szCs w:val="21"/>
              </w:rPr>
            </w:pPr>
            <w:r>
              <w:rPr>
                <w:rFonts w:hint="eastAsia" w:ascii="宋体" w:hAnsi="宋体" w:cs="宋体"/>
                <w:b w:val="0"/>
                <w:bCs w:val="0"/>
                <w:kern w:val="0"/>
                <w:szCs w:val="21"/>
              </w:rPr>
              <w:t>1.</w:t>
            </w:r>
            <w:r>
              <w:rPr>
                <w:rFonts w:hint="eastAsia" w:ascii="宋体" w:hAnsi="宋体" w:cs="宋体"/>
                <w:b w:val="0"/>
                <w:bCs w:val="0"/>
                <w:kern w:val="0"/>
                <w:szCs w:val="21"/>
                <w:highlight w:val="none"/>
              </w:rPr>
              <w:t>具有大数据基础管理类相关计算机软件著作权登记证书或专利证书</w:t>
            </w:r>
            <w:r>
              <w:rPr>
                <w:rFonts w:hint="eastAsia" w:ascii="宋体" w:hAnsi="宋体" w:cs="宋体"/>
                <w:b w:val="0"/>
                <w:bCs w:val="0"/>
                <w:kern w:val="0"/>
                <w:szCs w:val="21"/>
                <w:highlight w:val="none"/>
                <w:lang w:eastAsia="zh-CN"/>
              </w:rPr>
              <w:t>，</w:t>
            </w:r>
            <w:r>
              <w:rPr>
                <w:rFonts w:hint="eastAsia" w:ascii="宋体" w:hAnsi="宋体" w:eastAsia="宋体" w:cs="宋体"/>
                <w:i w:val="0"/>
                <w:iCs w:val="0"/>
                <w:kern w:val="0"/>
                <w:sz w:val="21"/>
                <w:szCs w:val="21"/>
                <w:u w:val="none"/>
                <w:lang w:val="en-US" w:eastAsia="zh-CN" w:bidi="ar"/>
              </w:rPr>
              <w:t>得</w:t>
            </w:r>
            <w:r>
              <w:rPr>
                <w:rFonts w:hint="eastAsia" w:ascii="宋体" w:hAnsi="宋体" w:cs="宋体"/>
                <w:i w:val="0"/>
                <w:iCs w:val="0"/>
                <w:kern w:val="0"/>
                <w:sz w:val="21"/>
                <w:szCs w:val="21"/>
                <w:u w:val="none"/>
                <w:lang w:val="en-US" w:eastAsia="zh-CN" w:bidi="ar"/>
              </w:rPr>
              <w:t>20</w:t>
            </w:r>
            <w:r>
              <w:rPr>
                <w:rFonts w:hint="eastAsia" w:ascii="宋体" w:hAnsi="宋体" w:eastAsia="宋体" w:cs="宋体"/>
                <w:i w:val="0"/>
                <w:iCs w:val="0"/>
                <w:kern w:val="0"/>
                <w:sz w:val="21"/>
                <w:szCs w:val="21"/>
                <w:u w:val="none"/>
                <w:lang w:val="en-US" w:eastAsia="zh-CN" w:bidi="ar"/>
              </w:rPr>
              <w:t>分</w:t>
            </w:r>
            <w:r>
              <w:rPr>
                <w:rFonts w:hint="eastAsia" w:ascii="宋体" w:hAnsi="宋体" w:cs="宋体"/>
                <w:b w:val="0"/>
                <w:bCs w:val="0"/>
                <w:kern w:val="0"/>
                <w:szCs w:val="21"/>
                <w:highlight w:val="none"/>
                <w:lang w:eastAsia="zh-CN"/>
              </w:rPr>
              <w:t>。</w:t>
            </w:r>
          </w:p>
          <w:p>
            <w:pPr>
              <w:keepNext w:val="0"/>
              <w:keepLines w:val="0"/>
              <w:pageBreakBefore w:val="0"/>
              <w:kinsoku/>
              <w:overflowPunct/>
              <w:topLinePunct w:val="0"/>
              <w:autoSpaceDE/>
              <w:autoSpaceDN/>
              <w:bidi w:val="0"/>
              <w:adjustRightInd/>
              <w:spacing w:line="240" w:lineRule="exact"/>
              <w:rPr>
                <w:rFonts w:hint="eastAsia" w:ascii="宋体" w:hAnsi="宋体" w:cs="宋体"/>
                <w:b w:val="0"/>
                <w:bCs w:val="0"/>
                <w:kern w:val="0"/>
                <w:szCs w:val="21"/>
              </w:rPr>
            </w:pPr>
            <w:r>
              <w:rPr>
                <w:rFonts w:hint="eastAsia" w:ascii="宋体" w:hAnsi="宋体" w:cs="宋体"/>
                <w:b w:val="0"/>
                <w:bCs w:val="0"/>
                <w:kern w:val="0"/>
                <w:szCs w:val="21"/>
              </w:rPr>
              <w:t>2.具有视频AI分析集约管控平台类相关计算机软件著作权登记证书或专利证书</w:t>
            </w:r>
            <w:r>
              <w:rPr>
                <w:rFonts w:hint="eastAsia" w:ascii="宋体" w:hAnsi="宋体" w:cs="宋体"/>
                <w:b w:val="0"/>
                <w:bCs w:val="0"/>
                <w:kern w:val="0"/>
                <w:szCs w:val="21"/>
                <w:highlight w:val="none"/>
                <w:lang w:eastAsia="zh-CN"/>
              </w:rPr>
              <w:t>，</w:t>
            </w:r>
            <w:r>
              <w:rPr>
                <w:rFonts w:hint="eastAsia" w:ascii="宋体" w:hAnsi="宋体" w:eastAsia="宋体" w:cs="宋体"/>
                <w:i w:val="0"/>
                <w:iCs w:val="0"/>
                <w:kern w:val="0"/>
                <w:sz w:val="21"/>
                <w:szCs w:val="21"/>
                <w:u w:val="none"/>
                <w:lang w:val="en-US" w:eastAsia="zh-CN" w:bidi="ar"/>
              </w:rPr>
              <w:t>得</w:t>
            </w:r>
            <w:r>
              <w:rPr>
                <w:rFonts w:hint="eastAsia" w:ascii="宋体" w:hAnsi="宋体" w:cs="宋体"/>
                <w:i w:val="0"/>
                <w:iCs w:val="0"/>
                <w:kern w:val="0"/>
                <w:sz w:val="21"/>
                <w:szCs w:val="21"/>
                <w:u w:val="none"/>
                <w:lang w:val="en-US" w:eastAsia="zh-CN" w:bidi="ar"/>
              </w:rPr>
              <w:t>20</w:t>
            </w:r>
            <w:r>
              <w:rPr>
                <w:rFonts w:hint="eastAsia" w:ascii="宋体" w:hAnsi="宋体" w:eastAsia="宋体" w:cs="宋体"/>
                <w:i w:val="0"/>
                <w:iCs w:val="0"/>
                <w:kern w:val="0"/>
                <w:sz w:val="21"/>
                <w:szCs w:val="21"/>
                <w:u w:val="none"/>
                <w:lang w:val="en-US" w:eastAsia="zh-CN" w:bidi="ar"/>
              </w:rPr>
              <w:t>分</w:t>
            </w:r>
            <w:r>
              <w:rPr>
                <w:rFonts w:hint="eastAsia" w:ascii="宋体" w:hAnsi="宋体" w:cs="宋体"/>
                <w:b w:val="0"/>
                <w:bCs w:val="0"/>
                <w:kern w:val="0"/>
                <w:szCs w:val="21"/>
              </w:rPr>
              <w:t>。</w:t>
            </w:r>
          </w:p>
          <w:p>
            <w:pPr>
              <w:keepNext w:val="0"/>
              <w:keepLines w:val="0"/>
              <w:pageBreakBefore w:val="0"/>
              <w:kinsoku/>
              <w:overflowPunct/>
              <w:topLinePunct w:val="0"/>
              <w:autoSpaceDE/>
              <w:autoSpaceDN/>
              <w:bidi w:val="0"/>
              <w:adjustRightInd/>
              <w:spacing w:line="240" w:lineRule="exact"/>
              <w:rPr>
                <w:rFonts w:hint="eastAsia" w:ascii="宋体" w:hAnsi="宋体" w:cs="宋体"/>
                <w:b w:val="0"/>
                <w:bCs w:val="0"/>
                <w:kern w:val="0"/>
                <w:szCs w:val="21"/>
                <w:highlight w:val="none"/>
              </w:rPr>
            </w:pPr>
            <w:r>
              <w:rPr>
                <w:rFonts w:hint="eastAsia" w:ascii="宋体" w:hAnsi="宋体" w:cs="宋体"/>
                <w:b w:val="0"/>
                <w:bCs w:val="0"/>
                <w:kern w:val="0"/>
                <w:szCs w:val="21"/>
                <w:highlight w:val="none"/>
              </w:rPr>
              <w:t>3.具有运营管理平台类相关计算机软件著作权登记证书或专利证书</w:t>
            </w:r>
            <w:r>
              <w:rPr>
                <w:rFonts w:hint="eastAsia" w:ascii="宋体" w:hAnsi="宋体" w:cs="宋体"/>
                <w:b w:val="0"/>
                <w:bCs w:val="0"/>
                <w:kern w:val="0"/>
                <w:szCs w:val="21"/>
                <w:highlight w:val="none"/>
                <w:lang w:eastAsia="zh-CN"/>
              </w:rPr>
              <w:t>，</w:t>
            </w:r>
            <w:r>
              <w:rPr>
                <w:rFonts w:hint="eastAsia" w:ascii="宋体" w:hAnsi="宋体" w:eastAsia="宋体" w:cs="宋体"/>
                <w:i w:val="0"/>
                <w:iCs w:val="0"/>
                <w:kern w:val="0"/>
                <w:sz w:val="21"/>
                <w:szCs w:val="21"/>
                <w:u w:val="none"/>
                <w:lang w:val="en-US" w:eastAsia="zh-CN" w:bidi="ar"/>
              </w:rPr>
              <w:t>得</w:t>
            </w:r>
            <w:r>
              <w:rPr>
                <w:rFonts w:hint="eastAsia" w:ascii="宋体" w:hAnsi="宋体" w:cs="宋体"/>
                <w:i w:val="0"/>
                <w:iCs w:val="0"/>
                <w:kern w:val="0"/>
                <w:sz w:val="21"/>
                <w:szCs w:val="21"/>
                <w:u w:val="none"/>
                <w:lang w:val="en-US" w:eastAsia="zh-CN" w:bidi="ar"/>
              </w:rPr>
              <w:t>20</w:t>
            </w:r>
            <w:r>
              <w:rPr>
                <w:rFonts w:hint="eastAsia" w:ascii="宋体" w:hAnsi="宋体" w:eastAsia="宋体" w:cs="宋体"/>
                <w:i w:val="0"/>
                <w:iCs w:val="0"/>
                <w:kern w:val="0"/>
                <w:sz w:val="21"/>
                <w:szCs w:val="21"/>
                <w:u w:val="none"/>
                <w:lang w:val="en-US" w:eastAsia="zh-CN" w:bidi="ar"/>
              </w:rPr>
              <w:t>分</w:t>
            </w:r>
            <w:r>
              <w:rPr>
                <w:rFonts w:hint="eastAsia" w:ascii="宋体" w:hAnsi="宋体" w:cs="宋体"/>
                <w:b w:val="0"/>
                <w:bCs w:val="0"/>
                <w:kern w:val="0"/>
                <w:szCs w:val="21"/>
                <w:highlight w:val="none"/>
              </w:rPr>
              <w:t>。</w:t>
            </w:r>
          </w:p>
          <w:p>
            <w:pPr>
              <w:keepNext w:val="0"/>
              <w:keepLines w:val="0"/>
              <w:pageBreakBefore w:val="0"/>
              <w:kinsoku/>
              <w:overflowPunct/>
              <w:topLinePunct w:val="0"/>
              <w:autoSpaceDE/>
              <w:autoSpaceDN/>
              <w:bidi w:val="0"/>
              <w:adjustRightInd/>
              <w:spacing w:line="240" w:lineRule="exact"/>
              <w:rPr>
                <w:rFonts w:hint="eastAsia" w:ascii="宋体" w:hAnsi="宋体" w:cs="宋体"/>
                <w:b w:val="0"/>
                <w:bCs w:val="0"/>
                <w:kern w:val="0"/>
                <w:szCs w:val="21"/>
              </w:rPr>
            </w:pPr>
            <w:r>
              <w:rPr>
                <w:rFonts w:hint="eastAsia" w:ascii="宋体" w:hAnsi="宋体" w:cs="宋体"/>
                <w:b w:val="0"/>
                <w:bCs w:val="0"/>
                <w:kern w:val="0"/>
                <w:szCs w:val="21"/>
              </w:rPr>
              <w:t>4.具有智能运维支撑系统类相关计算机软件著作权登记证书或专利证书</w:t>
            </w:r>
            <w:r>
              <w:rPr>
                <w:rFonts w:hint="eastAsia" w:ascii="宋体" w:hAnsi="宋体" w:cs="宋体"/>
                <w:b w:val="0"/>
                <w:bCs w:val="0"/>
                <w:kern w:val="0"/>
                <w:szCs w:val="21"/>
                <w:highlight w:val="none"/>
                <w:lang w:eastAsia="zh-CN"/>
              </w:rPr>
              <w:t>，</w:t>
            </w:r>
            <w:r>
              <w:rPr>
                <w:rFonts w:hint="eastAsia" w:ascii="宋体" w:hAnsi="宋体" w:eastAsia="宋体" w:cs="宋体"/>
                <w:i w:val="0"/>
                <w:iCs w:val="0"/>
                <w:kern w:val="0"/>
                <w:sz w:val="21"/>
                <w:szCs w:val="21"/>
                <w:u w:val="none"/>
                <w:lang w:val="en-US" w:eastAsia="zh-CN" w:bidi="ar"/>
              </w:rPr>
              <w:t>得</w:t>
            </w:r>
            <w:r>
              <w:rPr>
                <w:rFonts w:hint="eastAsia" w:ascii="宋体" w:hAnsi="宋体" w:cs="宋体"/>
                <w:i w:val="0"/>
                <w:iCs w:val="0"/>
                <w:kern w:val="0"/>
                <w:sz w:val="21"/>
                <w:szCs w:val="21"/>
                <w:u w:val="none"/>
                <w:lang w:val="en-US" w:eastAsia="zh-CN" w:bidi="ar"/>
              </w:rPr>
              <w:t>20</w:t>
            </w:r>
            <w:r>
              <w:rPr>
                <w:rFonts w:hint="eastAsia" w:ascii="宋体" w:hAnsi="宋体" w:eastAsia="宋体" w:cs="宋体"/>
                <w:i w:val="0"/>
                <w:iCs w:val="0"/>
                <w:kern w:val="0"/>
                <w:sz w:val="21"/>
                <w:szCs w:val="21"/>
                <w:u w:val="none"/>
                <w:lang w:val="en-US" w:eastAsia="zh-CN" w:bidi="ar"/>
              </w:rPr>
              <w:t>分</w:t>
            </w:r>
            <w:r>
              <w:rPr>
                <w:rFonts w:hint="eastAsia" w:ascii="宋体" w:hAnsi="宋体" w:cs="宋体"/>
                <w:b w:val="0"/>
                <w:bCs w:val="0"/>
                <w:kern w:val="0"/>
                <w:szCs w:val="21"/>
              </w:rPr>
              <w:t>。</w:t>
            </w:r>
          </w:p>
          <w:p>
            <w:pPr>
              <w:keepNext w:val="0"/>
              <w:keepLines w:val="0"/>
              <w:pageBreakBefore w:val="0"/>
              <w:kinsoku/>
              <w:overflowPunct/>
              <w:topLinePunct w:val="0"/>
              <w:autoSpaceDE/>
              <w:autoSpaceDN/>
              <w:bidi w:val="0"/>
              <w:adjustRightInd/>
              <w:spacing w:line="240" w:lineRule="exact"/>
            </w:pPr>
            <w:r>
              <w:rPr>
                <w:rFonts w:hint="eastAsia" w:ascii="宋体" w:hAnsi="宋体" w:cs="宋体"/>
                <w:b w:val="0"/>
                <w:bCs w:val="0"/>
                <w:kern w:val="0"/>
                <w:szCs w:val="21"/>
              </w:rPr>
              <w:t>5.具有安全事件的智能关联分析类相关计算机软件著作权登记证书或专利证书</w:t>
            </w:r>
            <w:r>
              <w:rPr>
                <w:rFonts w:hint="eastAsia" w:ascii="宋体" w:hAnsi="宋体" w:cs="宋体"/>
                <w:b w:val="0"/>
                <w:bCs w:val="0"/>
                <w:kern w:val="0"/>
                <w:szCs w:val="21"/>
                <w:highlight w:val="none"/>
                <w:lang w:eastAsia="zh-CN"/>
              </w:rPr>
              <w:t>，</w:t>
            </w:r>
            <w:r>
              <w:rPr>
                <w:rFonts w:hint="eastAsia" w:ascii="宋体" w:hAnsi="宋体" w:eastAsia="宋体" w:cs="宋体"/>
                <w:i w:val="0"/>
                <w:iCs w:val="0"/>
                <w:kern w:val="0"/>
                <w:sz w:val="21"/>
                <w:szCs w:val="21"/>
                <w:u w:val="none"/>
                <w:lang w:val="en-US" w:eastAsia="zh-CN" w:bidi="ar"/>
              </w:rPr>
              <w:t>得</w:t>
            </w:r>
            <w:r>
              <w:rPr>
                <w:rFonts w:hint="eastAsia" w:ascii="宋体" w:hAnsi="宋体" w:cs="宋体"/>
                <w:i w:val="0"/>
                <w:iCs w:val="0"/>
                <w:kern w:val="0"/>
                <w:sz w:val="21"/>
                <w:szCs w:val="21"/>
                <w:u w:val="none"/>
                <w:lang w:val="en-US" w:eastAsia="zh-CN" w:bidi="ar"/>
              </w:rPr>
              <w:t>20</w:t>
            </w:r>
            <w:r>
              <w:rPr>
                <w:rFonts w:hint="eastAsia" w:ascii="宋体" w:hAnsi="宋体" w:eastAsia="宋体" w:cs="宋体"/>
                <w:i w:val="0"/>
                <w:iCs w:val="0"/>
                <w:kern w:val="0"/>
                <w:sz w:val="21"/>
                <w:szCs w:val="21"/>
                <w:u w:val="none"/>
                <w:lang w:val="en-US" w:eastAsia="zh-CN" w:bidi="ar"/>
              </w:rPr>
              <w:t>分</w:t>
            </w:r>
            <w:r>
              <w:rPr>
                <w:rFonts w:hint="eastAsia" w:ascii="宋体" w:hAnsi="宋体" w:cs="宋体"/>
                <w:b w:val="0"/>
                <w:bCs w:val="0"/>
                <w:kern w:val="0"/>
                <w:szCs w:val="21"/>
              </w:rPr>
              <w:t>。</w:t>
            </w:r>
          </w:p>
          <w:p>
            <w:pPr>
              <w:keepNext w:val="0"/>
              <w:keepLines w:val="0"/>
              <w:pageBreakBefore w:val="0"/>
              <w:kinsoku/>
              <w:overflowPunct/>
              <w:topLinePunct w:val="0"/>
              <w:autoSpaceDE/>
              <w:autoSpaceDN/>
              <w:bidi w:val="0"/>
              <w:adjustRightInd/>
              <w:spacing w:line="240" w:lineRule="exact"/>
              <w:rPr>
                <w:rFonts w:hint="eastAsia" w:ascii="宋体" w:hAnsi="宋体" w:cs="宋体"/>
                <w:b/>
                <w:bCs/>
                <w:kern w:val="0"/>
                <w:szCs w:val="21"/>
              </w:rPr>
            </w:pPr>
            <w:r>
              <w:rPr>
                <w:rFonts w:hint="eastAsia" w:ascii="宋体" w:hAnsi="宋体" w:cs="宋体"/>
                <w:b/>
                <w:bCs/>
                <w:kern w:val="0"/>
                <w:szCs w:val="21"/>
                <w:lang w:val="en-US" w:eastAsia="zh-CN"/>
              </w:rPr>
              <w:t>证明文件</w:t>
            </w:r>
            <w:r>
              <w:rPr>
                <w:rFonts w:hint="eastAsia" w:ascii="宋体" w:hAnsi="宋体" w:cs="宋体"/>
                <w:b/>
                <w:bCs/>
                <w:kern w:val="0"/>
                <w:szCs w:val="21"/>
              </w:rPr>
              <w:t>：</w:t>
            </w:r>
          </w:p>
          <w:p>
            <w:pPr>
              <w:keepNext w:val="0"/>
              <w:keepLines w:val="0"/>
              <w:pageBreakBefore w:val="0"/>
              <w:kinsoku/>
              <w:overflowPunct/>
              <w:topLinePunct w:val="0"/>
              <w:autoSpaceDE/>
              <w:autoSpaceDN/>
              <w:bidi w:val="0"/>
              <w:adjustRightInd/>
              <w:spacing w:line="240" w:lineRule="exact"/>
              <w:rPr>
                <w:rFonts w:hint="eastAsia" w:ascii="宋体" w:hAnsi="宋体" w:cs="宋体"/>
                <w:b w:val="0"/>
                <w:bCs w:val="0"/>
                <w:kern w:val="0"/>
                <w:szCs w:val="21"/>
              </w:rPr>
            </w:pPr>
            <w:r>
              <w:rPr>
                <w:rFonts w:hint="eastAsia" w:ascii="宋体" w:hAnsi="宋体" w:cs="宋体"/>
                <w:b w:val="0"/>
                <w:bCs w:val="0"/>
                <w:kern w:val="0"/>
                <w:szCs w:val="21"/>
              </w:rPr>
              <w:t xml:space="preserve">1.提供国家版权部门或国家知识产权部门颁发的证书扫描件（知识产权人或专利权人需为投标人，如投标人为分公司或分支机构，可提供总公司相应证书。证书单位名称需与投标人名称或其总公司名称一致，否则不得分）； </w:t>
            </w:r>
          </w:p>
          <w:p>
            <w:pPr>
              <w:keepNext w:val="0"/>
              <w:keepLines w:val="0"/>
              <w:pageBreakBefore w:val="0"/>
              <w:kinsoku/>
              <w:overflowPunct/>
              <w:topLinePunct w:val="0"/>
              <w:autoSpaceDE/>
              <w:autoSpaceDN/>
              <w:bidi w:val="0"/>
              <w:adjustRightInd/>
              <w:spacing w:line="240" w:lineRule="exact"/>
              <w:rPr>
                <w:szCs w:val="20"/>
              </w:rPr>
            </w:pPr>
            <w:r>
              <w:rPr>
                <w:rFonts w:hint="eastAsia" w:ascii="宋体" w:hAnsi="宋体" w:cs="宋体"/>
                <w:b w:val="0"/>
                <w:bCs w:val="0"/>
                <w:kern w:val="0"/>
                <w:szCs w:val="21"/>
              </w:rPr>
              <w:t>2.未提供或未按要求提供或提供的不清晰导致评审委员会无法判断的，不得分。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tcBorders>
              <w:left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3</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spacing w:line="240" w:lineRule="exact"/>
              <w:jc w:val="center"/>
              <w:rPr>
                <w:rFonts w:hint="eastAsia" w:ascii="宋体" w:hAnsi="宋体"/>
                <w:szCs w:val="21"/>
              </w:rPr>
            </w:pPr>
            <w:r>
              <w:rPr>
                <w:rFonts w:hint="eastAsia" w:ascii="宋体" w:hAnsi="宋体" w:cs="宋体"/>
                <w:kern w:val="0"/>
                <w:szCs w:val="21"/>
              </w:rPr>
              <w:t>同类项目业绩</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widowControl/>
              <w:spacing w:line="240" w:lineRule="exact"/>
              <w:jc w:val="center"/>
              <w:rPr>
                <w:rFonts w:hint="eastAsia" w:ascii="宋体" w:hAnsi="宋体" w:cs="宋体"/>
                <w:szCs w:val="21"/>
                <w:lang w:val="en-US" w:eastAsia="zh-CN"/>
              </w:rPr>
            </w:pPr>
            <w:r>
              <w:rPr>
                <w:rFonts w:hint="eastAsia" w:ascii="宋体" w:hAnsi="宋体" w:cs="宋体"/>
                <w:kern w:val="0"/>
                <w:szCs w:val="21"/>
                <w:lang w:val="en-US" w:eastAsia="zh-CN"/>
              </w:rPr>
              <w:t>2</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pacing w:line="240" w:lineRule="exact"/>
              <w:rPr>
                <w:rFonts w:hint="eastAsia" w:ascii="宋体" w:hAnsi="宋体" w:cs="宋体"/>
                <w:b/>
                <w:bCs/>
                <w:kern w:val="0"/>
                <w:szCs w:val="21"/>
              </w:rPr>
            </w:pPr>
            <w:r>
              <w:rPr>
                <w:rFonts w:hint="eastAsia" w:ascii="宋体" w:hAnsi="宋体" w:cs="宋体"/>
                <w:b/>
                <w:bCs/>
                <w:kern w:val="0"/>
                <w:szCs w:val="21"/>
              </w:rPr>
              <w:t>考察内容：</w:t>
            </w:r>
          </w:p>
          <w:p>
            <w:pPr>
              <w:keepNext w:val="0"/>
              <w:keepLines w:val="0"/>
              <w:pageBreakBefore w:val="0"/>
              <w:kinsoku/>
              <w:overflowPunct/>
              <w:topLinePunct w:val="0"/>
              <w:autoSpaceDE/>
              <w:autoSpaceDN/>
              <w:bidi w:val="0"/>
              <w:adjustRightInd/>
              <w:spacing w:line="240" w:lineRule="exact"/>
              <w:rPr>
                <w:rFonts w:hint="eastAsia" w:ascii="宋体" w:hAnsi="宋体" w:cs="宋体"/>
                <w:b w:val="0"/>
                <w:bCs w:val="0"/>
                <w:kern w:val="0"/>
                <w:szCs w:val="21"/>
              </w:rPr>
            </w:pPr>
            <w:r>
              <w:rPr>
                <w:rFonts w:hint="eastAsia" w:ascii="宋体" w:hAnsi="宋体" w:cs="宋体"/>
                <w:b w:val="0"/>
                <w:bCs w:val="0"/>
                <w:kern w:val="0"/>
                <w:szCs w:val="21"/>
              </w:rPr>
              <w:t>投标人（如投标人为分公司或分支机构可用其总公司业绩）2022年1月1日至本项目投标截止时间，（以签订合同日期为准）在同类项目业绩情况：每提供1个</w:t>
            </w:r>
            <w:r>
              <w:rPr>
                <w:rFonts w:hint="eastAsia" w:ascii="宋体" w:hAnsi="宋体" w:eastAsia="宋体" w:cs="宋体"/>
                <w:kern w:val="2"/>
                <w:sz w:val="21"/>
                <w:szCs w:val="21"/>
                <w:lang w:eastAsia="zh-CN"/>
              </w:rPr>
              <w:t>信息化项目业绩</w:t>
            </w:r>
            <w:r>
              <w:rPr>
                <w:rFonts w:hint="eastAsia" w:ascii="宋体" w:hAnsi="宋体" w:cs="宋体"/>
                <w:b w:val="0"/>
                <w:bCs w:val="0"/>
                <w:kern w:val="0"/>
                <w:szCs w:val="21"/>
              </w:rPr>
              <w:t>得</w:t>
            </w:r>
            <w:r>
              <w:rPr>
                <w:rFonts w:hint="eastAsia" w:ascii="宋体" w:hAnsi="宋体" w:cs="宋体"/>
                <w:b w:val="0"/>
                <w:bCs w:val="0"/>
                <w:kern w:val="0"/>
                <w:szCs w:val="21"/>
                <w:lang w:val="en-US" w:eastAsia="zh-CN"/>
              </w:rPr>
              <w:t>50</w:t>
            </w:r>
            <w:r>
              <w:rPr>
                <w:rFonts w:hint="eastAsia" w:ascii="宋体" w:hAnsi="宋体" w:cs="宋体"/>
                <w:b w:val="0"/>
                <w:bCs w:val="0"/>
                <w:kern w:val="0"/>
                <w:szCs w:val="21"/>
              </w:rPr>
              <w:t>分，最高得</w:t>
            </w:r>
            <w:r>
              <w:rPr>
                <w:rFonts w:hint="eastAsia" w:ascii="宋体" w:hAnsi="宋体" w:cs="宋体"/>
                <w:b w:val="0"/>
                <w:bCs w:val="0"/>
                <w:kern w:val="0"/>
                <w:szCs w:val="21"/>
                <w:lang w:val="en-US" w:eastAsia="zh-CN"/>
              </w:rPr>
              <w:t>100</w:t>
            </w:r>
            <w:r>
              <w:rPr>
                <w:rFonts w:hint="eastAsia" w:ascii="宋体" w:hAnsi="宋体" w:cs="宋体"/>
                <w:b w:val="0"/>
                <w:bCs w:val="0"/>
                <w:kern w:val="0"/>
                <w:szCs w:val="21"/>
              </w:rPr>
              <w:t>分。每项业绩须按以下要求提供完整准确的证明文件，一年一签的长期服务续签合同只计算一个业绩。</w:t>
            </w:r>
          </w:p>
          <w:p>
            <w:pPr>
              <w:keepNext w:val="0"/>
              <w:keepLines w:val="0"/>
              <w:pageBreakBefore w:val="0"/>
              <w:kinsoku/>
              <w:overflowPunct/>
              <w:topLinePunct w:val="0"/>
              <w:autoSpaceDE/>
              <w:autoSpaceDN/>
              <w:bidi w:val="0"/>
              <w:adjustRightInd/>
              <w:spacing w:line="240" w:lineRule="exact"/>
              <w:rPr>
                <w:rFonts w:hint="eastAsia" w:ascii="宋体" w:hAnsi="宋体" w:cs="宋体"/>
                <w:b/>
                <w:bCs/>
                <w:kern w:val="0"/>
                <w:szCs w:val="21"/>
              </w:rPr>
            </w:pPr>
            <w:r>
              <w:rPr>
                <w:rFonts w:hint="eastAsia" w:ascii="宋体" w:hAnsi="宋体" w:cs="宋体"/>
                <w:b/>
                <w:bCs/>
                <w:kern w:val="0"/>
                <w:szCs w:val="21"/>
              </w:rPr>
              <w:t>二、证明文件：</w:t>
            </w:r>
          </w:p>
          <w:p>
            <w:pPr>
              <w:keepNext w:val="0"/>
              <w:keepLines w:val="0"/>
              <w:pageBreakBefore w:val="0"/>
              <w:kinsoku/>
              <w:overflowPunct/>
              <w:topLinePunct w:val="0"/>
              <w:autoSpaceDE/>
              <w:autoSpaceDN/>
              <w:bidi w:val="0"/>
              <w:adjustRightInd/>
              <w:spacing w:line="240" w:lineRule="exact"/>
              <w:rPr>
                <w:rFonts w:hint="eastAsia" w:ascii="宋体" w:hAnsi="宋体" w:cs="宋体"/>
                <w:b w:val="0"/>
                <w:bCs w:val="0"/>
                <w:kern w:val="0"/>
                <w:szCs w:val="21"/>
              </w:rPr>
            </w:pPr>
            <w:r>
              <w:rPr>
                <w:rFonts w:hint="eastAsia" w:ascii="宋体" w:hAnsi="宋体" w:cs="宋体"/>
                <w:b w:val="0"/>
                <w:bCs w:val="0"/>
                <w:kern w:val="0"/>
                <w:szCs w:val="21"/>
              </w:rPr>
              <w:t>1.提供合同或协议关键页（关键信息包括但不仅限于合同的项目名称、服务内容、签订日期等），未提供的不得分，原件备查。</w:t>
            </w:r>
          </w:p>
          <w:p>
            <w:pPr>
              <w:keepNext w:val="0"/>
              <w:keepLines w:val="0"/>
              <w:pageBreakBefore w:val="0"/>
              <w:kinsoku/>
              <w:overflowPunct/>
              <w:topLinePunct w:val="0"/>
              <w:autoSpaceDE/>
              <w:autoSpaceDN/>
              <w:bidi w:val="0"/>
              <w:adjustRightInd/>
              <w:spacing w:line="240" w:lineRule="exact"/>
              <w:rPr>
                <w:rFonts w:hint="eastAsia" w:ascii="宋体" w:hAnsi="宋体" w:cs="宋体"/>
                <w:b w:val="0"/>
                <w:bCs w:val="0"/>
                <w:kern w:val="0"/>
                <w:szCs w:val="21"/>
              </w:rPr>
            </w:pPr>
            <w:r>
              <w:rPr>
                <w:rFonts w:hint="eastAsia" w:ascii="宋体" w:hAnsi="宋体" w:cs="宋体"/>
                <w:b w:val="0"/>
                <w:bCs w:val="0"/>
                <w:kern w:val="0"/>
                <w:szCs w:val="21"/>
              </w:rPr>
              <w:t>2.未提供或未按要求提供或提供的不清晰导致评审委员会无法判断的，不得分。</w:t>
            </w:r>
          </w:p>
          <w:p>
            <w:pPr>
              <w:keepNext w:val="0"/>
              <w:keepLines w:val="0"/>
              <w:pageBreakBefore w:val="0"/>
              <w:kinsoku/>
              <w:overflowPunct/>
              <w:topLinePunct w:val="0"/>
              <w:autoSpaceDE/>
              <w:autoSpaceDN/>
              <w:bidi w:val="0"/>
              <w:adjustRightInd/>
              <w:spacing w:line="240" w:lineRule="exact"/>
              <w:rPr>
                <w:rFonts w:hint="eastAsia" w:ascii="宋体" w:hAnsi="宋体" w:cs="宋体"/>
                <w:color w:val="auto"/>
                <w:szCs w:val="21"/>
              </w:rPr>
            </w:pPr>
            <w:r>
              <w:rPr>
                <w:rFonts w:hint="eastAsia" w:ascii="宋体" w:hAnsi="宋体" w:cs="宋体"/>
                <w:b w:val="0"/>
                <w:bCs w:val="0"/>
                <w:kern w:val="0"/>
                <w:szCs w:val="21"/>
              </w:rPr>
              <w:t>3.通过上述资料无法判断是否得分的，也可以同时提供能证明得分的其它资料，如项目报告或采购单位（或被服务单位）出具的证明文件等。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jc w:val="center"/>
              <w:rPr>
                <w:rFonts w:ascii="宋体" w:hAnsi="宋体" w:cs="宋体"/>
                <w:b/>
                <w:bCs/>
                <w:szCs w:val="21"/>
              </w:rPr>
            </w:pPr>
            <w:r>
              <w:rPr>
                <w:rFonts w:hint="eastAsia" w:ascii="宋体" w:hAnsi="宋体" w:cs="宋体"/>
                <w:b/>
                <w:bCs/>
                <w:szCs w:val="21"/>
              </w:rPr>
              <w:t>4</w:t>
            </w:r>
          </w:p>
        </w:tc>
        <w:tc>
          <w:tcPr>
            <w:tcW w:w="2937"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snapToGrid w:val="0"/>
              <w:spacing w:line="240" w:lineRule="exact"/>
              <w:jc w:val="center"/>
              <w:rPr>
                <w:rFonts w:ascii="宋体" w:hAnsi="宋体" w:cs="宋体"/>
                <w:b/>
                <w:bCs/>
                <w:szCs w:val="21"/>
              </w:rPr>
            </w:pPr>
            <w:r>
              <w:rPr>
                <w:rFonts w:hint="eastAsia" w:ascii="宋体" w:hAnsi="宋体" w:cs="宋体"/>
                <w:b/>
                <w:bCs/>
                <w:szCs w:val="21"/>
              </w:rPr>
              <w:t>其他部分</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overflowPunct/>
              <w:topLinePunct w:val="0"/>
              <w:autoSpaceDE/>
              <w:autoSpaceDN/>
              <w:bidi w:val="0"/>
              <w:adjustRightInd/>
              <w:snapToGrid w:val="0"/>
              <w:spacing w:line="240" w:lineRule="exact"/>
              <w:jc w:val="center"/>
              <w:rPr>
                <w:rFonts w:ascii="宋体" w:hAnsi="宋体" w:cs="宋体"/>
                <w:b/>
                <w:bCs/>
                <w:szCs w:val="21"/>
              </w:rPr>
            </w:pPr>
            <w:r>
              <w:rPr>
                <w:rFonts w:hint="eastAsia" w:ascii="宋体" w:hAnsi="宋体" w:cs="宋体"/>
                <w:b/>
                <w:bCs/>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序号</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评分因素</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权重</w:t>
            </w:r>
            <w:r>
              <w:rPr>
                <w:rFonts w:hint="eastAsia" w:ascii="宋体" w:hAnsi="宋体" w:cs="宋体"/>
                <w:bCs/>
                <w:szCs w:val="21"/>
              </w:rPr>
              <w:t>（%）</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240" w:lineRule="exact"/>
              <w:jc w:val="center"/>
              <w:rPr>
                <w:rFonts w:ascii="宋体" w:hAnsi="宋体" w:cs="宋体"/>
                <w:szCs w:val="21"/>
              </w:rPr>
            </w:pPr>
            <w:r>
              <w:rPr>
                <w:rFonts w:hint="eastAsia" w:ascii="宋体" w:hAnsi="宋体" w:cs="宋体"/>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gridAfter w:val="1"/>
          <w:wAfter w:w="83" w:type="dxa"/>
          <w:tblCellSpacing w:w="0" w:type="dxa"/>
          <w:jc w:val="center"/>
        </w:trPr>
        <w:tc>
          <w:tcPr>
            <w:tcW w:w="436"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rPr>
                <w:rFonts w:ascii="宋体" w:hAnsi="宋体" w:cs="宋体"/>
                <w:b/>
                <w:bCs/>
                <w:szCs w:val="21"/>
              </w:rPr>
            </w:pPr>
          </w:p>
        </w:tc>
        <w:tc>
          <w:tcPr>
            <w:tcW w:w="485"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诚信情况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240" w:lineRule="exact"/>
              <w:jc w:val="center"/>
              <w:rPr>
                <w:rFonts w:ascii="宋体" w:hAnsi="宋体" w:cs="宋体"/>
                <w:szCs w:val="21"/>
              </w:rPr>
            </w:pPr>
            <w:r>
              <w:rPr>
                <w:rFonts w:hint="eastAsia" w:ascii="宋体" w:hAnsi="宋体" w:cs="宋体"/>
                <w:szCs w:val="21"/>
              </w:rPr>
              <w:t>5</w:t>
            </w:r>
          </w:p>
        </w:tc>
        <w:tc>
          <w:tcPr>
            <w:tcW w:w="5768"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pStyle w:val="2"/>
              <w:keepNext w:val="0"/>
              <w:keepLines w:val="0"/>
              <w:pageBreakBefore w:val="0"/>
              <w:kinsoku/>
              <w:wordWrap/>
              <w:overflowPunct/>
              <w:topLinePunct w:val="0"/>
              <w:autoSpaceDE/>
              <w:autoSpaceDN/>
              <w:bidi w:val="0"/>
              <w:adjustRightInd/>
              <w:spacing w:line="240" w:lineRule="exact"/>
            </w:pPr>
            <w:r>
              <w:rPr>
                <w:rFonts w:hint="eastAsia" w:asciiTheme="minorEastAsia" w:hAnsiTheme="minorEastAsia" w:cstheme="minorEastAsia"/>
                <w:b w:val="0"/>
                <w:bCs w:val="0"/>
                <w:sz w:val="21"/>
                <w:szCs w:val="21"/>
              </w:rPr>
              <w:t>投标人存在 《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查询渠道：通过“信用中国”（www.creditchina.gov.cn，下载信用信息报告）、“中国政府采购网”（www.ccgp.gov.cn）以及“深圳市政府采购监管网”（http://zfcg.sz.gov.cn）查询供应商信用信息，信用信息以开标当日的查询结果为准。</w:t>
            </w:r>
          </w:p>
        </w:tc>
      </w:tr>
    </w:tbl>
    <w:p>
      <w:r>
        <w:br w:type="page"/>
      </w:r>
    </w:p>
    <w:p>
      <w:pPr>
        <w:pStyle w:val="11"/>
      </w:pPr>
    </w:p>
    <w:p>
      <w:pPr>
        <w:pStyle w:val="2"/>
        <w:rPr>
          <w:rFonts w:hint="eastAsia"/>
          <w:b/>
          <w:sz w:val="120"/>
          <w:szCs w:val="120"/>
        </w:rPr>
      </w:pPr>
    </w:p>
    <w:p>
      <w:pPr>
        <w:pStyle w:val="2"/>
        <w:rPr>
          <w:rFonts w:hint="eastAsia"/>
          <w:b/>
          <w:sz w:val="120"/>
          <w:szCs w:val="120"/>
        </w:rPr>
      </w:pPr>
    </w:p>
    <w:p>
      <w:pPr>
        <w:jc w:val="center"/>
        <w:rPr>
          <w:b/>
          <w:sz w:val="120"/>
          <w:szCs w:val="120"/>
        </w:rPr>
      </w:pPr>
      <w:r>
        <w:rPr>
          <w:rFonts w:hint="eastAsia"/>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（货物类）</w:t>
      </w:r>
    </w:p>
    <w:p/>
    <w:p/>
    <w:p/>
    <w:p/>
    <w:p/>
    <w:p/>
    <w:p/>
    <w:p/>
    <w:p/>
    <w:p/>
    <w:p/>
    <w:p/>
    <w:p>
      <w:pPr>
        <w:jc w:val="center"/>
        <w:rPr>
          <w:b/>
          <w:sz w:val="44"/>
          <w:szCs w:val="44"/>
        </w:rPr>
      </w:pPr>
      <w:r>
        <w:rPr>
          <w:rFonts w:hint="eastAsia" w:ascii="宋体" w:hAnsi="宋体"/>
          <w:b/>
          <w:sz w:val="44"/>
          <w:szCs w:val="44"/>
        </w:rPr>
        <w:t>深圳公共资源交易中心</w:t>
      </w:r>
    </w:p>
    <w:p>
      <w:pPr>
        <w:jc w:val="center"/>
        <w:rPr>
          <w:b/>
          <w:sz w:val="44"/>
          <w:szCs w:val="44"/>
        </w:rPr>
      </w:pPr>
      <w:r>
        <w:rPr>
          <w:rFonts w:hint="eastAsia" w:ascii="宋体" w:hAnsi="宋体"/>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ascii="宋体" w:hAnsi="宋体"/>
          <w:b/>
          <w:sz w:val="44"/>
          <w:szCs w:val="44"/>
        </w:rPr>
        <w:t>）</w:t>
      </w:r>
    </w:p>
    <w:p>
      <w:pPr>
        <w:ind w:firstLine="6786" w:firstLineChars="1300"/>
        <w:jc w:val="center"/>
        <w:rPr>
          <w:bCs/>
          <w:color w:val="FF0000"/>
        </w:rPr>
      </w:pPr>
      <w:r>
        <w:rPr>
          <w:rFonts w:hint="eastAsia"/>
          <w:b/>
          <w:color w:val="FF0000"/>
          <w:sz w:val="52"/>
          <w:szCs w:val="52"/>
        </w:rPr>
        <w:br w:type="page"/>
      </w:r>
    </w:p>
    <w:p>
      <w:pPr>
        <w:snapToGrid w:val="0"/>
        <w:spacing w:line="360" w:lineRule="exact"/>
        <w:jc w:val="left"/>
        <w:rPr>
          <w:rFonts w:hint="eastAsia" w:ascii="宋体" w:hAnsi="宋体" w:eastAsia="宋体" w:cs="宋体"/>
          <w:color w:val="000000"/>
          <w:kern w:val="0"/>
          <w:sz w:val="24"/>
          <w:szCs w:val="24"/>
        </w:rPr>
      </w:pPr>
    </w:p>
    <w:p>
      <w:pPr>
        <w:snapToGrid w:val="0"/>
        <w:spacing w:line="360" w:lineRule="exact"/>
        <w:jc w:val="left"/>
        <w:rPr>
          <w:rFonts w:hint="eastAsia" w:ascii="宋体" w:hAnsi="宋体" w:eastAsia="宋体" w:cs="宋体"/>
          <w:color w:val="000000"/>
          <w:kern w:val="0"/>
          <w:sz w:val="24"/>
          <w:szCs w:val="24"/>
        </w:rPr>
      </w:pPr>
    </w:p>
    <w:p>
      <w:pPr>
        <w:snapToGrid w:val="0"/>
        <w:spacing w:line="360" w:lineRule="exact"/>
        <w:jc w:val="left"/>
        <w:rPr>
          <w:rFonts w:hint="eastAsia" w:ascii="宋体" w:hAnsi="宋体" w:eastAsia="宋体" w:cs="宋体"/>
          <w:color w:val="000000"/>
          <w:kern w:val="0"/>
          <w:sz w:val="24"/>
          <w:szCs w:val="24"/>
        </w:rPr>
      </w:pPr>
    </w:p>
    <w:p>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pPr>
        <w:rPr>
          <w:b/>
          <w:sz w:val="24"/>
          <w:szCs w:val="24"/>
        </w:rPr>
      </w:pPr>
      <w:r>
        <w:rPr>
          <w:rFonts w:hint="eastAsia"/>
          <w:b/>
          <w:sz w:val="24"/>
          <w:szCs w:val="24"/>
        </w:rPr>
        <w:t>第一册  专用条款</w:t>
      </w:r>
    </w:p>
    <w:p>
      <w:pPr>
        <w:ind w:left="630" w:leftChars="300" w:firstLine="411" w:firstLineChars="196"/>
        <w:rPr>
          <w:rFonts w:hint="eastAsia" w:ascii="宋体" w:hAnsi="宋体"/>
          <w:szCs w:val="21"/>
        </w:rPr>
      </w:pPr>
      <w:r>
        <w:rPr>
          <w:rFonts w:hint="eastAsia" w:ascii="宋体" w:hAnsi="宋体"/>
          <w:szCs w:val="21"/>
        </w:rPr>
        <w:tab/>
      </w:r>
      <w:r>
        <w:rPr>
          <w:rFonts w:hint="eastAsia" w:ascii="宋体" w:hAnsi="宋体"/>
          <w:szCs w:val="21"/>
        </w:rPr>
        <w:t>关键信息</w:t>
      </w:r>
    </w:p>
    <w:p>
      <w:pPr>
        <w:ind w:left="630" w:leftChars="300" w:firstLine="411" w:firstLineChars="196"/>
        <w:rPr>
          <w:rFonts w:hint="eastAsia" w:ascii="宋体" w:hAnsi="宋体"/>
          <w:szCs w:val="21"/>
        </w:rPr>
      </w:pPr>
      <w:r>
        <w:rPr>
          <w:rFonts w:hint="eastAsia" w:ascii="宋体" w:hAnsi="宋体"/>
          <w:szCs w:val="21"/>
        </w:rPr>
        <w:t>第一章  招标公告</w:t>
      </w:r>
    </w:p>
    <w:p>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pPr>
        <w:ind w:left="630" w:leftChars="300" w:firstLine="411" w:firstLineChars="196"/>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411" w:firstLineChars="196"/>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411" w:firstLineChars="196"/>
        <w:rPr>
          <w:rFonts w:hint="eastAsia" w:ascii="宋体" w:hAnsi="宋体"/>
          <w:szCs w:val="21"/>
        </w:rPr>
      </w:pPr>
      <w:r>
        <w:rPr>
          <w:rFonts w:hint="eastAsia" w:ascii="宋体" w:hAnsi="宋体"/>
          <w:szCs w:val="21"/>
        </w:rPr>
        <w:t>第五章  合同条款及格式</w:t>
      </w:r>
    </w:p>
    <w:p>
      <w:pPr>
        <w:rPr>
          <w:b/>
          <w:sz w:val="24"/>
        </w:rPr>
      </w:pPr>
    </w:p>
    <w:p>
      <w:pPr>
        <w:rPr>
          <w:b/>
          <w:sz w:val="24"/>
          <w:szCs w:val="24"/>
        </w:rPr>
      </w:pPr>
      <w:r>
        <w:rPr>
          <w:rFonts w:hint="eastAsia"/>
          <w:b/>
          <w:sz w:val="24"/>
          <w:szCs w:val="24"/>
        </w:rPr>
        <w:t>第二册  通用条款</w:t>
      </w:r>
    </w:p>
    <w:p>
      <w:pPr>
        <w:ind w:left="630" w:leftChars="300" w:firstLine="411" w:firstLineChars="196"/>
        <w:rPr>
          <w:rFonts w:hint="eastAsia" w:ascii="宋体" w:hAnsi="宋体"/>
          <w:szCs w:val="21"/>
        </w:rPr>
      </w:pPr>
      <w:r>
        <w:rPr>
          <w:rFonts w:hint="eastAsia" w:ascii="宋体" w:hAnsi="宋体"/>
          <w:szCs w:val="21"/>
        </w:rPr>
        <w:t>第一章  总则</w:t>
      </w:r>
    </w:p>
    <w:p>
      <w:pPr>
        <w:ind w:left="630" w:leftChars="300" w:firstLine="411" w:firstLineChars="196"/>
        <w:rPr>
          <w:rFonts w:hint="eastAsia" w:ascii="宋体" w:hAnsi="宋体"/>
          <w:szCs w:val="21"/>
        </w:rPr>
      </w:pPr>
      <w:r>
        <w:rPr>
          <w:rFonts w:hint="eastAsia" w:ascii="宋体" w:hAnsi="宋体"/>
          <w:szCs w:val="21"/>
        </w:rPr>
        <w:t>第二章  招标文件</w:t>
      </w:r>
    </w:p>
    <w:p>
      <w:pPr>
        <w:ind w:left="630" w:leftChars="300" w:firstLine="411" w:firstLineChars="196"/>
        <w:rPr>
          <w:rFonts w:hint="eastAsia" w:ascii="宋体" w:hAnsi="宋体"/>
          <w:szCs w:val="21"/>
        </w:rPr>
      </w:pPr>
      <w:r>
        <w:rPr>
          <w:rFonts w:hint="eastAsia" w:ascii="宋体" w:hAnsi="宋体"/>
          <w:szCs w:val="21"/>
        </w:rPr>
        <w:t>第三章  投标文件的编制</w:t>
      </w:r>
    </w:p>
    <w:p>
      <w:pPr>
        <w:ind w:left="630" w:leftChars="300" w:firstLine="411" w:firstLineChars="196"/>
        <w:rPr>
          <w:rFonts w:hint="eastAsia" w:ascii="宋体" w:hAnsi="宋体"/>
          <w:szCs w:val="21"/>
        </w:rPr>
      </w:pPr>
      <w:r>
        <w:rPr>
          <w:rFonts w:hint="eastAsia" w:ascii="宋体" w:hAnsi="宋体"/>
          <w:szCs w:val="21"/>
        </w:rPr>
        <w:t>第四章  投标文件的递交</w:t>
      </w:r>
    </w:p>
    <w:p>
      <w:pPr>
        <w:ind w:left="630" w:leftChars="300" w:firstLine="411" w:firstLineChars="196"/>
        <w:rPr>
          <w:rFonts w:hint="eastAsia" w:ascii="宋体" w:hAnsi="宋体"/>
          <w:szCs w:val="21"/>
        </w:rPr>
      </w:pPr>
      <w:r>
        <w:rPr>
          <w:rFonts w:hint="eastAsia" w:ascii="宋体" w:hAnsi="宋体"/>
          <w:szCs w:val="21"/>
        </w:rPr>
        <w:t>第五章  开标</w:t>
      </w:r>
    </w:p>
    <w:p>
      <w:pPr>
        <w:ind w:left="630" w:leftChars="300" w:firstLine="411" w:firstLineChars="196"/>
        <w:rPr>
          <w:rFonts w:hint="eastAsia" w:ascii="宋体" w:hAnsi="宋体"/>
          <w:szCs w:val="21"/>
        </w:rPr>
      </w:pPr>
      <w:r>
        <w:rPr>
          <w:rFonts w:hint="eastAsia" w:ascii="宋体" w:hAnsi="宋体"/>
          <w:szCs w:val="21"/>
        </w:rPr>
        <w:t>第六章  评审要求</w:t>
      </w:r>
    </w:p>
    <w:p>
      <w:pPr>
        <w:ind w:left="630" w:leftChars="300" w:firstLine="411" w:firstLineChars="196"/>
        <w:rPr>
          <w:rFonts w:hint="eastAsia" w:ascii="宋体" w:hAnsi="宋体"/>
          <w:szCs w:val="21"/>
        </w:rPr>
      </w:pPr>
      <w:r>
        <w:rPr>
          <w:rFonts w:hint="eastAsia" w:ascii="宋体" w:hAnsi="宋体"/>
          <w:szCs w:val="21"/>
        </w:rPr>
        <w:t>第七章  评审程序及评审方法</w:t>
      </w:r>
    </w:p>
    <w:p>
      <w:pPr>
        <w:ind w:left="630" w:leftChars="300" w:firstLine="411" w:firstLineChars="196"/>
        <w:rPr>
          <w:rFonts w:hint="eastAsia" w:ascii="宋体" w:hAnsi="宋体"/>
          <w:szCs w:val="21"/>
        </w:rPr>
      </w:pPr>
      <w:r>
        <w:rPr>
          <w:rFonts w:hint="eastAsia" w:ascii="宋体" w:hAnsi="宋体"/>
          <w:szCs w:val="21"/>
        </w:rPr>
        <w:t>第八章  定标及公示</w:t>
      </w:r>
    </w:p>
    <w:p>
      <w:pPr>
        <w:ind w:left="630" w:leftChars="300" w:firstLine="411" w:firstLineChars="196"/>
        <w:rPr>
          <w:rFonts w:hint="eastAsia" w:ascii="宋体" w:hAnsi="宋体"/>
          <w:szCs w:val="21"/>
        </w:rPr>
      </w:pPr>
      <w:r>
        <w:rPr>
          <w:rFonts w:hint="eastAsia" w:ascii="宋体" w:hAnsi="宋体"/>
          <w:szCs w:val="21"/>
        </w:rPr>
        <w:t>第九章  公开招标失败的后续处理</w:t>
      </w:r>
    </w:p>
    <w:p>
      <w:pPr>
        <w:ind w:left="630" w:leftChars="300" w:firstLine="411" w:firstLineChars="196"/>
        <w:rPr>
          <w:rFonts w:hint="eastAsia" w:ascii="宋体" w:hAnsi="宋体"/>
          <w:szCs w:val="21"/>
        </w:rPr>
      </w:pPr>
      <w:r>
        <w:rPr>
          <w:rFonts w:hint="eastAsia" w:ascii="宋体" w:hAnsi="宋体"/>
          <w:szCs w:val="21"/>
        </w:rPr>
        <w:t>第十章  合同的授予与备案</w:t>
      </w:r>
    </w:p>
    <w:p>
      <w:r>
        <w:rPr>
          <w:rFonts w:hint="eastAsia"/>
        </w:rPr>
        <w:t xml:space="preserve">          第十一章  质疑处理</w:t>
      </w:r>
    </w:p>
    <w:p/>
    <w:p/>
    <w:p>
      <w:pPr>
        <w:widowControl/>
        <w:jc w:val="left"/>
      </w:pPr>
      <w:r>
        <w:br w:type="page"/>
      </w:r>
    </w:p>
    <w:p>
      <w:pPr>
        <w:pStyle w:val="4"/>
        <w:spacing w:after="78"/>
        <w:jc w:val="center"/>
        <w:rPr>
          <w:sz w:val="32"/>
          <w:szCs w:val="32"/>
        </w:rPr>
      </w:pPr>
      <w:r>
        <w:rPr>
          <w:rFonts w:hint="eastAsia"/>
          <w:sz w:val="32"/>
          <w:szCs w:val="32"/>
        </w:rPr>
        <w:t>第一册  专用条款</w:t>
      </w:r>
    </w:p>
    <w:p>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pPr>
        <w:ind w:firstLine="630" w:firstLineChars="3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 w:val="21"/>
          <w:szCs w:val="21"/>
          <w:highlight w:val="none"/>
          <w:lang w:eastAsia="zh-CN"/>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 w:val="21"/>
          <w:szCs w:val="21"/>
          <w:highlight w:val="none"/>
          <w:lang w:eastAsia="zh-CN"/>
        </w:rPr>
        <w:t>的营业执照及其</w:t>
      </w:r>
      <w:r>
        <w:rPr>
          <w:rFonts w:hint="eastAsia" w:ascii="宋体" w:hAnsi="宋体" w:eastAsia="宋体" w:cs="宋体"/>
          <w:sz w:val="21"/>
          <w:szCs w:val="21"/>
          <w:highlight w:val="none"/>
          <w:lang w:eastAsia="zh-CN"/>
        </w:rPr>
        <w:t>出具的载明愿为其参与本项目投标的行为以及履约等行为承担民事责任的加盖总公司公章的授权函）</w:t>
      </w:r>
      <w:r>
        <w:rPr>
          <w:rFonts w:hint="eastAsia" w:ascii="宋体" w:hAnsi="宋体" w:cs="宋体"/>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30" w:firstLineChars="300"/>
        <w:textAlignment w:val="auto"/>
        <w:rPr>
          <w:rFonts w:hint="default" w:ascii="宋体" w:hAnsi="宋体" w:eastAsia="宋体" w:cs="宋体"/>
          <w:sz w:val="21"/>
          <w:szCs w:val="21"/>
          <w:highlight w:val="none"/>
          <w:lang w:val="en-US" w:eastAsia="zh-CN"/>
        </w:rPr>
      </w:pPr>
      <w:r>
        <w:rPr>
          <w:rFonts w:hint="eastAsia" w:ascii="宋体" w:hAnsi="宋体" w:cs="宋体"/>
          <w:color w:val="FF0000"/>
          <w:kern w:val="0"/>
          <w:szCs w:val="21"/>
        </w:rPr>
        <w:t>2.</w:t>
      </w:r>
      <w:bookmarkStart w:id="0" w:name="OLE_LINK9"/>
      <w:r>
        <w:rPr>
          <w:rFonts w:hint="eastAsia" w:ascii="宋体" w:hAnsi="宋体" w:cs="宋体"/>
          <w:color w:val="FF0000"/>
          <w:kern w:val="0"/>
          <w:szCs w:val="21"/>
        </w:rPr>
        <w:t>本项</w:t>
      </w:r>
      <w:bookmarkStart w:id="1" w:name="OLE_LINK8"/>
      <w:r>
        <w:rPr>
          <w:rFonts w:hint="eastAsia" w:ascii="宋体" w:hAnsi="宋体" w:cs="宋体"/>
          <w:color w:val="FF0000"/>
          <w:kern w:val="0"/>
          <w:szCs w:val="21"/>
        </w:rPr>
        <w:t>目不接受联合体投标</w:t>
      </w:r>
      <w:bookmarkEnd w:id="1"/>
      <w:r>
        <w:rPr>
          <w:rFonts w:hint="eastAsia" w:ascii="宋体" w:hAnsi="宋体" w:cs="宋体"/>
          <w:color w:val="FF0000"/>
          <w:kern w:val="0"/>
          <w:szCs w:val="21"/>
          <w:lang w:val="en-US" w:eastAsia="zh-CN"/>
        </w:rPr>
        <w:t>，</w:t>
      </w:r>
      <w:bookmarkStart w:id="2" w:name="OLE_LINK7"/>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bookmarkEnd w:id="2"/>
      <w:r>
        <w:rPr>
          <w:rFonts w:hint="eastAsia" w:ascii="宋体" w:hAnsi="宋体" w:cs="宋体"/>
          <w:color w:val="FF0000"/>
          <w:kern w:val="0"/>
          <w:szCs w:val="21"/>
        </w:rPr>
        <w:t>；</w:t>
      </w:r>
      <w:bookmarkEnd w:id="0"/>
    </w:p>
    <w:p>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pPr>
        <w:ind w:firstLine="630" w:firstLineChars="3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pPr>
        <w:ind w:firstLine="630" w:firstLineChars="3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lang w:val="en-US" w:eastAsia="zh-CN"/>
        </w:rPr>
        <w:t>；</w:t>
      </w:r>
    </w:p>
    <w:p>
      <w:pPr>
        <w:ind w:firstLine="630" w:firstLineChars="3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（由供应商在《政府采购投标及履约承诺函》中作出声明）</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w:t>
      </w:r>
    </w:p>
    <w:p>
      <w:pPr>
        <w:ind w:firstLine="630" w:firstLineChars="300"/>
        <w:rPr>
          <w:rFonts w:hint="eastAsia" w:ascii="宋体" w:hAnsi="宋体" w:eastAsia="宋体" w:cs="宋体"/>
          <w:kern w:val="0"/>
          <w:szCs w:val="21"/>
          <w:lang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lang w:val="en-US" w:eastAsia="zh-CN"/>
        </w:rPr>
        <w:t>；</w:t>
      </w:r>
    </w:p>
    <w:p>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ind w:firstLine="630" w:firstLineChars="3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.本项目是（否）专门面向中小企业采购：</w:t>
      </w:r>
      <w:r>
        <w:rPr>
          <w:rFonts w:hint="eastAsia" w:ascii="宋体" w:hAnsi="宋体" w:cs="宋体"/>
          <w:b/>
          <w:bCs/>
          <w:color w:val="FF0000"/>
          <w:kern w:val="0"/>
          <w:szCs w:val="21"/>
          <w:highlight w:val="yellow"/>
          <w:lang w:val="en-US" w:eastAsia="zh-CN"/>
        </w:rPr>
        <w:t>否</w:t>
      </w:r>
      <w:r>
        <w:rPr>
          <w:rFonts w:hint="eastAsia" w:ascii="宋体" w:hAnsi="宋体" w:cs="宋体"/>
          <w:b/>
          <w:bCs/>
          <w:color w:val="FF0000"/>
          <w:kern w:val="0"/>
          <w:szCs w:val="21"/>
          <w:highlight w:val="yellow"/>
        </w:rPr>
        <w:t>。</w:t>
      </w:r>
    </w:p>
    <w:p>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hint="eastAsia"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pPr>
        <w:snapToGrid w:val="0"/>
        <w:spacing w:line="300" w:lineRule="auto"/>
        <w:ind w:firstLine="480" w:firstLineChars="200"/>
        <w:rPr>
          <w:rFonts w:ascii="Arial" w:hAnsi="Arial" w:eastAsia="宋体" w:cs="Times New Roman"/>
          <w:sz w:val="24"/>
          <w:szCs w:val="24"/>
        </w:rPr>
      </w:pPr>
    </w:p>
    <w:p>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pPr>
        <w:spacing w:after="78" w:afterLines="25"/>
        <w:rPr>
          <w:rFonts w:ascii="Arial" w:hAnsi="Arial" w:eastAsia="宋体" w:cs="Times New Roman"/>
          <w:b/>
          <w:color w:val="FF0000"/>
          <w:sz w:val="30"/>
          <w:szCs w:val="30"/>
        </w:rPr>
      </w:pPr>
    </w:p>
    <w:p>
      <w:pPr>
        <w:keepNext/>
        <w:keepLines/>
        <w:spacing w:before="260" w:after="260" w:line="416" w:lineRule="auto"/>
        <w:jc w:val="center"/>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3" w:name="_Hlk71926094"/>
      <w:r>
        <w:rPr>
          <w:rFonts w:hint="eastAsia" w:ascii="宋体" w:hAnsi="宋体" w:eastAsia="宋体" w:cs="Times New Roman"/>
          <w:b/>
          <w:bCs/>
          <w:kern w:val="0"/>
          <w:sz w:val="28"/>
          <w:szCs w:val="28"/>
        </w:rPr>
        <w:t>对通用条款的补充内容及其他关键信息</w:t>
      </w:r>
      <w:bookmarkEnd w:id="3"/>
    </w:p>
    <w:p>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bookmarkStart w:id="4" w:name="_Toc60631620"/>
      <w:bookmarkStart w:id="5" w:name="_Toc73518117"/>
      <w:bookmarkStart w:id="6" w:name="_Toc100052364"/>
      <w:bookmarkStart w:id="7" w:name="_Toc73521547"/>
      <w:bookmarkStart w:id="8" w:name="_Toc101074876"/>
      <w:bookmarkStart w:id="9" w:name="_Toc73521635"/>
      <w:bookmarkStart w:id="10" w:name="_Toc73517639"/>
      <w:bookmarkStart w:id="11" w:name="_Toc60560625"/>
      <w:r>
        <w:rPr>
          <w:rFonts w:hint="eastAsia" w:ascii="宋体" w:hAnsi="宋体" w:eastAsia="宋体" w:cs="Times New Roman"/>
          <w:b/>
          <w:bCs/>
          <w:kern w:val="0"/>
          <w:sz w:val="24"/>
          <w:szCs w:val="24"/>
        </w:rPr>
        <w:t>一、对通用条款的补充内容</w:t>
      </w:r>
    </w:p>
    <w:tbl>
      <w:tblPr>
        <w:tblStyle w:val="18"/>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b/>
                <w:bCs/>
              </w:rPr>
            </w:pPr>
            <w:r>
              <w:rPr>
                <w:rFonts w:hint="eastAsia" w:ascii="宋体" w:hAnsi="宋体"/>
                <w:b/>
                <w:bCs/>
              </w:rPr>
              <w:t>通用条款序号</w:t>
            </w:r>
          </w:p>
        </w:tc>
        <w:tc>
          <w:tcPr>
            <w:tcW w:w="1755" w:type="dxa"/>
            <w:vAlign w:val="center"/>
          </w:tcPr>
          <w:p>
            <w:pPr>
              <w:jc w:val="center"/>
              <w:rPr>
                <w:rFonts w:hint="eastAsia" w:ascii="宋体" w:hAnsi="宋体"/>
                <w:b/>
                <w:bCs/>
              </w:rPr>
            </w:pPr>
            <w:r>
              <w:rPr>
                <w:rFonts w:hint="eastAsia" w:ascii="宋体" w:hAnsi="宋体"/>
                <w:b/>
                <w:bCs/>
              </w:rPr>
              <w:t>涉及事项</w:t>
            </w:r>
          </w:p>
        </w:tc>
        <w:tc>
          <w:tcPr>
            <w:tcW w:w="6795" w:type="dxa"/>
            <w:vAlign w:val="center"/>
          </w:tcPr>
          <w:p>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.1</w:t>
            </w:r>
          </w:p>
        </w:tc>
        <w:tc>
          <w:tcPr>
            <w:tcW w:w="1755" w:type="dxa"/>
            <w:vAlign w:val="center"/>
          </w:tcPr>
          <w:p>
            <w:pPr>
              <w:jc w:val="center"/>
            </w:pPr>
            <w:r>
              <w:rPr>
                <w:rFonts w:hint="eastAsia"/>
              </w:rPr>
              <w:t>采购人</w:t>
            </w:r>
          </w:p>
        </w:tc>
        <w:tc>
          <w:tcPr>
            <w:tcW w:w="6795" w:type="dxa"/>
            <w:vAlign w:val="center"/>
          </w:tcPr>
          <w:p>
            <w:pPr>
              <w:jc w:val="left"/>
              <w:rPr>
                <w:rFonts w:hint="eastAsia" w:ascii="宋体" w:hAnsi="宋体"/>
              </w:rPr>
            </w:pPr>
            <w:r>
              <w:rPr>
                <w:rFonts w:hint="eastAsia" w:ascii="宋体" w:hAnsi="宋体"/>
              </w:rPr>
              <w:t>深</w:t>
            </w:r>
            <w:r>
              <w:rPr>
                <w:rFonts w:hint="eastAsia" w:ascii="宋体" w:hAnsi="宋体" w:cs="宋体"/>
              </w:rPr>
              <w:t>圳市龙华外国语高级中学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.2</w:t>
            </w:r>
          </w:p>
        </w:tc>
        <w:tc>
          <w:tcPr>
            <w:tcW w:w="1755" w:type="dxa"/>
            <w:vAlign w:val="center"/>
          </w:tcPr>
          <w:p>
            <w:pPr>
              <w:jc w:val="center"/>
              <w:rPr>
                <w:rFonts w:hint="eastAsia" w:ascii="宋体" w:hAnsi="宋体"/>
              </w:rPr>
            </w:pPr>
            <w:r>
              <w:rPr>
                <w:rFonts w:hint="eastAsia" w:ascii="宋体" w:hAnsi="宋体"/>
              </w:rPr>
              <w:t>政府集中采购机构</w:t>
            </w:r>
          </w:p>
        </w:tc>
        <w:tc>
          <w:tcPr>
            <w:tcW w:w="6795" w:type="dxa"/>
            <w:vAlign w:val="center"/>
          </w:tcPr>
          <w:p>
            <w:pPr>
              <w:jc w:val="left"/>
              <w:rPr>
                <w:rFonts w:hint="eastAsia"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。本项目具体由深圳公共资源交易中心（深圳交易集团有限公司龙华分公司）执行</w:t>
            </w:r>
            <w:r>
              <w:rPr>
                <w:rFonts w:hint="eastAsia" w:ascii="Arial" w:hAnsi="Arial" w:eastAsia="宋体" w:cs="Times New Roman"/>
                <w:bCs/>
                <w:szCs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5</w:t>
            </w:r>
            <w:r>
              <w:rPr>
                <w:rFonts w:ascii="宋体" w:hAnsi="宋体"/>
              </w:rPr>
              <w:t>.3</w:t>
            </w:r>
          </w:p>
        </w:tc>
        <w:tc>
          <w:tcPr>
            <w:tcW w:w="1755" w:type="dxa"/>
            <w:vAlign w:val="center"/>
          </w:tcPr>
          <w:p>
            <w:pPr>
              <w:jc w:val="center"/>
              <w:rPr>
                <w:rFonts w:hint="eastAsia" w:ascii="宋体" w:hAnsi="宋体"/>
              </w:rPr>
            </w:pPr>
            <w:r>
              <w:rPr>
                <w:rFonts w:hint="eastAsia" w:ascii="宋体" w:hAnsi="宋体"/>
              </w:rPr>
              <w:t>联合体投标</w:t>
            </w:r>
          </w:p>
        </w:tc>
        <w:tc>
          <w:tcPr>
            <w:tcW w:w="6795" w:type="dxa"/>
            <w:vAlign w:val="center"/>
          </w:tcPr>
          <w:p>
            <w:pPr>
              <w:jc w:val="left"/>
              <w:rPr>
                <w:rFonts w:ascii="Arial" w:hAnsi="Arial" w:eastAsia="宋体" w:cs="Times New Roman"/>
                <w:szCs w:val="24"/>
                <w:highlight w:val="none"/>
              </w:rPr>
            </w:pPr>
            <w:r>
              <w:rPr>
                <w:rFonts w:hint="eastAsia" w:ascii="Arial" w:hAnsi="Arial" w:eastAsia="宋体" w:cs="Times New Roman"/>
                <w:szCs w:val="24"/>
                <w:highlight w:val="none"/>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9</w:t>
            </w:r>
          </w:p>
        </w:tc>
        <w:tc>
          <w:tcPr>
            <w:tcW w:w="1755" w:type="dxa"/>
            <w:vAlign w:val="center"/>
          </w:tcPr>
          <w:p>
            <w:pPr>
              <w:jc w:val="center"/>
              <w:rPr>
                <w:rFonts w:hint="eastAsia" w:ascii="宋体" w:hAnsi="宋体"/>
                <w:b/>
                <w:bCs/>
                <w:highlight w:val="yellow"/>
              </w:rPr>
            </w:pPr>
            <w:r>
              <w:rPr>
                <w:rFonts w:hint="eastAsia" w:ascii="宋体" w:hAnsi="宋体"/>
              </w:rPr>
              <w:t>踏勘现场</w:t>
            </w:r>
          </w:p>
        </w:tc>
        <w:tc>
          <w:tcPr>
            <w:tcW w:w="6795" w:type="dxa"/>
            <w:vAlign w:val="center"/>
          </w:tcPr>
          <w:p>
            <w:pPr>
              <w:jc w:val="left"/>
              <w:rPr>
                <w:rFonts w:hint="eastAsia" w:ascii="Arial" w:hAnsi="Arial" w:cs="Times New Roman" w:eastAsiaTheme="minorEastAsia"/>
                <w:szCs w:val="24"/>
                <w:highlight w:val="none"/>
                <w:lang w:eastAsia="zh-CN"/>
              </w:rPr>
            </w:pPr>
            <w:r>
              <w:rPr>
                <w:rFonts w:hint="eastAsia" w:ascii="Arial" w:hAnsi="Arial" w:eastAsia="宋体" w:cs="Times New Roman"/>
                <w:szCs w:val="24"/>
                <w:highlight w:val="none"/>
                <w:lang w:val="en-US"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1</w:t>
            </w:r>
            <w:r>
              <w:rPr>
                <w:rFonts w:ascii="宋体" w:hAnsi="宋体"/>
              </w:rPr>
              <w:t>0</w:t>
            </w:r>
          </w:p>
        </w:tc>
        <w:tc>
          <w:tcPr>
            <w:tcW w:w="1755" w:type="dxa"/>
            <w:vAlign w:val="center"/>
          </w:tcPr>
          <w:p>
            <w:pPr>
              <w:jc w:val="center"/>
              <w:rPr>
                <w:rFonts w:hint="eastAsia" w:ascii="宋体" w:hAnsi="宋体"/>
              </w:rPr>
            </w:pPr>
            <w:r>
              <w:rPr>
                <w:rFonts w:hint="eastAsia" w:ascii="宋体" w:hAnsi="宋体"/>
              </w:rPr>
              <w:t>标前会议</w:t>
            </w:r>
          </w:p>
        </w:tc>
        <w:tc>
          <w:tcPr>
            <w:tcW w:w="6795" w:type="dxa"/>
            <w:vAlign w:val="center"/>
          </w:tcPr>
          <w:p>
            <w:pPr>
              <w:jc w:val="left"/>
              <w:rPr>
                <w:rFonts w:hint="eastAsia" w:ascii="Arial" w:hAnsi="Arial" w:eastAsia="宋体" w:cs="Times New Roman"/>
                <w:szCs w:val="24"/>
                <w:highlight w:val="none"/>
              </w:rPr>
            </w:pPr>
            <w:r>
              <w:rPr>
                <w:rFonts w:hint="eastAsia" w:ascii="Arial" w:hAnsi="Arial" w:eastAsia="宋体" w:cs="Times New Roman"/>
                <w:szCs w:val="24"/>
                <w:highlight w:val="none"/>
                <w:lang w:eastAsia="zh-CN"/>
              </w:rPr>
              <w:t>不</w:t>
            </w:r>
            <w:r>
              <w:rPr>
                <w:rFonts w:hint="eastAsia" w:ascii="Arial" w:hAnsi="Arial" w:eastAsia="宋体" w:cs="Times New Roman"/>
                <w:szCs w:val="24"/>
                <w:highlight w:val="none"/>
              </w:rPr>
              <w:t>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pPr>
              <w:jc w:val="center"/>
              <w:rPr>
                <w:rFonts w:hint="eastAsia" w:ascii="宋体" w:hAnsi="宋体"/>
              </w:rPr>
            </w:pPr>
            <w:r>
              <w:rPr>
                <w:rFonts w:hint="eastAsia" w:ascii="宋体" w:hAnsi="宋体"/>
              </w:rPr>
              <w:t>招标文件的澄清和修改</w:t>
            </w:r>
          </w:p>
        </w:tc>
        <w:tc>
          <w:tcPr>
            <w:tcW w:w="6795" w:type="dxa"/>
            <w:vAlign w:val="center"/>
          </w:tcPr>
          <w:p>
            <w:pPr>
              <w:jc w:val="left"/>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0</w:t>
            </w:r>
          </w:p>
        </w:tc>
        <w:tc>
          <w:tcPr>
            <w:tcW w:w="1755" w:type="dxa"/>
            <w:vAlign w:val="center"/>
          </w:tcPr>
          <w:p>
            <w:pPr>
              <w:jc w:val="center"/>
              <w:rPr>
                <w:rFonts w:hint="eastAsia" w:ascii="宋体" w:hAnsi="宋体"/>
              </w:rPr>
            </w:pPr>
            <w:r>
              <w:rPr>
                <w:rFonts w:hint="eastAsia" w:ascii="宋体" w:hAnsi="宋体"/>
              </w:rPr>
              <w:t>投标有效期</w:t>
            </w:r>
          </w:p>
        </w:tc>
        <w:tc>
          <w:tcPr>
            <w:tcW w:w="6795" w:type="dxa"/>
            <w:vAlign w:val="center"/>
          </w:tcPr>
          <w:p>
            <w:pPr>
              <w:jc w:val="left"/>
              <w:rPr>
                <w:rFonts w:hint="eastAsia" w:ascii="宋体" w:hAnsi="宋体"/>
              </w:rPr>
            </w:pPr>
            <w:r>
              <w:rPr>
                <w:rFonts w:hint="eastAsia" w:ascii="宋体" w:hAnsi="宋体"/>
              </w:rPr>
              <w:t>120日历天（从投标截止之日算起）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2</w:t>
            </w:r>
          </w:p>
        </w:tc>
        <w:tc>
          <w:tcPr>
            <w:tcW w:w="1755" w:type="dxa"/>
            <w:vAlign w:val="center"/>
          </w:tcPr>
          <w:p>
            <w:pPr>
              <w:jc w:val="center"/>
              <w:rPr>
                <w:rFonts w:hint="eastAsia" w:ascii="宋体" w:hAnsi="宋体"/>
              </w:rPr>
            </w:pPr>
            <w:r>
              <w:rPr>
                <w:rFonts w:hint="eastAsia" w:ascii="宋体" w:hAnsi="宋体"/>
              </w:rPr>
              <w:t>投标人的替代方案</w:t>
            </w:r>
          </w:p>
        </w:tc>
        <w:tc>
          <w:tcPr>
            <w:tcW w:w="6795" w:type="dxa"/>
            <w:vAlign w:val="center"/>
          </w:tcPr>
          <w:p>
            <w:pPr>
              <w:jc w:val="left"/>
              <w:rPr>
                <w:rFonts w:hint="eastAsia"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5</w:t>
            </w:r>
          </w:p>
        </w:tc>
        <w:tc>
          <w:tcPr>
            <w:tcW w:w="1755" w:type="dxa"/>
            <w:vAlign w:val="center"/>
          </w:tcPr>
          <w:p>
            <w:pPr>
              <w:jc w:val="center"/>
              <w:rPr>
                <w:rFonts w:hint="eastAsia" w:ascii="宋体" w:hAnsi="宋体"/>
              </w:rPr>
            </w:pPr>
            <w:r>
              <w:rPr>
                <w:rFonts w:hint="eastAsia" w:ascii="宋体" w:hAnsi="宋体"/>
              </w:rPr>
              <w:t>投标文件的大小</w:t>
            </w:r>
          </w:p>
        </w:tc>
        <w:tc>
          <w:tcPr>
            <w:tcW w:w="6795" w:type="dxa"/>
            <w:vAlign w:val="center"/>
          </w:tcPr>
          <w:p>
            <w:pPr>
              <w:jc w:val="left"/>
              <w:rPr>
                <w:rFonts w:hint="eastAsia" w:ascii="宋体" w:hAnsi="宋体"/>
              </w:rPr>
            </w:pPr>
            <w:r>
              <w:rPr>
                <w:rFonts w:hint="eastAsia" w:ascii="宋体" w:hAnsi="宋体"/>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2</w:t>
            </w:r>
            <w:r>
              <w:rPr>
                <w:rFonts w:ascii="宋体" w:hAnsi="宋体"/>
              </w:rPr>
              <w:t>6</w:t>
            </w:r>
          </w:p>
        </w:tc>
        <w:tc>
          <w:tcPr>
            <w:tcW w:w="1755" w:type="dxa"/>
            <w:vAlign w:val="center"/>
          </w:tcPr>
          <w:p>
            <w:pPr>
              <w:jc w:val="center"/>
              <w:rPr>
                <w:rFonts w:hint="eastAsia" w:ascii="宋体" w:hAnsi="宋体"/>
              </w:rPr>
            </w:pPr>
            <w:r>
              <w:rPr>
                <w:rFonts w:hint="eastAsia" w:ascii="宋体" w:hAnsi="宋体"/>
              </w:rPr>
              <w:t>样品、现场演示、方案讲解</w:t>
            </w:r>
          </w:p>
        </w:tc>
        <w:tc>
          <w:tcPr>
            <w:tcW w:w="6795" w:type="dxa"/>
            <w:vAlign w:val="center"/>
          </w:tcPr>
          <w:p>
            <w:pPr>
              <w:jc w:val="left"/>
              <w:rPr>
                <w:rFonts w:hint="eastAsia" w:ascii="宋体" w:hAnsi="宋体" w:eastAsiaTheme="minorEastAsia"/>
                <w:lang w:val="en-US" w:eastAsia="zh-CN"/>
              </w:rPr>
            </w:pPr>
            <w:r>
              <w:rPr>
                <w:rFonts w:hint="eastAsia" w:ascii="宋体" w:hAnsi="宋体"/>
                <w:lang w:val="en-US"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7</w:t>
            </w:r>
          </w:p>
        </w:tc>
        <w:tc>
          <w:tcPr>
            <w:tcW w:w="1755" w:type="dxa"/>
            <w:vAlign w:val="center"/>
          </w:tcPr>
          <w:p>
            <w:pPr>
              <w:jc w:val="center"/>
              <w:rPr>
                <w:rFonts w:hint="eastAsia" w:ascii="宋体" w:hAnsi="宋体"/>
              </w:rPr>
            </w:pPr>
            <w:r>
              <w:rPr>
                <w:rFonts w:hint="eastAsia" w:ascii="宋体" w:hAnsi="宋体"/>
              </w:rPr>
              <w:t>评审方法</w:t>
            </w:r>
          </w:p>
        </w:tc>
        <w:tc>
          <w:tcPr>
            <w:tcW w:w="6795" w:type="dxa"/>
            <w:vAlign w:val="center"/>
          </w:tcPr>
          <w:p>
            <w:pPr>
              <w:jc w:val="left"/>
              <w:rPr>
                <w:rFonts w:hint="eastAsia" w:ascii="宋体" w:hAnsi="宋体"/>
              </w:rPr>
            </w:pPr>
            <w:r>
              <w:rPr>
                <w:rFonts w:ascii="宋体" w:hAnsi="宋体"/>
                <w:b/>
                <w:bCs/>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3</w:t>
            </w:r>
            <w:r>
              <w:rPr>
                <w:rFonts w:ascii="宋体" w:hAnsi="宋体"/>
              </w:rPr>
              <w:t>8</w:t>
            </w:r>
          </w:p>
        </w:tc>
        <w:tc>
          <w:tcPr>
            <w:tcW w:w="1755" w:type="dxa"/>
            <w:vAlign w:val="center"/>
          </w:tcPr>
          <w:p>
            <w:pPr>
              <w:jc w:val="center"/>
              <w:rPr>
                <w:rFonts w:hint="eastAsia" w:ascii="宋体" w:hAnsi="宋体"/>
              </w:rPr>
            </w:pPr>
            <w:r>
              <w:rPr>
                <w:rFonts w:hint="eastAsia" w:ascii="宋体" w:hAnsi="宋体"/>
              </w:rPr>
              <w:t>定标方法</w:t>
            </w:r>
          </w:p>
        </w:tc>
        <w:tc>
          <w:tcPr>
            <w:tcW w:w="6795" w:type="dxa"/>
            <w:vAlign w:val="center"/>
          </w:tcPr>
          <w:p>
            <w:pPr>
              <w:jc w:val="left"/>
              <w:rPr>
                <w:rFonts w:hint="eastAsia" w:ascii="宋体" w:hAnsi="宋体"/>
                <w:b/>
                <w:bCs/>
                <w:highlight w:val="yellow"/>
              </w:rPr>
            </w:pPr>
            <w:r>
              <w:rPr>
                <w:rFonts w:hint="eastAsia" w:ascii="宋体" w:hAnsi="宋体" w:eastAsia="宋体" w:cs="Times New Roman"/>
                <w:b/>
                <w:bCs/>
                <w:szCs w:val="21"/>
                <w:highlight w:val="none"/>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rPr>
            </w:pPr>
            <w:r>
              <w:rPr>
                <w:rFonts w:hint="eastAsia" w:ascii="宋体" w:hAnsi="宋体"/>
              </w:rPr>
              <w:t>4</w:t>
            </w:r>
            <w:r>
              <w:rPr>
                <w:rFonts w:ascii="宋体" w:hAnsi="宋体"/>
              </w:rPr>
              <w:t>6</w:t>
            </w:r>
          </w:p>
        </w:tc>
        <w:tc>
          <w:tcPr>
            <w:tcW w:w="1755" w:type="dxa"/>
            <w:vAlign w:val="center"/>
          </w:tcPr>
          <w:p>
            <w:pPr>
              <w:jc w:val="center"/>
              <w:rPr>
                <w:rFonts w:hint="eastAsia" w:ascii="宋体" w:hAnsi="宋体"/>
              </w:rPr>
            </w:pPr>
            <w:r>
              <w:rPr>
                <w:rFonts w:hint="eastAsia" w:ascii="宋体" w:hAnsi="宋体"/>
              </w:rPr>
              <w:t>履约担保</w:t>
            </w:r>
          </w:p>
        </w:tc>
        <w:tc>
          <w:tcPr>
            <w:tcW w:w="6795" w:type="dxa"/>
            <w:vAlign w:val="center"/>
          </w:tcPr>
          <w:p>
            <w:pPr>
              <w:jc w:val="left"/>
              <w:rPr>
                <w:rFonts w:hint="eastAsia" w:ascii="宋体" w:hAnsi="宋体"/>
              </w:rPr>
            </w:pPr>
            <w:r>
              <w:rPr>
                <w:rFonts w:hint="eastAsia" w:ascii="宋体" w:hAnsi="宋体"/>
              </w:rPr>
              <w:t>不需要</w:t>
            </w:r>
          </w:p>
        </w:tc>
      </w:tr>
      <w:bookmarkEnd w:id="4"/>
      <w:bookmarkEnd w:id="5"/>
      <w:bookmarkEnd w:id="6"/>
      <w:bookmarkEnd w:id="7"/>
      <w:bookmarkEnd w:id="8"/>
      <w:bookmarkEnd w:id="9"/>
      <w:bookmarkEnd w:id="10"/>
      <w:bookmarkEnd w:id="11"/>
    </w:tbl>
    <w:p>
      <w:pPr>
        <w:widowControl/>
        <w:jc w:val="center"/>
        <w:rPr>
          <w:szCs w:val="21"/>
        </w:rPr>
      </w:pPr>
      <w:r>
        <w:rPr>
          <w:rFonts w:hint="eastAsia"/>
          <w:szCs w:val="21"/>
        </w:rPr>
        <w:t>备注：本表是通用条款相关条款的补充和明确，如与通用条款内容相冲突的，以本表为准。</w:t>
      </w:r>
    </w:p>
    <w:p>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pPr>
        <w:tabs>
          <w:tab w:val="left" w:pos="720"/>
        </w:tabs>
        <w:rPr>
          <w:rFonts w:hint="eastAsia"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pPr>
        <w:tabs>
          <w:tab w:val="left" w:pos="720"/>
        </w:tabs>
        <w:rPr>
          <w:rFonts w:hint="eastAsia" w:ascii="黑体" w:hAnsi="宋体" w:eastAsia="黑体"/>
          <w:bCs/>
          <w:sz w:val="24"/>
        </w:rPr>
      </w:pPr>
      <w:r>
        <w:rPr>
          <w:rFonts w:hint="eastAsia" w:ascii="黑体" w:hAnsi="宋体" w:eastAsia="黑体"/>
          <w:bCs/>
          <w:sz w:val="24"/>
        </w:rPr>
        <w:t>1、评标定标信息</w:t>
      </w:r>
    </w:p>
    <w:p>
      <w:pPr>
        <w:jc w:val="center"/>
      </w:pPr>
      <w:r>
        <w:rPr>
          <w:rFonts w:hint="eastAsia"/>
          <w:b/>
        </w:rPr>
        <w:t>非评定分离项目</w:t>
      </w:r>
    </w:p>
    <w:tbl>
      <w:tblPr>
        <w:tblStyle w:val="1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评标方法</w:t>
            </w:r>
          </w:p>
        </w:tc>
        <w:tc>
          <w:tcPr>
            <w:tcW w:w="3235" w:type="dxa"/>
          </w:tcPr>
          <w:p>
            <w:pPr>
              <w:jc w:val="center"/>
              <w:rPr>
                <w:rFonts w:eastAsia="宋体"/>
              </w:rPr>
            </w:pPr>
            <w:r>
              <w:rPr>
                <w:rFonts w:hint="eastAsia"/>
              </w:rPr>
              <w:sym w:font="Wingdings" w:char="00FE"/>
            </w:r>
            <w:r>
              <w:rPr>
                <w:rFonts w:hint="eastAsia"/>
              </w:rPr>
              <w:t>综合评分法</w:t>
            </w:r>
          </w:p>
        </w:tc>
        <w:tc>
          <w:tcPr>
            <w:tcW w:w="2450" w:type="dxa"/>
          </w:tcPr>
          <w:p>
            <w:pPr>
              <w:jc w:val="center"/>
            </w:pPr>
            <w:r>
              <w:rPr>
                <w:rFonts w:hint="eastAsia" w:ascii="Times New Roman" w:eastAsia="宋体"/>
              </w:rPr>
              <w:sym w:font="Wingdings" w:char="00A8"/>
            </w:r>
            <w:r>
              <w:rPr>
                <w:rFonts w:hint="eastAsia" w:ascii="Times New Roman" w:eastAsia="宋体"/>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候选中标供应商家数</w:t>
            </w:r>
          </w:p>
        </w:tc>
        <w:tc>
          <w:tcPr>
            <w:tcW w:w="3235" w:type="dxa"/>
          </w:tcPr>
          <w:p>
            <w:pPr>
              <w:jc w:val="center"/>
              <w:rPr>
                <w:rFonts w:eastAsia="宋体"/>
              </w:rPr>
            </w:pPr>
            <w:r>
              <w:rPr>
                <w:rFonts w:hint="eastAsia" w:eastAsia="宋体"/>
              </w:rPr>
              <w:t>3</w:t>
            </w:r>
          </w:p>
        </w:tc>
        <w:tc>
          <w:tcPr>
            <w:tcW w:w="2450" w:type="dxa"/>
          </w:tcPr>
          <w:p>
            <w:pPr>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中标供应商家数</w:t>
            </w:r>
          </w:p>
        </w:tc>
        <w:tc>
          <w:tcPr>
            <w:tcW w:w="3235" w:type="dxa"/>
          </w:tcPr>
          <w:p>
            <w:pPr>
              <w:jc w:val="center"/>
            </w:pPr>
            <w:r>
              <w:rPr>
                <w:rFonts w:hint="eastAsia"/>
              </w:rPr>
              <w:t>1</w:t>
            </w:r>
          </w:p>
        </w:tc>
        <w:tc>
          <w:tcPr>
            <w:tcW w:w="2450" w:type="dxa"/>
          </w:tcPr>
          <w:p>
            <w:pPr>
              <w:jc w:val="center"/>
            </w:pPr>
            <w:r>
              <w:rPr>
                <w:rFonts w:hint="eastAsia"/>
              </w:rPr>
              <w:t>1</w:t>
            </w:r>
          </w:p>
        </w:tc>
      </w:tr>
    </w:tbl>
    <w:p>
      <w:pPr>
        <w:spacing w:line="240" w:lineRule="atLeast"/>
        <w:rPr>
          <w:rFonts w:hint="eastAsia" w:ascii="宋体" w:hAnsi="宋体" w:eastAsia="宋体" w:cs="宋体"/>
          <w:b/>
          <w:bCs/>
          <w:szCs w:val="21"/>
        </w:rPr>
      </w:pPr>
    </w:p>
    <w:p>
      <w:pPr>
        <w:tabs>
          <w:tab w:val="left" w:pos="720"/>
        </w:tabs>
        <w:rPr>
          <w:rFonts w:hint="eastAsia" w:ascii="黑体" w:hAnsi="宋体" w:eastAsia="黑体"/>
          <w:sz w:val="24"/>
        </w:rPr>
      </w:pPr>
      <w:r>
        <w:rPr>
          <w:rFonts w:hint="eastAsia" w:ascii="黑体" w:hAnsi="宋体" w:eastAsia="黑体"/>
          <w:sz w:val="24"/>
        </w:rPr>
        <w:t>（二）其他事项</w:t>
      </w:r>
    </w:p>
    <w:p>
      <w:pPr>
        <w:tabs>
          <w:tab w:val="left" w:pos="720"/>
        </w:tabs>
        <w:rPr>
          <w:rFonts w:hint="eastAsia" w:ascii="黑体" w:hAnsi="宋体" w:eastAsia="黑体"/>
          <w:sz w:val="24"/>
        </w:rPr>
      </w:pPr>
      <w:r>
        <w:rPr>
          <w:rFonts w:hint="eastAsia" w:ascii="黑体" w:hAnsi="宋体" w:eastAsia="黑体"/>
          <w:sz w:val="24"/>
        </w:rPr>
        <w:t>1、关于享受优惠政策的主体、价格扣除比例及采购标的所属行业</w:t>
      </w:r>
    </w:p>
    <w:p>
      <w:pPr>
        <w:ind w:firstLine="413" w:firstLineChars="196"/>
        <w:rPr>
          <w:rFonts w:hint="eastAsia" w:ascii="宋体" w:hAnsi="宋体"/>
          <w:color w:val="FF0000"/>
          <w:highlight w:val="none"/>
        </w:rPr>
      </w:pPr>
      <w:r>
        <w:rPr>
          <w:rFonts w:hint="eastAsia" w:ascii="宋体" w:hAnsi="宋体"/>
          <w:b/>
          <w:bCs/>
          <w:color w:val="FF0000"/>
          <w:highlight w:val="none"/>
        </w:rPr>
        <w:t>（1）</w:t>
      </w:r>
      <w:r>
        <w:rPr>
          <w:rFonts w:hint="eastAsia"/>
          <w:b/>
          <w:bCs/>
          <w:color w:val="FF0000"/>
          <w:highlight w:val="none"/>
        </w:rPr>
        <w:t>专门面向中小企业采购的项目（包括联合体或分包预留中小企业份额的项目），不再执行价格扣除比例。</w:t>
      </w:r>
    </w:p>
    <w:p>
      <w:pPr>
        <w:ind w:firstLine="411" w:firstLineChars="196"/>
        <w:rPr>
          <w:rFonts w:ascii="Arial" w:hAnsi="Arial" w:eastAsia="宋体" w:cs="Times New Roman"/>
          <w:b/>
          <w:color w:val="0000FF"/>
          <w:szCs w:val="21"/>
          <w:highlight w:val="yellow"/>
        </w:rPr>
      </w:pPr>
      <w:r>
        <w:rPr>
          <w:rFonts w:hint="eastAsia" w:ascii="宋体" w:hAnsi="宋体"/>
          <w:highlight w:val="none"/>
        </w:rPr>
        <w:t>（2）</w:t>
      </w:r>
      <w:r>
        <w:rPr>
          <w:rFonts w:hint="eastAsia"/>
          <w:highlight w:val="none"/>
        </w:rPr>
        <w:t>非</w:t>
      </w:r>
      <w:r>
        <w:rPr>
          <w:rFonts w:hint="eastAsia" w:ascii="Times New Roman" w:eastAsia="宋体"/>
          <w:highlight w:val="none"/>
        </w:rPr>
        <w:t>专门面向中小企业采购的项目，</w:t>
      </w:r>
      <w:r>
        <w:rPr>
          <w:rFonts w:hint="eastAsia"/>
          <w:highlight w:val="none"/>
        </w:rPr>
        <w:t>应</w:t>
      </w:r>
      <w:r>
        <w:rPr>
          <w:rFonts w:hint="eastAsia" w:ascii="Times New Roman" w:eastAsia="宋体"/>
          <w:highlight w:val="none"/>
        </w:rPr>
        <w:t>执行价格扣除比例</w:t>
      </w:r>
      <w:r>
        <w:rPr>
          <w:rFonts w:hint="eastAsia"/>
          <w:highlight w:val="none"/>
        </w:rPr>
        <w:t>：</w:t>
      </w:r>
      <w:r>
        <w:rPr>
          <w:rFonts w:hint="eastAsia" w:ascii="宋体" w:hAnsi="宋体"/>
          <w:highlight w:val="none"/>
        </w:rPr>
        <w:t>投标人提供的货物（以招标文件用户需求书“货物需求明细”的“货物名称”一栏为准）全部均由优惠主体制造的，对其投标总价给予</w:t>
      </w:r>
      <w:r>
        <w:rPr>
          <w:rFonts w:hint="eastAsia" w:ascii="宋体" w:hAnsi="宋体"/>
          <w:b/>
          <w:bCs/>
          <w:highlight w:val="none"/>
          <w:u w:val="single"/>
        </w:rPr>
        <w:t xml:space="preserve"> </w:t>
      </w:r>
      <w:r>
        <w:rPr>
          <w:rFonts w:hint="eastAsia" w:ascii="宋体" w:hAnsi="宋体"/>
          <w:b/>
          <w:bCs/>
          <w:highlight w:val="none"/>
          <w:u w:val="single"/>
          <w:lang w:val="en-US" w:eastAsia="zh-CN"/>
        </w:rPr>
        <w:t>10%</w:t>
      </w:r>
      <w:r>
        <w:rPr>
          <w:rFonts w:hint="eastAsia" w:ascii="宋体" w:hAnsi="宋体" w:eastAsia="宋体" w:cs="Times New Roman"/>
          <w:b/>
          <w:bCs/>
          <w:sz w:val="24"/>
          <w:szCs w:val="24"/>
          <w:highlight w:val="none"/>
          <w:u w:val="single"/>
        </w:rPr>
        <w:t xml:space="preserve"> </w:t>
      </w:r>
      <w:r>
        <w:rPr>
          <w:rFonts w:hint="eastAsia" w:ascii="宋体" w:hAnsi="宋体"/>
          <w:b/>
          <w:bCs/>
          <w:highlight w:val="none"/>
        </w:rPr>
        <w:t>的</w:t>
      </w:r>
      <w:r>
        <w:rPr>
          <w:rFonts w:hint="eastAsia" w:ascii="宋体" w:hAnsi="宋体"/>
          <w:highlight w:val="none"/>
        </w:rPr>
        <w:t>扣除，用扣除后的价格参与评审。满足多项优惠政策的企业，不重复享受多项价格扣除政策。</w:t>
      </w:r>
      <w:r>
        <w:rPr>
          <w:rFonts w:hint="eastAsia" w:ascii="Arial" w:hAnsi="Arial" w:eastAsia="宋体" w:cs="Times New Roman"/>
          <w:b/>
          <w:szCs w:val="21"/>
          <w:highlight w:val="none"/>
        </w:rPr>
        <w:t>政策调整后价格仅作为评审依据，不作为中标价格。</w:t>
      </w:r>
    </w:p>
    <w:p>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备注：</w:t>
      </w:r>
      <w:r>
        <w:rPr>
          <w:rFonts w:hint="eastAsia" w:asciiTheme="minorEastAsia" w:hAnsiTheme="minorEastAsia" w:cstheme="minorEastAsia"/>
          <w:b/>
          <w:bCs/>
          <w:szCs w:val="21"/>
        </w:rPr>
        <w:t>（a）</w:t>
      </w:r>
      <w:r>
        <w:rPr>
          <w:rFonts w:hint="eastAsia" w:asciiTheme="minorEastAsia" w:hAnsiTheme="minorEastAsia" w:cstheme="minorEastAsia"/>
          <w:szCs w:val="21"/>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Theme="minorEastAsia" w:hAnsiTheme="minorEastAsia" w:cstheme="minorEastAsia"/>
          <w:b/>
          <w:bCs/>
          <w:szCs w:val="21"/>
        </w:rPr>
        <w:t>(b)</w:t>
      </w:r>
      <w:r>
        <w:rPr>
          <w:rFonts w:hint="eastAsia" w:asciiTheme="minorEastAsia" w:hAnsiTheme="minorEastAsia" w:cstheme="minorEastAsia"/>
          <w:szCs w:val="21"/>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w:t>
      </w:r>
      <w:bookmarkStart w:id="12" w:name="_Hlk71970739"/>
      <w:r>
        <w:rPr>
          <w:rFonts w:hint="eastAsia" w:asciiTheme="minorEastAsia" w:hAnsiTheme="minorEastAsia" w:cstheme="minor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所属行业应当与采购标的所属行业相一致，标的所属行业以招标文件第一册第三章用户需求书“货物清单明细”的“标的所属行业”一栏为准。</w:t>
      </w:r>
      <w:bookmarkEnd w:id="12"/>
    </w:p>
    <w:p>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（5）享受价格扣除获得政府采购合同的，小微企业不得将合同分包给大中型企业。</w:t>
      </w:r>
    </w:p>
    <w:p>
      <w:pPr>
        <w:tabs>
          <w:tab w:val="left" w:pos="720"/>
        </w:tabs>
        <w:ind w:firstLine="480" w:firstLineChars="200"/>
        <w:rPr>
          <w:rFonts w:hint="eastAsia" w:ascii="黑体" w:hAnsi="宋体" w:eastAsia="黑体"/>
          <w:sz w:val="24"/>
        </w:rPr>
      </w:pPr>
    </w:p>
    <w:p>
      <w:pPr>
        <w:tabs>
          <w:tab w:val="left" w:pos="720"/>
        </w:tabs>
        <w:rPr>
          <w:rFonts w:hint="eastAsia" w:ascii="宋体" w:hAnsi="宋体"/>
          <w:b/>
          <w:bCs/>
          <w:color w:val="FF0000"/>
        </w:rPr>
      </w:pPr>
      <w:r>
        <w:rPr>
          <w:rFonts w:hint="eastAsia" w:ascii="宋体" w:hAnsi="宋体" w:eastAsia="宋体" w:cs="宋体"/>
          <w:b/>
          <w:bCs/>
          <w:szCs w:val="24"/>
        </w:rPr>
        <w:t>2.</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pPr>
        <w:widowControl/>
        <w:ind w:firstLine="420"/>
        <w:jc w:val="left"/>
        <w:rPr>
          <w:rFonts w:hint="eastAsia" w:ascii="宋体" w:hAnsi="宋体"/>
          <w:color w:val="FF0000"/>
          <w:szCs w:val="21"/>
        </w:rPr>
      </w:pPr>
      <w:r>
        <w:rPr>
          <w:rFonts w:hint="eastAsia" w:ascii="宋体" w:hAnsi="宋体"/>
          <w:color w:val="FF0000"/>
          <w:szCs w:val="21"/>
        </w:rPr>
        <w:t>中标（成交）供应商在领取《中标（成交）通知书》之前须向深圳公共资源交易中心（深圳交易集团有限公司龙华分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b/>
          <w:bCs/>
          <w:color w:val="FF0000"/>
          <w:szCs w:val="21"/>
          <w:u w:val="single"/>
        </w:rPr>
        <w:t>货物采购</w:t>
      </w:r>
      <w:r>
        <w:rPr>
          <w:rFonts w:hint="eastAsia" w:ascii="宋体" w:hAnsi="宋体"/>
          <w:color w:val="FF0000"/>
          <w:szCs w:val="21"/>
        </w:rPr>
        <w:t>：</w:t>
      </w:r>
    </w:p>
    <w:p>
      <w:pPr>
        <w:widowControl/>
        <w:ind w:firstLine="420"/>
        <w:jc w:val="left"/>
        <w:rPr>
          <w:rFonts w:hint="eastAsia" w:ascii="宋体" w:hAnsi="宋体"/>
          <w:color w:val="FF0000"/>
          <w:szCs w:val="21"/>
        </w:rPr>
      </w:pPr>
      <w:r>
        <w:rPr>
          <w:rFonts w:hint="eastAsia" w:ascii="宋体" w:hAnsi="宋体"/>
          <w:color w:val="FF0000"/>
          <w:szCs w:val="21"/>
        </w:rPr>
        <w:t>（1）代理服务费以《中标（成交）通知书》确定的中标（成交）金额作为计算基数，按差额定率累进法计算。</w:t>
      </w:r>
    </w:p>
    <w:p>
      <w:pPr>
        <w:widowControl/>
        <w:ind w:firstLine="420"/>
        <w:jc w:val="left"/>
        <w:rPr>
          <w:rFonts w:hint="eastAsia" w:ascii="宋体" w:hAnsi="宋体"/>
          <w:color w:val="FF0000"/>
          <w:szCs w:val="21"/>
        </w:rPr>
      </w:pPr>
      <w:r>
        <w:rPr>
          <w:rFonts w:hint="eastAsia" w:ascii="宋体" w:hAnsi="宋体"/>
          <w:color w:val="FF0000"/>
          <w:szCs w:val="21"/>
        </w:rPr>
        <w:t>（2）中标（成交）金额的各部分费率如下表：</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中标（成交）金额</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货物采购</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服务采购</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100万元以下</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100万元（含）-500万元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1.1%</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500万元（含）-1000万元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0.45%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1000万元（含）-5000万元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5000万元（含）-1亿元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0.1%</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1亿元（含）-5亿元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5亿元（含）-10亿元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10亿元（含）-50亿元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50亿元（含）-100亿元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100亿元（含）以上</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0.004%</w:t>
            </w:r>
          </w:p>
        </w:tc>
      </w:tr>
    </w:tbl>
    <w:p>
      <w:pPr>
        <w:widowControl/>
        <w:ind w:firstLine="420"/>
        <w:jc w:val="left"/>
        <w:rPr>
          <w:rFonts w:hint="eastAsia" w:ascii="宋体" w:hAnsi="宋体"/>
          <w:color w:val="FF0000"/>
          <w:szCs w:val="21"/>
        </w:rPr>
      </w:pPr>
      <w:r>
        <w:rPr>
          <w:rFonts w:hint="eastAsia" w:ascii="宋体" w:hAnsi="宋体"/>
          <w:color w:val="FF0000"/>
          <w:szCs w:val="21"/>
        </w:rPr>
        <w:t>备注：1.每宗交易代理服务费不低于 5000 元；</w:t>
      </w:r>
    </w:p>
    <w:p>
      <w:pPr>
        <w:widowControl/>
        <w:ind w:firstLine="420"/>
        <w:jc w:val="left"/>
        <w:rPr>
          <w:rFonts w:hint="eastAsia" w:ascii="宋体" w:hAnsi="宋体"/>
          <w:color w:val="FF0000"/>
          <w:szCs w:val="21"/>
        </w:rPr>
      </w:pPr>
      <w:r>
        <w:rPr>
          <w:rFonts w:hint="eastAsia" w:ascii="宋体" w:hAnsi="宋体"/>
          <w:color w:val="FF0000"/>
          <w:szCs w:val="21"/>
        </w:rPr>
        <w:t>2.对于报总价的采购类项目，中标（成交）价为中标（成交）金额；对于报单价或折扣或费率的采购类项目，中标（成交）价为预算上限金额或经委托方与代理方确定的支付上限金额。</w:t>
      </w:r>
    </w:p>
    <w:p>
      <w:pPr>
        <w:widowControl/>
        <w:ind w:firstLine="420"/>
        <w:jc w:val="left"/>
        <w:rPr>
          <w:rFonts w:hint="eastAsia" w:ascii="宋体" w:hAnsi="宋体"/>
          <w:color w:val="FF0000"/>
          <w:szCs w:val="21"/>
        </w:rPr>
      </w:pPr>
      <w:r>
        <w:rPr>
          <w:rFonts w:hint="eastAsia" w:ascii="宋体" w:hAnsi="宋体"/>
          <w:color w:val="FF0000"/>
          <w:szCs w:val="21"/>
        </w:rPr>
        <w:t>如某货物采购项目，中标（成交）金额为600万元，总共交纳的代理服务费的具体计算过程如下：</w:t>
      </w:r>
    </w:p>
    <w:p>
      <w:pPr>
        <w:widowControl/>
        <w:ind w:firstLine="420"/>
        <w:jc w:val="left"/>
        <w:rPr>
          <w:rFonts w:hint="eastAsia" w:ascii="宋体" w:hAnsi="宋体"/>
          <w:color w:val="FF0000"/>
          <w:szCs w:val="21"/>
        </w:rPr>
      </w:pPr>
      <w:r>
        <w:rPr>
          <w:rFonts w:hint="eastAsia" w:ascii="宋体" w:hAnsi="宋体"/>
          <w:color w:val="FF0000"/>
          <w:szCs w:val="21"/>
        </w:rPr>
        <w:t>标准代理服务费＝（100万以下部分的代理服务费）+（100万～500万部分的代理服务费）+（500万～600万部分的代理服务费）＝100万元×1.5%+（500-100）万元×1.1%+（600-500）万元×0.8%=1.5万元+4.4万元+0.8万元＝6.7万元</w:t>
      </w:r>
    </w:p>
    <w:p>
      <w:pPr>
        <w:widowControl/>
        <w:ind w:firstLine="420"/>
        <w:jc w:val="left"/>
        <w:rPr>
          <w:rFonts w:hint="eastAsia" w:ascii="宋体" w:hAnsi="宋体" w:eastAsia="黑体" w:cs="Times New Roman"/>
          <w:bCs/>
          <w:kern w:val="44"/>
          <w:szCs w:val="21"/>
        </w:rPr>
      </w:pPr>
      <w:r>
        <w:rPr>
          <w:rFonts w:hint="eastAsia" w:ascii="宋体" w:hAnsi="宋体"/>
          <w:color w:val="FF0000"/>
          <w:szCs w:val="21"/>
        </w:rPr>
        <w:t>（3）中标（成交）供应商成交后，必须按规定采用银行对公转账方式向深圳交易集团有限公司直接交纳代理服务费，交纳信息及要求按照缴款（付款）通知书执行。</w:t>
      </w:r>
    </w:p>
    <w:p>
      <w:pPr>
        <w:widowControl/>
        <w:ind w:firstLine="420"/>
        <w:jc w:val="left"/>
        <w:rPr>
          <w:rFonts w:hint="eastAsia" w:ascii="宋体" w:hAnsi="宋体"/>
          <w:color w:val="FF0000"/>
          <w:szCs w:val="21"/>
        </w:rPr>
      </w:pPr>
    </w:p>
    <w:p>
      <w:pPr>
        <w:widowControl/>
        <w:ind w:firstLine="420"/>
        <w:jc w:val="left"/>
        <w:rPr>
          <w:rFonts w:hint="eastAsia" w:ascii="宋体" w:hAnsi="宋体" w:eastAsia="黑体" w:cs="Times New Roman"/>
          <w:bCs/>
          <w:kern w:val="44"/>
          <w:szCs w:val="21"/>
        </w:rPr>
      </w:pPr>
    </w:p>
    <w:p>
      <w:pPr>
        <w:widowControl/>
        <w:jc w:val="left"/>
        <w:rPr>
          <w:rFonts w:hint="eastAsia" w:ascii="宋体" w:hAnsi="宋体" w:eastAsia="黑体" w:cs="Times New Roman"/>
          <w:bCs/>
          <w:kern w:val="44"/>
          <w:sz w:val="28"/>
          <w:szCs w:val="44"/>
        </w:rPr>
      </w:pPr>
      <w:r>
        <w:rPr>
          <w:rFonts w:ascii="宋体" w:hAnsi="宋体" w:eastAsia="黑体" w:cs="Times New Roman"/>
          <w:bCs/>
          <w:kern w:val="44"/>
          <w:sz w:val="28"/>
          <w:szCs w:val="44"/>
        </w:rPr>
        <w:br w:type="page"/>
      </w:r>
    </w:p>
    <w:p>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18"/>
        <w:tblW w:w="8931" w:type="dxa"/>
        <w:jc w:val="center"/>
        <w:tblLayout w:type="fixed"/>
        <w:tblCellMar>
          <w:top w:w="15" w:type="dxa"/>
          <w:left w:w="15" w:type="dxa"/>
          <w:bottom w:w="15" w:type="dxa"/>
          <w:right w:w="15" w:type="dxa"/>
        </w:tblCellMar>
      </w:tblPr>
      <w:tblGrid>
        <w:gridCol w:w="710"/>
        <w:gridCol w:w="2693"/>
        <w:gridCol w:w="2906"/>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pPr>
              <w:jc w:val="center"/>
            </w:pPr>
            <w:r>
              <w:rPr>
                <w:rFonts w:hint="eastAsia"/>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pPr>
              <w:jc w:val="center"/>
            </w:pPr>
            <w:r>
              <w:rPr>
                <w:rFonts w:hint="eastAsia"/>
              </w:rPr>
              <w:t>项目编号</w:t>
            </w:r>
          </w:p>
        </w:tc>
        <w:tc>
          <w:tcPr>
            <w:tcW w:w="2906"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jc w:val="center"/>
            </w:pPr>
            <w:r>
              <w:rPr>
                <w:rFonts w:hint="eastAsia"/>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jc w:val="center"/>
            </w:pPr>
            <w:r>
              <w:rPr>
                <w:rFonts w:hint="eastAsia" w:asciiTheme="minorEastAsia" w:hAnsiTheme="minorEastAsia"/>
                <w:sz w:val="24"/>
                <w:szCs w:val="24"/>
              </w:rPr>
              <w:t>财政预算限额（元）</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hint="eastAsia" w:asciiTheme="minorEastAsia" w:hAnsiTheme="minorEastAsia"/>
                <w:sz w:val="24"/>
                <w:szCs w:val="24"/>
              </w:rPr>
            </w:pPr>
            <w:r>
              <w:rPr>
                <w:rFonts w:hint="eastAsia" w:asciiTheme="minorEastAsia" w:hAnsiTheme="minorEastAsia"/>
                <w:sz w:val="24"/>
                <w:szCs w:val="24"/>
              </w:rPr>
              <w:t>1</w:t>
            </w:r>
          </w:p>
        </w:tc>
        <w:tc>
          <w:tcPr>
            <w:tcW w:w="2693" w:type="dxa"/>
            <w:tcBorders>
              <w:top w:val="single" w:color="000000" w:sz="4" w:space="0"/>
              <w:left w:val="single" w:color="auto" w:sz="4" w:space="0"/>
              <w:bottom w:val="single" w:color="000000" w:sz="4" w:space="0"/>
              <w:right w:val="single" w:color="000000" w:sz="4" w:space="0"/>
            </w:tcBorders>
            <w:vAlign w:val="center"/>
          </w:tcPr>
          <w:p>
            <w:pPr>
              <w:jc w:val="center"/>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LHAZXCG-2025-00055</w:t>
            </w:r>
          </w:p>
        </w:tc>
        <w:tc>
          <w:tcPr>
            <w:tcW w:w="2906" w:type="dxa"/>
            <w:tcBorders>
              <w:top w:val="single" w:color="000000" w:sz="4" w:space="0"/>
              <w:left w:val="single" w:color="000000" w:sz="4" w:space="0"/>
              <w:right w:val="single" w:color="000000" w:sz="4" w:space="0"/>
            </w:tcBorders>
            <w:vAlign w:val="center"/>
          </w:tcPr>
          <w:p>
            <w:pPr>
              <w:jc w:val="center"/>
              <w:rPr>
                <w:rFonts w:hint="eastAsia" w:eastAsia="宋体"/>
                <w:lang w:eastAsia="zh-CN"/>
              </w:rPr>
            </w:pPr>
            <w:r>
              <w:rPr>
                <w:rFonts w:hint="eastAsia" w:eastAsia="宋体"/>
                <w:lang w:eastAsia="zh-CN"/>
              </w:rPr>
              <w:t>校园安全设备设施采购</w:t>
            </w:r>
          </w:p>
        </w:tc>
        <w:tc>
          <w:tcPr>
            <w:tcW w:w="2622" w:type="dxa"/>
            <w:vMerge w:val="restart"/>
            <w:tcBorders>
              <w:top w:val="single" w:color="000000" w:sz="4" w:space="0"/>
              <w:left w:val="single" w:color="000000" w:sz="4" w:space="0"/>
              <w:right w:val="single" w:color="000000" w:sz="4" w:space="0"/>
            </w:tcBorders>
            <w:vAlign w:val="center"/>
          </w:tcPr>
          <w:p>
            <w:pPr>
              <w:jc w:val="center"/>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480600</w:t>
            </w:r>
          </w:p>
        </w:tc>
      </w:tr>
      <w:tr>
        <w:tblPrEx>
          <w:tblCellMar>
            <w:top w:w="15" w:type="dxa"/>
            <w:left w:w="15" w:type="dxa"/>
            <w:bottom w:w="15" w:type="dxa"/>
            <w:right w:w="15" w:type="dxa"/>
          </w:tblCellMar>
        </w:tblPrEx>
        <w:trPr>
          <w:trHeight w:val="172" w:hRule="atLeast"/>
          <w:jc w:val="center"/>
        </w:trPr>
        <w:tc>
          <w:tcPr>
            <w:tcW w:w="6309" w:type="dxa"/>
            <w:gridSpan w:val="3"/>
            <w:tcBorders>
              <w:top w:val="single" w:color="000000" w:sz="4" w:space="0"/>
              <w:left w:val="single" w:color="000000" w:sz="4" w:space="0"/>
              <w:bottom w:val="single" w:color="auto" w:sz="4" w:space="0"/>
              <w:right w:val="single" w:color="000000" w:sz="4" w:space="0"/>
            </w:tcBorders>
            <w:vAlign w:val="center"/>
          </w:tcPr>
          <w:p>
            <w:pPr>
              <w:jc w:val="center"/>
            </w:pPr>
            <w:r>
              <w:rPr>
                <w:rFonts w:hint="eastAsia"/>
              </w:rPr>
              <w:t>合计（元）</w:t>
            </w:r>
          </w:p>
        </w:tc>
        <w:tc>
          <w:tcPr>
            <w:tcW w:w="2622" w:type="dxa"/>
            <w:vMerge w:val="continue"/>
            <w:tcBorders>
              <w:left w:val="single" w:color="000000" w:sz="4" w:space="0"/>
              <w:bottom w:val="single" w:color="auto" w:sz="4" w:space="0"/>
              <w:right w:val="single" w:color="000000" w:sz="4" w:space="0"/>
            </w:tcBorders>
            <w:vAlign w:val="center"/>
          </w:tcPr>
          <w:p>
            <w:pPr>
              <w:jc w:val="center"/>
              <w:rPr>
                <w:rFonts w:hint="eastAsia" w:asciiTheme="minorEastAsia" w:hAnsiTheme="minorEastAsia"/>
                <w:sz w:val="24"/>
                <w:szCs w:val="24"/>
              </w:rPr>
            </w:pPr>
          </w:p>
        </w:tc>
      </w:tr>
    </w:tbl>
    <w:p>
      <w:pPr>
        <w:rPr>
          <w:sz w:val="24"/>
          <w:szCs w:val="24"/>
        </w:rPr>
      </w:pPr>
      <w:r>
        <w:rPr>
          <w:rFonts w:hint="eastAsia" w:ascii="Arial" w:hAnsi="Arial" w:eastAsia="宋体" w:cs="Times New Roman"/>
          <w:b/>
          <w:color w:val="FF0000"/>
          <w:sz w:val="24"/>
          <w:szCs w:val="24"/>
        </w:rPr>
        <w:t>本项目控制金额为人民币269200</w:t>
      </w:r>
      <w:r>
        <w:rPr>
          <w:rFonts w:hint="eastAsia" w:ascii="Arial" w:hAnsi="Arial" w:eastAsia="宋体" w:cs="Times New Roman"/>
          <w:b/>
          <w:color w:val="0000FF"/>
          <w:sz w:val="24"/>
          <w:szCs w:val="24"/>
        </w:rPr>
        <w:t>元</w:t>
      </w:r>
      <w:r>
        <w:rPr>
          <w:rFonts w:hint="eastAsia" w:ascii="Arial" w:hAnsi="Arial" w:eastAsia="宋体" w:cs="Times New Roman"/>
          <w:b/>
          <w:color w:val="FF0000"/>
          <w:sz w:val="24"/>
          <w:szCs w:val="24"/>
        </w:rPr>
        <w:t>，投标报价超出控制金额将作投标无效处理。</w:t>
      </w:r>
    </w:p>
    <w:p>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二、</w:t>
      </w:r>
      <w:r>
        <w:rPr>
          <w:rFonts w:hint="eastAsia" w:ascii="Arial" w:hAnsi="Arial" w:eastAsia="宋体" w:cs="Times New Roman"/>
          <w:b/>
          <w:color w:val="FF0000"/>
          <w:sz w:val="32"/>
          <w:szCs w:val="32"/>
        </w:rPr>
        <w:t>★</w:t>
      </w:r>
      <w:r>
        <w:rPr>
          <w:rFonts w:hint="eastAsia" w:ascii="Arial" w:hAnsi="Arial" w:eastAsia="宋体" w:cs="Times New Roman"/>
          <w:b/>
          <w:sz w:val="32"/>
          <w:szCs w:val="32"/>
        </w:rPr>
        <w:t>货物需求明细</w:t>
      </w:r>
    </w:p>
    <w:p>
      <w:r>
        <w:rPr>
          <w:rFonts w:hint="eastAsia" w:ascii="宋体" w:hAnsi="宋体"/>
          <w:b/>
          <w:color w:val="FF0000"/>
          <w:sz w:val="32"/>
          <w:szCs w:val="32"/>
        </w:rPr>
        <w:t>本项目核心产品为：</w:t>
      </w:r>
      <w:r>
        <w:rPr>
          <w:rFonts w:hint="eastAsia" w:ascii="宋体" w:hAnsi="宋体"/>
          <w:b/>
          <w:color w:val="FF0000"/>
          <w:sz w:val="32"/>
          <w:szCs w:val="32"/>
          <w:u w:val="single"/>
        </w:rPr>
        <w:t xml:space="preserve"> AI监控分析平台服务器 </w:t>
      </w:r>
    </w:p>
    <w:tbl>
      <w:tblPr>
        <w:tblStyle w:val="18"/>
        <w:tblpPr w:leftFromText="180" w:rightFromText="180" w:vertAnchor="text" w:horzAnchor="page" w:tblpX="2270" w:tblpY="371"/>
        <w:tblOverlap w:val="never"/>
        <w:tblW w:w="83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1536"/>
        <w:gridCol w:w="756"/>
        <w:gridCol w:w="648"/>
        <w:gridCol w:w="1146"/>
        <w:gridCol w:w="1146"/>
        <w:gridCol w:w="1192"/>
        <w:gridCol w:w="1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71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5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75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6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22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单价限额（元）</w:t>
            </w:r>
          </w:p>
        </w:tc>
        <w:tc>
          <w:tcPr>
            <w:tcW w:w="119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c>
          <w:tcPr>
            <w:tcW w:w="119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财政预算限额(元)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 w:hRule="atLeast"/>
        </w:trPr>
        <w:tc>
          <w:tcPr>
            <w:tcW w:w="71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p>
        </w:tc>
        <w:tc>
          <w:tcPr>
            <w:tcW w:w="153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p>
        </w:tc>
        <w:tc>
          <w:tcPr>
            <w:tcW w:w="75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p>
        </w:tc>
        <w:tc>
          <w:tcPr>
            <w:tcW w:w="6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单价</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单项总额(单价乘以数量)</w:t>
            </w:r>
          </w:p>
        </w:tc>
        <w:tc>
          <w:tcPr>
            <w:tcW w:w="1192"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p>
        </w:tc>
        <w:tc>
          <w:tcPr>
            <w:tcW w:w="1196"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4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一、</w:t>
            </w:r>
            <w:r>
              <w:rPr>
                <w:rFonts w:hint="eastAsia" w:ascii="宋体" w:hAnsi="宋体" w:cs="宋体"/>
                <w:b/>
                <w:bCs/>
                <w:i w:val="0"/>
                <w:iCs w:val="0"/>
                <w:color w:val="000000"/>
                <w:kern w:val="0"/>
                <w:sz w:val="24"/>
                <w:szCs w:val="24"/>
                <w:u w:val="none"/>
                <w:lang w:val="en-US" w:eastAsia="zh-CN" w:bidi="ar"/>
              </w:rPr>
              <w:t>AI分析监控系统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p>
        </w:tc>
        <w:tc>
          <w:tcPr>
            <w:tcW w:w="1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AI监控分析工作站</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台</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31500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31500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拒绝进口</w:t>
            </w:r>
          </w:p>
        </w:tc>
        <w:tc>
          <w:tcPr>
            <w:tcW w:w="1196"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cs="宋体"/>
                <w:bCs/>
                <w:color w:val="FF0000"/>
                <w:szCs w:val="21"/>
                <w:lang w:val="en-US" w:eastAsia="zh-CN"/>
              </w:rPr>
              <w:t>480600.00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AI监控分析综合管理系统</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22500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22500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拒绝进口</w:t>
            </w:r>
          </w:p>
        </w:tc>
        <w:tc>
          <w:tcPr>
            <w:tcW w:w="119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AI监控分析平台授权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路</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256</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
              </w:rPr>
              <w:t>15360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拒绝进口</w:t>
            </w:r>
          </w:p>
        </w:tc>
        <w:tc>
          <w:tcPr>
            <w:tcW w:w="119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AI监控分析平台服务器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台</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2"/>
                <w:sz w:val="21"/>
                <w:szCs w:val="21"/>
                <w:u w:val="none"/>
                <w:lang w:val="en-US" w:eastAsia="zh-CN" w:bidi="ar"/>
              </w:rPr>
              <w:t>128870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2"/>
                <w:sz w:val="21"/>
                <w:szCs w:val="21"/>
                <w:u w:val="none"/>
                <w:lang w:val="en-US" w:eastAsia="zh-CN" w:bidi="ar"/>
              </w:rPr>
              <w:t>128870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sz w:val="21"/>
                <w:szCs w:val="21"/>
                <w:lang w:val="en-US" w:eastAsia="zh-CN"/>
              </w:rPr>
            </w:pPr>
            <w:r>
              <w:rPr>
                <w:rFonts w:hint="eastAsia"/>
                <w:szCs w:val="21"/>
                <w:lang w:val="en-US" w:eastAsia="zh-CN"/>
              </w:rPr>
              <w:t>拒绝进口</w:t>
            </w:r>
          </w:p>
        </w:tc>
        <w:tc>
          <w:tcPr>
            <w:tcW w:w="119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硬盘</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块</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2"/>
                <w:sz w:val="21"/>
                <w:szCs w:val="21"/>
                <w:u w:val="none"/>
                <w:lang w:val="en-US" w:eastAsia="zh-CN" w:bidi="ar"/>
              </w:rPr>
              <w:t>1400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2"/>
                <w:sz w:val="21"/>
                <w:szCs w:val="21"/>
                <w:u w:val="none"/>
                <w:lang w:val="en-US" w:eastAsia="zh-CN" w:bidi="ar"/>
              </w:rPr>
              <w:t>22400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拒绝进口</w:t>
            </w:r>
          </w:p>
        </w:tc>
        <w:tc>
          <w:tcPr>
            <w:tcW w:w="119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新系统调试</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项</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2"/>
                <w:sz w:val="21"/>
                <w:szCs w:val="21"/>
                <w:u w:val="none"/>
                <w:lang w:val="en-US" w:eastAsia="zh-CN" w:bidi="ar"/>
              </w:rPr>
              <w:t>19500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2"/>
                <w:sz w:val="21"/>
                <w:szCs w:val="21"/>
                <w:u w:val="none"/>
                <w:lang w:val="en-US" w:eastAsia="zh-CN" w:bidi="ar"/>
              </w:rPr>
              <w:t>19500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拒绝进口</w:t>
            </w:r>
          </w:p>
        </w:tc>
        <w:tc>
          <w:tcPr>
            <w:tcW w:w="119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旧系统集成调试</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项</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2"/>
                <w:sz w:val="21"/>
                <w:szCs w:val="21"/>
                <w:u w:val="none"/>
                <w:lang w:val="en-US" w:eastAsia="zh-CN" w:bidi="ar"/>
              </w:rPr>
              <w:t>21650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2"/>
                <w:sz w:val="21"/>
                <w:szCs w:val="21"/>
                <w:u w:val="none"/>
                <w:lang w:val="en-US" w:eastAsia="zh-CN" w:bidi="ar"/>
              </w:rPr>
              <w:t>21650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拒绝进口</w:t>
            </w:r>
          </w:p>
        </w:tc>
        <w:tc>
          <w:tcPr>
            <w:tcW w:w="119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运维保障服务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月</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24</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2"/>
                <w:sz w:val="21"/>
                <w:szCs w:val="21"/>
                <w:u w:val="none"/>
                <w:lang w:val="en-US" w:eastAsia="zh-CN" w:bidi="ar"/>
              </w:rPr>
              <w:t>1800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2"/>
                <w:sz w:val="21"/>
                <w:szCs w:val="21"/>
                <w:u w:val="none"/>
                <w:lang w:val="en-US" w:eastAsia="zh-CN" w:bidi="ar"/>
              </w:rPr>
              <w:t>43200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拒绝进口</w:t>
            </w:r>
          </w:p>
        </w:tc>
        <w:tc>
          <w:tcPr>
            <w:tcW w:w="119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94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二</w:t>
            </w:r>
            <w:r>
              <w:rPr>
                <w:rFonts w:hint="eastAsia" w:ascii="宋体" w:hAnsi="宋体" w:eastAsia="宋体" w:cs="宋体"/>
                <w:b/>
                <w:bCs/>
                <w:i w:val="0"/>
                <w:iCs w:val="0"/>
                <w:color w:val="000000"/>
                <w:kern w:val="0"/>
                <w:sz w:val="24"/>
                <w:szCs w:val="24"/>
                <w:u w:val="none"/>
                <w:lang w:val="en-US" w:eastAsia="zh-CN" w:bidi="ar"/>
              </w:rPr>
              <w:t>、</w:t>
            </w:r>
            <w:r>
              <w:rPr>
                <w:rFonts w:hint="eastAsia" w:ascii="宋体" w:hAnsi="宋体" w:cs="宋体"/>
                <w:b/>
                <w:bCs/>
                <w:i w:val="0"/>
                <w:iCs w:val="0"/>
                <w:color w:val="000000"/>
                <w:kern w:val="0"/>
                <w:sz w:val="24"/>
                <w:szCs w:val="24"/>
                <w:u w:val="none"/>
                <w:lang w:val="en-US" w:eastAsia="zh-CN" w:bidi="ar"/>
              </w:rPr>
              <w:t>安全监督系统</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cs="宋体"/>
                <w:b/>
                <w:bCs/>
                <w:i w:val="0"/>
                <w:iCs w:val="0"/>
                <w:color w:val="000000"/>
                <w:kern w:val="0"/>
                <w:sz w:val="24"/>
                <w:szCs w:val="24"/>
                <w:u w:val="none"/>
                <w:lang w:val="en-US" w:eastAsia="zh-CN" w:bidi="ar"/>
              </w:rPr>
            </w:pPr>
          </w:p>
        </w:tc>
        <w:tc>
          <w:tcPr>
            <w:tcW w:w="1196" w:type="dxa"/>
            <w:vMerge w:val="continue"/>
            <w:tcBorders>
              <w:left w:val="single" w:color="000000" w:sz="4" w:space="0"/>
              <w:right w:val="single" w:color="000000" w:sz="4" w:space="0"/>
            </w:tcBorders>
            <w:shd w:val="clear" w:color="auto" w:fill="auto"/>
            <w:noWrap/>
            <w:vAlign w:val="center"/>
          </w:tcPr>
          <w:p>
            <w:pPr>
              <w:jc w:val="left"/>
              <w:rPr>
                <w:rFonts w:hint="eastAsia" w:ascii="宋体" w:hAnsi="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校园安全监督管控平台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ascii="宋体" w:hAnsi="宋体" w:cs="宋体"/>
                <w:color w:val="000000"/>
                <w:szCs w:val="21"/>
                <w:u w:val="none"/>
                <w:lang w:bidi="ar"/>
              </w:rPr>
              <w:t>22240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2"/>
                <w:sz w:val="21"/>
                <w:szCs w:val="21"/>
                <w:u w:val="none"/>
                <w:lang w:val="en-US" w:eastAsia="zh-CN" w:bidi="ar"/>
              </w:rPr>
              <w:t>22240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拒绝进口</w:t>
            </w:r>
          </w:p>
        </w:tc>
        <w:tc>
          <w:tcPr>
            <w:tcW w:w="119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校园安全监督行为处置中心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2"/>
                <w:sz w:val="21"/>
                <w:szCs w:val="21"/>
                <w:u w:val="none"/>
                <w:lang w:val="en-US" w:eastAsia="zh-CN" w:bidi="ar"/>
              </w:rPr>
              <w:t>5880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2"/>
                <w:sz w:val="21"/>
                <w:szCs w:val="21"/>
                <w:u w:val="none"/>
                <w:lang w:val="en-US" w:eastAsia="zh-CN" w:bidi="ar"/>
              </w:rPr>
              <w:t>11760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拒绝进口</w:t>
            </w:r>
          </w:p>
        </w:tc>
        <w:tc>
          <w:tcPr>
            <w:tcW w:w="119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校园安全监督行为预警终端（IP款）</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2"/>
                <w:sz w:val="21"/>
                <w:szCs w:val="21"/>
                <w:u w:val="none"/>
                <w:lang w:val="en-US" w:eastAsia="zh-CN" w:bidi="ar"/>
              </w:rPr>
              <w:t>3180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2"/>
                <w:sz w:val="21"/>
                <w:szCs w:val="21"/>
                <w:u w:val="none"/>
                <w:lang w:val="en-US" w:eastAsia="zh-CN" w:bidi="ar"/>
              </w:rPr>
              <w:t>76320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拒绝进口</w:t>
            </w:r>
          </w:p>
        </w:tc>
        <w:tc>
          <w:tcPr>
            <w:tcW w:w="119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智能电源管理中心主机</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2"/>
                <w:sz w:val="21"/>
                <w:szCs w:val="21"/>
                <w:u w:val="none"/>
                <w:lang w:val="en-US" w:eastAsia="zh-CN" w:bidi="ar"/>
              </w:rPr>
              <w:t>2800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2"/>
                <w:sz w:val="21"/>
                <w:szCs w:val="21"/>
                <w:u w:val="none"/>
                <w:lang w:val="en-US" w:eastAsia="zh-CN" w:bidi="ar"/>
              </w:rPr>
              <w:t>2800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拒绝进口</w:t>
            </w:r>
          </w:p>
        </w:tc>
        <w:tc>
          <w:tcPr>
            <w:tcW w:w="119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系统调试</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2"/>
                <w:sz w:val="21"/>
                <w:szCs w:val="21"/>
                <w:u w:val="none"/>
                <w:lang w:val="en-US" w:eastAsia="zh-CN" w:bidi="ar"/>
              </w:rPr>
              <w:t>26500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2"/>
                <w:sz w:val="21"/>
                <w:szCs w:val="21"/>
                <w:u w:val="none"/>
                <w:lang w:val="en-US" w:eastAsia="zh-CN" w:bidi="ar"/>
              </w:rPr>
              <w:t>26500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拒绝进口</w:t>
            </w:r>
          </w:p>
        </w:tc>
        <w:tc>
          <w:tcPr>
            <w:tcW w:w="1196"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运维保障服务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2"/>
                <w:sz w:val="21"/>
                <w:szCs w:val="21"/>
                <w:u w:val="none"/>
                <w:lang w:val="en-US" w:eastAsia="zh-CN" w:bidi="ar"/>
              </w:rPr>
              <w:t>1500</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auto"/>
              <w:rPr>
                <w:rFonts w:hint="eastAsia" w:ascii="宋体" w:hAnsi="宋体" w:eastAsia="宋体" w:cs="宋体"/>
                <w:i w:val="0"/>
                <w:iCs w:val="0"/>
                <w:color w:val="000000"/>
                <w:sz w:val="21"/>
                <w:szCs w:val="21"/>
                <w:u w:val="none"/>
                <w:lang w:bidi="ar"/>
              </w:rPr>
            </w:pPr>
            <w:r>
              <w:rPr>
                <w:rFonts w:hint="eastAsia" w:ascii="宋体" w:hAnsi="宋体" w:eastAsia="宋体" w:cs="宋体"/>
                <w:i w:val="0"/>
                <w:iCs w:val="0"/>
                <w:color w:val="000000"/>
                <w:kern w:val="2"/>
                <w:sz w:val="21"/>
                <w:szCs w:val="21"/>
                <w:u w:val="none"/>
                <w:lang w:val="en-US" w:eastAsia="zh-CN" w:bidi="ar"/>
              </w:rPr>
              <w:t>36000</w:t>
            </w:r>
          </w:p>
        </w:tc>
        <w:tc>
          <w:tcPr>
            <w:tcW w:w="11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拒绝进口</w:t>
            </w:r>
          </w:p>
        </w:tc>
        <w:tc>
          <w:tcPr>
            <w:tcW w:w="1196"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eastAsia="zh-CN"/>
              </w:rPr>
            </w:pPr>
          </w:p>
        </w:tc>
      </w:tr>
    </w:tbl>
    <w:p>
      <w:pPr>
        <w:rPr>
          <w:color w:val="FF0000"/>
        </w:rPr>
      </w:pPr>
      <w:r>
        <w:rPr>
          <w:rFonts w:hint="eastAsia"/>
          <w:color w:val="FF0000"/>
        </w:rPr>
        <w:t>备注：</w:t>
      </w:r>
    </w:p>
    <w:p>
      <w:pPr>
        <w:ind w:firstLine="420" w:firstLineChars="200"/>
        <w:rPr>
          <w:color w:val="FF0000"/>
        </w:rPr>
      </w:pPr>
      <w:r>
        <w:rPr>
          <w:rFonts w:hint="eastAsia"/>
          <w:color w:val="FF0000"/>
        </w:rPr>
        <w:t>1、“备注”栏注明有“接受进口”或“允许进口”的产品允许投标人选用进口产品参与投标，但不排斥国内产品投标；未注明“接受进口”或“允许进口”的产品均不接受进口产品投标。</w:t>
      </w:r>
    </w:p>
    <w:p>
      <w:pPr>
        <w:ind w:firstLine="420" w:firstLineChars="200"/>
        <w:rPr>
          <w:color w:val="FF0000"/>
        </w:rPr>
      </w:pPr>
      <w:r>
        <w:rPr>
          <w:rFonts w:hint="eastAsia"/>
          <w:color w:val="FF0000"/>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ind w:firstLine="420" w:firstLineChars="200"/>
        <w:rPr>
          <w:color w:val="FF0000"/>
        </w:rPr>
      </w:pPr>
      <w:r>
        <w:rPr>
          <w:rFonts w:hint="eastAsia"/>
          <w:color w:val="FF0000"/>
        </w:rPr>
        <w:t>3、如注明有单价控制金额的产品，投标人对该产品的报价不得超过控制金额，否则将作投标无效处理。</w:t>
      </w:r>
    </w:p>
    <w:p>
      <w:pPr>
        <w:ind w:firstLine="420" w:firstLineChars="200"/>
        <w:rPr>
          <w:color w:val="FF0000"/>
        </w:rPr>
      </w:pPr>
      <w:r>
        <w:rPr>
          <w:rFonts w:hint="eastAsia"/>
          <w:color w:val="FF0000"/>
        </w:rPr>
        <w:t>4、根据《政府采购货物和服务招标投标管理办法》（财政部令第87号）第三十一条规定，单一产品项目或非单一产品项目中的核心产品均应明确品牌，投标人未填报品牌的将作投标无效处理。</w:t>
      </w:r>
    </w:p>
    <w:p>
      <w:pPr>
        <w:pStyle w:val="6"/>
        <w:jc w:val="center"/>
        <w:outlineLvl w:val="2"/>
      </w:pPr>
      <w:bookmarkStart w:id="13" w:name="_Toc128884461"/>
      <w:r>
        <w:rPr>
          <w:rFonts w:hint="eastAsia"/>
        </w:rPr>
        <w:t>三、实质性条款</w:t>
      </w:r>
    </w:p>
    <w:tbl>
      <w:tblPr>
        <w:tblStyle w:val="18"/>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r>
              <w:rPr>
                <w:rFonts w:hint="eastAsia"/>
              </w:rPr>
              <w:t>序号</w:t>
            </w:r>
          </w:p>
        </w:tc>
        <w:tc>
          <w:tcPr>
            <w:tcW w:w="7483" w:type="dxa"/>
            <w:vAlign w:val="center"/>
          </w:tcPr>
          <w:p>
            <w:pPr>
              <w:jc w:val="center"/>
            </w:pPr>
            <w:r>
              <w:rPr>
                <w:rFonts w:hint="eastAsia"/>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jc w:val="center"/>
            </w:pPr>
            <w:r>
              <w:rPr>
                <w:rFonts w:hint="eastAsia"/>
              </w:rPr>
              <w:t>1</w:t>
            </w:r>
          </w:p>
        </w:tc>
        <w:tc>
          <w:tcPr>
            <w:tcW w:w="7483" w:type="dxa"/>
          </w:tcPr>
          <w:p>
            <w:pPr>
              <w:jc w:val="center"/>
            </w:pPr>
            <w:r>
              <w:rPr>
                <w:rFonts w:hint="eastAsia"/>
              </w:rPr>
              <w:t>本项目招标文件中所有带★号条款内容</w:t>
            </w:r>
          </w:p>
        </w:tc>
      </w:tr>
      <w:bookmarkEnd w:id="13"/>
    </w:tbl>
    <w:p>
      <w:pPr>
        <w:rPr>
          <w:b/>
          <w:color w:val="FF0000"/>
        </w:rPr>
      </w:pPr>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pStyle w:val="6"/>
        <w:jc w:val="center"/>
        <w:outlineLvl w:val="2"/>
        <w:rPr>
          <w:rFonts w:hint="eastAsia"/>
        </w:rPr>
      </w:pPr>
      <w:r>
        <w:rPr>
          <w:rFonts w:hint="eastAsia"/>
        </w:rPr>
        <w:t>四、商务和服务条款要求</w:t>
      </w:r>
    </w:p>
    <w:p>
      <w:pPr>
        <w:ind w:firstLine="422" w:firstLineChars="200"/>
        <w:rPr>
          <w:rFonts w:hint="eastAsia" w:eastAsiaTheme="minorEastAsia"/>
          <w:b/>
          <w:lang w:val="en-US" w:eastAsia="zh-CN"/>
        </w:rPr>
      </w:pPr>
      <w:r>
        <w:rPr>
          <w:rFonts w:hint="eastAsia"/>
          <w:b/>
          <w:szCs w:val="21"/>
        </w:rPr>
        <w:t>说明：</w:t>
      </w:r>
      <w:r>
        <w:rPr>
          <w:b/>
        </w:rPr>
        <w:t>1</w:t>
      </w:r>
      <w:r>
        <w:rPr>
          <w:rFonts w:hint="eastAsia"/>
          <w:b/>
        </w:rPr>
        <w:t>、评分时，如对一项招标商务要求（以划分框为准）中的内容存在两</w:t>
      </w:r>
      <w:r>
        <w:rPr>
          <w:rFonts w:hint="eastAsia"/>
          <w:b/>
          <w:lang w:val="en-US" w:eastAsia="zh-CN"/>
        </w:rPr>
        <w:tab/>
      </w:r>
      <w:r>
        <w:rPr>
          <w:rFonts w:hint="eastAsia"/>
          <w:b/>
        </w:rPr>
        <w:t>处（或以上）负偏离的，在评分时只作一项负偏离扣分。</w:t>
      </w:r>
      <w:r>
        <w:rPr>
          <w:rFonts w:hint="eastAsia"/>
          <w:b/>
          <w:lang w:val="en-US" w:eastAsia="zh-CN"/>
        </w:rPr>
        <w:tab/>
      </w:r>
    </w:p>
    <w:p>
      <w:pPr>
        <w:numPr>
          <w:ilvl w:val="0"/>
          <w:numId w:val="1"/>
        </w:numPr>
        <w:ind w:firstLine="422" w:firstLineChars="200"/>
        <w:rPr>
          <w:rFonts w:hint="eastAsia"/>
          <w:b/>
          <w:szCs w:val="21"/>
        </w:rPr>
      </w:pP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Style w:val="18"/>
        <w:tblW w:w="8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528"/>
        <w:gridCol w:w="6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27" w:type="dxa"/>
            <w:vAlign w:val="center"/>
          </w:tcPr>
          <w:p>
            <w:pPr>
              <w:spacing w:line="360" w:lineRule="auto"/>
              <w:jc w:val="center"/>
              <w:rPr>
                <w:rFonts w:ascii="宋体" w:hAnsi="宋体" w:cs="宋体"/>
                <w:b/>
                <w:szCs w:val="21"/>
              </w:rPr>
            </w:pPr>
            <w:r>
              <w:rPr>
                <w:rFonts w:hint="eastAsia" w:ascii="宋体" w:hAnsi="宋体" w:cs="宋体"/>
                <w:b/>
                <w:szCs w:val="21"/>
              </w:rPr>
              <w:t>序号</w:t>
            </w:r>
          </w:p>
        </w:tc>
        <w:tc>
          <w:tcPr>
            <w:tcW w:w="1528" w:type="dxa"/>
            <w:vAlign w:val="center"/>
          </w:tcPr>
          <w:p>
            <w:pPr>
              <w:spacing w:line="360" w:lineRule="auto"/>
              <w:jc w:val="center"/>
              <w:rPr>
                <w:rFonts w:ascii="宋体" w:hAnsi="宋体" w:cs="宋体"/>
                <w:b/>
                <w:szCs w:val="21"/>
              </w:rPr>
            </w:pPr>
            <w:r>
              <w:rPr>
                <w:rFonts w:hint="eastAsia" w:ascii="宋体" w:hAnsi="宋体" w:cs="宋体"/>
                <w:b/>
                <w:szCs w:val="21"/>
              </w:rPr>
              <w:t>目录</w:t>
            </w:r>
          </w:p>
        </w:tc>
        <w:tc>
          <w:tcPr>
            <w:tcW w:w="6361" w:type="dxa"/>
            <w:vAlign w:val="center"/>
          </w:tcPr>
          <w:p>
            <w:pPr>
              <w:spacing w:line="360" w:lineRule="auto"/>
              <w:jc w:val="center"/>
              <w:rPr>
                <w:rFonts w:ascii="宋体" w:hAnsi="宋体" w:cs="宋体"/>
                <w:b/>
                <w:szCs w:val="21"/>
              </w:rPr>
            </w:pPr>
            <w:r>
              <w:rPr>
                <w:rFonts w:hint="eastAsia" w:ascii="宋体" w:hAnsi="宋体" w:cs="宋体"/>
                <w:b/>
                <w:szCs w:val="21"/>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8616" w:type="dxa"/>
            <w:gridSpan w:val="3"/>
            <w:vAlign w:val="center"/>
          </w:tcPr>
          <w:p>
            <w:pPr>
              <w:spacing w:line="360" w:lineRule="auto"/>
              <w:jc w:val="left"/>
              <w:rPr>
                <w:rFonts w:ascii="宋体" w:hAnsi="宋体" w:cs="宋体"/>
                <w:b/>
                <w:szCs w:val="21"/>
              </w:rPr>
            </w:pPr>
            <w:r>
              <w:rPr>
                <w:rFonts w:hint="eastAsia" w:ascii="宋体" w:hAnsi="宋体" w:cs="宋体"/>
                <w:b/>
                <w:szCs w:val="21"/>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727" w:type="dxa"/>
            <w:vAlign w:val="center"/>
          </w:tcPr>
          <w:p>
            <w:pPr>
              <w:spacing w:line="360" w:lineRule="auto"/>
              <w:jc w:val="center"/>
              <w:rPr>
                <w:rFonts w:ascii="宋体" w:hAnsi="宋体" w:cs="宋体"/>
                <w:b/>
                <w:szCs w:val="21"/>
              </w:rPr>
            </w:pPr>
            <w:r>
              <w:rPr>
                <w:rFonts w:hint="eastAsia" w:ascii="宋体" w:hAnsi="宋体" w:cs="宋体"/>
                <w:b/>
                <w:szCs w:val="21"/>
              </w:rPr>
              <w:t>1</w:t>
            </w:r>
          </w:p>
        </w:tc>
        <w:tc>
          <w:tcPr>
            <w:tcW w:w="1528" w:type="dxa"/>
            <w:vAlign w:val="center"/>
          </w:tcPr>
          <w:p>
            <w:pPr>
              <w:spacing w:line="360" w:lineRule="auto"/>
              <w:jc w:val="center"/>
              <w:rPr>
                <w:rFonts w:ascii="宋体" w:hAnsi="宋体" w:cs="宋体"/>
                <w:szCs w:val="21"/>
              </w:rPr>
            </w:pPr>
            <w:r>
              <w:rPr>
                <w:rFonts w:hint="eastAsia" w:ascii="宋体" w:hAnsi="宋体" w:cs="宋体"/>
                <w:szCs w:val="21"/>
              </w:rPr>
              <w:t>免费保修期</w:t>
            </w:r>
          </w:p>
        </w:tc>
        <w:tc>
          <w:tcPr>
            <w:tcW w:w="6361" w:type="dxa"/>
            <w:vAlign w:val="center"/>
          </w:tcPr>
          <w:p>
            <w:pPr>
              <w:spacing w:line="360" w:lineRule="auto"/>
              <w:jc w:val="left"/>
              <w:rPr>
                <w:rFonts w:ascii="宋体" w:hAnsi="宋体" w:cs="宋体"/>
                <w:b/>
                <w:szCs w:val="21"/>
              </w:rPr>
            </w:pPr>
            <w:r>
              <w:rPr>
                <w:rFonts w:hint="eastAsia" w:ascii="宋体" w:hAnsi="宋体" w:cs="宋体"/>
                <w:szCs w:val="21"/>
              </w:rPr>
              <w:t>★</w:t>
            </w:r>
            <w:r>
              <w:rPr>
                <w:rFonts w:hint="eastAsia" w:ascii="宋体" w:hAnsi="宋体" w:cs="宋体"/>
                <w:bCs/>
                <w:szCs w:val="21"/>
              </w:rPr>
              <w:t>货物免费保修期</w:t>
            </w:r>
            <w:r>
              <w:rPr>
                <w:rFonts w:hint="eastAsia" w:ascii="宋体" w:hAnsi="宋体" w:cs="宋体"/>
                <w:bCs/>
                <w:szCs w:val="21"/>
                <w:u w:val="single"/>
                <w:lang w:val="en-US" w:eastAsia="zh-CN"/>
              </w:rPr>
              <w:t xml:space="preserve"> 2 </w:t>
            </w:r>
            <w:r>
              <w:rPr>
                <w:rFonts w:hint="eastAsia" w:ascii="宋体" w:hAnsi="宋体" w:cs="宋体"/>
                <w:bCs/>
                <w:szCs w:val="21"/>
              </w:rPr>
              <w:t>年，时间自最终验收合格并交付使用之日起计算。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727" w:type="dxa"/>
            <w:vAlign w:val="center"/>
          </w:tcPr>
          <w:p>
            <w:pPr>
              <w:spacing w:line="360" w:lineRule="auto"/>
              <w:jc w:val="center"/>
              <w:rPr>
                <w:rFonts w:ascii="宋体" w:hAnsi="宋体" w:cs="宋体"/>
                <w:b/>
                <w:szCs w:val="21"/>
              </w:rPr>
            </w:pPr>
            <w:r>
              <w:rPr>
                <w:rFonts w:hint="eastAsia" w:ascii="宋体" w:hAnsi="宋体" w:cs="宋体"/>
                <w:b/>
                <w:szCs w:val="21"/>
              </w:rPr>
              <w:t>2</w:t>
            </w:r>
          </w:p>
        </w:tc>
        <w:tc>
          <w:tcPr>
            <w:tcW w:w="1528" w:type="dxa"/>
            <w:vAlign w:val="center"/>
          </w:tcPr>
          <w:p>
            <w:pPr>
              <w:spacing w:line="360" w:lineRule="auto"/>
              <w:jc w:val="center"/>
              <w:rPr>
                <w:rFonts w:ascii="宋体" w:hAnsi="宋体" w:cs="宋体"/>
                <w:szCs w:val="21"/>
              </w:rPr>
            </w:pPr>
            <w:r>
              <w:rPr>
                <w:rFonts w:hint="eastAsia" w:ascii="宋体" w:hAnsi="宋体" w:cs="宋体"/>
                <w:szCs w:val="21"/>
              </w:rPr>
              <w:t>维修响应及故障解决时间</w:t>
            </w:r>
          </w:p>
        </w:tc>
        <w:tc>
          <w:tcPr>
            <w:tcW w:w="6361" w:type="dxa"/>
            <w:vAlign w:val="center"/>
          </w:tcPr>
          <w:p>
            <w:pPr>
              <w:spacing w:line="360" w:lineRule="auto"/>
              <w:jc w:val="left"/>
              <w:rPr>
                <w:rFonts w:ascii="宋体" w:hAnsi="宋体" w:cs="宋体"/>
                <w:szCs w:val="21"/>
              </w:rPr>
            </w:pPr>
            <w:r>
              <w:rPr>
                <w:rFonts w:hint="eastAsia" w:ascii="宋体" w:hAnsi="宋体" w:cs="宋体"/>
                <w:szCs w:val="21"/>
              </w:rPr>
              <w:t>必须提供全天7×24小时的技术支持驻点服务，在</w:t>
            </w:r>
            <w:r>
              <w:rPr>
                <w:rFonts w:hint="eastAsia" w:ascii="宋体" w:hAnsi="宋体" w:cs="宋体"/>
                <w:szCs w:val="21"/>
                <w:lang w:val="en-US" w:eastAsia="zh-CN"/>
              </w:rPr>
              <w:t>30</w:t>
            </w:r>
            <w:r>
              <w:rPr>
                <w:rFonts w:hint="eastAsia" w:ascii="宋体" w:hAnsi="宋体" w:cs="宋体"/>
                <w:szCs w:val="21"/>
              </w:rPr>
              <w:t>分钟内做出响应；在接到采购人相关人员保障后安排技术</w:t>
            </w:r>
            <w:r>
              <w:rPr>
                <w:rFonts w:hint="eastAsia" w:ascii="宋体" w:hAnsi="宋体" w:cs="宋体"/>
                <w:szCs w:val="21"/>
                <w:lang w:val="en-US" w:eastAsia="zh-CN"/>
              </w:rPr>
              <w:t>120</w:t>
            </w:r>
            <w:r>
              <w:rPr>
                <w:rFonts w:hint="eastAsia" w:ascii="宋体" w:hAnsi="宋体" w:cs="宋体"/>
                <w:szCs w:val="21"/>
              </w:rPr>
              <w:t>分钟内到达故障现场提供不间断的服务直到故障排除；常规故障要求在8小时内排除故障；如需用备件更换故障设备的，要求在24小时内完成更换，保证系统能正常运转。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616" w:type="dxa"/>
            <w:gridSpan w:val="3"/>
            <w:vAlign w:val="center"/>
          </w:tcPr>
          <w:p>
            <w:pPr>
              <w:spacing w:line="360" w:lineRule="auto"/>
              <w:jc w:val="left"/>
              <w:rPr>
                <w:rFonts w:ascii="宋体" w:hAnsi="宋体" w:cs="宋体"/>
                <w:b/>
                <w:szCs w:val="21"/>
              </w:rPr>
            </w:pPr>
            <w:r>
              <w:rPr>
                <w:rFonts w:hint="eastAsia" w:ascii="宋体" w:hAnsi="宋体" w:cs="宋体"/>
                <w:b/>
                <w:szCs w:val="21"/>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 w:hRule="atLeast"/>
        </w:trPr>
        <w:tc>
          <w:tcPr>
            <w:tcW w:w="727" w:type="dxa"/>
            <w:vAlign w:val="center"/>
          </w:tcPr>
          <w:p>
            <w:pPr>
              <w:spacing w:line="360" w:lineRule="auto"/>
              <w:jc w:val="center"/>
              <w:rPr>
                <w:rFonts w:ascii="宋体" w:hAnsi="宋体" w:cs="宋体"/>
                <w:b/>
                <w:szCs w:val="21"/>
              </w:rPr>
            </w:pPr>
            <w:r>
              <w:rPr>
                <w:rFonts w:hint="eastAsia" w:ascii="宋体" w:hAnsi="宋体" w:cs="宋体"/>
                <w:b/>
                <w:szCs w:val="21"/>
              </w:rPr>
              <w:t>1</w:t>
            </w:r>
          </w:p>
        </w:tc>
        <w:tc>
          <w:tcPr>
            <w:tcW w:w="1528" w:type="dxa"/>
            <w:vAlign w:val="center"/>
          </w:tcPr>
          <w:p>
            <w:pPr>
              <w:spacing w:line="360" w:lineRule="auto"/>
              <w:jc w:val="center"/>
              <w:rPr>
                <w:rFonts w:ascii="宋体" w:hAnsi="宋体" w:cs="宋体"/>
                <w:b/>
                <w:szCs w:val="21"/>
              </w:rPr>
            </w:pPr>
            <w:r>
              <w:rPr>
                <w:rFonts w:hint="eastAsia" w:ascii="宋体" w:hAnsi="宋体" w:cs="宋体"/>
                <w:szCs w:val="21"/>
              </w:rPr>
              <w:t>免费保修期满后</w:t>
            </w:r>
          </w:p>
        </w:tc>
        <w:tc>
          <w:tcPr>
            <w:tcW w:w="6361" w:type="dxa"/>
            <w:vAlign w:val="center"/>
          </w:tcPr>
          <w:p>
            <w:pPr>
              <w:spacing w:line="360" w:lineRule="auto"/>
              <w:jc w:val="left"/>
              <w:rPr>
                <w:rFonts w:ascii="宋体" w:hAnsi="宋体" w:cs="宋体"/>
                <w:b/>
                <w:szCs w:val="21"/>
              </w:rPr>
            </w:pPr>
            <w:r>
              <w:rPr>
                <w:rFonts w:hint="eastAsia" w:ascii="宋体" w:hAnsi="宋体" w:cs="宋体"/>
                <w:szCs w:val="21"/>
              </w:rPr>
              <w:t>免费保修期满后，应按其在深圳地区同类产品的最优惠价格提供服务和零件。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616" w:type="dxa"/>
            <w:gridSpan w:val="3"/>
            <w:vAlign w:val="center"/>
          </w:tcPr>
          <w:p>
            <w:pPr>
              <w:spacing w:line="360" w:lineRule="auto"/>
              <w:jc w:val="left"/>
              <w:rPr>
                <w:rFonts w:ascii="宋体" w:hAnsi="宋体" w:cs="宋体"/>
                <w:b/>
                <w:szCs w:val="21"/>
              </w:rPr>
            </w:pPr>
            <w:r>
              <w:rPr>
                <w:rFonts w:hint="eastAsia" w:ascii="宋体" w:hAnsi="宋体" w:cs="宋体"/>
                <w:szCs w:val="21"/>
              </w:rPr>
              <w:t>★</w:t>
            </w:r>
            <w:r>
              <w:rPr>
                <w:rFonts w:hint="eastAsia" w:ascii="宋体" w:hAnsi="宋体" w:cs="宋体"/>
                <w:b/>
                <w:szCs w:val="21"/>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 w:hRule="atLeast"/>
        </w:trPr>
        <w:tc>
          <w:tcPr>
            <w:tcW w:w="727" w:type="dxa"/>
            <w:vMerge w:val="restart"/>
            <w:vAlign w:val="center"/>
          </w:tcPr>
          <w:p>
            <w:pPr>
              <w:spacing w:line="360" w:lineRule="auto"/>
              <w:jc w:val="center"/>
              <w:rPr>
                <w:rFonts w:ascii="宋体" w:hAnsi="宋体" w:cs="宋体"/>
                <w:b/>
                <w:szCs w:val="21"/>
              </w:rPr>
            </w:pPr>
            <w:r>
              <w:rPr>
                <w:rFonts w:hint="eastAsia" w:ascii="宋体" w:hAnsi="宋体" w:cs="宋体"/>
                <w:b/>
                <w:szCs w:val="21"/>
              </w:rPr>
              <w:t>1</w:t>
            </w:r>
          </w:p>
        </w:tc>
        <w:tc>
          <w:tcPr>
            <w:tcW w:w="1528" w:type="dxa"/>
            <w:vMerge w:val="restart"/>
            <w:vAlign w:val="center"/>
          </w:tcPr>
          <w:p>
            <w:pPr>
              <w:spacing w:line="360" w:lineRule="auto"/>
              <w:jc w:val="center"/>
              <w:rPr>
                <w:rFonts w:ascii="宋体" w:hAnsi="宋体" w:cs="宋体"/>
                <w:szCs w:val="21"/>
              </w:rPr>
            </w:pPr>
            <w:r>
              <w:rPr>
                <w:rFonts w:hint="eastAsia" w:ascii="宋体" w:hAnsi="宋体" w:cs="宋体"/>
                <w:szCs w:val="21"/>
              </w:rPr>
              <w:t>关于交货</w:t>
            </w:r>
          </w:p>
        </w:tc>
        <w:tc>
          <w:tcPr>
            <w:tcW w:w="6361" w:type="dxa"/>
            <w:vAlign w:val="center"/>
          </w:tcPr>
          <w:p>
            <w:pPr>
              <w:spacing w:line="360" w:lineRule="auto"/>
              <w:jc w:val="left"/>
              <w:rPr>
                <w:rFonts w:ascii="宋体" w:hAnsi="宋体" w:cs="宋体"/>
                <w:szCs w:val="21"/>
              </w:rPr>
            </w:pPr>
            <w:r>
              <w:rPr>
                <w:rFonts w:hint="eastAsia" w:ascii="宋体" w:hAnsi="宋体" w:cs="宋体"/>
                <w:bCs/>
                <w:szCs w:val="21"/>
              </w:rPr>
              <w:t>1.1</w:t>
            </w:r>
            <w:r>
              <w:rPr>
                <w:rFonts w:hint="eastAsia" w:ascii="宋体" w:hAnsi="宋体" w:cs="宋体"/>
                <w:szCs w:val="21"/>
              </w:rPr>
              <w:t xml:space="preserve">交货期 </w:t>
            </w:r>
            <w:r>
              <w:rPr>
                <w:rFonts w:hint="eastAsia" w:ascii="宋体" w:hAnsi="宋体" w:cs="宋体"/>
                <w:szCs w:val="21"/>
                <w:u w:val="single"/>
              </w:rPr>
              <w:t xml:space="preserve"> </w:t>
            </w:r>
            <w:r>
              <w:rPr>
                <w:rFonts w:hint="eastAsia" w:ascii="宋体" w:hAnsi="宋体" w:cs="宋体"/>
                <w:szCs w:val="21"/>
                <w:u w:val="single"/>
                <w:lang w:val="en-US" w:eastAsia="zh-CN"/>
              </w:rPr>
              <w:t xml:space="preserve"> 20</w:t>
            </w:r>
            <w:r>
              <w:rPr>
                <w:rFonts w:hint="eastAsia" w:ascii="宋体" w:hAnsi="宋体" w:cs="宋体"/>
                <w:szCs w:val="21"/>
                <w:u w:val="single"/>
              </w:rPr>
              <w:t xml:space="preserve"> </w:t>
            </w:r>
            <w:r>
              <w:rPr>
                <w:rFonts w:hint="eastAsia" w:ascii="宋体" w:hAnsi="宋体" w:cs="宋体"/>
                <w:szCs w:val="21"/>
              </w:rPr>
              <w:t>天（日历日）。</w:t>
            </w:r>
          </w:p>
          <w:p>
            <w:pPr>
              <w:spacing w:line="360" w:lineRule="auto"/>
              <w:jc w:val="left"/>
              <w:rPr>
                <w:rFonts w:ascii="宋体" w:hAnsi="宋体" w:cs="宋体"/>
                <w:b/>
                <w:szCs w:val="21"/>
              </w:rPr>
            </w:pPr>
            <w:r>
              <w:rPr>
                <w:rFonts w:hint="eastAsia" w:ascii="宋体" w:hAnsi="宋体" w:cs="宋体"/>
                <w:b/>
                <w:szCs w:val="21"/>
              </w:rPr>
              <w:t>交货期说明：自开工之日起。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27" w:type="dxa"/>
            <w:vMerge w:val="continue"/>
            <w:vAlign w:val="center"/>
          </w:tcPr>
          <w:p>
            <w:pPr>
              <w:spacing w:line="360" w:lineRule="auto"/>
              <w:jc w:val="center"/>
              <w:rPr>
                <w:rFonts w:ascii="宋体" w:hAnsi="宋体" w:cs="宋体"/>
                <w:b/>
                <w:szCs w:val="21"/>
              </w:rPr>
            </w:pPr>
          </w:p>
        </w:tc>
        <w:tc>
          <w:tcPr>
            <w:tcW w:w="1528" w:type="dxa"/>
            <w:vMerge w:val="continue"/>
            <w:vAlign w:val="center"/>
          </w:tcPr>
          <w:p>
            <w:pPr>
              <w:spacing w:line="360" w:lineRule="auto"/>
              <w:jc w:val="center"/>
              <w:rPr>
                <w:rFonts w:ascii="宋体" w:hAnsi="宋体" w:cs="宋体"/>
                <w:szCs w:val="21"/>
              </w:rPr>
            </w:pPr>
          </w:p>
        </w:tc>
        <w:tc>
          <w:tcPr>
            <w:tcW w:w="6361" w:type="dxa"/>
            <w:vAlign w:val="center"/>
          </w:tcPr>
          <w:p>
            <w:pPr>
              <w:spacing w:line="360" w:lineRule="auto"/>
              <w:jc w:val="left"/>
              <w:rPr>
                <w:rFonts w:ascii="宋体" w:hAnsi="宋体" w:cs="宋体"/>
                <w:bCs/>
                <w:szCs w:val="21"/>
              </w:rPr>
            </w:pPr>
            <w:r>
              <w:rPr>
                <w:rFonts w:hint="eastAsia" w:ascii="宋体" w:hAnsi="宋体" w:cs="宋体"/>
                <w:bCs/>
                <w:szCs w:val="21"/>
              </w:rPr>
              <w:t>1.2投标人必须承担设备运输、安装调试、验收检测和提供设备操作说明书、图纸等其他类似的义务。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 w:hRule="atLeast"/>
        </w:trPr>
        <w:tc>
          <w:tcPr>
            <w:tcW w:w="727" w:type="dxa"/>
            <w:vMerge w:val="restart"/>
            <w:vAlign w:val="center"/>
          </w:tcPr>
          <w:p>
            <w:pPr>
              <w:spacing w:line="360" w:lineRule="auto"/>
              <w:jc w:val="center"/>
              <w:rPr>
                <w:rFonts w:ascii="宋体" w:hAnsi="宋体" w:cs="宋体"/>
                <w:b/>
                <w:szCs w:val="21"/>
              </w:rPr>
            </w:pPr>
            <w:r>
              <w:rPr>
                <w:rFonts w:hint="eastAsia" w:ascii="宋体" w:hAnsi="宋体" w:cs="宋体"/>
                <w:b/>
                <w:szCs w:val="21"/>
              </w:rPr>
              <w:t>2</w:t>
            </w:r>
          </w:p>
        </w:tc>
        <w:tc>
          <w:tcPr>
            <w:tcW w:w="1528" w:type="dxa"/>
            <w:vMerge w:val="restart"/>
            <w:vAlign w:val="center"/>
          </w:tcPr>
          <w:p>
            <w:pPr>
              <w:spacing w:line="360" w:lineRule="auto"/>
              <w:jc w:val="center"/>
              <w:rPr>
                <w:rFonts w:ascii="宋体" w:hAnsi="宋体" w:cs="宋体"/>
                <w:szCs w:val="21"/>
              </w:rPr>
            </w:pPr>
            <w:r>
              <w:rPr>
                <w:rFonts w:hint="eastAsia" w:ascii="宋体" w:hAnsi="宋体" w:cs="宋体"/>
                <w:szCs w:val="21"/>
              </w:rPr>
              <w:t>关于验收</w:t>
            </w:r>
          </w:p>
        </w:tc>
        <w:tc>
          <w:tcPr>
            <w:tcW w:w="6361" w:type="dxa"/>
            <w:vAlign w:val="center"/>
          </w:tcPr>
          <w:p>
            <w:pPr>
              <w:spacing w:line="360" w:lineRule="auto"/>
              <w:jc w:val="left"/>
              <w:rPr>
                <w:rFonts w:ascii="宋体" w:hAnsi="宋体" w:cs="宋体"/>
                <w:bCs/>
                <w:szCs w:val="21"/>
              </w:rPr>
            </w:pPr>
            <w:r>
              <w:rPr>
                <w:rFonts w:hint="eastAsia" w:ascii="宋体" w:hAnsi="宋体" w:cs="宋体"/>
                <w:bCs/>
                <w:szCs w:val="21"/>
              </w:rPr>
              <w:t>2.1投标人货物经过双方检验认可后，签署验收报告，产品保修期自验收合格之日起算，由投标人提供产品保修文件。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27" w:type="dxa"/>
            <w:vMerge w:val="continue"/>
            <w:vAlign w:val="center"/>
          </w:tcPr>
          <w:p>
            <w:pPr>
              <w:spacing w:line="360" w:lineRule="auto"/>
              <w:jc w:val="center"/>
              <w:rPr>
                <w:rFonts w:ascii="宋体" w:hAnsi="宋体" w:cs="宋体"/>
                <w:b/>
                <w:szCs w:val="21"/>
              </w:rPr>
            </w:pPr>
          </w:p>
        </w:tc>
        <w:tc>
          <w:tcPr>
            <w:tcW w:w="1528" w:type="dxa"/>
            <w:vMerge w:val="continue"/>
            <w:vAlign w:val="center"/>
          </w:tcPr>
          <w:p>
            <w:pPr>
              <w:spacing w:line="360" w:lineRule="auto"/>
              <w:jc w:val="center"/>
              <w:rPr>
                <w:rFonts w:ascii="宋体" w:hAnsi="宋体" w:cs="宋体"/>
                <w:b/>
                <w:szCs w:val="21"/>
              </w:rPr>
            </w:pPr>
          </w:p>
        </w:tc>
        <w:tc>
          <w:tcPr>
            <w:tcW w:w="6361" w:type="dxa"/>
            <w:vAlign w:val="center"/>
          </w:tcPr>
          <w:p>
            <w:pPr>
              <w:spacing w:line="360" w:lineRule="auto"/>
              <w:jc w:val="left"/>
              <w:rPr>
                <w:rFonts w:ascii="宋体" w:hAnsi="宋体" w:cs="宋体"/>
                <w:bCs/>
                <w:szCs w:val="21"/>
              </w:rPr>
            </w:pPr>
            <w:r>
              <w:rPr>
                <w:rFonts w:hint="eastAsia" w:ascii="宋体" w:hAnsi="宋体" w:cs="宋体"/>
                <w:bCs/>
                <w:szCs w:val="21"/>
              </w:rPr>
              <w:t>2.2当满足以下条件时，采购人才向中标人签发货物验收报告：</w:t>
            </w:r>
          </w:p>
          <w:p>
            <w:pPr>
              <w:tabs>
                <w:tab w:val="left" w:pos="1260"/>
              </w:tabs>
              <w:spacing w:line="360" w:lineRule="auto"/>
              <w:jc w:val="left"/>
              <w:rPr>
                <w:rFonts w:ascii="宋体" w:hAnsi="宋体" w:cs="宋体"/>
                <w:bCs/>
                <w:szCs w:val="21"/>
              </w:rPr>
            </w:pPr>
            <w:r>
              <w:rPr>
                <w:rFonts w:hint="eastAsia" w:ascii="宋体" w:hAnsi="宋体" w:cs="宋体"/>
                <w:bCs/>
                <w:szCs w:val="21"/>
              </w:rPr>
              <w:t>a、中标人已按照合同规定提供了全部产品及完整的技术资料。</w:t>
            </w:r>
          </w:p>
          <w:p>
            <w:pPr>
              <w:tabs>
                <w:tab w:val="left" w:pos="1260"/>
              </w:tabs>
              <w:spacing w:line="360" w:lineRule="auto"/>
              <w:jc w:val="left"/>
              <w:rPr>
                <w:rFonts w:ascii="宋体" w:hAnsi="宋体" w:cs="宋体"/>
                <w:bCs/>
                <w:szCs w:val="21"/>
              </w:rPr>
            </w:pPr>
            <w:r>
              <w:rPr>
                <w:rFonts w:hint="eastAsia" w:ascii="宋体" w:hAnsi="宋体" w:cs="宋体"/>
                <w:bCs/>
                <w:szCs w:val="21"/>
              </w:rPr>
              <w:t>b、货物符合招标文件技术规格书的要求，性能满足要求。</w:t>
            </w:r>
          </w:p>
          <w:p>
            <w:pPr>
              <w:tabs>
                <w:tab w:val="left" w:pos="1260"/>
              </w:tabs>
              <w:spacing w:line="360" w:lineRule="auto"/>
              <w:jc w:val="left"/>
              <w:rPr>
                <w:rFonts w:ascii="宋体" w:hAnsi="宋体" w:cs="宋体"/>
                <w:bCs/>
                <w:szCs w:val="21"/>
              </w:rPr>
            </w:pPr>
            <w:r>
              <w:rPr>
                <w:rFonts w:hint="eastAsia" w:ascii="宋体" w:hAnsi="宋体" w:cs="宋体"/>
                <w:bCs/>
                <w:szCs w:val="21"/>
              </w:rPr>
              <w:t>c、货物具备产品合格证。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27" w:type="dxa"/>
            <w:vMerge w:val="restart"/>
            <w:vAlign w:val="center"/>
          </w:tcPr>
          <w:p>
            <w:pPr>
              <w:spacing w:line="360" w:lineRule="auto"/>
              <w:jc w:val="center"/>
              <w:rPr>
                <w:rFonts w:ascii="宋体" w:hAnsi="宋体" w:cs="宋体"/>
                <w:bCs/>
                <w:szCs w:val="21"/>
              </w:rPr>
            </w:pPr>
            <w:r>
              <w:rPr>
                <w:rFonts w:hint="eastAsia" w:ascii="宋体" w:hAnsi="宋体" w:cs="宋体"/>
                <w:bCs/>
                <w:szCs w:val="21"/>
              </w:rPr>
              <w:t>3</w:t>
            </w:r>
          </w:p>
        </w:tc>
        <w:tc>
          <w:tcPr>
            <w:tcW w:w="1528" w:type="dxa"/>
            <w:vMerge w:val="restart"/>
            <w:vAlign w:val="center"/>
          </w:tcPr>
          <w:p>
            <w:pPr>
              <w:spacing w:line="360" w:lineRule="auto"/>
              <w:jc w:val="center"/>
              <w:rPr>
                <w:rFonts w:ascii="宋体" w:hAnsi="宋体" w:cs="宋体"/>
                <w:bCs/>
                <w:szCs w:val="21"/>
              </w:rPr>
            </w:pPr>
            <w:r>
              <w:rPr>
                <w:rFonts w:hint="eastAsia" w:ascii="宋体" w:hAnsi="宋体" w:cs="宋体"/>
                <w:bCs/>
                <w:szCs w:val="21"/>
              </w:rPr>
              <w:t>违约责任</w:t>
            </w:r>
          </w:p>
        </w:tc>
        <w:tc>
          <w:tcPr>
            <w:tcW w:w="6361" w:type="dxa"/>
            <w:vAlign w:val="center"/>
          </w:tcPr>
          <w:p>
            <w:pPr>
              <w:spacing w:line="360" w:lineRule="auto"/>
              <w:jc w:val="left"/>
              <w:rPr>
                <w:rFonts w:ascii="宋体" w:hAnsi="宋体" w:cs="宋体"/>
                <w:bCs/>
                <w:szCs w:val="21"/>
              </w:rPr>
            </w:pPr>
            <w:r>
              <w:rPr>
                <w:rFonts w:hint="eastAsia" w:ascii="宋体" w:hAnsi="宋体" w:cs="宋体"/>
                <w:szCs w:val="21"/>
              </w:rPr>
              <w:t>3.1如中标人未按照投标文件中承诺的时间交货或提供服务，中标人应承担延期交货和延期服务的违约责任，并赔偿采购人因此造成的实际经济损失。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27" w:type="dxa"/>
            <w:vMerge w:val="continue"/>
            <w:vAlign w:val="center"/>
          </w:tcPr>
          <w:p>
            <w:pPr>
              <w:spacing w:line="360" w:lineRule="auto"/>
              <w:jc w:val="center"/>
              <w:rPr>
                <w:rFonts w:ascii="宋体" w:hAnsi="宋体" w:cs="宋体"/>
                <w:bCs/>
                <w:szCs w:val="21"/>
              </w:rPr>
            </w:pPr>
          </w:p>
        </w:tc>
        <w:tc>
          <w:tcPr>
            <w:tcW w:w="1528" w:type="dxa"/>
            <w:vMerge w:val="continue"/>
            <w:vAlign w:val="center"/>
          </w:tcPr>
          <w:p>
            <w:pPr>
              <w:spacing w:line="360" w:lineRule="auto"/>
              <w:jc w:val="center"/>
              <w:rPr>
                <w:rFonts w:ascii="宋体" w:hAnsi="宋体" w:cs="宋体"/>
                <w:bCs/>
                <w:szCs w:val="21"/>
              </w:rPr>
            </w:pPr>
          </w:p>
        </w:tc>
        <w:tc>
          <w:tcPr>
            <w:tcW w:w="6361" w:type="dxa"/>
            <w:vAlign w:val="center"/>
          </w:tcPr>
          <w:p>
            <w:pPr>
              <w:spacing w:line="360" w:lineRule="auto"/>
              <w:jc w:val="left"/>
              <w:rPr>
                <w:rFonts w:ascii="宋体" w:hAnsi="宋体" w:cs="宋体"/>
                <w:bCs/>
                <w:szCs w:val="21"/>
              </w:rPr>
            </w:pPr>
            <w:r>
              <w:rPr>
                <w:rFonts w:hint="eastAsia" w:ascii="宋体" w:hAnsi="宋体" w:cs="宋体"/>
                <w:bCs/>
                <w:szCs w:val="21"/>
              </w:rPr>
              <w:t>3.2中标人所交设备的品种、型号、规格、质量、功能、技术参数等方面不能实质性满足招标文件要求的，采购人有权拒绝收货，中标人向采购人偿付项目采购金额【15】%的违约金；造成严重后果的，根据《深圳经济特区政府采购条例》第五十七条第（二）款规定，由主管部门对中标人进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27" w:type="dxa"/>
            <w:vMerge w:val="continue"/>
            <w:vAlign w:val="center"/>
          </w:tcPr>
          <w:p>
            <w:pPr>
              <w:spacing w:line="360" w:lineRule="auto"/>
              <w:jc w:val="center"/>
              <w:rPr>
                <w:rFonts w:ascii="宋体" w:hAnsi="宋体" w:cs="宋体"/>
                <w:bCs/>
                <w:szCs w:val="21"/>
              </w:rPr>
            </w:pPr>
          </w:p>
        </w:tc>
        <w:tc>
          <w:tcPr>
            <w:tcW w:w="1528" w:type="dxa"/>
            <w:vMerge w:val="continue"/>
            <w:vAlign w:val="center"/>
          </w:tcPr>
          <w:p>
            <w:pPr>
              <w:spacing w:line="360" w:lineRule="auto"/>
              <w:jc w:val="center"/>
              <w:rPr>
                <w:rFonts w:ascii="宋体" w:hAnsi="宋体" w:cs="宋体"/>
                <w:bCs/>
                <w:szCs w:val="21"/>
              </w:rPr>
            </w:pPr>
          </w:p>
        </w:tc>
        <w:tc>
          <w:tcPr>
            <w:tcW w:w="6361" w:type="dxa"/>
            <w:vAlign w:val="center"/>
          </w:tcPr>
          <w:p>
            <w:pPr>
              <w:spacing w:line="360" w:lineRule="auto"/>
              <w:jc w:val="left"/>
              <w:rPr>
                <w:rFonts w:ascii="宋体" w:hAnsi="宋体" w:cs="宋体"/>
                <w:bCs/>
                <w:szCs w:val="21"/>
              </w:rPr>
            </w:pPr>
            <w:r>
              <w:rPr>
                <w:rFonts w:hint="eastAsia" w:ascii="宋体" w:hAnsi="宋体" w:cs="宋体"/>
                <w:bCs/>
                <w:szCs w:val="21"/>
              </w:rPr>
              <w:t>3.3中标人不能交付设备的，中标人向采购人偿付项目采购金额【15】%的违约金并按主管部门相关规定处理。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27" w:type="dxa"/>
            <w:vMerge w:val="continue"/>
            <w:vAlign w:val="center"/>
          </w:tcPr>
          <w:p>
            <w:pPr>
              <w:spacing w:line="360" w:lineRule="auto"/>
              <w:jc w:val="center"/>
              <w:rPr>
                <w:rFonts w:ascii="宋体" w:hAnsi="宋体" w:cs="宋体"/>
                <w:bCs/>
                <w:szCs w:val="21"/>
              </w:rPr>
            </w:pPr>
          </w:p>
        </w:tc>
        <w:tc>
          <w:tcPr>
            <w:tcW w:w="1528" w:type="dxa"/>
            <w:vMerge w:val="continue"/>
            <w:vAlign w:val="center"/>
          </w:tcPr>
          <w:p>
            <w:pPr>
              <w:spacing w:line="360" w:lineRule="auto"/>
              <w:jc w:val="center"/>
              <w:rPr>
                <w:rFonts w:ascii="宋体" w:hAnsi="宋体" w:cs="宋体"/>
                <w:bCs/>
                <w:szCs w:val="21"/>
              </w:rPr>
            </w:pPr>
          </w:p>
        </w:tc>
        <w:tc>
          <w:tcPr>
            <w:tcW w:w="6361" w:type="dxa"/>
            <w:vAlign w:val="center"/>
          </w:tcPr>
          <w:p>
            <w:pPr>
              <w:spacing w:line="360" w:lineRule="auto"/>
              <w:jc w:val="left"/>
              <w:rPr>
                <w:rFonts w:ascii="宋体" w:hAnsi="宋体" w:cs="宋体"/>
                <w:b/>
                <w:szCs w:val="21"/>
              </w:rPr>
            </w:pPr>
            <w:r>
              <w:rPr>
                <w:rFonts w:hint="eastAsia" w:ascii="宋体" w:hAnsi="宋体" w:cs="宋体"/>
                <w:bCs/>
                <w:szCs w:val="21"/>
              </w:rPr>
              <w:t>3.4在中标人承诺的或国家规定的质量保证期内（取两者中最长的期限），如经中标人两次维修或更换，货物仍不能达到招标文件要求及投标文件承诺的质量标准，采购人有权退货，中标人应退回全部货款并赔偿采购人因此遭受的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27" w:type="dxa"/>
            <w:vMerge w:val="continue"/>
            <w:vAlign w:val="center"/>
          </w:tcPr>
          <w:p>
            <w:pPr>
              <w:spacing w:line="360" w:lineRule="auto"/>
              <w:jc w:val="center"/>
              <w:rPr>
                <w:rFonts w:ascii="宋体" w:hAnsi="宋体" w:cs="宋体"/>
                <w:bCs/>
                <w:szCs w:val="21"/>
              </w:rPr>
            </w:pPr>
          </w:p>
        </w:tc>
        <w:tc>
          <w:tcPr>
            <w:tcW w:w="1528" w:type="dxa"/>
            <w:vMerge w:val="continue"/>
            <w:vAlign w:val="center"/>
          </w:tcPr>
          <w:p>
            <w:pPr>
              <w:spacing w:line="360" w:lineRule="auto"/>
              <w:jc w:val="center"/>
              <w:rPr>
                <w:rFonts w:ascii="宋体" w:hAnsi="宋体" w:cs="宋体"/>
                <w:bCs/>
                <w:szCs w:val="21"/>
              </w:rPr>
            </w:pPr>
          </w:p>
        </w:tc>
        <w:tc>
          <w:tcPr>
            <w:tcW w:w="6361" w:type="dxa"/>
            <w:vAlign w:val="center"/>
          </w:tcPr>
          <w:p>
            <w:pPr>
              <w:spacing w:line="360" w:lineRule="auto"/>
              <w:jc w:val="left"/>
              <w:rPr>
                <w:rFonts w:ascii="宋体" w:hAnsi="宋体" w:cs="宋体"/>
                <w:bCs/>
                <w:szCs w:val="21"/>
              </w:rPr>
            </w:pPr>
            <w:r>
              <w:rPr>
                <w:rFonts w:hint="eastAsia" w:ascii="宋体" w:hAnsi="宋体" w:cs="宋体"/>
                <w:bCs/>
                <w:szCs w:val="21"/>
              </w:rPr>
              <w:t>3.5中标人在承担上述一项或多项违约责任后，仍应继续履行合同规定的义务（采购人</w:t>
            </w:r>
            <w:r>
              <w:rPr>
                <w:rFonts w:hint="eastAsia" w:ascii="宋体" w:hAnsi="宋体" w:cs="宋体"/>
                <w:bCs/>
                <w:szCs w:val="21"/>
                <w:lang w:val="en-US" w:eastAsia="zh-CN"/>
              </w:rPr>
              <w:t>依法</w:t>
            </w:r>
            <w:r>
              <w:rPr>
                <w:rFonts w:hint="eastAsia" w:ascii="宋体" w:hAnsi="宋体" w:cs="宋体"/>
                <w:bCs/>
                <w:szCs w:val="21"/>
              </w:rPr>
              <w:t>解除合同的除外）。采购人未能及时追究中标人的任何一项违约责任并不表明采购人放弃追究中标人该项或其他违约责任。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727" w:type="dxa"/>
            <w:vMerge w:val="continue"/>
            <w:vAlign w:val="center"/>
          </w:tcPr>
          <w:p>
            <w:pPr>
              <w:spacing w:line="360" w:lineRule="auto"/>
              <w:jc w:val="center"/>
              <w:rPr>
                <w:rFonts w:ascii="宋体" w:hAnsi="宋体" w:cs="宋体"/>
                <w:bCs/>
                <w:szCs w:val="21"/>
              </w:rPr>
            </w:pPr>
          </w:p>
        </w:tc>
        <w:tc>
          <w:tcPr>
            <w:tcW w:w="1528" w:type="dxa"/>
            <w:vMerge w:val="continue"/>
            <w:vAlign w:val="center"/>
          </w:tcPr>
          <w:p>
            <w:pPr>
              <w:spacing w:line="360" w:lineRule="auto"/>
              <w:jc w:val="center"/>
              <w:rPr>
                <w:rFonts w:ascii="宋体" w:hAnsi="宋体" w:cs="宋体"/>
                <w:bCs/>
                <w:szCs w:val="21"/>
              </w:rPr>
            </w:pPr>
          </w:p>
        </w:tc>
        <w:tc>
          <w:tcPr>
            <w:tcW w:w="6361" w:type="dxa"/>
            <w:vAlign w:val="center"/>
          </w:tcPr>
          <w:p>
            <w:pPr>
              <w:spacing w:line="360" w:lineRule="auto"/>
              <w:jc w:val="left"/>
              <w:rPr>
                <w:rFonts w:ascii="宋体" w:hAnsi="宋体" w:cs="宋体"/>
                <w:bCs/>
                <w:szCs w:val="21"/>
              </w:rPr>
            </w:pPr>
            <w:r>
              <w:rPr>
                <w:rFonts w:hint="eastAsia" w:ascii="宋体" w:hAnsi="宋体" w:cs="宋体"/>
                <w:kern w:val="0"/>
                <w:szCs w:val="21"/>
              </w:rPr>
              <w:t>3.6由于中标人管理不当，设备、材料不到位，工程质量不合格，造成返工或延误工期的，责任由中标方承担，项目验收合格之日每拖延一个自然日，对中标方处合同总价款（中标价）万分之一的罚金，从甲方应付款项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 w:hRule="atLeast"/>
        </w:trPr>
        <w:tc>
          <w:tcPr>
            <w:tcW w:w="727" w:type="dxa"/>
            <w:vAlign w:val="center"/>
          </w:tcPr>
          <w:p>
            <w:pPr>
              <w:spacing w:line="360" w:lineRule="auto"/>
              <w:jc w:val="center"/>
              <w:rPr>
                <w:rFonts w:ascii="宋体" w:hAnsi="宋体" w:cs="宋体"/>
                <w:bCs/>
                <w:szCs w:val="21"/>
              </w:rPr>
            </w:pPr>
            <w:r>
              <w:rPr>
                <w:rFonts w:hint="eastAsia" w:ascii="宋体" w:hAnsi="宋体" w:cs="宋体"/>
                <w:bCs/>
                <w:szCs w:val="21"/>
              </w:rPr>
              <w:t>4</w:t>
            </w:r>
          </w:p>
        </w:tc>
        <w:tc>
          <w:tcPr>
            <w:tcW w:w="1528" w:type="dxa"/>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付款方式</w:t>
            </w:r>
          </w:p>
        </w:tc>
        <w:tc>
          <w:tcPr>
            <w:tcW w:w="6361" w:type="dxa"/>
            <w:vAlign w:val="center"/>
          </w:tcPr>
          <w:p>
            <w:pPr>
              <w:widowControl/>
              <w:spacing w:line="240" w:lineRule="auto"/>
              <w:jc w:val="left"/>
              <w:textAlignment w:val="auto"/>
              <w:rPr>
                <w:rFonts w:hint="eastAsia" w:ascii="宋体" w:hAnsi="宋体" w:eastAsia="宋体" w:cs="宋体"/>
                <w:kern w:val="0"/>
                <w:szCs w:val="21"/>
                <w:highlight w:val="none"/>
                <w:lang w:eastAsia="zh-CN"/>
              </w:rPr>
            </w:pPr>
            <w:r>
              <w:rPr>
                <w:rFonts w:hint="eastAsia" w:ascii="宋体" w:hAnsi="宋体" w:cs="宋体"/>
                <w:b/>
                <w:bCs w:val="0"/>
                <w:color w:val="FF0000"/>
                <w:highlight w:val="none"/>
              </w:rPr>
              <w:t>付款期限和方式：合同签订后 10 个工作日内，采购人向中标供应商支付合同总价【50】%的款项，全部货物送到采购人指定地点、完成安装并验收合格后 10 个工作日内，采购人向中标供应商支付合同总价【50】%的款项。</w:t>
            </w:r>
          </w:p>
        </w:tc>
      </w:tr>
    </w:tbl>
    <w:p>
      <w:pPr>
        <w:keepNext/>
        <w:keepLines/>
        <w:tabs>
          <w:tab w:val="left" w:pos="1680"/>
        </w:tabs>
        <w:spacing w:before="260" w:after="78" w:afterLines="25"/>
        <w:jc w:val="center"/>
        <w:outlineLvl w:val="2"/>
        <w:rPr>
          <w:rFonts w:ascii="Arial" w:hAnsi="Arial" w:eastAsia="宋体" w:cs="Times New Roman"/>
          <w:b/>
          <w:bCs/>
          <w:sz w:val="32"/>
          <w:szCs w:val="32"/>
        </w:rPr>
      </w:pPr>
      <w:r>
        <w:rPr>
          <w:rFonts w:hint="eastAsia" w:ascii="Arial" w:hAnsi="Arial" w:eastAsia="宋体" w:cs="Times New Roman"/>
          <w:b/>
          <w:bCs/>
          <w:sz w:val="32"/>
          <w:szCs w:val="32"/>
        </w:rPr>
        <w:t>五、技术要求部分</w:t>
      </w:r>
    </w:p>
    <w:tbl>
      <w:tblPr>
        <w:tblStyle w:val="18"/>
        <w:tblW w:w="8259" w:type="dxa"/>
        <w:tblInd w:w="91" w:type="dxa"/>
        <w:tblLayout w:type="fixed"/>
        <w:tblCellMar>
          <w:top w:w="0" w:type="dxa"/>
          <w:left w:w="108" w:type="dxa"/>
          <w:bottom w:w="0" w:type="dxa"/>
          <w:right w:w="108" w:type="dxa"/>
        </w:tblCellMar>
      </w:tblPr>
      <w:tblGrid>
        <w:gridCol w:w="766"/>
        <w:gridCol w:w="2247"/>
        <w:gridCol w:w="5246"/>
      </w:tblGrid>
      <w:tr>
        <w:tblPrEx>
          <w:tblCellMar>
            <w:top w:w="0" w:type="dxa"/>
            <w:left w:w="108" w:type="dxa"/>
            <w:bottom w:w="0" w:type="dxa"/>
            <w:right w:w="108" w:type="dxa"/>
          </w:tblCellMar>
        </w:tblPrEx>
        <w:trPr>
          <w:trHeight w:val="270" w:hRule="atLeast"/>
        </w:trPr>
        <w:tc>
          <w:tcPr>
            <w:tcW w:w="76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cstheme="minorEastAsia"/>
                <w:b/>
                <w:bCs/>
                <w:szCs w:val="21"/>
              </w:rPr>
            </w:pPr>
            <w:r>
              <w:rPr>
                <w:rFonts w:hint="eastAsia" w:asciiTheme="minorEastAsia" w:hAnsiTheme="minorEastAsia" w:cstheme="minorEastAsia"/>
                <w:szCs w:val="21"/>
              </w:rPr>
              <w:t>序号</w:t>
            </w:r>
          </w:p>
        </w:tc>
        <w:tc>
          <w:tcPr>
            <w:tcW w:w="22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cstheme="minorEastAsia"/>
                <w:b/>
                <w:bCs/>
                <w:szCs w:val="21"/>
              </w:rPr>
            </w:pPr>
            <w:r>
              <w:rPr>
                <w:rFonts w:hint="eastAsia" w:asciiTheme="minorEastAsia" w:hAnsiTheme="minorEastAsia" w:cstheme="minorEastAsia"/>
                <w:szCs w:val="21"/>
              </w:rPr>
              <w:t>货物名称</w:t>
            </w:r>
          </w:p>
        </w:tc>
        <w:tc>
          <w:tcPr>
            <w:tcW w:w="524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Theme="minorEastAsia" w:hAnsiTheme="minorEastAsia" w:cstheme="minorEastAsia"/>
                <w:b/>
                <w:bCs/>
                <w:szCs w:val="21"/>
              </w:rPr>
            </w:pPr>
            <w:r>
              <w:rPr>
                <w:rFonts w:hint="eastAsia" w:asciiTheme="minorEastAsia" w:hAnsiTheme="minorEastAsia" w:cstheme="minorEastAsia"/>
                <w:szCs w:val="21"/>
              </w:rPr>
              <w:t>招标技术要求</w:t>
            </w:r>
          </w:p>
        </w:tc>
      </w:tr>
      <w:tr>
        <w:tblPrEx>
          <w:tblCellMar>
            <w:top w:w="0" w:type="dxa"/>
            <w:left w:w="108" w:type="dxa"/>
            <w:bottom w:w="0" w:type="dxa"/>
            <w:right w:w="108" w:type="dxa"/>
          </w:tblCellMar>
        </w:tblPrEx>
        <w:trPr>
          <w:trHeight w:val="0" w:hRule="atLeast"/>
        </w:trPr>
        <w:tc>
          <w:tcPr>
            <w:tcW w:w="8259"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uto"/>
              <w:jc w:val="left"/>
              <w:rPr>
                <w:rFonts w:hint="eastAsia" w:asciiTheme="minorEastAsia" w:hAnsiTheme="minorEastAsia" w:cstheme="minorEastAsia"/>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一、</w:t>
            </w:r>
            <w:r>
              <w:rPr>
                <w:rFonts w:hint="eastAsia" w:asciiTheme="minorEastAsia" w:hAnsiTheme="minorEastAsia" w:cstheme="minorEastAsia"/>
                <w:b/>
                <w:bCs/>
                <w:i w:val="0"/>
                <w:iCs w:val="0"/>
                <w:color w:val="000000"/>
                <w:kern w:val="0"/>
                <w:sz w:val="21"/>
                <w:szCs w:val="21"/>
                <w:u w:val="none"/>
                <w:lang w:val="en-US" w:eastAsia="zh-CN" w:bidi="ar"/>
              </w:rPr>
              <w:t>AI分析监控系统</w:t>
            </w:r>
          </w:p>
        </w:tc>
      </w:tr>
      <w:tr>
        <w:tblPrEx>
          <w:tblCellMar>
            <w:top w:w="0" w:type="dxa"/>
            <w:left w:w="108" w:type="dxa"/>
            <w:bottom w:w="0" w:type="dxa"/>
            <w:right w:w="108" w:type="dxa"/>
          </w:tblCellMar>
        </w:tblPrEx>
        <w:trPr>
          <w:trHeight w:val="324" w:hRule="atLeast"/>
        </w:trPr>
        <w:tc>
          <w:tcPr>
            <w:tcW w:w="766" w:type="dxa"/>
            <w:vMerge w:val="restart"/>
            <w:tcBorders>
              <w:top w:val="single" w:color="000000" w:sz="4" w:space="0"/>
              <w:left w:val="single" w:color="000000" w:sz="4" w:space="0"/>
              <w:right w:val="single" w:color="000000"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w:t>
            </w:r>
          </w:p>
        </w:tc>
        <w:tc>
          <w:tcPr>
            <w:tcW w:w="2247"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AI监控分析工作站</w:t>
            </w: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.采用</w:t>
            </w:r>
            <w:r>
              <w:rPr>
                <w:rFonts w:hint="eastAsia" w:asciiTheme="minorEastAsia" w:hAnsiTheme="minorEastAsia" w:cstheme="minorEastAsia"/>
                <w:szCs w:val="21"/>
              </w:rPr>
              <w:t>2U机架式服务器机箱</w:t>
            </w:r>
          </w:p>
        </w:tc>
      </w:tr>
      <w:tr>
        <w:tblPrEx>
          <w:tblCellMar>
            <w:top w:w="0" w:type="dxa"/>
            <w:left w:w="108" w:type="dxa"/>
            <w:bottom w:w="0" w:type="dxa"/>
            <w:right w:w="108" w:type="dxa"/>
          </w:tblCellMar>
        </w:tblPrEx>
        <w:trPr>
          <w:trHeight w:val="48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2</w:t>
            </w:r>
            <w:r>
              <w:rPr>
                <w:rFonts w:hint="eastAsia" w:asciiTheme="minorEastAsia" w:hAnsiTheme="minorEastAsia" w:cstheme="minorEastAsia"/>
                <w:szCs w:val="21"/>
                <w:lang w:val="en-US" w:eastAsia="zh-CN"/>
              </w:rPr>
              <w:t>.配备不低于</w:t>
            </w:r>
            <w:r>
              <w:rPr>
                <w:rFonts w:hint="eastAsia" w:asciiTheme="minorEastAsia" w:hAnsiTheme="minorEastAsia" w:cstheme="minorEastAsia"/>
                <w:szCs w:val="21"/>
              </w:rPr>
              <w:t>1颗国产化ARM架构kunpeng920 CPU，</w:t>
            </w:r>
            <w:r>
              <w:rPr>
                <w:rFonts w:hint="eastAsia" w:asciiTheme="minorEastAsia" w:hAnsiTheme="minorEastAsia" w:cstheme="minorEastAsia"/>
                <w:szCs w:val="21"/>
                <w:lang w:val="en-US" w:eastAsia="zh-CN"/>
              </w:rPr>
              <w:t>不低于</w:t>
            </w:r>
            <w:r>
              <w:rPr>
                <w:rFonts w:hint="eastAsia" w:asciiTheme="minorEastAsia" w:hAnsiTheme="minorEastAsia" w:cstheme="minorEastAsia"/>
                <w:szCs w:val="21"/>
              </w:rPr>
              <w:t>24核 主频2.5GHz</w:t>
            </w:r>
          </w:p>
        </w:tc>
      </w:tr>
      <w:tr>
        <w:tblPrEx>
          <w:tblCellMar>
            <w:top w:w="0" w:type="dxa"/>
            <w:left w:w="108" w:type="dxa"/>
            <w:bottom w:w="0" w:type="dxa"/>
            <w:right w:w="108" w:type="dxa"/>
          </w:tblCellMar>
        </w:tblPrEx>
        <w:trPr>
          <w:trHeight w:val="48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配置</w:t>
            </w:r>
            <w:r>
              <w:rPr>
                <w:rFonts w:hint="eastAsia" w:asciiTheme="minorEastAsia" w:hAnsiTheme="minorEastAsia" w:cstheme="minorEastAsia"/>
                <w:szCs w:val="21"/>
                <w:lang w:val="en-US" w:eastAsia="zh-CN"/>
              </w:rPr>
              <w:t>不低于</w:t>
            </w:r>
            <w:r>
              <w:rPr>
                <w:rFonts w:hint="eastAsia" w:asciiTheme="minorEastAsia" w:hAnsiTheme="minorEastAsia" w:cstheme="minorEastAsia"/>
                <w:szCs w:val="21"/>
              </w:rPr>
              <w:t>64G内存（2根32G DDR4 ECC内存条），</w:t>
            </w:r>
            <w:r>
              <w:rPr>
                <w:rFonts w:hint="eastAsia" w:asciiTheme="minorEastAsia" w:hAnsiTheme="minorEastAsia" w:cstheme="minorEastAsia"/>
                <w:szCs w:val="21"/>
                <w:lang w:val="en-US" w:eastAsia="zh-CN"/>
              </w:rPr>
              <w:t>不少于</w:t>
            </w:r>
            <w:r>
              <w:rPr>
                <w:rFonts w:hint="eastAsia" w:asciiTheme="minorEastAsia" w:hAnsiTheme="minorEastAsia" w:cstheme="minorEastAsia"/>
                <w:szCs w:val="21"/>
              </w:rPr>
              <w:t>4个DDR4 DIMM插槽</w:t>
            </w:r>
          </w:p>
        </w:tc>
      </w:tr>
      <w:tr>
        <w:tblPrEx>
          <w:tblCellMar>
            <w:top w:w="0" w:type="dxa"/>
            <w:left w:w="108" w:type="dxa"/>
            <w:bottom w:w="0" w:type="dxa"/>
            <w:right w:w="108" w:type="dxa"/>
          </w:tblCellMar>
        </w:tblPrEx>
        <w:trPr>
          <w:trHeight w:val="48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4</w:t>
            </w:r>
            <w:r>
              <w:rPr>
                <w:rFonts w:hint="eastAsia" w:asciiTheme="minorEastAsia" w:hAnsiTheme="minorEastAsia" w:cstheme="minorEastAsia"/>
                <w:szCs w:val="21"/>
                <w:lang w:val="en-US" w:eastAsia="zh-CN"/>
              </w:rPr>
              <w:t>.</w:t>
            </w:r>
            <w:r>
              <w:rPr>
                <w:rFonts w:hint="eastAsia" w:asciiTheme="minorEastAsia" w:hAnsiTheme="minorEastAsia" w:cstheme="minorEastAsia"/>
                <w:szCs w:val="21"/>
              </w:rPr>
              <w:t>配置</w:t>
            </w:r>
            <w:r>
              <w:rPr>
                <w:rFonts w:hint="eastAsia" w:asciiTheme="minorEastAsia" w:hAnsiTheme="minorEastAsia" w:cstheme="minorEastAsia"/>
                <w:szCs w:val="21"/>
                <w:lang w:val="en-US" w:eastAsia="zh-CN"/>
              </w:rPr>
              <w:t>不少于</w:t>
            </w:r>
            <w:r>
              <w:rPr>
                <w:rFonts w:hint="eastAsia" w:asciiTheme="minorEastAsia" w:hAnsiTheme="minorEastAsia" w:cstheme="minorEastAsia"/>
                <w:szCs w:val="21"/>
              </w:rPr>
              <w:t>2块4T 3.5吋 SATA 热插拔机械硬盘，最大支持12块3.5吋/2.5吋的SAS/SATA机械硬盘或固态硬盘</w:t>
            </w:r>
          </w:p>
        </w:tc>
      </w:tr>
      <w:tr>
        <w:tblPrEx>
          <w:tblCellMar>
            <w:top w:w="0" w:type="dxa"/>
            <w:left w:w="108" w:type="dxa"/>
            <w:bottom w:w="0" w:type="dxa"/>
            <w:right w:w="108" w:type="dxa"/>
          </w:tblCellMar>
        </w:tblPrEx>
        <w:trPr>
          <w:trHeight w:val="382"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5</w:t>
            </w:r>
            <w:r>
              <w:rPr>
                <w:rFonts w:hint="eastAsia" w:asciiTheme="minorEastAsia" w:hAnsiTheme="minorEastAsia" w:cstheme="minorEastAsia"/>
                <w:szCs w:val="21"/>
                <w:lang w:val="en-US" w:eastAsia="zh-CN"/>
              </w:rPr>
              <w:t>.不少于</w:t>
            </w:r>
            <w:r>
              <w:rPr>
                <w:rFonts w:hint="eastAsia" w:asciiTheme="minorEastAsia" w:hAnsiTheme="minorEastAsia" w:cstheme="minorEastAsia"/>
                <w:szCs w:val="21"/>
              </w:rPr>
              <w:t>2个900W交流电源模块，支持1+1冗余；</w:t>
            </w:r>
          </w:p>
        </w:tc>
      </w:tr>
      <w:tr>
        <w:tblPrEx>
          <w:tblCellMar>
            <w:top w:w="0" w:type="dxa"/>
            <w:left w:w="108" w:type="dxa"/>
            <w:bottom w:w="0" w:type="dxa"/>
            <w:right w:w="108" w:type="dxa"/>
          </w:tblCellMar>
        </w:tblPrEx>
        <w:trPr>
          <w:trHeight w:val="344"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6</w:t>
            </w:r>
            <w:r>
              <w:rPr>
                <w:rFonts w:hint="eastAsia" w:asciiTheme="minorEastAsia" w:hAnsiTheme="minorEastAsia" w:cstheme="minorEastAsia"/>
                <w:szCs w:val="21"/>
                <w:lang w:val="en-US" w:eastAsia="zh-CN"/>
              </w:rPr>
              <w:t>.配备不少于</w:t>
            </w:r>
            <w:r>
              <w:rPr>
                <w:rFonts w:hint="eastAsia" w:asciiTheme="minorEastAsia" w:hAnsiTheme="minorEastAsia" w:cstheme="minorEastAsia"/>
                <w:szCs w:val="21"/>
              </w:rPr>
              <w:t>4个热拔插风扇，支持N+1冗余</w:t>
            </w:r>
          </w:p>
        </w:tc>
      </w:tr>
      <w:tr>
        <w:tblPrEx>
          <w:tblCellMar>
            <w:top w:w="0" w:type="dxa"/>
            <w:left w:w="108" w:type="dxa"/>
            <w:bottom w:w="0" w:type="dxa"/>
            <w:right w:w="108" w:type="dxa"/>
          </w:tblCellMar>
        </w:tblPrEx>
        <w:trPr>
          <w:trHeight w:val="361" w:hRule="atLeast"/>
        </w:trPr>
        <w:tc>
          <w:tcPr>
            <w:tcW w:w="766"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7</w:t>
            </w:r>
            <w:r>
              <w:rPr>
                <w:rFonts w:hint="eastAsia" w:asciiTheme="minorEastAsia" w:hAnsiTheme="minorEastAsia" w:cstheme="minorEastAsia"/>
                <w:szCs w:val="21"/>
                <w:lang w:val="en-US" w:eastAsia="zh-CN"/>
              </w:rPr>
              <w:t>.</w:t>
            </w:r>
            <w:r>
              <w:rPr>
                <w:rFonts w:hint="eastAsia" w:asciiTheme="minorEastAsia" w:hAnsiTheme="minorEastAsia" w:cstheme="minorEastAsia"/>
                <w:szCs w:val="21"/>
              </w:rPr>
              <w:t>SAS3408无缓存，支持RAID 0,1,10</w:t>
            </w:r>
          </w:p>
        </w:tc>
      </w:tr>
      <w:tr>
        <w:tblPrEx>
          <w:tblCellMar>
            <w:top w:w="0" w:type="dxa"/>
            <w:left w:w="108" w:type="dxa"/>
            <w:bottom w:w="0" w:type="dxa"/>
            <w:right w:w="108" w:type="dxa"/>
          </w:tblCellMar>
        </w:tblPrEx>
        <w:trPr>
          <w:trHeight w:val="101" w:hRule="atLeast"/>
        </w:trPr>
        <w:tc>
          <w:tcPr>
            <w:tcW w:w="766" w:type="dxa"/>
            <w:vMerge w:val="restart"/>
            <w:tcBorders>
              <w:top w:val="single" w:color="000000" w:sz="4" w:space="0"/>
              <w:left w:val="single" w:color="000000" w:sz="4" w:space="0"/>
              <w:right w:val="single" w:color="000000"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2</w:t>
            </w:r>
          </w:p>
        </w:tc>
        <w:tc>
          <w:tcPr>
            <w:tcW w:w="2247"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AI监控分析综合管理系统</w:t>
            </w: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1.支持平台运维，提供服务部署维护功能、支持模块化升级部署、系统资源使用情况监控等运维相关功能；</w:t>
            </w:r>
          </w:p>
        </w:tc>
      </w:tr>
      <w:tr>
        <w:tblPrEx>
          <w:tblCellMar>
            <w:top w:w="0" w:type="dxa"/>
            <w:left w:w="108" w:type="dxa"/>
            <w:bottom w:w="0" w:type="dxa"/>
            <w:right w:w="108" w:type="dxa"/>
          </w:tblCellMar>
        </w:tblPrEx>
        <w:trPr>
          <w:trHeight w:val="101"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支持级联、分布式、集群，实现系统扩展及稳定性要求；</w:t>
            </w:r>
          </w:p>
        </w:tc>
      </w:tr>
      <w:tr>
        <w:tblPrEx>
          <w:tblCellMar>
            <w:top w:w="0" w:type="dxa"/>
            <w:left w:w="108" w:type="dxa"/>
            <w:bottom w:w="0" w:type="dxa"/>
            <w:right w:w="108" w:type="dxa"/>
          </w:tblCellMar>
        </w:tblPrEx>
        <w:trPr>
          <w:trHeight w:val="101"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3.支持双机热备，提升系统灾备能力，保障系统的可靠性；</w:t>
            </w:r>
          </w:p>
        </w:tc>
      </w:tr>
      <w:tr>
        <w:tblPrEx>
          <w:tblCellMar>
            <w:top w:w="0" w:type="dxa"/>
            <w:left w:w="108" w:type="dxa"/>
            <w:bottom w:w="0" w:type="dxa"/>
            <w:right w:w="108" w:type="dxa"/>
          </w:tblCellMar>
        </w:tblPrEx>
        <w:trPr>
          <w:trHeight w:val="138"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支持mysql数据库、云数据库切换配置，满足图片、视频、结构化数据的按需求存储；</w:t>
            </w:r>
          </w:p>
        </w:tc>
      </w:tr>
      <w:tr>
        <w:tblPrEx>
          <w:tblCellMar>
            <w:top w:w="0" w:type="dxa"/>
            <w:left w:w="108" w:type="dxa"/>
            <w:bottom w:w="0" w:type="dxa"/>
            <w:right w:w="108" w:type="dxa"/>
          </w:tblCellMar>
        </w:tblPrEx>
        <w:trPr>
          <w:trHeight w:val="138"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支持标准开放平台，提供rest ful 等多维度接口实现第三方系统对接；</w:t>
            </w:r>
          </w:p>
        </w:tc>
      </w:tr>
      <w:tr>
        <w:tblPrEx>
          <w:tblCellMar>
            <w:top w:w="0" w:type="dxa"/>
            <w:left w:w="108" w:type="dxa"/>
            <w:bottom w:w="0" w:type="dxa"/>
            <w:right w:w="108" w:type="dxa"/>
          </w:tblCellMar>
        </w:tblPrEx>
        <w:trPr>
          <w:trHeight w:val="7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6.支持管理视频通道点位不少于100万路；</w:t>
            </w:r>
          </w:p>
        </w:tc>
      </w:tr>
      <w:tr>
        <w:tblPrEx>
          <w:tblCellMar>
            <w:top w:w="0" w:type="dxa"/>
            <w:left w:w="108" w:type="dxa"/>
            <w:bottom w:w="0" w:type="dxa"/>
            <w:right w:w="108" w:type="dxa"/>
          </w:tblCellMar>
        </w:tblPrEx>
        <w:trPr>
          <w:trHeight w:val="7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7.支持对添加/导入的人员头像进行人脸图片质量检测，可返回不合格的照片原因记录；</w:t>
            </w:r>
          </w:p>
        </w:tc>
      </w:tr>
      <w:tr>
        <w:tblPrEx>
          <w:tblCellMar>
            <w:top w:w="0" w:type="dxa"/>
            <w:left w:w="108" w:type="dxa"/>
            <w:bottom w:w="0" w:type="dxa"/>
            <w:right w:w="108" w:type="dxa"/>
          </w:tblCellMar>
        </w:tblPrEx>
        <w:trPr>
          <w:trHeight w:val="9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 w:val="21"/>
                <w:szCs w:val="21"/>
                <w:lang w:val="en-US" w:eastAsia="zh-CN"/>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 w:val="21"/>
                <w:szCs w:val="21"/>
                <w:lang w:val="en-US" w:eastAsia="zh-CN"/>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8.支持客户端全局水印配置功能，支持配置客户端水印的启用/停用、水印内容、水印方向、水印密度、水印透明度参数。水印内容支持使用姓名、证件号码后6位、人员编号后6位、用户名任意一个或者两个字段组合显示；</w:t>
            </w:r>
          </w:p>
        </w:tc>
      </w:tr>
      <w:tr>
        <w:tblPrEx>
          <w:tblCellMar>
            <w:top w:w="0" w:type="dxa"/>
            <w:left w:w="108" w:type="dxa"/>
            <w:bottom w:w="0" w:type="dxa"/>
            <w:right w:w="108" w:type="dxa"/>
          </w:tblCellMar>
        </w:tblPrEx>
        <w:trPr>
          <w:trHeight w:val="7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 w:val="21"/>
                <w:szCs w:val="21"/>
                <w:lang w:val="en-US" w:eastAsia="zh-CN"/>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 w:val="21"/>
                <w:szCs w:val="21"/>
                <w:lang w:val="en-US" w:eastAsia="zh-CN"/>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9.支持设置设备和通道的能力，通道能力包括目标抓拍、主从跟踪、人脸抓拍、人员识别、人数统计、全景画面。</w:t>
            </w:r>
          </w:p>
        </w:tc>
      </w:tr>
      <w:tr>
        <w:tblPrEx>
          <w:tblCellMar>
            <w:top w:w="0" w:type="dxa"/>
            <w:left w:w="108" w:type="dxa"/>
            <w:bottom w:w="0" w:type="dxa"/>
            <w:right w:w="108" w:type="dxa"/>
          </w:tblCellMar>
        </w:tblPrEx>
        <w:trPr>
          <w:trHeight w:val="133" w:hRule="atLeast"/>
        </w:trPr>
        <w:tc>
          <w:tcPr>
            <w:tcW w:w="766" w:type="dxa"/>
            <w:vMerge w:val="restart"/>
            <w:tcBorders>
              <w:top w:val="single" w:color="000000" w:sz="4" w:space="0"/>
              <w:left w:val="single" w:color="000000" w:sz="4" w:space="0"/>
              <w:right w:val="single" w:color="000000"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3</w:t>
            </w:r>
          </w:p>
        </w:tc>
        <w:tc>
          <w:tcPr>
            <w:tcW w:w="2247"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AI监控分析平台授权</w:t>
            </w: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Cs w:val="21"/>
              </w:rPr>
              <w:t xml:space="preserve"> 1.支持窗口分割、浏览/抓图、快速录像、轮巡、鱼眼模式、音频/对讲等功能</w:t>
            </w:r>
            <w:r>
              <w:rPr>
                <w:rFonts w:hint="eastAsia" w:asciiTheme="minorEastAsia" w:hAnsiTheme="minorEastAsia" w:cstheme="minorEastAsia"/>
                <w:szCs w:val="21"/>
                <w:lang w:eastAsia="zh-CN"/>
              </w:rPr>
              <w:t>。</w:t>
            </w:r>
          </w:p>
        </w:tc>
      </w:tr>
      <w:tr>
        <w:tblPrEx>
          <w:tblCellMar>
            <w:top w:w="0" w:type="dxa"/>
            <w:left w:w="108" w:type="dxa"/>
            <w:bottom w:w="0" w:type="dxa"/>
            <w:right w:w="108" w:type="dxa"/>
          </w:tblCellMar>
        </w:tblPrEx>
        <w:trPr>
          <w:trHeight w:val="13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Cs w:val="21"/>
              </w:rPr>
              <w:t xml:space="preserve"> </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.支持热成像报警、雷达报警、小区场景报警、水利报警等报警</w:t>
            </w:r>
            <w:r>
              <w:rPr>
                <w:rFonts w:hint="eastAsia" w:asciiTheme="minorEastAsia" w:hAnsiTheme="minorEastAsia" w:cstheme="minorEastAsia"/>
                <w:szCs w:val="21"/>
                <w:lang w:eastAsia="zh-CN"/>
              </w:rPr>
              <w:t>。</w:t>
            </w:r>
          </w:p>
        </w:tc>
      </w:tr>
      <w:tr>
        <w:tblPrEx>
          <w:tblCellMar>
            <w:top w:w="0" w:type="dxa"/>
            <w:left w:w="108" w:type="dxa"/>
            <w:bottom w:w="0" w:type="dxa"/>
            <w:right w:w="108" w:type="dxa"/>
          </w:tblCellMar>
        </w:tblPrEx>
        <w:trPr>
          <w:trHeight w:val="13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lang w:eastAsia="zh-CN"/>
              </w:rPr>
            </w:pPr>
            <w:r>
              <w:rPr>
                <w:rFonts w:hint="eastAsia" w:asciiTheme="minorEastAsia" w:hAnsiTheme="minorEastAsia" w:cstheme="minorEastAsia"/>
                <w:szCs w:val="21"/>
              </w:rPr>
              <w:t xml:space="preserve"> </w:t>
            </w: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.支持云台抢占、云台锁定；支持云台八方向控制，支持守望功能</w:t>
            </w:r>
            <w:r>
              <w:rPr>
                <w:rFonts w:hint="eastAsia" w:asciiTheme="minorEastAsia" w:hAnsiTheme="minorEastAsia" w:cstheme="minorEastAsia"/>
                <w:szCs w:val="21"/>
                <w:lang w:eastAsia="zh-CN"/>
              </w:rPr>
              <w:t>。</w:t>
            </w:r>
          </w:p>
        </w:tc>
      </w:tr>
      <w:tr>
        <w:tblPrEx>
          <w:tblCellMar>
            <w:top w:w="0" w:type="dxa"/>
            <w:left w:w="108" w:type="dxa"/>
            <w:bottom w:w="0" w:type="dxa"/>
            <w:right w:w="108" w:type="dxa"/>
          </w:tblCellMar>
        </w:tblPrEx>
        <w:trPr>
          <w:trHeight w:val="13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cstheme="minorEastAsia"/>
                <w:szCs w:val="21"/>
              </w:rPr>
              <w:t xml:space="preserve"> </w:t>
            </w:r>
            <w:r>
              <w:rPr>
                <w:rFonts w:hint="eastAsia" w:asciiTheme="minorEastAsia" w:hAnsiTheme="minorEastAsia" w:cstheme="minorEastAsia"/>
                <w:szCs w:val="21"/>
                <w:lang w:val="en-US" w:eastAsia="zh-CN"/>
              </w:rPr>
              <w:t>4</w:t>
            </w:r>
            <w:r>
              <w:rPr>
                <w:rFonts w:hint="eastAsia" w:asciiTheme="minorEastAsia" w:hAnsiTheme="minorEastAsia" w:cstheme="minorEastAsia"/>
                <w:szCs w:val="21"/>
              </w:rPr>
              <w:t>.支持即时上墙；支持上墙轮巡计划；支持屏幕开关、电视墙任务；支持开窗，分割，清屏功能；支持鹰眼功能；支持上墙回显；支持开启所有屏幕通道轮巡；</w:t>
            </w:r>
          </w:p>
        </w:tc>
      </w:tr>
      <w:tr>
        <w:tblPrEx>
          <w:tblCellMar>
            <w:top w:w="0" w:type="dxa"/>
            <w:left w:w="108" w:type="dxa"/>
            <w:bottom w:w="0" w:type="dxa"/>
            <w:right w:w="108" w:type="dxa"/>
          </w:tblCellMar>
        </w:tblPrEx>
        <w:trPr>
          <w:trHeight w:val="336" w:hRule="atLeast"/>
        </w:trPr>
        <w:tc>
          <w:tcPr>
            <w:tcW w:w="766" w:type="dxa"/>
            <w:vMerge w:val="restart"/>
            <w:tcBorders>
              <w:top w:val="single" w:color="000000" w:sz="4" w:space="0"/>
              <w:left w:val="single" w:color="000000" w:sz="4" w:space="0"/>
              <w:right w:val="single" w:color="000000"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4</w:t>
            </w:r>
          </w:p>
        </w:tc>
        <w:tc>
          <w:tcPr>
            <w:tcW w:w="2247"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AI监控分析平台服务器</w:t>
            </w: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cstheme="minorEastAsia"/>
                <w:sz w:val="21"/>
                <w:szCs w:val="21"/>
                <w:lang w:val="en-US" w:eastAsia="zh-CN"/>
              </w:rPr>
              <w:t>.需配置</w:t>
            </w:r>
            <w:r>
              <w:rPr>
                <w:rFonts w:hint="eastAsia" w:asciiTheme="minorEastAsia" w:hAnsiTheme="minorEastAsia" w:eastAsiaTheme="minorEastAsia" w:cstheme="minorEastAsia"/>
                <w:sz w:val="21"/>
                <w:szCs w:val="21"/>
              </w:rPr>
              <w:t>16 个算力</w:t>
            </w:r>
            <w:r>
              <w:rPr>
                <w:rFonts w:hint="eastAsia" w:asciiTheme="minorEastAsia" w:hAnsiTheme="minorEastAsia" w:cstheme="minorEastAsia"/>
                <w:sz w:val="21"/>
                <w:szCs w:val="21"/>
                <w:lang w:val="en-US" w:eastAsia="zh-CN"/>
              </w:rPr>
              <w:t>不低于</w:t>
            </w:r>
            <w:r>
              <w:rPr>
                <w:rFonts w:hint="eastAsia" w:asciiTheme="minorEastAsia" w:hAnsiTheme="minorEastAsia" w:eastAsiaTheme="minorEastAsia" w:cstheme="minorEastAsia"/>
                <w:sz w:val="21"/>
                <w:szCs w:val="21"/>
              </w:rPr>
              <w:t xml:space="preserve"> 22 TOPS（INT8）的 GPU 芯片，最高频率不低于 1.7GHz</w:t>
            </w:r>
            <w:r>
              <w:rPr>
                <w:rFonts w:hint="eastAsia" w:ascii="宋体" w:hAnsi="宋体"/>
                <w:b/>
                <w:color w:val="FF0000"/>
                <w:kern w:val="0"/>
              </w:rPr>
              <w:t>（提供第三方机构颁发的具有CMA和CNAS标识的检验（检测）报告；完整的检验（检测）报告（包括报告的封面、首页、内容页），如缺页则按无效报告； ②检验（检测）报告在全国认证认可信息公共服务平台(认e云)(http://cx.cnca.cn/)。</w:t>
            </w:r>
            <w:r>
              <w:rPr>
                <w:rFonts w:hint="eastAsia" w:ascii="宋体" w:hAnsi="宋体"/>
                <w:b/>
                <w:color w:val="FF0000"/>
                <w:kern w:val="0"/>
                <w:lang w:val="en-US" w:eastAsia="zh-CN"/>
              </w:rPr>
              <w:t>③</w:t>
            </w:r>
            <w:r>
              <w:rPr>
                <w:rFonts w:hint="eastAsia" w:ascii="宋体" w:hAnsi="宋体"/>
                <w:b/>
                <w:color w:val="FF0000"/>
                <w:kern w:val="0"/>
              </w:rPr>
              <w:t>对应参数(检验检测项)在检验（检测）报告中进行标注，如无进行标注则视为负偏离。</w:t>
            </w:r>
            <w:r>
              <w:rPr>
                <w:rFonts w:hint="eastAsia" w:asciiTheme="minorEastAsia" w:hAnsiTheme="minorEastAsia" w:eastAsiaTheme="minorEastAsia" w:cstheme="minorEastAsia"/>
                <w:color w:val="FF0000"/>
                <w:sz w:val="21"/>
                <w:szCs w:val="21"/>
              </w:rPr>
              <w:t>）</w:t>
            </w:r>
          </w:p>
        </w:tc>
      </w:tr>
      <w:tr>
        <w:tblPrEx>
          <w:tblCellMar>
            <w:top w:w="0" w:type="dxa"/>
            <w:left w:w="108" w:type="dxa"/>
            <w:bottom w:w="0" w:type="dxa"/>
            <w:right w:w="108" w:type="dxa"/>
          </w:tblCellMar>
        </w:tblPrEx>
        <w:trPr>
          <w:trHeight w:val="17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 xml:space="preserve"> ▲2</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支持利用大模型进行算法生成以及配置预警功能，输入指定文本可自定义生成算法，可选择通道部署自定义算法模型，实现定时抓图/事件图片分析，相似度达到阈值时及时触发报警，支持联动录像抓图、蜂鸣报警、预置点、邮件、本地报警输出、IPC 报警输出、门禁、语音提示以及日志记录。</w:t>
            </w:r>
            <w:r>
              <w:rPr>
                <w:rFonts w:hint="eastAsia" w:asciiTheme="minorEastAsia" w:hAnsiTheme="minorEastAsia" w:eastAsiaTheme="minorEastAsia" w:cstheme="minorEastAsia"/>
                <w:color w:val="FF0000"/>
                <w:sz w:val="21"/>
                <w:szCs w:val="21"/>
              </w:rPr>
              <w:t>（</w:t>
            </w:r>
            <w:r>
              <w:rPr>
                <w:rFonts w:hint="eastAsia" w:ascii="宋体" w:hAnsi="宋体"/>
                <w:b/>
                <w:color w:val="FF0000"/>
                <w:kern w:val="0"/>
              </w:rPr>
              <w:t>第三方机构颁发的具有CMA和CNAS标识</w:t>
            </w:r>
            <w:r>
              <w:rPr>
                <w:rFonts w:hint="eastAsia" w:ascii="宋体" w:hAnsi="宋体"/>
                <w:b/>
                <w:color w:val="FF0000"/>
                <w:kern w:val="0"/>
                <w:lang w:eastAsia="zh-CN"/>
              </w:rPr>
              <w:t>的</w:t>
            </w:r>
            <w:r>
              <w:rPr>
                <w:rFonts w:hint="eastAsia" w:ascii="宋体" w:hAnsi="宋体"/>
                <w:b/>
                <w:color w:val="FF0000"/>
                <w:kern w:val="0"/>
              </w:rPr>
              <w:t>检验（检测）报告；完整的检验（检测）报告（包括报告的封面、首页、内容页），如缺页则按无效报告； ②检验（检测）报告在全国认证认可信息公共服务平台(认e云)(http://cx.cnca.cn/)。</w:t>
            </w:r>
            <w:r>
              <w:rPr>
                <w:rFonts w:hint="eastAsia" w:ascii="宋体" w:hAnsi="宋体"/>
                <w:b/>
                <w:color w:val="FF0000"/>
                <w:kern w:val="0"/>
                <w:lang w:val="en-US" w:eastAsia="zh-CN"/>
              </w:rPr>
              <w:t>③</w:t>
            </w:r>
            <w:r>
              <w:rPr>
                <w:rFonts w:hint="eastAsia" w:ascii="宋体" w:hAnsi="宋体"/>
                <w:b/>
                <w:color w:val="FF0000"/>
                <w:kern w:val="0"/>
              </w:rPr>
              <w:t>对应参数(检验检测项)在检验（检测）报告中进行标注，如无进行标注则视为负偏离。</w:t>
            </w:r>
            <w:r>
              <w:rPr>
                <w:rFonts w:hint="eastAsia" w:asciiTheme="minorEastAsia" w:hAnsiTheme="minorEastAsia" w:eastAsiaTheme="minorEastAsia" w:cstheme="minorEastAsia"/>
                <w:color w:val="FF0000"/>
                <w:sz w:val="21"/>
                <w:szCs w:val="21"/>
              </w:rPr>
              <w:t>）</w:t>
            </w:r>
          </w:p>
        </w:tc>
      </w:tr>
      <w:tr>
        <w:tblPrEx>
          <w:tblCellMar>
            <w:top w:w="0" w:type="dxa"/>
            <w:left w:w="108" w:type="dxa"/>
            <w:bottom w:w="0" w:type="dxa"/>
            <w:right w:w="108" w:type="dxa"/>
          </w:tblCellMar>
        </w:tblPrEx>
        <w:trPr>
          <w:trHeight w:val="17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 xml:space="preserve"> 3</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支持一句话检索图片和关联录像，单GPU支持16路1080p或400万分辨率图片流分析，并发解析能力</w:t>
            </w:r>
            <w:r>
              <w:rPr>
                <w:rFonts w:hint="eastAsia" w:asciiTheme="minorEastAsia" w:hAnsiTheme="minorEastAsia" w:cstheme="minorEastAsia"/>
                <w:sz w:val="21"/>
                <w:szCs w:val="21"/>
                <w:lang w:val="en-US" w:eastAsia="zh-CN"/>
              </w:rPr>
              <w:t>不低于</w:t>
            </w:r>
            <w:r>
              <w:rPr>
                <w:rFonts w:hint="eastAsia" w:asciiTheme="minorEastAsia" w:hAnsiTheme="minorEastAsia" w:eastAsiaTheme="minorEastAsia" w:cstheme="minorEastAsia"/>
                <w:sz w:val="21"/>
                <w:szCs w:val="21"/>
              </w:rPr>
              <w:t>4张/秒；</w:t>
            </w:r>
          </w:p>
        </w:tc>
      </w:tr>
      <w:tr>
        <w:tblPrEx>
          <w:tblCellMar>
            <w:top w:w="0" w:type="dxa"/>
            <w:left w:w="108" w:type="dxa"/>
            <w:bottom w:w="0" w:type="dxa"/>
            <w:right w:w="108" w:type="dxa"/>
          </w:tblCellMar>
        </w:tblPrEx>
        <w:trPr>
          <w:trHeight w:val="336"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 xml:space="preserve"> ▲4</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支持视频浓缩功能，可对录像检索关键目标并进行多等级浓缩回放、下载；可对录像浓缩剪辑合成仅保留关键目标、指定目标的录像。</w:t>
            </w:r>
            <w:r>
              <w:rPr>
                <w:rFonts w:hint="eastAsia" w:ascii="宋体" w:hAnsi="宋体"/>
                <w:b/>
                <w:color w:val="FF0000"/>
                <w:kern w:val="0"/>
                <w:lang w:val="en-US" w:eastAsia="zh-CN"/>
              </w:rPr>
              <w:t>（提供第三</w:t>
            </w:r>
            <w:r>
              <w:rPr>
                <w:rFonts w:hint="eastAsia" w:ascii="宋体" w:hAnsi="宋体"/>
                <w:b/>
                <w:color w:val="FF0000"/>
                <w:kern w:val="0"/>
              </w:rPr>
              <w:t>方机构颁发的具有CMA和CNAS标识的检验（检测）报告；完整的检验（检测）报告（包括报告的封面、首页、内容页），如缺页则按无效报告； ②检验（检测）报告在全国认证认可信息公共服务平台(认e云)(http://cx.cnca.cn/)。</w:t>
            </w:r>
            <w:r>
              <w:rPr>
                <w:rFonts w:hint="eastAsia" w:ascii="宋体" w:hAnsi="宋体"/>
                <w:b/>
                <w:color w:val="FF0000"/>
                <w:kern w:val="0"/>
                <w:lang w:val="en-US" w:eastAsia="zh-CN"/>
              </w:rPr>
              <w:t>③</w:t>
            </w:r>
            <w:r>
              <w:rPr>
                <w:rFonts w:hint="eastAsia" w:ascii="宋体" w:hAnsi="宋体"/>
                <w:b/>
                <w:color w:val="FF0000"/>
                <w:kern w:val="0"/>
              </w:rPr>
              <w:t>对应参数(检验检测项)在检验（检测）报告中进行标注，如无进行标注则视为负偏离。</w:t>
            </w:r>
            <w:r>
              <w:rPr>
                <w:rFonts w:hint="eastAsia" w:asciiTheme="minorEastAsia" w:hAnsiTheme="minorEastAsia" w:eastAsiaTheme="minorEastAsia" w:cstheme="minorEastAsia"/>
                <w:color w:val="FF0000"/>
                <w:sz w:val="21"/>
                <w:szCs w:val="21"/>
              </w:rPr>
              <w:t>）</w:t>
            </w:r>
          </w:p>
        </w:tc>
      </w:tr>
      <w:tr>
        <w:tblPrEx>
          <w:tblCellMar>
            <w:top w:w="0" w:type="dxa"/>
            <w:left w:w="108" w:type="dxa"/>
            <w:bottom w:w="0" w:type="dxa"/>
            <w:right w:w="108" w:type="dxa"/>
          </w:tblCellMar>
        </w:tblPrEx>
        <w:trPr>
          <w:trHeight w:val="411"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sz w:val="21"/>
                <w:szCs w:val="21"/>
              </w:rPr>
              <w:t xml:space="preserve"> ▲5</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rPr>
              <w:t>支持识别吸烟、打电话，可联动录像、抓图、蜂鸣报警、邮件、本地报警输出、前端报警输出、门禁、音频以及日志记录；支持数据存储和按事件类型检索；支持查看违规操作人员的姓名</w:t>
            </w:r>
            <w:r>
              <w:rPr>
                <w:rFonts w:hint="eastAsia" w:ascii="宋体" w:hAnsi="宋体"/>
                <w:b/>
                <w:color w:val="FF0000"/>
                <w:kern w:val="0"/>
              </w:rPr>
              <w:t>（提供第三方机构颁发的具有CMA和CNAS标识的检验（检测）报告；完整的检验（检测）报告（包括报告的封面、首页、内容页），如缺页则按无效报告； ②检验（检测）报告在全国认证认可信息公共服务平台(认e云)(http://cx.cnca.cn/)。</w:t>
            </w:r>
            <w:r>
              <w:rPr>
                <w:rFonts w:hint="eastAsia" w:ascii="宋体" w:hAnsi="宋体"/>
                <w:b/>
                <w:color w:val="FF0000"/>
                <w:kern w:val="0"/>
                <w:lang w:val="en-US" w:eastAsia="zh-CN"/>
              </w:rPr>
              <w:t>③</w:t>
            </w:r>
            <w:r>
              <w:rPr>
                <w:rFonts w:hint="eastAsia" w:ascii="宋体" w:hAnsi="宋体"/>
                <w:b/>
                <w:color w:val="FF0000"/>
                <w:kern w:val="0"/>
              </w:rPr>
              <w:t>应参数(检验检测项)在检验（检测）报告中进行标注，如无进行标注则视为负偏离。</w:t>
            </w:r>
            <w:r>
              <w:rPr>
                <w:rFonts w:hint="eastAsia" w:asciiTheme="minorEastAsia" w:hAnsiTheme="minorEastAsia" w:eastAsiaTheme="minorEastAsia" w:cstheme="minorEastAsia"/>
                <w:color w:val="FF0000"/>
                <w:sz w:val="21"/>
                <w:szCs w:val="21"/>
              </w:rPr>
              <w:t>）</w:t>
            </w:r>
          </w:p>
        </w:tc>
      </w:tr>
      <w:tr>
        <w:tblPrEx>
          <w:tblCellMar>
            <w:top w:w="0" w:type="dxa"/>
            <w:left w:w="108" w:type="dxa"/>
            <w:bottom w:w="0" w:type="dxa"/>
            <w:right w:w="108" w:type="dxa"/>
          </w:tblCellMar>
        </w:tblPrEx>
        <w:trPr>
          <w:trHeight w:val="411"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6.可联动前端设备进行声光报警；可上传、删除、编辑摄像机语音文件；可设置联动前端设备的语音播放次数；可设置联动前端设备的警戒灯为闪烁或常亮模式，闪烁模式下可设置闪烁频率和持续时间</w:t>
            </w:r>
            <w:r>
              <w:rPr>
                <w:rFonts w:hint="eastAsia" w:ascii="宋体" w:hAnsi="宋体"/>
                <w:b/>
                <w:color w:val="FF0000"/>
                <w:kern w:val="0"/>
                <w:lang w:val="en-US" w:eastAsia="zh-CN"/>
              </w:rPr>
              <w:t>（</w:t>
            </w:r>
            <w:r>
              <w:rPr>
                <w:rFonts w:hint="eastAsia" w:ascii="宋体" w:hAnsi="宋体"/>
                <w:b/>
                <w:color w:val="FF0000"/>
                <w:kern w:val="0"/>
              </w:rPr>
              <w:t>提供第三方机构颁发的具有CMA和CNAS标识的检验（检测）报告；完整的检验（检测）报告（包括报告的封面、首页、内容页），如缺页则按无效报告； ②检验（检测）报告在全国认证认可信息公共服务平台(认e云)(http://cx.cnca.cn/)。</w:t>
            </w:r>
            <w:r>
              <w:rPr>
                <w:rFonts w:hint="eastAsia" w:ascii="宋体" w:hAnsi="宋体"/>
                <w:b/>
                <w:color w:val="FF0000"/>
                <w:kern w:val="0"/>
                <w:lang w:val="en-US" w:eastAsia="zh-CN"/>
              </w:rPr>
              <w:t>③</w:t>
            </w:r>
            <w:r>
              <w:rPr>
                <w:rFonts w:hint="eastAsia" w:ascii="宋体" w:hAnsi="宋体"/>
                <w:b/>
                <w:color w:val="FF0000"/>
                <w:kern w:val="0"/>
              </w:rPr>
              <w:t>对应参数(检验检测项)在检验（检测）报告中进行标注，如无进行标注则视为负偏离。</w:t>
            </w:r>
            <w:r>
              <w:rPr>
                <w:rFonts w:hint="eastAsia" w:asciiTheme="minorEastAsia" w:hAnsiTheme="minorEastAsia" w:eastAsiaTheme="minorEastAsia" w:cstheme="minorEastAsia"/>
                <w:color w:val="FF0000"/>
                <w:sz w:val="21"/>
                <w:szCs w:val="21"/>
              </w:rPr>
              <w:t>）</w:t>
            </w:r>
          </w:p>
        </w:tc>
      </w:tr>
      <w:tr>
        <w:tblPrEx>
          <w:tblCellMar>
            <w:top w:w="0" w:type="dxa"/>
            <w:left w:w="108" w:type="dxa"/>
            <w:bottom w:w="0" w:type="dxa"/>
            <w:right w:w="108" w:type="dxa"/>
          </w:tblCellMar>
        </w:tblPrEx>
        <w:trPr>
          <w:trHeight w:val="411"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val="en-US" w:eastAsia="zh-CN"/>
              </w:rPr>
              <w:t>7.需满足</w:t>
            </w:r>
            <w:r>
              <w:rPr>
                <w:rFonts w:hint="eastAsia" w:asciiTheme="minorEastAsia" w:hAnsiTheme="minorEastAsia" w:eastAsiaTheme="minorEastAsia" w:cstheme="minorEastAsia"/>
                <w:sz w:val="21"/>
                <w:szCs w:val="21"/>
              </w:rPr>
              <w:t>质量优先压缩模式下，压缩后视频较无压缩视频，目视画面无明显差别；</w:t>
            </w:r>
          </w:p>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将压缩前后视频输入同一人脸比对算法模型进行对比试验，人脸比对准确率偏差≤1%；</w:t>
            </w:r>
          </w:p>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将压缩前后视频输入同一人体识别算法模型进行对比试验，人体识别准确率偏差≤1%；</w:t>
            </w:r>
          </w:p>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将压缩前后视频输入同一机动车识别算法模型进行对比试验，机动车识别准确率偏差≤1%；</w:t>
            </w:r>
          </w:p>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将压缩前后视频输入同一非机动车识别算法模型进行对比试验，非机动车识别准确率偏差≤1%；</w:t>
            </w:r>
          </w:p>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（人脸比对准确率偏差 =（压缩前人脸比对准确率-压缩后人脸比对准确率）/压缩前人脸比对准确率×100%；人体识别准确率偏差 =（压缩前人体识别准确率-压缩后人体识别准确率） /压缩前人体识别准确率×100%；机动车识别准确率偏差 （压缩前机动车识别准确率-压缩后机动车识别准确率）/压缩前机动车识别准确率×100%；非机动车识别准确率偏差 =（压缩前非机动车识别准确率-压缩后非机动车识别准确率）/压缩前非机动车识别准确率×100%</w:t>
            </w:r>
            <w:r>
              <w:rPr>
                <w:rFonts w:hint="eastAsia" w:ascii="宋体" w:hAnsi="宋体"/>
                <w:b/>
                <w:color w:val="FF0000"/>
                <w:kern w:val="0"/>
              </w:rPr>
              <w:t>。</w:t>
            </w:r>
            <w:r>
              <w:rPr>
                <w:rFonts w:hint="eastAsia" w:ascii="宋体" w:hAnsi="宋体"/>
                <w:b/>
                <w:color w:val="FF0000"/>
                <w:kern w:val="0"/>
                <w:lang w:val="en-US" w:eastAsia="zh-CN"/>
              </w:rPr>
              <w:t>（</w:t>
            </w:r>
            <w:r>
              <w:rPr>
                <w:rFonts w:hint="eastAsia" w:ascii="宋体" w:hAnsi="宋体"/>
                <w:b/>
                <w:color w:val="FF0000"/>
                <w:kern w:val="0"/>
              </w:rPr>
              <w:t>提供第三方机构颁发的具有CMA和CNAS标识的检验（检测）报告；完整的检验（检测）报告（包括报告的封面、首页、内容页），如缺页则按无效报告； ②检验（检测）报告在全国认证认可信息公共服务平台(认e云)(http://cx.cnca.cn/)。</w:t>
            </w:r>
            <w:r>
              <w:rPr>
                <w:rFonts w:hint="eastAsia" w:ascii="宋体" w:hAnsi="宋体"/>
                <w:b/>
                <w:color w:val="FF0000"/>
                <w:kern w:val="0"/>
                <w:lang w:val="en-US" w:eastAsia="zh-CN"/>
              </w:rPr>
              <w:t>③</w:t>
            </w:r>
            <w:r>
              <w:rPr>
                <w:rFonts w:hint="eastAsia" w:ascii="宋体" w:hAnsi="宋体"/>
                <w:b/>
                <w:color w:val="FF0000"/>
                <w:kern w:val="0"/>
              </w:rPr>
              <w:t>对应参数(检验检测项)在检验（检测）报告中进行标注，如无进行标注则视为负偏离。</w:t>
            </w:r>
            <w:r>
              <w:rPr>
                <w:rFonts w:hint="eastAsia" w:asciiTheme="minorEastAsia" w:hAnsiTheme="minorEastAsia" w:eastAsiaTheme="minorEastAsia" w:cstheme="minorEastAsia"/>
                <w:color w:val="FF0000"/>
                <w:sz w:val="21"/>
                <w:szCs w:val="21"/>
              </w:rPr>
              <w:t>）</w:t>
            </w:r>
          </w:p>
        </w:tc>
      </w:tr>
      <w:tr>
        <w:tblPrEx>
          <w:tblCellMar>
            <w:top w:w="0" w:type="dxa"/>
            <w:left w:w="108" w:type="dxa"/>
            <w:bottom w:w="0" w:type="dxa"/>
            <w:right w:w="108" w:type="dxa"/>
          </w:tblCellMar>
        </w:tblPrEx>
        <w:trPr>
          <w:trHeight w:val="132" w:hRule="atLeast"/>
        </w:trPr>
        <w:tc>
          <w:tcPr>
            <w:tcW w:w="766" w:type="dxa"/>
            <w:vMerge w:val="restart"/>
            <w:tcBorders>
              <w:top w:val="single" w:color="000000" w:sz="4" w:space="0"/>
              <w:left w:val="single" w:color="000000" w:sz="4" w:space="0"/>
              <w:right w:val="single" w:color="000000"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5</w:t>
            </w:r>
          </w:p>
        </w:tc>
        <w:tc>
          <w:tcPr>
            <w:tcW w:w="2247"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硬盘</w:t>
            </w: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cstheme="minorEastAsia"/>
                <w:szCs w:val="21"/>
              </w:rPr>
              <w:t>单盘容量：8TB；</w:t>
            </w:r>
          </w:p>
        </w:tc>
      </w:tr>
      <w:tr>
        <w:tblPrEx>
          <w:tblCellMar>
            <w:top w:w="0" w:type="dxa"/>
            <w:left w:w="108" w:type="dxa"/>
            <w:bottom w:w="0" w:type="dxa"/>
            <w:right w:w="108" w:type="dxa"/>
          </w:tblCellMar>
        </w:tblPrEx>
        <w:trPr>
          <w:trHeight w:val="132"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缓存：256MB；</w:t>
            </w:r>
          </w:p>
        </w:tc>
      </w:tr>
      <w:tr>
        <w:tblPrEx>
          <w:tblCellMar>
            <w:top w:w="0" w:type="dxa"/>
            <w:left w:w="108" w:type="dxa"/>
            <w:bottom w:w="0" w:type="dxa"/>
            <w:right w:w="108" w:type="dxa"/>
          </w:tblCellMar>
        </w:tblPrEx>
        <w:trPr>
          <w:trHeight w:val="132"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转速：7200RPM；</w:t>
            </w:r>
          </w:p>
        </w:tc>
      </w:tr>
      <w:tr>
        <w:tblPrEx>
          <w:tblCellMar>
            <w:top w:w="0" w:type="dxa"/>
            <w:left w:w="108" w:type="dxa"/>
            <w:bottom w:w="0" w:type="dxa"/>
            <w:right w:w="108" w:type="dxa"/>
          </w:tblCellMar>
        </w:tblPrEx>
        <w:trPr>
          <w:trHeight w:val="132" w:hRule="atLeast"/>
        </w:trPr>
        <w:tc>
          <w:tcPr>
            <w:tcW w:w="766"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硬盘接口：SATA</w:t>
            </w:r>
          </w:p>
        </w:tc>
      </w:tr>
      <w:tr>
        <w:tblPrEx>
          <w:tblCellMar>
            <w:top w:w="0" w:type="dxa"/>
            <w:left w:w="108" w:type="dxa"/>
            <w:bottom w:w="0" w:type="dxa"/>
            <w:right w:w="108" w:type="dxa"/>
          </w:tblCellMar>
        </w:tblPrEx>
        <w:trPr>
          <w:trHeight w:val="328" w:hRule="atLeast"/>
        </w:trPr>
        <w:tc>
          <w:tcPr>
            <w:tcW w:w="766" w:type="dxa"/>
            <w:vMerge w:val="restart"/>
            <w:tcBorders>
              <w:top w:val="single" w:color="000000" w:sz="4" w:space="0"/>
              <w:left w:val="single" w:color="000000" w:sz="4" w:space="0"/>
              <w:right w:val="single" w:color="000000"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6</w:t>
            </w:r>
          </w:p>
        </w:tc>
        <w:tc>
          <w:tcPr>
            <w:tcW w:w="2247"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新系统调试费</w:t>
            </w: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提供系统调试服务</w:t>
            </w:r>
          </w:p>
        </w:tc>
      </w:tr>
      <w:tr>
        <w:tblPrEx>
          <w:tblCellMar>
            <w:top w:w="0" w:type="dxa"/>
            <w:left w:w="108" w:type="dxa"/>
            <w:bottom w:w="0" w:type="dxa"/>
            <w:right w:w="108" w:type="dxa"/>
          </w:tblCellMar>
        </w:tblPrEx>
        <w:trPr>
          <w:trHeight w:val="324" w:hRule="atLeast"/>
        </w:trPr>
        <w:tc>
          <w:tcPr>
            <w:tcW w:w="766" w:type="dxa"/>
            <w:tcBorders>
              <w:top w:val="single" w:color="000000" w:sz="4" w:space="0"/>
              <w:left w:val="single" w:color="000000" w:sz="4" w:space="0"/>
              <w:right w:val="single" w:color="000000" w:sz="4" w:space="0"/>
            </w:tcBorders>
            <w:vAlign w:val="center"/>
          </w:tcPr>
          <w:p>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7</w:t>
            </w:r>
          </w:p>
        </w:tc>
        <w:tc>
          <w:tcPr>
            <w:tcW w:w="2247" w:type="dxa"/>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旧系统集成调试费</w:t>
            </w: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联合调试原有系统，提供系统集成服务</w:t>
            </w:r>
          </w:p>
        </w:tc>
      </w:tr>
      <w:tr>
        <w:tblPrEx>
          <w:tblCellMar>
            <w:top w:w="0" w:type="dxa"/>
            <w:left w:w="108" w:type="dxa"/>
            <w:bottom w:w="0" w:type="dxa"/>
            <w:right w:w="108" w:type="dxa"/>
          </w:tblCellMar>
        </w:tblPrEx>
        <w:trPr>
          <w:trHeight w:val="365" w:hRule="atLeast"/>
        </w:trPr>
        <w:tc>
          <w:tcPr>
            <w:tcW w:w="766" w:type="dxa"/>
            <w:tcBorders>
              <w:top w:val="single" w:color="000000" w:sz="4" w:space="0"/>
              <w:left w:val="single" w:color="000000" w:sz="4" w:space="0"/>
              <w:right w:val="single" w:color="000000" w:sz="4" w:space="0"/>
            </w:tcBorders>
            <w:vAlign w:val="center"/>
          </w:tcPr>
          <w:p>
            <w:pPr>
              <w:spacing w:line="360" w:lineRule="auto"/>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8</w:t>
            </w:r>
          </w:p>
        </w:tc>
        <w:tc>
          <w:tcPr>
            <w:tcW w:w="2247" w:type="dxa"/>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运维保障服务</w:t>
            </w: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1"/>
                <w:numId w:val="0"/>
              </w:numPr>
              <w:suppressLineNumbers w:val="0"/>
              <w:jc w:val="left"/>
              <w:textAlignment w:val="center"/>
              <w:rPr>
                <w:rFonts w:hint="eastAsia" w:asciiTheme="minorEastAsia" w:hAnsiTheme="minorEastAsia" w:cstheme="minorEastAsia"/>
                <w:b w:val="0"/>
                <w:bCs w:val="0"/>
                <w:szCs w:val="21"/>
                <w:lang w:val="en-US" w:eastAsia="zh-CN"/>
              </w:rPr>
            </w:pPr>
            <w:r>
              <w:rPr>
                <w:rFonts w:hint="eastAsia" w:asciiTheme="minorEastAsia" w:hAnsiTheme="minorEastAsia" w:cstheme="minorEastAsia"/>
                <w:b w:val="0"/>
                <w:bCs w:val="0"/>
                <w:szCs w:val="21"/>
                <w:lang w:val="en-US" w:eastAsia="zh-CN"/>
              </w:rPr>
              <w:t>1.提供运维保障服务</w:t>
            </w:r>
          </w:p>
          <w:p>
            <w:pPr>
              <w:pStyle w:val="2"/>
              <w:numPr>
                <w:ilvl w:val="-1"/>
                <w:numId w:val="0"/>
              </w:numPr>
              <w:rPr>
                <w:rFonts w:hint="eastAsia" w:asciiTheme="minorEastAsia" w:hAnsiTheme="minorEastAsia" w:cstheme="minorEastAsia"/>
                <w:sz w:val="21"/>
                <w:szCs w:val="21"/>
              </w:rPr>
            </w:pPr>
            <w:r>
              <w:rPr>
                <w:rFonts w:hint="eastAsia" w:asciiTheme="minorEastAsia" w:hAnsiTheme="minorEastAsia" w:cstheme="minorEastAsia"/>
                <w:b w:val="0"/>
                <w:bCs w:val="0"/>
                <w:color w:val="auto"/>
                <w:sz w:val="21"/>
                <w:szCs w:val="21"/>
                <w:lang w:val="en-US" w:eastAsia="zh-CN" w:bidi="ar"/>
              </w:rPr>
              <w:t>2.</w:t>
            </w:r>
            <w:r>
              <w:rPr>
                <w:rFonts w:hint="eastAsia" w:asciiTheme="minorEastAsia" w:hAnsiTheme="minorEastAsia" w:eastAsiaTheme="minorEastAsia" w:cstheme="minorEastAsia"/>
                <w:b w:val="0"/>
                <w:bCs w:val="0"/>
                <w:color w:val="auto"/>
                <w:sz w:val="21"/>
                <w:szCs w:val="21"/>
                <w:lang w:eastAsia="zh-CN" w:bidi="ar"/>
              </w:rPr>
              <w:t>巡检服务，每月提供一次</w:t>
            </w:r>
          </w:p>
        </w:tc>
      </w:tr>
      <w:tr>
        <w:tblPrEx>
          <w:tblCellMar>
            <w:top w:w="0" w:type="dxa"/>
            <w:left w:w="108" w:type="dxa"/>
            <w:bottom w:w="0" w:type="dxa"/>
            <w:right w:w="108" w:type="dxa"/>
          </w:tblCellMar>
        </w:tblPrEx>
        <w:trPr>
          <w:trHeight w:val="365" w:hRule="atLeast"/>
        </w:trPr>
        <w:tc>
          <w:tcPr>
            <w:tcW w:w="825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二、</w:t>
            </w:r>
            <w:r>
              <w:rPr>
                <w:rFonts w:hint="eastAsia" w:asciiTheme="minorEastAsia" w:hAnsiTheme="minorEastAsia" w:cstheme="minorEastAsia"/>
                <w:b/>
                <w:bCs/>
                <w:i w:val="0"/>
                <w:iCs w:val="0"/>
                <w:color w:val="000000"/>
                <w:kern w:val="0"/>
                <w:sz w:val="21"/>
                <w:szCs w:val="21"/>
                <w:u w:val="none"/>
                <w:lang w:val="en-US" w:eastAsia="zh-CN" w:bidi="ar"/>
              </w:rPr>
              <w:t>安全监督</w:t>
            </w:r>
            <w:r>
              <w:rPr>
                <w:rFonts w:hint="eastAsia" w:asciiTheme="minorEastAsia" w:hAnsiTheme="minorEastAsia" w:eastAsiaTheme="minorEastAsia" w:cstheme="minorEastAsia"/>
                <w:b/>
                <w:bCs/>
                <w:i w:val="0"/>
                <w:iCs w:val="0"/>
                <w:color w:val="000000"/>
                <w:kern w:val="0"/>
                <w:sz w:val="21"/>
                <w:szCs w:val="21"/>
                <w:u w:val="none"/>
                <w:lang w:val="en-US" w:eastAsia="zh-CN" w:bidi="ar"/>
              </w:rPr>
              <w:t>系统</w:t>
            </w:r>
          </w:p>
        </w:tc>
      </w:tr>
      <w:tr>
        <w:tblPrEx>
          <w:tblCellMar>
            <w:top w:w="0" w:type="dxa"/>
            <w:left w:w="108" w:type="dxa"/>
            <w:bottom w:w="0" w:type="dxa"/>
            <w:right w:w="108" w:type="dxa"/>
          </w:tblCellMar>
        </w:tblPrEx>
        <w:trPr>
          <w:trHeight w:val="20" w:hRule="atLeast"/>
        </w:trPr>
        <w:tc>
          <w:tcPr>
            <w:tcW w:w="766"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247"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校园</w:t>
            </w:r>
            <w:r>
              <w:rPr>
                <w:rFonts w:hint="eastAsia" w:asciiTheme="minorEastAsia" w:hAnsiTheme="minorEastAsia" w:cstheme="minorEastAsia"/>
                <w:i w:val="0"/>
                <w:iCs w:val="0"/>
                <w:color w:val="000000"/>
                <w:kern w:val="0"/>
                <w:sz w:val="21"/>
                <w:szCs w:val="21"/>
                <w:u w:val="none"/>
                <w:lang w:val="en-US" w:eastAsia="zh-CN" w:bidi="ar"/>
              </w:rPr>
              <w:t>安全监督</w:t>
            </w:r>
            <w:r>
              <w:rPr>
                <w:rFonts w:hint="eastAsia" w:asciiTheme="minorEastAsia" w:hAnsiTheme="minorEastAsia" w:eastAsiaTheme="minorEastAsia" w:cstheme="minorEastAsia"/>
                <w:i w:val="0"/>
                <w:iCs w:val="0"/>
                <w:color w:val="000000"/>
                <w:kern w:val="0"/>
                <w:sz w:val="21"/>
                <w:szCs w:val="21"/>
                <w:u w:val="none"/>
                <w:lang w:val="en-US" w:eastAsia="zh-CN" w:bidi="ar"/>
              </w:rPr>
              <w:t>管控平台</w:t>
            </w: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cstheme="minorEastAsia"/>
                <w:szCs w:val="21"/>
              </w:rPr>
              <w:t>1.支持进入首页可查看设备全部报警事件，可通过事件、设备名称、语音关键字搜索事件、点击回放栏查看按钮，可查看报警音频/视频回放</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2.AI语音报警：查看全部AI语音终端报警记录，描述中会标注报警触发的关键词，也可以根据关键词检索，查看此关键词呼叫频率等</w:t>
            </w:r>
          </w:p>
        </w:tc>
      </w:tr>
      <w:tr>
        <w:tblPrEx>
          <w:tblCellMar>
            <w:top w:w="0" w:type="dxa"/>
            <w:left w:w="108" w:type="dxa"/>
            <w:bottom w:w="0" w:type="dxa"/>
            <w:right w:w="108" w:type="dxa"/>
          </w:tblCellMar>
        </w:tblPrEx>
        <w:trPr>
          <w:trHeight w:val="777"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3.支持远程录入方言关键词，支持远程删除方言关键词，支持批量操作</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▲4.支持喧哗报警，支持设置噪音分贝大小和设备触发灵敏度，自定义噪音检测功能启用时间段</w:t>
            </w:r>
            <w:r>
              <w:rPr>
                <w:rFonts w:hint="eastAsia" w:ascii="宋体" w:hAnsi="宋体"/>
                <w:b/>
                <w:color w:val="FF0000"/>
                <w:kern w:val="0"/>
              </w:rPr>
              <w:t>（提供功能证明材料或对应产品功能界面截图）</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5.支持可以查看设备在线离线情况，查看不同教学楼宿舍楼报警次数及占比情况，查看不同时间段报警次数，不同的敏感关键词报警次数及占比等</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6.支持AI指令配置：针对每一个敏感关键词，都可以配置不同的呼叫指令、呼叫模式、呼叫铃声、回复语音、自动回复播放策略、生效时间段等均可按照当地学校需求自定义配置</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▲7.可以自定义录入方言敏感关键词，支持≥58个固定关键报警词，支持自定义≥15个关键报警词</w:t>
            </w:r>
            <w:r>
              <w:rPr>
                <w:rFonts w:hint="eastAsia" w:ascii="宋体" w:hAnsi="宋体"/>
                <w:b/>
                <w:color w:val="FF0000"/>
                <w:kern w:val="0"/>
              </w:rPr>
              <w:t>（提供功能证明材料或对应产品功能界面截图）</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8.支持≥5种接警权限设置，支持2种报警优先级设置，立即通知和延时一级通知。</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9.支持≥3种分组类型普通分组、联动分组、联防分组。</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10.支持在线检测可查看在线和离线设备数量，绿色图标表明设备在线，灰色图标表明设备离线。</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11.支持录像存储可选择报警录像存储磁盘位置，设置磁盘空间余量，当磁盘空间小于设置值时，将删除部分报警录像，显示磁盘剩余空间。</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12.支持日志记录，记录设备、坐席用户操作等，可搜索备份记录，界面显示操作时间、用户名、日志类型、描述、设备名称、分组名等信息。</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▲13.支持设置≥3种呼叫模式，关键词唤醒，立即呼叫，唤醒后呼叫三种呼叫模式</w:t>
            </w:r>
            <w:r>
              <w:rPr>
                <w:rFonts w:hint="eastAsia" w:ascii="宋体" w:hAnsi="宋体"/>
                <w:b/>
                <w:color w:val="FF0000"/>
                <w:kern w:val="0"/>
              </w:rPr>
              <w:t>（提供功能证明材料或对应产品功能界面截图）</w:t>
            </w:r>
          </w:p>
        </w:tc>
      </w:tr>
      <w:tr>
        <w:tblPrEx>
          <w:tblCellMar>
            <w:top w:w="0" w:type="dxa"/>
            <w:left w:w="108" w:type="dxa"/>
            <w:bottom w:w="0" w:type="dxa"/>
            <w:right w:w="108" w:type="dxa"/>
          </w:tblCellMar>
        </w:tblPrEx>
        <w:trPr>
          <w:trHeight w:val="1087"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14.支持≥2种产品协议，标准SIP协议，私有协议双协议，支持通过SDK等对接到第三方平台</w:t>
            </w:r>
          </w:p>
        </w:tc>
      </w:tr>
      <w:tr>
        <w:tblPrEx>
          <w:tblCellMar>
            <w:top w:w="0" w:type="dxa"/>
            <w:left w:w="108" w:type="dxa"/>
            <w:bottom w:w="0" w:type="dxa"/>
            <w:right w:w="108" w:type="dxa"/>
          </w:tblCellMar>
        </w:tblPrEx>
        <w:trPr>
          <w:trHeight w:val="136" w:hRule="atLeast"/>
        </w:trPr>
        <w:tc>
          <w:tcPr>
            <w:tcW w:w="766"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15.硬件配置：Core i5</w:t>
            </w:r>
            <w:r>
              <w:rPr>
                <w:rFonts w:hint="eastAsia" w:asciiTheme="minorEastAsia" w:hAnsiTheme="minorEastAsia" w:cstheme="minorEastAsia"/>
                <w:szCs w:val="21"/>
                <w:lang w:val="en-US" w:eastAsia="zh-CN"/>
              </w:rPr>
              <w:t>或同等配置</w:t>
            </w:r>
            <w:r>
              <w:rPr>
                <w:rFonts w:hint="eastAsia" w:asciiTheme="minorEastAsia" w:hAnsiTheme="minorEastAsia" w:cstheme="minorEastAsia"/>
                <w:szCs w:val="21"/>
              </w:rPr>
              <w:t>，≥8G内存，≥1TB 机械硬盘</w:t>
            </w:r>
          </w:p>
        </w:tc>
      </w:tr>
      <w:tr>
        <w:tblPrEx>
          <w:tblCellMar>
            <w:top w:w="0" w:type="dxa"/>
            <w:left w:w="108" w:type="dxa"/>
            <w:bottom w:w="0" w:type="dxa"/>
            <w:right w:w="108" w:type="dxa"/>
          </w:tblCellMar>
        </w:tblPrEx>
        <w:trPr>
          <w:trHeight w:val="136" w:hRule="atLeast"/>
        </w:trPr>
        <w:tc>
          <w:tcPr>
            <w:tcW w:w="766"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16.前置接口：≥1路电源开关，≥2路USB2.0，后置接口：≥1路LAN，≥1路RS-232，≥4路USB2.0，≥1路VGA，≥1路HDMI，≥1组3.5音频，≥1路Ps/2</w:t>
            </w:r>
          </w:p>
        </w:tc>
      </w:tr>
      <w:tr>
        <w:tblPrEx>
          <w:tblCellMar>
            <w:top w:w="0" w:type="dxa"/>
            <w:left w:w="108" w:type="dxa"/>
            <w:bottom w:w="0" w:type="dxa"/>
            <w:right w:w="108" w:type="dxa"/>
          </w:tblCellMar>
        </w:tblPrEx>
        <w:trPr>
          <w:trHeight w:val="20" w:hRule="atLeast"/>
        </w:trPr>
        <w:tc>
          <w:tcPr>
            <w:tcW w:w="766"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247"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校园</w:t>
            </w:r>
            <w:r>
              <w:rPr>
                <w:rFonts w:hint="eastAsia" w:asciiTheme="minorEastAsia" w:hAnsiTheme="minorEastAsia" w:cstheme="minorEastAsia"/>
                <w:i w:val="0"/>
                <w:iCs w:val="0"/>
                <w:color w:val="000000"/>
                <w:kern w:val="0"/>
                <w:sz w:val="21"/>
                <w:szCs w:val="21"/>
                <w:u w:val="none"/>
                <w:lang w:val="en-US" w:eastAsia="zh-CN" w:bidi="ar"/>
              </w:rPr>
              <w:t>安全监督</w:t>
            </w:r>
            <w:r>
              <w:rPr>
                <w:rFonts w:hint="eastAsia" w:asciiTheme="minorEastAsia" w:hAnsiTheme="minorEastAsia" w:eastAsiaTheme="minorEastAsia" w:cstheme="minorEastAsia"/>
                <w:i w:val="0"/>
                <w:iCs w:val="0"/>
                <w:color w:val="000000"/>
                <w:kern w:val="0"/>
                <w:sz w:val="21"/>
                <w:szCs w:val="21"/>
                <w:u w:val="none"/>
                <w:lang w:val="en-US" w:eastAsia="zh-CN" w:bidi="ar"/>
              </w:rPr>
              <w:t>行为处置中心</w:t>
            </w: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cstheme="minorEastAsia"/>
                <w:szCs w:val="21"/>
              </w:rPr>
              <w:t>1.具有高清可视对讲、远程控制、自动排队、处理远程呼叫，一键接听挂断等功能。</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2.远程控制开关。</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3.具有实时广播、定时广播、分区广播、警报广播功能。</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▲4.支持主动循环查看报警终端视频。</w:t>
            </w:r>
            <w:r>
              <w:rPr>
                <w:rFonts w:hint="eastAsia" w:ascii="宋体" w:hAnsi="宋体"/>
                <w:b/>
                <w:color w:val="FF0000"/>
                <w:kern w:val="0"/>
              </w:rPr>
              <w:t>（提供功能证明材料或对应产品功能界面截图）</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5.支持一键对所有报警终端进行紧急预案广播：如火灾，地震等</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6.查询设备呼叫记录。</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7.视频界面按钮名称自定义。</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8.支持云台控制联动的监控相机摄像头转向，放大，缩放等</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9.监视监听功能。</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10.内置Wi-Fi和蓝牙，能够接入无线网络、配对蓝牙耳机或者手机，同时还可以提供手机/PAD等移动终端提供无线热点。</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11.支持HDMI辅流输入和HDMI双屏扩展；支持USB2.0扩展。</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12.高清触摸屏：≥10英寸，≥1280*800 像素IPS高清屏，多点触控屏。</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13.支持云台控制联动的监控相机摄像头转向，放大，缩放等</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14.支持≥1个MicroSD（TF）存储卡</w:t>
            </w:r>
          </w:p>
        </w:tc>
      </w:tr>
      <w:tr>
        <w:tblPrEx>
          <w:tblCellMar>
            <w:top w:w="0" w:type="dxa"/>
            <w:left w:w="108" w:type="dxa"/>
            <w:bottom w:w="0" w:type="dxa"/>
            <w:right w:w="108" w:type="dxa"/>
          </w:tblCellMar>
        </w:tblPrEx>
        <w:trPr>
          <w:trHeight w:val="20" w:hRule="atLeast"/>
        </w:trPr>
        <w:tc>
          <w:tcPr>
            <w:tcW w:w="766"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15.设备接口：≥1路HDMI-in，≥1路HDMI-out ≥1路USB2.0接口</w:t>
            </w:r>
          </w:p>
        </w:tc>
      </w:tr>
      <w:tr>
        <w:tblPrEx>
          <w:tblCellMar>
            <w:top w:w="0" w:type="dxa"/>
            <w:left w:w="108" w:type="dxa"/>
            <w:bottom w:w="0" w:type="dxa"/>
            <w:right w:w="108" w:type="dxa"/>
          </w:tblCellMar>
        </w:tblPrEx>
        <w:trPr>
          <w:trHeight w:val="35" w:hRule="atLeast"/>
        </w:trPr>
        <w:tc>
          <w:tcPr>
            <w:tcW w:w="766"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2247"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校园</w:t>
            </w:r>
            <w:r>
              <w:rPr>
                <w:rFonts w:hint="eastAsia" w:asciiTheme="minorEastAsia" w:hAnsiTheme="minorEastAsia" w:cstheme="minorEastAsia"/>
                <w:i w:val="0"/>
                <w:iCs w:val="0"/>
                <w:color w:val="000000"/>
                <w:kern w:val="0"/>
                <w:sz w:val="21"/>
                <w:szCs w:val="21"/>
                <w:u w:val="none"/>
                <w:lang w:val="en-US" w:eastAsia="zh-CN" w:bidi="ar"/>
              </w:rPr>
              <w:t>安全监督</w:t>
            </w:r>
            <w:r>
              <w:rPr>
                <w:rFonts w:hint="eastAsia" w:asciiTheme="minorEastAsia" w:hAnsiTheme="minorEastAsia" w:eastAsiaTheme="minorEastAsia" w:cstheme="minorEastAsia"/>
                <w:i w:val="0"/>
                <w:iCs w:val="0"/>
                <w:color w:val="000000"/>
                <w:kern w:val="0"/>
                <w:sz w:val="21"/>
                <w:szCs w:val="21"/>
                <w:u w:val="none"/>
                <w:lang w:val="en-US" w:eastAsia="zh-CN" w:bidi="ar"/>
              </w:rPr>
              <w:t>行为预警终端（IP款）</w:t>
            </w: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9BBB59"/>
                <w:sz w:val="21"/>
                <w:szCs w:val="21"/>
              </w:rPr>
            </w:pPr>
            <w:r>
              <w:rPr>
                <w:rFonts w:hint="eastAsia" w:asciiTheme="minorEastAsia" w:hAnsiTheme="minorEastAsia" w:cstheme="minorEastAsia"/>
                <w:szCs w:val="21"/>
              </w:rPr>
              <w:t>1.铝合金拉丝面板，坚固耐用</w:t>
            </w:r>
          </w:p>
        </w:tc>
      </w:tr>
      <w:tr>
        <w:tblPrEx>
          <w:tblCellMar>
            <w:top w:w="0" w:type="dxa"/>
            <w:left w:w="108" w:type="dxa"/>
            <w:bottom w:w="0" w:type="dxa"/>
            <w:right w:w="108" w:type="dxa"/>
          </w:tblCellMar>
        </w:tblPrEx>
        <w:trPr>
          <w:trHeight w:val="35"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2.全双工语音对讲,响应各对讲终端的呼叫和通话请求</w:t>
            </w:r>
          </w:p>
        </w:tc>
      </w:tr>
      <w:tr>
        <w:tblPrEx>
          <w:tblCellMar>
            <w:top w:w="0" w:type="dxa"/>
            <w:left w:w="108" w:type="dxa"/>
            <w:bottom w:w="0" w:type="dxa"/>
            <w:right w:w="108" w:type="dxa"/>
          </w:tblCellMar>
        </w:tblPrEx>
        <w:trPr>
          <w:trHeight w:val="35"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3.支持一键呼叫、一键对讲、一键求助、一键报警等通话模式，支持自动接听、手动接听，支持自定义接听提示音。</w:t>
            </w:r>
          </w:p>
        </w:tc>
      </w:tr>
      <w:tr>
        <w:tblPrEx>
          <w:tblCellMar>
            <w:top w:w="0" w:type="dxa"/>
            <w:left w:w="108" w:type="dxa"/>
            <w:bottom w:w="0" w:type="dxa"/>
            <w:right w:w="108" w:type="dxa"/>
          </w:tblCellMar>
        </w:tblPrEx>
        <w:trPr>
          <w:trHeight w:val="35"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4.关键词语音触发报警/求助、噪音检测自动报警</w:t>
            </w:r>
          </w:p>
        </w:tc>
      </w:tr>
      <w:tr>
        <w:tblPrEx>
          <w:tblCellMar>
            <w:top w:w="0" w:type="dxa"/>
            <w:left w:w="108" w:type="dxa"/>
            <w:bottom w:w="0" w:type="dxa"/>
            <w:right w:w="108" w:type="dxa"/>
          </w:tblCellMar>
        </w:tblPrEx>
        <w:trPr>
          <w:trHeight w:val="35"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5.捕捉辱骂、呼救等关键词、出厂默认救命啊、着火了、打架了等≥15个固定关键词</w:t>
            </w:r>
          </w:p>
        </w:tc>
      </w:tr>
      <w:tr>
        <w:tblPrEx>
          <w:tblCellMar>
            <w:top w:w="0" w:type="dxa"/>
            <w:left w:w="108" w:type="dxa"/>
            <w:bottom w:w="0" w:type="dxa"/>
            <w:right w:w="108" w:type="dxa"/>
          </w:tblCellMar>
        </w:tblPrEx>
        <w:trPr>
          <w:trHeight w:val="35"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6.支持方言语义分析，支持自定义≥15个关键词，支持录入方言报警词</w:t>
            </w:r>
          </w:p>
        </w:tc>
      </w:tr>
      <w:tr>
        <w:tblPrEx>
          <w:tblCellMar>
            <w:top w:w="0" w:type="dxa"/>
            <w:left w:w="108" w:type="dxa"/>
            <w:bottom w:w="0" w:type="dxa"/>
            <w:right w:w="108" w:type="dxa"/>
          </w:tblCellMar>
        </w:tblPrEx>
        <w:trPr>
          <w:trHeight w:val="35"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7.支持</w:t>
            </w:r>
            <w:r>
              <w:rPr>
                <w:rFonts w:hint="eastAsia" w:asciiTheme="minorEastAsia" w:hAnsiTheme="minorEastAsia" w:cstheme="minorEastAsia"/>
                <w:szCs w:val="21"/>
                <w:lang w:eastAsia="zh-CN"/>
              </w:rPr>
              <w:t>安全监督</w:t>
            </w:r>
            <w:r>
              <w:rPr>
                <w:rFonts w:hint="eastAsia" w:asciiTheme="minorEastAsia" w:hAnsiTheme="minorEastAsia" w:cstheme="minorEastAsia"/>
                <w:szCs w:val="21"/>
              </w:rPr>
              <w:t>平台软件统一下发关键词和方言</w:t>
            </w:r>
          </w:p>
        </w:tc>
      </w:tr>
      <w:tr>
        <w:tblPrEx>
          <w:tblCellMar>
            <w:top w:w="0" w:type="dxa"/>
            <w:left w:w="108" w:type="dxa"/>
            <w:bottom w:w="0" w:type="dxa"/>
            <w:right w:w="108" w:type="dxa"/>
          </w:tblCellMar>
        </w:tblPrEx>
        <w:trPr>
          <w:trHeight w:val="35"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8.支持IP网络架构，跨网段、跨路由</w:t>
            </w:r>
          </w:p>
        </w:tc>
      </w:tr>
      <w:tr>
        <w:tblPrEx>
          <w:tblCellMar>
            <w:top w:w="0" w:type="dxa"/>
            <w:left w:w="108" w:type="dxa"/>
            <w:bottom w:w="0" w:type="dxa"/>
            <w:right w:w="108" w:type="dxa"/>
          </w:tblCellMar>
        </w:tblPrEx>
        <w:trPr>
          <w:trHeight w:val="35"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9.≥5米距离高灵敏度拾音麦克风</w:t>
            </w:r>
          </w:p>
        </w:tc>
      </w:tr>
      <w:tr>
        <w:tblPrEx>
          <w:tblCellMar>
            <w:top w:w="0" w:type="dxa"/>
            <w:left w:w="108" w:type="dxa"/>
            <w:bottom w:w="0" w:type="dxa"/>
            <w:right w:w="108" w:type="dxa"/>
          </w:tblCellMar>
        </w:tblPrEx>
        <w:trPr>
          <w:trHeight w:val="35"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10.≥5W高音质扬声器，支持外接≥30W音响</w:t>
            </w:r>
          </w:p>
        </w:tc>
      </w:tr>
      <w:tr>
        <w:tblPrEx>
          <w:tblCellMar>
            <w:top w:w="0" w:type="dxa"/>
            <w:left w:w="108" w:type="dxa"/>
            <w:bottom w:w="0" w:type="dxa"/>
            <w:right w:w="108" w:type="dxa"/>
          </w:tblCellMar>
        </w:tblPrEx>
        <w:trPr>
          <w:trHeight w:val="35"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11.支持≥2种报警关键词录入方式</w:t>
            </w:r>
          </w:p>
        </w:tc>
      </w:tr>
      <w:tr>
        <w:tblPrEx>
          <w:tblCellMar>
            <w:top w:w="0" w:type="dxa"/>
            <w:left w:w="108" w:type="dxa"/>
            <w:bottom w:w="0" w:type="dxa"/>
            <w:right w:w="108" w:type="dxa"/>
          </w:tblCellMar>
        </w:tblPrEx>
        <w:trPr>
          <w:trHeight w:val="35"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12.支持≥3种接听方式，报警到电脑软件，管理主机，微信小程序同时收到报警，谁先接听谁处理</w:t>
            </w:r>
          </w:p>
        </w:tc>
      </w:tr>
      <w:tr>
        <w:tblPrEx>
          <w:tblCellMar>
            <w:top w:w="0" w:type="dxa"/>
            <w:left w:w="108" w:type="dxa"/>
            <w:bottom w:w="0" w:type="dxa"/>
            <w:right w:w="108" w:type="dxa"/>
          </w:tblCellMar>
        </w:tblPrEx>
        <w:trPr>
          <w:trHeight w:val="35"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13.主动监听功能</w:t>
            </w:r>
          </w:p>
        </w:tc>
      </w:tr>
      <w:tr>
        <w:tblPrEx>
          <w:tblCellMar>
            <w:top w:w="0" w:type="dxa"/>
            <w:left w:w="108" w:type="dxa"/>
            <w:bottom w:w="0" w:type="dxa"/>
            <w:right w:w="108" w:type="dxa"/>
          </w:tblCellMar>
        </w:tblPrEx>
        <w:trPr>
          <w:trHeight w:val="35"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14.日常不录音录像，报警时自动录音录像功能</w:t>
            </w:r>
          </w:p>
        </w:tc>
      </w:tr>
      <w:tr>
        <w:tblPrEx>
          <w:tblCellMar>
            <w:top w:w="0" w:type="dxa"/>
            <w:left w:w="108" w:type="dxa"/>
            <w:bottom w:w="0" w:type="dxa"/>
            <w:right w:w="108" w:type="dxa"/>
          </w:tblCellMar>
        </w:tblPrEx>
        <w:trPr>
          <w:trHeight w:val="68" w:hRule="atLeast"/>
        </w:trPr>
        <w:tc>
          <w:tcPr>
            <w:tcW w:w="766"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15.支持≥7*24小时定时广播、实时广播、分区广播，手机APP广播，TTS文字转语音广播等</w:t>
            </w:r>
          </w:p>
        </w:tc>
      </w:tr>
      <w:tr>
        <w:tblPrEx>
          <w:tblCellMar>
            <w:top w:w="0" w:type="dxa"/>
            <w:left w:w="108" w:type="dxa"/>
            <w:bottom w:w="0" w:type="dxa"/>
            <w:right w:w="108" w:type="dxa"/>
          </w:tblCellMar>
        </w:tblPrEx>
        <w:trPr>
          <w:trHeight w:val="68" w:hRule="atLeast"/>
        </w:trPr>
        <w:tc>
          <w:tcPr>
            <w:tcW w:w="766"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16.支持外接声光警灯，与终端进行联动声光报警。</w:t>
            </w:r>
          </w:p>
        </w:tc>
      </w:tr>
      <w:tr>
        <w:tblPrEx>
          <w:tblCellMar>
            <w:top w:w="0" w:type="dxa"/>
            <w:left w:w="108" w:type="dxa"/>
            <w:bottom w:w="0" w:type="dxa"/>
            <w:right w:w="108" w:type="dxa"/>
          </w:tblCellMar>
        </w:tblPrEx>
        <w:trPr>
          <w:trHeight w:val="68" w:hRule="atLeast"/>
        </w:trPr>
        <w:tc>
          <w:tcPr>
            <w:tcW w:w="766"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17.支持外接烟感和禁烟器，能够及时发现火灾和学生吸烟并触发终端报警</w:t>
            </w:r>
          </w:p>
        </w:tc>
      </w:tr>
      <w:tr>
        <w:tblPrEx>
          <w:tblCellMar>
            <w:top w:w="0" w:type="dxa"/>
            <w:left w:w="108" w:type="dxa"/>
            <w:bottom w:w="0" w:type="dxa"/>
            <w:right w:w="108" w:type="dxa"/>
          </w:tblCellMar>
        </w:tblPrEx>
        <w:trPr>
          <w:trHeight w:val="68" w:hRule="atLeast"/>
        </w:trPr>
        <w:tc>
          <w:tcPr>
            <w:tcW w:w="766"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18.采用嵌入式LINUX操作系统</w:t>
            </w:r>
          </w:p>
        </w:tc>
      </w:tr>
      <w:tr>
        <w:tblPrEx>
          <w:tblCellMar>
            <w:top w:w="0" w:type="dxa"/>
            <w:left w:w="108" w:type="dxa"/>
            <w:bottom w:w="0" w:type="dxa"/>
            <w:right w:w="108" w:type="dxa"/>
          </w:tblCellMar>
        </w:tblPrEx>
        <w:trPr>
          <w:trHeight w:val="23" w:hRule="atLeast"/>
        </w:trPr>
        <w:tc>
          <w:tcPr>
            <w:tcW w:w="766"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2247"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智能电源管理中心主机</w:t>
            </w: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9BBB59"/>
                <w:sz w:val="21"/>
                <w:szCs w:val="21"/>
              </w:rPr>
            </w:pPr>
            <w:r>
              <w:rPr>
                <w:rFonts w:hint="eastAsia" w:asciiTheme="minorEastAsia" w:hAnsiTheme="minorEastAsia" w:cstheme="minorEastAsia"/>
                <w:szCs w:val="21"/>
              </w:rPr>
              <w:t>1.WiFi智能电源管理器，WIFI传输距离≥30m无遮挡，≥4寸高分辨率显示屏，手机APP远程控制，≥8路可控输出,一台手机可以管理多台设备；</w:t>
            </w:r>
            <w:r>
              <w:rPr>
                <w:rFonts w:hint="eastAsia" w:ascii="宋体" w:hAnsi="宋体"/>
                <w:b/>
                <w:color w:val="FF0000"/>
                <w:kern w:val="0"/>
              </w:rPr>
              <w:t>（需提供第三方机构颁发的具有CMA和CNAS标识的检验（检测）报告；完整的检验（检测）报告（包括报告的封面、首页、内容页），如缺页则按无效报告； ②检验（检测）报告在全国认证认可信息公共服务平台(认e云)(http://cx.cnca.cn/)。</w:t>
            </w:r>
            <w:r>
              <w:rPr>
                <w:rFonts w:hint="eastAsia" w:ascii="宋体" w:hAnsi="宋体"/>
                <w:b/>
                <w:color w:val="FF0000"/>
                <w:kern w:val="0"/>
                <w:lang w:val="en-US" w:eastAsia="zh-CN"/>
              </w:rPr>
              <w:t>③</w:t>
            </w:r>
            <w:r>
              <w:rPr>
                <w:rFonts w:hint="eastAsia" w:ascii="宋体" w:hAnsi="宋体"/>
                <w:b/>
                <w:color w:val="FF0000"/>
                <w:kern w:val="0"/>
              </w:rPr>
              <w:t>对应参数(检验检测项)在检验（检测）报告中进行标注，如无进行标注则视为负偏离。</w:t>
            </w:r>
            <w:r>
              <w:rPr>
                <w:rFonts w:hint="eastAsia" w:asciiTheme="minorEastAsia" w:hAnsiTheme="minorEastAsia" w:cstheme="minorEastAsia"/>
                <w:color w:val="FF0000"/>
                <w:szCs w:val="21"/>
              </w:rPr>
              <w:t>）</w:t>
            </w:r>
          </w:p>
        </w:tc>
      </w:tr>
      <w:tr>
        <w:tblPrEx>
          <w:tblCellMar>
            <w:top w:w="0" w:type="dxa"/>
            <w:left w:w="108" w:type="dxa"/>
            <w:bottom w:w="0" w:type="dxa"/>
            <w:right w:w="108" w:type="dxa"/>
          </w:tblCellMar>
        </w:tblPrEx>
        <w:trPr>
          <w:trHeight w:val="2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2.内置功率计，电压、电流、功率、功率因数实时显示并且实时上传手机远程监控，带有过压保护，过流保护，欠压保护；</w:t>
            </w:r>
            <w:r>
              <w:rPr>
                <w:rFonts w:hint="eastAsia" w:ascii="宋体" w:hAnsi="宋体"/>
                <w:b/>
                <w:color w:val="FF0000"/>
                <w:kern w:val="0"/>
              </w:rPr>
              <w:t>（</w:t>
            </w:r>
            <w:bookmarkStart w:id="14" w:name="OLE_LINK1"/>
            <w:r>
              <w:rPr>
                <w:rFonts w:hint="eastAsia" w:ascii="宋体" w:hAnsi="宋体"/>
                <w:b/>
                <w:color w:val="FF0000"/>
                <w:kern w:val="0"/>
              </w:rPr>
              <w:t>需提供</w:t>
            </w:r>
            <w:bookmarkEnd w:id="14"/>
            <w:r>
              <w:rPr>
                <w:rFonts w:hint="eastAsia" w:ascii="宋体" w:hAnsi="宋体"/>
                <w:b/>
                <w:color w:val="FF0000"/>
                <w:kern w:val="0"/>
              </w:rPr>
              <w:t>第三方机构颁发的具有CMA和CNAS标识的检验（检测）报告；完整的检验（检测）报告（包括报告的封面、首页、内容页），如缺页则按无效报告； ②检验（检测）报告在全国认证认可信息公共服务平台(认e云)(http://cx.cnca.cn/)。</w:t>
            </w:r>
            <w:r>
              <w:rPr>
                <w:rFonts w:hint="eastAsia" w:ascii="宋体" w:hAnsi="宋体"/>
                <w:b/>
                <w:color w:val="FF0000"/>
                <w:kern w:val="0"/>
                <w:lang w:val="en-US" w:eastAsia="zh-CN"/>
              </w:rPr>
              <w:t>③</w:t>
            </w:r>
            <w:r>
              <w:rPr>
                <w:rFonts w:hint="eastAsia" w:ascii="宋体" w:hAnsi="宋体"/>
                <w:b/>
                <w:color w:val="FF0000"/>
                <w:kern w:val="0"/>
              </w:rPr>
              <w:t>对应参数(检验检测项)在检验（检测）报告中进行标注，如无进行标注则视为负偏离。</w:t>
            </w:r>
            <w:r>
              <w:rPr>
                <w:rFonts w:hint="eastAsia" w:asciiTheme="minorEastAsia" w:hAnsiTheme="minorEastAsia" w:cstheme="minorEastAsia"/>
                <w:color w:val="FF0000"/>
                <w:szCs w:val="21"/>
              </w:rPr>
              <w:t>）</w:t>
            </w:r>
          </w:p>
        </w:tc>
      </w:tr>
      <w:tr>
        <w:tblPrEx>
          <w:tblCellMar>
            <w:top w:w="0" w:type="dxa"/>
            <w:left w:w="108" w:type="dxa"/>
            <w:bottom w:w="0" w:type="dxa"/>
            <w:right w:w="108" w:type="dxa"/>
          </w:tblCellMar>
        </w:tblPrEx>
        <w:trPr>
          <w:trHeight w:val="2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3.支持电压保护：过压保护从130V-500V均可设置，当电压超过设定值不启动，使用过程中超过设置电压自动跳开(断开后可手动和APP开启)；</w:t>
            </w:r>
          </w:p>
        </w:tc>
      </w:tr>
      <w:tr>
        <w:tblPrEx>
          <w:tblCellMar>
            <w:top w:w="0" w:type="dxa"/>
            <w:left w:w="108" w:type="dxa"/>
            <w:bottom w:w="0" w:type="dxa"/>
            <w:right w:w="108" w:type="dxa"/>
          </w:tblCellMar>
        </w:tblPrEx>
        <w:trPr>
          <w:trHeight w:val="2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4.支持欠压保护：欠压保护从90V-250V均可设置，当电压超过设定值不启动，使用过程中超过设置电压自动跳开(断开后可手动和APP开启)；</w:t>
            </w:r>
            <w:r>
              <w:rPr>
                <w:rFonts w:hint="eastAsia" w:ascii="宋体" w:hAnsi="宋体"/>
                <w:b/>
                <w:color w:val="FF0000"/>
                <w:kern w:val="0"/>
              </w:rPr>
              <w:t>（需提供第三方机构颁发的具有CMA和CNAS标识的检验（检测）报告；完整的检验（检测）报告（包括报告的封面、首页、内容页），如缺页则按无效报告； ②检验（检测）报告在全国认证认可信息公共服务平台(认e云)(http://cx.cnca.cn/)。</w:t>
            </w:r>
            <w:r>
              <w:rPr>
                <w:rFonts w:hint="eastAsia" w:ascii="宋体" w:hAnsi="宋体"/>
                <w:b/>
                <w:color w:val="FF0000"/>
                <w:kern w:val="0"/>
                <w:lang w:val="en-US" w:eastAsia="zh-CN"/>
              </w:rPr>
              <w:t>③</w:t>
            </w:r>
            <w:r>
              <w:rPr>
                <w:rFonts w:hint="eastAsia" w:ascii="宋体" w:hAnsi="宋体"/>
                <w:b/>
                <w:color w:val="FF0000"/>
                <w:kern w:val="0"/>
              </w:rPr>
              <w:t>对应参数(检验检测项)在检验（检测）报告中进行标注，如无进行标注则视为负偏离。</w:t>
            </w:r>
            <w:r>
              <w:rPr>
                <w:rFonts w:hint="eastAsia" w:asciiTheme="minorEastAsia" w:hAnsiTheme="minorEastAsia" w:cstheme="minorEastAsia"/>
                <w:color w:val="FF0000"/>
                <w:szCs w:val="21"/>
              </w:rPr>
              <w:t>）</w:t>
            </w:r>
          </w:p>
        </w:tc>
      </w:tr>
      <w:tr>
        <w:tblPrEx>
          <w:tblCellMar>
            <w:top w:w="0" w:type="dxa"/>
            <w:left w:w="108" w:type="dxa"/>
            <w:bottom w:w="0" w:type="dxa"/>
            <w:right w:w="108" w:type="dxa"/>
          </w:tblCellMar>
        </w:tblPrEx>
        <w:trPr>
          <w:trHeight w:val="2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5.支持电流保护：过流保护从1A-50A均可设置，当电流超过设定值自动跳开(断开后可手动和APP开启)；</w:t>
            </w:r>
          </w:p>
        </w:tc>
      </w:tr>
      <w:tr>
        <w:tblPrEx>
          <w:tblCellMar>
            <w:top w:w="0" w:type="dxa"/>
            <w:left w:w="108" w:type="dxa"/>
            <w:bottom w:w="0" w:type="dxa"/>
            <w:right w:w="108" w:type="dxa"/>
          </w:tblCellMar>
        </w:tblPrEx>
        <w:trPr>
          <w:trHeight w:val="2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6.支持一键配网：在同一WiFi局域网下即可通过APP配网,匹配完成后自动连接网络；</w:t>
            </w:r>
          </w:p>
        </w:tc>
      </w:tr>
      <w:tr>
        <w:tblPrEx>
          <w:tblCellMar>
            <w:top w:w="0" w:type="dxa"/>
            <w:left w:w="108" w:type="dxa"/>
            <w:bottom w:w="0" w:type="dxa"/>
            <w:right w:w="108" w:type="dxa"/>
          </w:tblCellMar>
        </w:tblPrEx>
        <w:trPr>
          <w:trHeight w:val="2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7.支持中控系统：支持485/232通讯接口，波特率可设置；</w:t>
            </w:r>
          </w:p>
        </w:tc>
      </w:tr>
      <w:tr>
        <w:tblPrEx>
          <w:tblCellMar>
            <w:top w:w="0" w:type="dxa"/>
            <w:left w:w="108" w:type="dxa"/>
            <w:bottom w:w="0" w:type="dxa"/>
            <w:right w:w="108" w:type="dxa"/>
          </w:tblCellMar>
        </w:tblPrEx>
        <w:trPr>
          <w:trHeight w:val="2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8.支持掉电记忆：当设备突然断电数据自动储存；</w:t>
            </w:r>
          </w:p>
        </w:tc>
      </w:tr>
      <w:tr>
        <w:tblPrEx>
          <w:tblCellMar>
            <w:top w:w="0" w:type="dxa"/>
            <w:left w:w="108" w:type="dxa"/>
            <w:bottom w:w="0" w:type="dxa"/>
            <w:right w:w="108" w:type="dxa"/>
          </w:tblCellMar>
        </w:tblPrEx>
        <w:trPr>
          <w:trHeight w:val="1087"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9.支持循环定制开关。定时可以自定义添加删除，最多支持≥100个定时任务；</w:t>
            </w:r>
            <w:r>
              <w:rPr>
                <w:rFonts w:hint="eastAsia" w:ascii="宋体" w:hAnsi="宋体"/>
                <w:b/>
                <w:color w:val="FF0000"/>
                <w:kern w:val="0"/>
              </w:rPr>
              <w:t>（需提供第三方机构颁发的具有CMA和CNAS标识的检验（检测）报告；完整的检验（检测）报告（包括报告的封面、首页、内容页），如缺页则按无效报告； ②检验（检测）报告在全国认证认可信息公共服务平台(认e云)(http://cx.cnca.cn/)。</w:t>
            </w:r>
            <w:r>
              <w:rPr>
                <w:rFonts w:hint="eastAsia" w:ascii="宋体" w:hAnsi="宋体"/>
                <w:b/>
                <w:color w:val="FF0000"/>
                <w:kern w:val="0"/>
                <w:lang w:val="en-US" w:eastAsia="zh-CN"/>
              </w:rPr>
              <w:t>③</w:t>
            </w:r>
            <w:r>
              <w:rPr>
                <w:rFonts w:hint="eastAsia" w:ascii="宋体" w:hAnsi="宋体"/>
                <w:b/>
                <w:color w:val="FF0000"/>
                <w:kern w:val="0"/>
              </w:rPr>
              <w:t>对应参数(检验检测项)在检验（检测）报告中进行标注，如无进行标注则视为负偏离。</w:t>
            </w:r>
            <w:r>
              <w:rPr>
                <w:rFonts w:hint="eastAsia" w:asciiTheme="minorEastAsia" w:hAnsiTheme="minorEastAsia" w:cstheme="minorEastAsia"/>
                <w:color w:val="FF0000"/>
                <w:szCs w:val="21"/>
              </w:rPr>
              <w:t>）</w:t>
            </w:r>
          </w:p>
        </w:tc>
      </w:tr>
      <w:tr>
        <w:tblPrEx>
          <w:tblCellMar>
            <w:top w:w="0" w:type="dxa"/>
            <w:left w:w="108" w:type="dxa"/>
            <w:bottom w:w="0" w:type="dxa"/>
            <w:right w:w="108" w:type="dxa"/>
          </w:tblCellMar>
        </w:tblPrEx>
        <w:trPr>
          <w:trHeight w:val="2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10.支持上电自启：当设备设定开启上电自启后，每次设备通电会开启所有设备通道；</w:t>
            </w:r>
          </w:p>
        </w:tc>
      </w:tr>
      <w:tr>
        <w:tblPrEx>
          <w:tblCellMar>
            <w:top w:w="0" w:type="dxa"/>
            <w:left w:w="108" w:type="dxa"/>
            <w:bottom w:w="0" w:type="dxa"/>
            <w:right w:w="108" w:type="dxa"/>
          </w:tblCellMar>
        </w:tblPrEx>
        <w:trPr>
          <w:trHeight w:val="2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11.支持屏幕保护：当此功能打开以后，触摸屏一分钟无任何操作会自动跳至锁屏界面；</w:t>
            </w:r>
          </w:p>
        </w:tc>
      </w:tr>
      <w:tr>
        <w:tblPrEx>
          <w:tblCellMar>
            <w:top w:w="0" w:type="dxa"/>
            <w:left w:w="108" w:type="dxa"/>
            <w:bottom w:w="0" w:type="dxa"/>
            <w:right w:w="108" w:type="dxa"/>
          </w:tblCellMar>
        </w:tblPrEx>
        <w:trPr>
          <w:trHeight w:val="2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12.支持通道开关机延时设置：每路可单独设置开关机延时1-999秒；</w:t>
            </w:r>
          </w:p>
        </w:tc>
      </w:tr>
      <w:tr>
        <w:tblPrEx>
          <w:tblCellMar>
            <w:top w:w="0" w:type="dxa"/>
            <w:left w:w="108" w:type="dxa"/>
            <w:bottom w:w="0" w:type="dxa"/>
            <w:right w:w="108" w:type="dxa"/>
          </w:tblCellMar>
        </w:tblPrEx>
        <w:trPr>
          <w:trHeight w:val="23" w:hRule="atLeast"/>
        </w:trPr>
        <w:tc>
          <w:tcPr>
            <w:tcW w:w="766"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247" w:type="dxa"/>
            <w:vMerge w:val="continue"/>
            <w:tcBorders>
              <w:left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52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szCs w:val="21"/>
              </w:rPr>
              <w:t>13.支持联机：RS232联机最长距离≥10米；</w:t>
            </w:r>
          </w:p>
        </w:tc>
      </w:tr>
      <w:tr>
        <w:tblPrEx>
          <w:tblCellMar>
            <w:top w:w="0" w:type="dxa"/>
            <w:left w:w="108" w:type="dxa"/>
            <w:bottom w:w="0" w:type="dxa"/>
            <w:right w:w="108" w:type="dxa"/>
          </w:tblCellMar>
        </w:tblPrEx>
        <w:trPr>
          <w:trHeight w:val="270" w:hRule="atLeast"/>
        </w:trPr>
        <w:tc>
          <w:tcPr>
            <w:tcW w:w="766"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2247"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系统调试费</w:t>
            </w:r>
          </w:p>
        </w:tc>
        <w:tc>
          <w:tcPr>
            <w:tcW w:w="5246"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jc w:val="left"/>
              <w:textAlignment w:val="center"/>
              <w:rPr>
                <w:rFonts w:hint="eastAsia" w:asciiTheme="minorEastAsia" w:hAnsiTheme="minorEastAsia" w:cstheme="minorEastAsia"/>
                <w:szCs w:val="21"/>
              </w:rPr>
            </w:pPr>
            <w:r>
              <w:rPr>
                <w:rFonts w:hint="eastAsia" w:asciiTheme="minorEastAsia" w:hAnsiTheme="minorEastAsia" w:cstheme="minorEastAsia"/>
                <w:szCs w:val="21"/>
                <w:lang w:eastAsia="zh-CN"/>
              </w:rPr>
              <w:t>安全监督</w:t>
            </w:r>
            <w:r>
              <w:rPr>
                <w:rFonts w:hint="eastAsia" w:asciiTheme="minorEastAsia" w:hAnsiTheme="minorEastAsia" w:cstheme="minorEastAsia"/>
                <w:szCs w:val="21"/>
              </w:rPr>
              <w:t>系统调试</w:t>
            </w:r>
          </w:p>
        </w:tc>
      </w:tr>
      <w:tr>
        <w:tblPrEx>
          <w:tblCellMar>
            <w:top w:w="0" w:type="dxa"/>
            <w:left w:w="108" w:type="dxa"/>
            <w:bottom w:w="0" w:type="dxa"/>
            <w:right w:w="108" w:type="dxa"/>
          </w:tblCellMar>
        </w:tblPrEx>
        <w:trPr>
          <w:trHeight w:val="345" w:hRule="atLeast"/>
        </w:trPr>
        <w:tc>
          <w:tcPr>
            <w:tcW w:w="7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224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运维保障服务</w:t>
            </w:r>
          </w:p>
        </w:tc>
        <w:tc>
          <w:tcPr>
            <w:tcW w:w="52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numPr>
                <w:ilvl w:val="-1"/>
                <w:numId w:val="0"/>
              </w:numPr>
              <w:suppressLineNumbers w:val="0"/>
              <w:jc w:val="left"/>
              <w:textAlignment w:val="center"/>
              <w:rPr>
                <w:rFonts w:hint="eastAsia" w:asciiTheme="minorEastAsia" w:hAnsiTheme="minorEastAsia" w:cstheme="minorEastAsia"/>
                <w:b w:val="0"/>
                <w:bCs w:val="0"/>
                <w:szCs w:val="21"/>
                <w:lang w:val="en-US" w:eastAsia="zh-CN"/>
              </w:rPr>
            </w:pPr>
            <w:r>
              <w:rPr>
                <w:rFonts w:hint="eastAsia" w:asciiTheme="minorEastAsia" w:hAnsiTheme="minorEastAsia" w:cstheme="minorEastAsia"/>
                <w:b w:val="0"/>
                <w:bCs w:val="0"/>
                <w:szCs w:val="21"/>
                <w:lang w:val="en-US" w:eastAsia="zh-CN"/>
              </w:rPr>
              <w:t>1.提供运维保障服务</w:t>
            </w:r>
          </w:p>
          <w:p>
            <w:pPr>
              <w:keepNext w:val="0"/>
              <w:keepLines w:val="0"/>
              <w:widowControl/>
              <w:suppressLineNumbers w:val="0"/>
              <w:jc w:val="left"/>
              <w:textAlignment w:val="center"/>
              <w:rPr>
                <w:rFonts w:hint="eastAsia" w:asciiTheme="minorEastAsia" w:hAnsiTheme="minorEastAsia" w:cstheme="minorEastAsia"/>
                <w:szCs w:val="21"/>
              </w:rPr>
            </w:pPr>
            <w:r>
              <w:rPr>
                <w:rFonts w:hint="eastAsia" w:asciiTheme="minorEastAsia" w:hAnsiTheme="minorEastAsia" w:cstheme="minorEastAsia"/>
                <w:b w:val="0"/>
                <w:bCs w:val="0"/>
                <w:color w:val="auto"/>
                <w:sz w:val="21"/>
                <w:szCs w:val="21"/>
                <w:lang w:val="en-US" w:eastAsia="zh-CN" w:bidi="ar"/>
              </w:rPr>
              <w:t>2.</w:t>
            </w:r>
            <w:r>
              <w:rPr>
                <w:rFonts w:hint="eastAsia" w:asciiTheme="minorEastAsia" w:hAnsiTheme="minorEastAsia" w:eastAsiaTheme="minorEastAsia" w:cstheme="minorEastAsia"/>
                <w:b w:val="0"/>
                <w:bCs w:val="0"/>
                <w:color w:val="auto"/>
                <w:sz w:val="21"/>
                <w:szCs w:val="21"/>
                <w:lang w:eastAsia="zh-CN" w:bidi="ar"/>
              </w:rPr>
              <w:t>巡检服务，每月提供一次</w:t>
            </w:r>
          </w:p>
        </w:tc>
      </w:tr>
    </w:tbl>
    <w:p>
      <w:pPr>
        <w:rPr>
          <w:rFonts w:hint="eastAsia" w:ascii="宋体" w:hAnsi="宋体" w:eastAsia="宋体" w:cs="Times New Roman"/>
          <w:b/>
          <w:color w:val="FF0000"/>
          <w:szCs w:val="21"/>
        </w:rPr>
      </w:pPr>
    </w:p>
    <w:p>
      <w:pPr>
        <w:rPr>
          <w:rFonts w:hint="eastAsia" w:ascii="宋体" w:hAnsi="宋体" w:eastAsia="宋体" w:cs="Times New Roman"/>
          <w:b/>
          <w:color w:val="FF0000"/>
          <w:szCs w:val="21"/>
          <w:highlight w:val="yellow"/>
        </w:rPr>
      </w:pPr>
      <w:r>
        <w:rPr>
          <w:rFonts w:hint="eastAsia" w:ascii="宋体" w:hAnsi="宋体" w:eastAsia="宋体" w:cs="Times New Roman"/>
          <w:b/>
          <w:color w:val="FF0000"/>
          <w:szCs w:val="21"/>
        </w:rPr>
        <w:t>1、带</w:t>
      </w:r>
      <w:r>
        <w:rPr>
          <w:rFonts w:hint="eastAsia" w:ascii="宋体" w:hAnsi="宋体" w:eastAsia="宋体" w:cs="Times New Roman"/>
          <w:b/>
          <w:bCs/>
          <w:color w:val="FF0000"/>
          <w:szCs w:val="21"/>
        </w:rPr>
        <w:t>★</w:t>
      </w:r>
      <w:r>
        <w:rPr>
          <w:rFonts w:hint="eastAsia" w:ascii="宋体" w:hAnsi="宋体" w:eastAsia="宋体" w:cs="Times New Roman"/>
          <w:b/>
          <w:color w:val="FF0000"/>
          <w:szCs w:val="21"/>
        </w:rPr>
        <w:t>号要求为不可偏离要求，如出现负偏离，将导致投标无效。带▲号参数为重要参数，其他参数（非▲号参数）为普通参数，如出现负偏离，将按照评分准则做扣分处理。</w:t>
      </w:r>
      <w:r>
        <w:rPr>
          <w:rFonts w:hint="eastAsia" w:ascii="宋体" w:hAnsi="宋体" w:eastAsia="宋体" w:cs="Times New Roman"/>
          <w:b/>
          <w:color w:val="FF0000"/>
          <w:szCs w:val="21"/>
          <w:highlight w:val="yellow"/>
        </w:rPr>
        <w:t>如注明要求提供相关佐证材料的，需以佐证材料作为是否偏离的依据。</w:t>
      </w:r>
    </w:p>
    <w:p>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2、所列的技术</w:t>
      </w:r>
      <w:r>
        <w:rPr>
          <w:rFonts w:ascii="Calibri" w:hAnsi="Calibri" w:eastAsia="宋体" w:cs="Times New Roman"/>
          <w:color w:val="FF0000"/>
          <w:szCs w:val="21"/>
        </w:rPr>
        <w:t>参数</w:t>
      </w:r>
      <w:r>
        <w:rPr>
          <w:rFonts w:hint="eastAsia" w:ascii="Calibri" w:hAnsi="Calibri" w:eastAsia="宋体" w:cs="Times New Roman"/>
          <w:color w:val="FF0000"/>
          <w:szCs w:val="21"/>
        </w:rPr>
        <w:t>需求中如出现品牌信息仅供参考，不作为参数要求，目的只为投标人更清楚地了解采购需求，投标人可提供其他品牌设备投标。</w:t>
      </w:r>
    </w:p>
    <w:p>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3、如有</w:t>
      </w:r>
      <w:r>
        <w:rPr>
          <w:rFonts w:ascii="Calibri" w:hAnsi="Calibri" w:eastAsia="宋体" w:cs="Times New Roman"/>
          <w:color w:val="FF0000"/>
          <w:szCs w:val="21"/>
        </w:rPr>
        <w:t>方案表述中有出现类似可实现、</w:t>
      </w:r>
      <w:r>
        <w:rPr>
          <w:rFonts w:hint="eastAsia" w:ascii="Calibri" w:hAnsi="Calibri" w:eastAsia="宋体" w:cs="Times New Roman"/>
          <w:color w:val="FF0000"/>
          <w:szCs w:val="21"/>
        </w:rPr>
        <w:t>实现</w:t>
      </w:r>
      <w:r>
        <w:rPr>
          <w:rFonts w:ascii="Calibri" w:hAnsi="Calibri" w:eastAsia="宋体" w:cs="Times New Roman"/>
          <w:color w:val="FF0000"/>
          <w:szCs w:val="21"/>
        </w:rPr>
        <w:t>、</w:t>
      </w:r>
      <w:r>
        <w:rPr>
          <w:rFonts w:hint="eastAsia" w:ascii="Calibri" w:hAnsi="Calibri" w:eastAsia="宋体" w:cs="Times New Roman"/>
          <w:color w:val="FF0000"/>
          <w:szCs w:val="21"/>
        </w:rPr>
        <w:t>可</w:t>
      </w:r>
      <w:r>
        <w:rPr>
          <w:rFonts w:ascii="Calibri" w:hAnsi="Calibri" w:eastAsia="宋体" w:cs="Times New Roman"/>
          <w:color w:val="FF0000"/>
          <w:szCs w:val="21"/>
        </w:rPr>
        <w:t>支持、支持</w:t>
      </w:r>
      <w:r>
        <w:rPr>
          <w:rFonts w:hint="eastAsia" w:ascii="Calibri" w:hAnsi="Calibri" w:eastAsia="宋体" w:cs="Times New Roman"/>
          <w:color w:val="FF0000"/>
          <w:szCs w:val="21"/>
        </w:rPr>
        <w:t>等</w:t>
      </w:r>
      <w:r>
        <w:rPr>
          <w:rFonts w:ascii="Calibri" w:hAnsi="Calibri" w:eastAsia="宋体" w:cs="Times New Roman"/>
          <w:color w:val="FF0000"/>
          <w:szCs w:val="21"/>
        </w:rPr>
        <w:t>描述的，均表示方案需要实现的功能或</w:t>
      </w:r>
      <w:r>
        <w:rPr>
          <w:rFonts w:hint="eastAsia" w:ascii="Calibri" w:hAnsi="Calibri" w:eastAsia="宋体" w:cs="Times New Roman"/>
          <w:color w:val="FF0000"/>
          <w:szCs w:val="21"/>
        </w:rPr>
        <w:t>应满足的</w:t>
      </w:r>
      <w:r>
        <w:rPr>
          <w:rFonts w:ascii="Calibri" w:hAnsi="Calibri" w:eastAsia="宋体" w:cs="Times New Roman"/>
          <w:color w:val="FF0000"/>
          <w:szCs w:val="21"/>
        </w:rPr>
        <w:t>要求，即项目在验收时无须增加其他</w:t>
      </w:r>
      <w:r>
        <w:rPr>
          <w:rFonts w:hint="eastAsia" w:ascii="Calibri" w:hAnsi="Calibri" w:eastAsia="宋体" w:cs="Times New Roman"/>
          <w:color w:val="FF0000"/>
          <w:szCs w:val="21"/>
        </w:rPr>
        <w:t>额外</w:t>
      </w:r>
      <w:r>
        <w:rPr>
          <w:rFonts w:ascii="Calibri" w:hAnsi="Calibri" w:eastAsia="宋体" w:cs="Times New Roman"/>
          <w:color w:val="FF0000"/>
          <w:szCs w:val="21"/>
        </w:rPr>
        <w:t>设备</w:t>
      </w:r>
      <w:r>
        <w:rPr>
          <w:rFonts w:hint="eastAsia" w:ascii="Calibri" w:hAnsi="Calibri" w:eastAsia="宋体" w:cs="Times New Roman"/>
          <w:color w:val="FF0000"/>
          <w:szCs w:val="21"/>
        </w:rPr>
        <w:t>或</w:t>
      </w:r>
      <w:r>
        <w:rPr>
          <w:rFonts w:ascii="Calibri" w:hAnsi="Calibri" w:eastAsia="宋体" w:cs="Times New Roman"/>
          <w:color w:val="FF0000"/>
          <w:szCs w:val="21"/>
        </w:rPr>
        <w:t>系统</w:t>
      </w:r>
      <w:r>
        <w:rPr>
          <w:rFonts w:hint="eastAsia" w:ascii="Calibri" w:hAnsi="Calibri" w:eastAsia="宋体" w:cs="Times New Roman"/>
          <w:color w:val="FF0000"/>
          <w:szCs w:val="21"/>
        </w:rPr>
        <w:t>，</w:t>
      </w:r>
      <w:r>
        <w:rPr>
          <w:rFonts w:ascii="Calibri" w:hAnsi="Calibri" w:eastAsia="宋体" w:cs="Times New Roman"/>
          <w:color w:val="FF0000"/>
          <w:szCs w:val="21"/>
        </w:rPr>
        <w:t>使用本项目中的设备或</w:t>
      </w:r>
      <w:r>
        <w:rPr>
          <w:rFonts w:hint="eastAsia" w:ascii="Calibri" w:hAnsi="Calibri" w:eastAsia="宋体" w:cs="Times New Roman"/>
          <w:color w:val="FF0000"/>
          <w:szCs w:val="21"/>
        </w:rPr>
        <w:t>系统</w:t>
      </w:r>
      <w:r>
        <w:rPr>
          <w:rFonts w:ascii="Calibri" w:hAnsi="Calibri" w:eastAsia="宋体" w:cs="Times New Roman"/>
          <w:color w:val="FF0000"/>
          <w:szCs w:val="21"/>
        </w:rPr>
        <w:t>即能实现</w:t>
      </w:r>
      <w:r>
        <w:rPr>
          <w:rFonts w:hint="eastAsia" w:ascii="Calibri" w:hAnsi="Calibri" w:eastAsia="宋体" w:cs="Times New Roman"/>
          <w:color w:val="FF0000"/>
          <w:szCs w:val="21"/>
        </w:rPr>
        <w:t>相应功能</w:t>
      </w:r>
      <w:r>
        <w:rPr>
          <w:rFonts w:ascii="Calibri" w:hAnsi="Calibri" w:eastAsia="宋体" w:cs="Times New Roman"/>
          <w:color w:val="FF0000"/>
          <w:szCs w:val="21"/>
        </w:rPr>
        <w:t>或</w:t>
      </w:r>
      <w:r>
        <w:rPr>
          <w:rFonts w:hint="eastAsia" w:ascii="Calibri" w:hAnsi="Calibri" w:eastAsia="宋体" w:cs="Times New Roman"/>
          <w:color w:val="FF0000"/>
          <w:szCs w:val="21"/>
        </w:rPr>
        <w:t>满足相关</w:t>
      </w:r>
      <w:r>
        <w:rPr>
          <w:rFonts w:ascii="Calibri" w:hAnsi="Calibri" w:eastAsia="宋体" w:cs="Times New Roman"/>
          <w:color w:val="FF0000"/>
          <w:szCs w:val="21"/>
        </w:rPr>
        <w:t>要求。</w:t>
      </w:r>
    </w:p>
    <w:p>
      <w:pPr>
        <w:spacing w:after="78"/>
        <w:jc w:val="left"/>
        <w:rPr>
          <w:rFonts w:ascii="Calibri" w:hAnsi="Calibri" w:eastAsia="宋体" w:cs="Times New Roman"/>
          <w:color w:val="FF0000"/>
          <w:szCs w:val="21"/>
        </w:rPr>
      </w:pPr>
      <w:r>
        <w:rPr>
          <w:rFonts w:ascii="Calibri" w:hAnsi="Calibri" w:eastAsia="宋体" w:cs="Times New Roman"/>
          <w:color w:val="FF0000"/>
          <w:szCs w:val="21"/>
        </w:rPr>
        <w:t>4、针对招标文件产品技术参数如涉及相关既定值、单向范围值、区间范围值的，投标技术参数响应方式举例说明如下：</w:t>
      </w:r>
    </w:p>
    <w:p>
      <w:pPr>
        <w:spacing w:after="78"/>
        <w:jc w:val="left"/>
        <w:rPr>
          <w:rFonts w:ascii="Calibri" w:hAnsi="Calibri" w:eastAsia="宋体" w:cs="Times New Roman"/>
          <w:color w:val="FF0000"/>
          <w:szCs w:val="21"/>
        </w:rPr>
      </w:pPr>
      <w:r>
        <w:rPr>
          <w:rFonts w:ascii="Calibri" w:hAnsi="Calibri" w:eastAsia="宋体" w:cs="Times New Roman"/>
          <w:color w:val="FF0000"/>
          <w:szCs w:val="21"/>
        </w:rPr>
        <w:t>（1）涉及相关既定值的，例：招标技术参数要求值为“20L”，投标技术参数响应值与“20L”不一致的，均视为负偏离；</w:t>
      </w:r>
    </w:p>
    <w:p>
      <w:pPr>
        <w:spacing w:after="78"/>
        <w:jc w:val="left"/>
        <w:rPr>
          <w:rFonts w:ascii="Calibri" w:hAnsi="Calibri" w:eastAsia="宋体" w:cs="Times New Roman"/>
          <w:color w:val="FF0000"/>
          <w:szCs w:val="21"/>
        </w:rPr>
      </w:pPr>
      <w:r>
        <w:rPr>
          <w:rFonts w:ascii="Calibri" w:hAnsi="Calibri" w:eastAsia="宋体" w:cs="Times New Roman"/>
          <w:color w:val="FF0000"/>
          <w:szCs w:val="21"/>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pPr>
        <w:spacing w:after="78"/>
        <w:jc w:val="left"/>
        <w:rPr>
          <w:rFonts w:hint="eastAsia" w:eastAsia="黑体" w:cs="Times New Roman"/>
          <w:kern w:val="44"/>
          <w:szCs w:val="44"/>
        </w:rPr>
      </w:pPr>
      <w:r>
        <w:rPr>
          <w:rFonts w:ascii="Calibri" w:hAnsi="Calibri" w:eastAsia="宋体" w:cs="Times New Roman"/>
          <w:color w:val="FF0000"/>
          <w:szCs w:val="21"/>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pPr>
        <w:pStyle w:val="6"/>
        <w:spacing w:before="156" w:beforeLines="50" w:after="156" w:afterLines="50" w:line="416" w:lineRule="auto"/>
        <w:jc w:val="center"/>
        <w:rPr>
          <w:rFonts w:hint="eastAsia"/>
          <w:szCs w:val="28"/>
        </w:rPr>
      </w:pPr>
      <w:r>
        <w:rPr>
          <w:rFonts w:hint="eastAsia"/>
          <w:szCs w:val="28"/>
          <w:lang w:val="en-US" w:eastAsia="zh-CN"/>
        </w:rPr>
        <w:t>六</w:t>
      </w:r>
      <w:r>
        <w:rPr>
          <w:rFonts w:hint="eastAsia"/>
          <w:szCs w:val="28"/>
        </w:rPr>
        <w:t>、其他重要条款</w:t>
      </w:r>
    </w:p>
    <w:p>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ind w:firstLine="420" w:firstLineChars="200"/>
        <w:rPr>
          <w:bCs/>
          <w:szCs w:val="21"/>
        </w:rPr>
      </w:pPr>
      <w:r>
        <w:rPr>
          <w:rFonts w:hint="eastAsia"/>
          <w:bCs/>
          <w:szCs w:val="21"/>
        </w:rPr>
        <w:t>2、投标人应充分了解项目的位置、情况、道路及任何其它足以影响投标报价的情况，任何因忽视或误解项目情况而导致的索赔或服务期限延长申请将不获批准。</w:t>
      </w:r>
    </w:p>
    <w:p>
      <w:pPr>
        <w:ind w:firstLine="420" w:firstLineChars="200"/>
        <w:rPr>
          <w:bCs/>
          <w:szCs w:val="21"/>
        </w:rPr>
      </w:pPr>
      <w:r>
        <w:rPr>
          <w:rFonts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pPr>
        <w:ind w:firstLine="420" w:firstLineChars="200"/>
        <w:rPr>
          <w:rFonts w:hint="eastAsia" w:ascii="宋体" w:hAnsi="宋体" w:eastAsia="宋体" w:cs="Times New Roman"/>
          <w:b/>
          <w:bCs/>
          <w:kern w:val="0"/>
          <w:sz w:val="28"/>
          <w:szCs w:val="28"/>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pPr>
        <w:pStyle w:val="2"/>
      </w:pPr>
      <w:bookmarkStart w:id="15" w:name="_Hlk72257167"/>
    </w:p>
    <w:bookmarkEnd w:id="15"/>
    <w:p>
      <w:pPr>
        <w:widowControl/>
        <w:spacing w:line="320" w:lineRule="atLeast"/>
        <w:jc w:val="left"/>
        <w:outlineLvl w:val="2"/>
        <w:rPr>
          <w:rFonts w:hint="eastAsia"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pPr>
        <w:ind w:firstLine="1200" w:firstLineChars="500"/>
        <w:outlineLvl w:val="0"/>
        <w:rPr>
          <w:rFonts w:hint="eastAsia" w:ascii="宋体" w:hAnsi="宋体"/>
          <w:sz w:val="24"/>
        </w:rPr>
      </w:pPr>
      <w:bookmarkStart w:id="16" w:name="_Hlk72257771"/>
      <w:r>
        <w:rPr>
          <w:rFonts w:hint="eastAsia" w:ascii="宋体" w:hAnsi="宋体"/>
          <w:sz w:val="24"/>
        </w:rPr>
        <w:t>1.投标文件正文，主要包括以下内容：</w:t>
      </w:r>
    </w:p>
    <w:p>
      <w:pPr>
        <w:ind w:left="718" w:leftChars="342" w:firstLine="1417" w:firstLineChars="675"/>
        <w:rPr>
          <w:szCs w:val="21"/>
        </w:rPr>
      </w:pPr>
      <w:r>
        <w:rPr>
          <w:rFonts w:hint="eastAsia"/>
          <w:szCs w:val="21"/>
        </w:rPr>
        <w:t>（1）</w:t>
      </w:r>
      <w:bookmarkStart w:id="17" w:name="_Hlk72070784"/>
      <w:r>
        <w:rPr>
          <w:rFonts w:hint="eastAsia"/>
          <w:szCs w:val="21"/>
        </w:rPr>
        <w:t>投标函</w:t>
      </w:r>
      <w:bookmarkEnd w:id="17"/>
    </w:p>
    <w:p>
      <w:pPr>
        <w:ind w:left="718" w:leftChars="342" w:firstLine="1417" w:firstLineChars="675"/>
        <w:rPr>
          <w:szCs w:val="21"/>
        </w:rPr>
      </w:pPr>
      <w:r>
        <w:rPr>
          <w:rFonts w:hint="eastAsia"/>
          <w:szCs w:val="21"/>
        </w:rPr>
        <w:t>（2）</w:t>
      </w:r>
      <w:bookmarkStart w:id="18" w:name="_Hlk72062521"/>
      <w:r>
        <w:rPr>
          <w:rFonts w:hint="eastAsia"/>
          <w:szCs w:val="21"/>
        </w:rPr>
        <w:t>政府采购投标及履约承诺函</w:t>
      </w:r>
      <w:bookmarkEnd w:id="18"/>
    </w:p>
    <w:p>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pPr>
        <w:ind w:left="718" w:leftChars="342" w:firstLine="1417" w:firstLineChars="675"/>
        <w:rPr>
          <w:szCs w:val="21"/>
        </w:rPr>
      </w:pPr>
      <w:bookmarkStart w:id="19" w:name="_Hlk72257201"/>
      <w:r>
        <w:rPr>
          <w:rFonts w:hint="eastAsia"/>
          <w:szCs w:val="21"/>
        </w:rPr>
        <w:t>（</w:t>
      </w:r>
      <w:r>
        <w:rPr>
          <w:szCs w:val="21"/>
        </w:rPr>
        <w:t>4</w:t>
      </w:r>
      <w:r>
        <w:rPr>
          <w:rFonts w:hint="eastAsia"/>
          <w:szCs w:val="21"/>
        </w:rPr>
        <w:t>）项目详细报价</w:t>
      </w:r>
    </w:p>
    <w:bookmarkEnd w:id="19"/>
    <w:p>
      <w:pPr>
        <w:ind w:left="718" w:leftChars="342" w:firstLine="1417" w:firstLineChars="675"/>
        <w:rPr>
          <w:rFonts w:hint="eastAsia" w:eastAsiaTheme="minorEastAsia"/>
          <w:szCs w:val="21"/>
          <w:lang w:eastAsia="zh-CN"/>
        </w:rPr>
      </w:pPr>
      <w:r>
        <w:rPr>
          <w:rFonts w:hint="eastAsia"/>
          <w:szCs w:val="21"/>
        </w:rPr>
        <w:t>（5）</w:t>
      </w:r>
      <w:r>
        <w:rPr>
          <w:rFonts w:hint="eastAsia"/>
          <w:szCs w:val="21"/>
          <w:lang w:eastAsia="zh-CN"/>
        </w:rPr>
        <w:t>供应商情况表</w:t>
      </w:r>
    </w:p>
    <w:p>
      <w:pPr>
        <w:ind w:firstLine="1200" w:firstLineChars="500"/>
        <w:outlineLvl w:val="0"/>
        <w:rPr>
          <w:rFonts w:hint="eastAsia" w:ascii="宋体" w:hAnsi="宋体"/>
          <w:sz w:val="24"/>
        </w:rPr>
      </w:pPr>
      <w:r>
        <w:rPr>
          <w:rFonts w:hint="eastAsia" w:ascii="宋体" w:hAnsi="宋体"/>
          <w:sz w:val="24"/>
        </w:rPr>
        <w:t>2.投标文件附件：主要包括以下内容：</w:t>
      </w:r>
    </w:p>
    <w:p>
      <w:pPr>
        <w:ind w:firstLine="2100" w:firstLineChars="1000"/>
        <w:rPr>
          <w:rFonts w:hint="eastAsia"/>
          <w:szCs w:val="21"/>
        </w:rPr>
      </w:pPr>
      <w:r>
        <w:rPr>
          <w:rFonts w:hint="eastAsia"/>
          <w:szCs w:val="21"/>
        </w:rPr>
        <w:t>（1）法定代表人（负责人）证明书</w:t>
      </w:r>
    </w:p>
    <w:p>
      <w:pPr>
        <w:ind w:firstLine="2100" w:firstLineChars="1000"/>
        <w:rPr>
          <w:rFonts w:hint="eastAsia"/>
          <w:szCs w:val="21"/>
        </w:rPr>
      </w:pPr>
      <w:r>
        <w:rPr>
          <w:rFonts w:hint="eastAsia"/>
          <w:szCs w:val="21"/>
        </w:rPr>
        <w:t>（2）投标文件签署授权委托书</w:t>
      </w:r>
    </w:p>
    <w:p>
      <w:pPr>
        <w:ind w:firstLine="2100" w:firstLineChars="1000"/>
        <w:rPr>
          <w:rFonts w:hint="eastAsia"/>
          <w:szCs w:val="21"/>
        </w:rPr>
      </w:pPr>
      <w:r>
        <w:rPr>
          <w:rFonts w:hint="eastAsia"/>
          <w:szCs w:val="21"/>
        </w:rPr>
        <w:t>（3）实质性条款响应情况表</w:t>
      </w:r>
    </w:p>
    <w:p>
      <w:pPr>
        <w:ind w:firstLine="2100" w:firstLineChars="1000"/>
        <w:rPr>
          <w:rFonts w:hint="eastAsia"/>
          <w:szCs w:val="21"/>
        </w:rPr>
      </w:pPr>
      <w:r>
        <w:rPr>
          <w:rFonts w:hint="eastAsia"/>
          <w:szCs w:val="21"/>
        </w:rPr>
        <w:t>（4）商务要求偏离表</w:t>
      </w:r>
    </w:p>
    <w:p>
      <w:pPr>
        <w:ind w:firstLine="2100" w:firstLineChars="1000"/>
        <w:rPr>
          <w:rFonts w:hint="eastAsia"/>
          <w:szCs w:val="21"/>
        </w:rPr>
      </w:pPr>
      <w:r>
        <w:rPr>
          <w:rFonts w:hint="eastAsia"/>
          <w:szCs w:val="21"/>
        </w:rPr>
        <w:t>（5）技术要求偏离表</w:t>
      </w:r>
    </w:p>
    <w:p>
      <w:pPr>
        <w:ind w:firstLine="2100" w:firstLineChars="1000"/>
        <w:rPr>
          <w:rFonts w:hint="eastAsia"/>
          <w:szCs w:val="21"/>
          <w:lang w:eastAsia="zh-CN"/>
        </w:rPr>
      </w:pPr>
      <w:r>
        <w:rPr>
          <w:rFonts w:hint="eastAsia"/>
          <w:szCs w:val="21"/>
        </w:rPr>
        <w:t>（</w:t>
      </w:r>
      <w:r>
        <w:rPr>
          <w:rFonts w:hint="eastAsia"/>
          <w:szCs w:val="21"/>
          <w:lang w:val="en-US" w:eastAsia="zh-CN"/>
        </w:rPr>
        <w:t>6</w:t>
      </w:r>
      <w:r>
        <w:rPr>
          <w:rFonts w:hint="eastAsia"/>
          <w:szCs w:val="21"/>
          <w:lang w:eastAsia="zh-CN"/>
        </w:rPr>
        <w:t>）</w:t>
      </w:r>
      <w:r>
        <w:rPr>
          <w:rFonts w:hint="eastAsia"/>
          <w:szCs w:val="21"/>
        </w:rPr>
        <w:t>总体</w:t>
      </w:r>
      <w:r>
        <w:rPr>
          <w:rFonts w:hint="eastAsia"/>
          <w:szCs w:val="21"/>
          <w:lang w:val="en-US" w:eastAsia="zh-CN"/>
        </w:rPr>
        <w:t>施工组织</w:t>
      </w:r>
      <w:r>
        <w:rPr>
          <w:rFonts w:hint="eastAsia"/>
          <w:szCs w:val="21"/>
        </w:rPr>
        <w:t>方案</w:t>
      </w:r>
    </w:p>
    <w:p>
      <w:pPr>
        <w:ind w:firstLine="2100" w:firstLineChars="1000"/>
        <w:rPr>
          <w:rFonts w:hint="eastAsia"/>
          <w:szCs w:val="21"/>
        </w:rPr>
      </w:pPr>
      <w:r>
        <w:rPr>
          <w:rFonts w:hint="eastAsia"/>
          <w:szCs w:val="21"/>
          <w:lang w:eastAsia="zh-CN"/>
        </w:rPr>
        <w:t>（</w:t>
      </w:r>
      <w:r>
        <w:rPr>
          <w:rFonts w:hint="eastAsia"/>
          <w:szCs w:val="21"/>
          <w:lang w:val="en-US" w:eastAsia="zh-CN"/>
        </w:rPr>
        <w:t>7</w:t>
      </w:r>
      <w:r>
        <w:rPr>
          <w:rFonts w:hint="eastAsia"/>
          <w:szCs w:val="21"/>
          <w:lang w:eastAsia="zh-CN"/>
        </w:rPr>
        <w:t>）</w:t>
      </w:r>
      <w:r>
        <w:rPr>
          <w:rFonts w:hint="eastAsia"/>
          <w:szCs w:val="21"/>
        </w:rPr>
        <w:t>售后服务方案</w:t>
      </w:r>
    </w:p>
    <w:p>
      <w:pPr>
        <w:ind w:firstLine="2100" w:firstLineChars="1000"/>
        <w:rPr>
          <w:rFonts w:hint="eastAsia"/>
          <w:szCs w:val="21"/>
          <w:lang w:eastAsia="zh-CN"/>
        </w:rPr>
      </w:pPr>
      <w:r>
        <w:rPr>
          <w:rFonts w:hint="eastAsia"/>
          <w:szCs w:val="21"/>
          <w:lang w:eastAsia="zh-CN"/>
        </w:rPr>
        <w:t>（</w:t>
      </w:r>
      <w:r>
        <w:rPr>
          <w:rFonts w:hint="eastAsia"/>
          <w:szCs w:val="21"/>
          <w:lang w:val="en-US" w:eastAsia="zh-CN"/>
        </w:rPr>
        <w:t>8</w:t>
      </w:r>
      <w:r>
        <w:rPr>
          <w:rFonts w:hint="eastAsia"/>
          <w:szCs w:val="21"/>
          <w:lang w:eastAsia="zh-CN"/>
        </w:rPr>
        <w:t>）</w:t>
      </w:r>
      <w:r>
        <w:rPr>
          <w:rFonts w:hint="eastAsia"/>
          <w:szCs w:val="21"/>
        </w:rPr>
        <w:t>拟安排项目负责人情况（仅限1人）</w:t>
      </w:r>
    </w:p>
    <w:p>
      <w:pPr>
        <w:ind w:firstLine="2100" w:firstLineChars="1000"/>
        <w:rPr>
          <w:rFonts w:hint="eastAsia"/>
          <w:szCs w:val="21"/>
          <w:lang w:eastAsia="zh-CN"/>
        </w:rPr>
      </w:pPr>
      <w:r>
        <w:rPr>
          <w:rFonts w:hint="eastAsia"/>
          <w:szCs w:val="21"/>
          <w:lang w:eastAsia="zh-CN"/>
        </w:rPr>
        <w:t>（</w:t>
      </w:r>
      <w:r>
        <w:rPr>
          <w:rFonts w:hint="eastAsia"/>
          <w:szCs w:val="21"/>
          <w:lang w:val="en-US" w:eastAsia="zh-CN"/>
        </w:rPr>
        <w:t>9</w:t>
      </w:r>
      <w:r>
        <w:rPr>
          <w:rFonts w:hint="eastAsia"/>
          <w:szCs w:val="21"/>
          <w:lang w:eastAsia="zh-CN"/>
        </w:rPr>
        <w:t>）</w:t>
      </w:r>
      <w:r>
        <w:rPr>
          <w:rFonts w:hint="eastAsia"/>
          <w:szCs w:val="21"/>
          <w:lang w:val="en-US" w:eastAsia="zh-CN"/>
        </w:rPr>
        <w:t>拟安排的项目主要团队成员（主要技术人员）情况（项目负责人除外）</w:t>
      </w:r>
    </w:p>
    <w:p>
      <w:pPr>
        <w:ind w:firstLine="2100" w:firstLineChars="1000"/>
        <w:rPr>
          <w:rFonts w:hint="eastAsia"/>
          <w:szCs w:val="21"/>
          <w:lang w:eastAsia="zh-CN"/>
        </w:rPr>
      </w:pPr>
      <w:r>
        <w:rPr>
          <w:rFonts w:hint="eastAsia"/>
          <w:szCs w:val="21"/>
          <w:lang w:eastAsia="zh-CN"/>
        </w:rPr>
        <w:t>（</w:t>
      </w:r>
      <w:r>
        <w:rPr>
          <w:rFonts w:hint="eastAsia"/>
          <w:szCs w:val="21"/>
          <w:lang w:val="en-US" w:eastAsia="zh-CN"/>
        </w:rPr>
        <w:t>10</w:t>
      </w:r>
      <w:r>
        <w:rPr>
          <w:rFonts w:hint="eastAsia"/>
          <w:szCs w:val="21"/>
          <w:lang w:eastAsia="zh-CN"/>
        </w:rPr>
        <w:t>）</w:t>
      </w:r>
      <w:r>
        <w:rPr>
          <w:rFonts w:hint="eastAsia"/>
          <w:szCs w:val="21"/>
        </w:rPr>
        <w:t>投标人通过相关认证情况</w:t>
      </w:r>
    </w:p>
    <w:p>
      <w:pPr>
        <w:ind w:firstLine="2100" w:firstLineChars="1000"/>
        <w:rPr>
          <w:rFonts w:hint="eastAsia"/>
          <w:szCs w:val="21"/>
          <w:lang w:eastAsia="zh-CN"/>
        </w:rPr>
      </w:pPr>
      <w:r>
        <w:rPr>
          <w:rFonts w:hint="eastAsia"/>
          <w:szCs w:val="21"/>
          <w:lang w:val="en-US" w:eastAsia="zh-CN"/>
        </w:rPr>
        <w:t>（11）投标人自主知识产权产品（创新、设计）情况</w:t>
      </w:r>
    </w:p>
    <w:p>
      <w:pPr>
        <w:ind w:firstLine="2100" w:firstLineChars="1000"/>
        <w:rPr>
          <w:rFonts w:hint="eastAsia"/>
          <w:szCs w:val="21"/>
          <w:lang w:eastAsia="zh-CN"/>
        </w:rPr>
      </w:pPr>
      <w:r>
        <w:rPr>
          <w:rFonts w:hint="eastAsia"/>
          <w:szCs w:val="21"/>
          <w:lang w:eastAsia="zh-CN"/>
        </w:rPr>
        <w:t>（</w:t>
      </w:r>
      <w:r>
        <w:rPr>
          <w:rFonts w:hint="eastAsia"/>
          <w:szCs w:val="21"/>
          <w:lang w:val="en-US" w:eastAsia="zh-CN"/>
        </w:rPr>
        <w:t>12</w:t>
      </w:r>
      <w:r>
        <w:rPr>
          <w:rFonts w:hint="eastAsia"/>
          <w:szCs w:val="21"/>
          <w:lang w:eastAsia="zh-CN"/>
        </w:rPr>
        <w:t>）</w:t>
      </w:r>
      <w:r>
        <w:rPr>
          <w:rFonts w:hint="eastAsia"/>
          <w:szCs w:val="21"/>
        </w:rPr>
        <w:t>同类项目业绩</w:t>
      </w:r>
    </w:p>
    <w:p>
      <w:pPr>
        <w:ind w:firstLine="2100" w:firstLineChars="1000"/>
        <w:rPr>
          <w:rFonts w:hint="eastAsia"/>
          <w:szCs w:val="21"/>
        </w:rPr>
      </w:pPr>
      <w:r>
        <w:rPr>
          <w:rFonts w:hint="eastAsia"/>
          <w:szCs w:val="21"/>
          <w:lang w:eastAsia="zh-CN"/>
        </w:rPr>
        <w:t>（</w:t>
      </w:r>
      <w:r>
        <w:rPr>
          <w:rFonts w:hint="eastAsia"/>
          <w:szCs w:val="21"/>
          <w:lang w:val="en-US" w:eastAsia="zh-CN"/>
        </w:rPr>
        <w:t>13</w:t>
      </w:r>
      <w:r>
        <w:rPr>
          <w:rFonts w:hint="eastAsia"/>
          <w:szCs w:val="21"/>
          <w:lang w:eastAsia="zh-CN"/>
        </w:rPr>
        <w:t>）</w:t>
      </w:r>
      <w:r>
        <w:rPr>
          <w:rFonts w:hint="eastAsia"/>
          <w:szCs w:val="21"/>
        </w:rPr>
        <w:t>投标人认为需要加以说明的其他内容</w:t>
      </w:r>
    </w:p>
    <w:p>
      <w:pPr>
        <w:spacing w:line="320" w:lineRule="atLeast"/>
        <w:rPr>
          <w:rFonts w:hint="eastAsia" w:ascii="宋体" w:hAnsi="宋体"/>
          <w:b/>
          <w:sz w:val="24"/>
          <w:szCs w:val="24"/>
        </w:rPr>
      </w:pPr>
      <w:r>
        <w:rPr>
          <w:rFonts w:hint="eastAsia" w:ascii="宋体" w:hAnsi="宋体"/>
          <w:b/>
          <w:sz w:val="24"/>
          <w:szCs w:val="24"/>
        </w:rPr>
        <w:t>备注：</w:t>
      </w:r>
    </w:p>
    <w:p>
      <w:pPr>
        <w:snapToGrid w:val="0"/>
        <w:spacing w:line="320" w:lineRule="atLeast"/>
        <w:ind w:firstLine="482" w:firstLineChars="200"/>
        <w:rPr>
          <w:rFonts w:hint="eastAsia"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pPr>
        <w:snapToGrid w:val="0"/>
        <w:spacing w:after="78" w:afterLines="25"/>
        <w:ind w:firstLine="482" w:firstLineChars="200"/>
        <w:rPr>
          <w:rFonts w:hint="eastAsia" w:ascii="宋体" w:hAnsi="宋体" w:eastAsia="黑体" w:cs="Times New Roman"/>
          <w:bCs/>
          <w:kern w:val="44"/>
          <w:sz w:val="32"/>
          <w:szCs w:val="32"/>
        </w:rPr>
      </w:pPr>
      <w:bookmarkStart w:id="20" w:name="_Hlk72263559"/>
      <w:r>
        <w:rPr>
          <w:rFonts w:hint="eastAsia" w:ascii="宋体" w:hAnsi="宋体"/>
          <w:b/>
          <w:sz w:val="24"/>
          <w:szCs w:val="24"/>
        </w:rPr>
        <w:t>2.关于填写“开标一览表”的说明：“开标一览表”中除“投标总价”外，其他信息不作评审依据。</w:t>
      </w:r>
      <w:bookmarkEnd w:id="16"/>
      <w:bookmarkEnd w:id="20"/>
      <w:r>
        <w:rPr>
          <w:rFonts w:ascii="宋体" w:hAnsi="宋体" w:eastAsia="黑体" w:cs="Times New Roman"/>
          <w:bCs/>
          <w:kern w:val="44"/>
          <w:sz w:val="32"/>
          <w:szCs w:val="32"/>
        </w:rPr>
        <w:br w:type="page"/>
      </w:r>
    </w:p>
    <w:p>
      <w:pPr>
        <w:widowControl/>
        <w:jc w:val="left"/>
        <w:outlineLvl w:val="2"/>
        <w:rPr>
          <w:rFonts w:hint="eastAsia"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pPr>
        <w:pStyle w:val="6"/>
        <w:jc w:val="center"/>
        <w:rPr>
          <w:rFonts w:hint="eastAsia" w:ascii="黑体" w:eastAsia="黑体"/>
          <w:b w:val="0"/>
          <w:sz w:val="24"/>
        </w:rPr>
      </w:pPr>
      <w:r>
        <w:rPr>
          <w:rFonts w:hint="eastAsia" w:ascii="黑体" w:eastAsia="黑体"/>
          <w:b w:val="0"/>
          <w:sz w:val="24"/>
        </w:rPr>
        <w:t>一、投标函</w:t>
      </w:r>
    </w:p>
    <w:p>
      <w:pPr>
        <w:spacing w:line="360" w:lineRule="auto"/>
        <w:rPr>
          <w:rFonts w:hint="eastAsia" w:ascii="宋体" w:hAnsi="宋体"/>
          <w:szCs w:val="21"/>
        </w:rPr>
      </w:pPr>
      <w:bookmarkStart w:id="21"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ind w:firstLine="420" w:firstLineChars="200"/>
        <w:rPr>
          <w:rFonts w:hint="eastAsia" w:ascii="宋体" w:hAnsi="宋体"/>
          <w:szCs w:val="21"/>
        </w:rPr>
      </w:pPr>
      <w:bookmarkStart w:id="22"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23" w:name="_Hlk72263588"/>
      <w:r>
        <w:rPr>
          <w:rFonts w:hint="eastAsia"/>
          <w:szCs w:val="21"/>
        </w:rPr>
        <w:t>愿意按照招标文件要求承包上述项目并修补其任何缺陷。</w:t>
      </w:r>
      <w:bookmarkEnd w:id="23"/>
    </w:p>
    <w:p>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24" w:name="_Hlk73819847"/>
      <w:r>
        <w:rPr>
          <w:rFonts w:hint="eastAsia" w:ascii="宋体" w:hAnsi="宋体"/>
          <w:szCs w:val="21"/>
        </w:rPr>
        <w:t>投标价格见</w:t>
      </w:r>
      <w:r>
        <w:rPr>
          <w:rFonts w:hint="eastAsia"/>
          <w:szCs w:val="21"/>
        </w:rPr>
        <w:t>投标书编制软件中《开标一览表》中填写的投标总价。</w:t>
      </w:r>
      <w:bookmarkEnd w:id="24"/>
    </w:p>
    <w:p>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2"/>
    </w:p>
    <w:p>
      <w:pPr>
        <w:ind w:left="420" w:left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szCs w:val="21"/>
        </w:rPr>
      </w:pPr>
    </w:p>
    <w:p>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rPr>
          <w:rFonts w:hint="eastAsia" w:ascii="黑体" w:hAnsi="宋体" w:eastAsia="黑体"/>
        </w:rPr>
      </w:pPr>
    </w:p>
    <w:p>
      <w:pPr>
        <w:rPr>
          <w:rFonts w:hint="eastAsia" w:ascii="黑体" w:hAnsi="宋体" w:eastAsia="黑体"/>
        </w:rPr>
      </w:pPr>
    </w:p>
    <w:bookmarkEnd w:id="21"/>
    <w:p>
      <w:pPr>
        <w:pStyle w:val="6"/>
        <w:jc w:val="center"/>
        <w:rPr>
          <w:rFonts w:hint="eastAsia" w:ascii="黑体" w:eastAsia="黑体"/>
          <w:b w:val="0"/>
          <w:sz w:val="24"/>
        </w:rPr>
      </w:pPr>
      <w:r>
        <w:rPr>
          <w:rFonts w:hint="eastAsia" w:ascii="黑体" w:eastAsia="黑体"/>
          <w:b w:val="0"/>
          <w:sz w:val="24"/>
        </w:rPr>
        <w:t>二、政府采购投标及履约承诺函</w:t>
      </w:r>
    </w:p>
    <w:p>
      <w:pPr>
        <w:rPr>
          <w:rFonts w:hint="eastAsia" w:ascii="宋体" w:hAnsi="宋体"/>
          <w:color w:val="FF0000"/>
          <w:szCs w:val="21"/>
        </w:rPr>
      </w:pPr>
      <w:bookmarkStart w:id="25" w:name="_Hlk72257530"/>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pPr>
        <w:ind w:firstLine="420" w:firstLineChars="200"/>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pPr>
        <w:ind w:firstLine="420" w:firstLineChars="200"/>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w:t>
      </w:r>
      <w:bookmarkStart w:id="26" w:name="OLE_LINK12"/>
      <w:bookmarkStart w:id="27" w:name="OLE_LINK3"/>
      <w:r>
        <w:rPr>
          <w:rFonts w:hint="eastAsia" w:ascii="宋体" w:hAnsi="宋体"/>
          <w:b w:val="0"/>
          <w:bCs/>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lang w:val="en-US" w:eastAsia="zh-CN"/>
        </w:rPr>
        <w:t>不存在为</w:t>
      </w:r>
      <w:r>
        <w:rPr>
          <w:rFonts w:hint="eastAsia" w:ascii="宋体" w:hAnsi="宋体"/>
          <w:b w:val="0"/>
          <w:bCs/>
        </w:rPr>
        <w:t>本次采购项目提供整体设计、规范编制或者项目管理、监理、检测等服务的情</w:t>
      </w:r>
      <w:r>
        <w:rPr>
          <w:rFonts w:hint="eastAsia" w:ascii="宋体" w:hAnsi="宋体"/>
          <w:b w:val="0"/>
          <w:bCs/>
          <w:color w:val="auto"/>
        </w:rPr>
        <w:t>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bookmarkEnd w:id="26"/>
      <w:r>
        <w:rPr>
          <w:rFonts w:hint="eastAsia" w:ascii="宋体" w:hAnsi="宋体"/>
          <w:b w:val="0"/>
          <w:bCs/>
          <w:color w:val="auto"/>
          <w:lang w:eastAsia="zh-CN"/>
        </w:rPr>
        <w:t>。</w:t>
      </w:r>
      <w:bookmarkEnd w:id="27"/>
    </w:p>
    <w:p>
      <w:pPr>
        <w:ind w:firstLine="422" w:firstLineChars="200"/>
        <w:rPr>
          <w:rFonts w:hint="eastAsia" w:ascii="宋体" w:hAnsi="宋体"/>
          <w:b/>
          <w:bCs w:val="0"/>
          <w:sz w:val="21"/>
          <w:lang w:val="en-US" w:eastAsia="zh-CN"/>
        </w:rPr>
      </w:pPr>
      <w:r>
        <w:rPr>
          <w:rFonts w:hint="eastAsia" w:ascii="宋体" w:hAnsi="宋体"/>
          <w:b/>
          <w:bCs w:val="0"/>
          <w:sz w:val="21"/>
          <w:lang w:val="en-US" w:eastAsia="zh-CN"/>
        </w:rPr>
        <w:t>14.我单位清楚，如存在违反投标承诺行为情节严重的，将根据《深圳市财政局关于印发&lt;深圳市财政局政府采购供应商信用信息管理办法&gt;的通知》，依法被列入失信信息。</w:t>
      </w:r>
    </w:p>
    <w:p>
      <w:pPr>
        <w:ind w:firstLine="422" w:firstLineChars="200"/>
        <w:rPr>
          <w:rFonts w:hint="eastAsia" w:ascii="宋体" w:hAnsi="宋体"/>
          <w:b/>
          <w:bCs w:val="0"/>
          <w:sz w:val="21"/>
          <w:lang w:val="en-US" w:eastAsia="zh-CN"/>
        </w:rPr>
      </w:pPr>
    </w:p>
    <w:p>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bookmarkEnd w:id="25"/>
    <w:p>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pPr>
        <w:jc w:val="right"/>
        <w:rPr>
          <w:rFonts w:hint="eastAsia" w:ascii="宋体" w:hAnsi="宋体"/>
          <w:color w:val="FF0000"/>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pPr>
        <w:ind w:firstLine="645"/>
        <w:rPr>
          <w:rFonts w:hint="eastAsia" w:ascii="宋体" w:hAnsi="宋体"/>
          <w:szCs w:val="21"/>
        </w:rPr>
      </w:pPr>
    </w:p>
    <w:p>
      <w:pPr>
        <w:rPr>
          <w:rFonts w:ascii="宋体"/>
          <w:b/>
          <w:szCs w:val="21"/>
        </w:rPr>
      </w:pPr>
    </w:p>
    <w:p>
      <w:pPr>
        <w:ind w:firstLine="482" w:firstLineChars="200"/>
        <w:jc w:val="center"/>
        <w:rPr>
          <w:rFonts w:hint="eastAsia" w:hAnsi="宋体"/>
          <w:b/>
          <w:bCs/>
          <w:sz w:val="24"/>
        </w:rPr>
      </w:pPr>
    </w:p>
    <w:p>
      <w:pPr>
        <w:pStyle w:val="6"/>
        <w:jc w:val="center"/>
        <w:rPr>
          <w:rFonts w:hint="eastAsia" w:ascii="黑体" w:eastAsia="黑体"/>
          <w:b w:val="0"/>
          <w:sz w:val="24"/>
          <w:szCs w:val="24"/>
        </w:rPr>
      </w:pPr>
      <w:r>
        <w:rPr>
          <w:rFonts w:hint="eastAsia" w:ascii="黑体" w:eastAsia="黑体"/>
          <w:b w:val="0"/>
          <w:sz w:val="24"/>
          <w:szCs w:val="24"/>
        </w:rPr>
        <w:t>三、投标人情况及资格证明文件</w:t>
      </w:r>
    </w:p>
    <w:p>
      <w:pPr>
        <w:rPr>
          <w:b/>
          <w:bCs/>
          <w:sz w:val="24"/>
        </w:rPr>
      </w:pPr>
    </w:p>
    <w:p>
      <w:pPr>
        <w:ind w:firstLine="2640" w:firstLineChars="1100"/>
        <w:outlineLvl w:val="3"/>
        <w:rPr>
          <w:rFonts w:hint="eastAsia" w:ascii="黑体" w:hAnsi="宋体" w:eastAsia="黑体"/>
          <w:bCs/>
          <w:kern w:val="0"/>
          <w:sz w:val="24"/>
          <w:szCs w:val="32"/>
        </w:rPr>
      </w:pPr>
      <w:bookmarkStart w:id="28" w:name="_Hlk72257590"/>
      <w:r>
        <w:rPr>
          <w:rFonts w:hint="eastAsia" w:ascii="黑体" w:hAnsi="宋体" w:eastAsia="黑体"/>
          <w:bCs/>
          <w:kern w:val="0"/>
          <w:sz w:val="24"/>
          <w:szCs w:val="32"/>
        </w:rPr>
        <w:t>（一）投标人资格证明文件</w:t>
      </w:r>
    </w:p>
    <w:p>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pPr>
        <w:rPr>
          <w:b/>
          <w:bCs/>
          <w:sz w:val="24"/>
        </w:rPr>
      </w:pPr>
    </w:p>
    <w:p>
      <w:pPr>
        <w:ind w:firstLine="480" w:firstLineChars="200"/>
        <w:outlineLvl w:val="3"/>
        <w:rPr>
          <w:rFonts w:hint="eastAsia" w:ascii="黑体" w:hAnsi="宋体" w:eastAsia="黑体"/>
          <w:bCs/>
          <w:kern w:val="0"/>
          <w:sz w:val="24"/>
          <w:szCs w:val="32"/>
        </w:rPr>
      </w:pPr>
      <w:bookmarkStart w:id="29" w:name="_Hlk72257908"/>
      <w:r>
        <w:rPr>
          <w:rFonts w:hint="eastAsia" w:ascii="黑体" w:hAnsi="宋体" w:eastAsia="黑体"/>
          <w:bCs/>
          <w:kern w:val="0"/>
          <w:sz w:val="24"/>
          <w:szCs w:val="32"/>
        </w:rPr>
        <w:t>（二）中小企业声明函、残疾人福利性单位声明函及监狱企业声明函</w:t>
      </w:r>
    </w:p>
    <w:bookmarkEnd w:id="28"/>
    <w:p>
      <w:pPr>
        <w:jc w:val="left"/>
        <w:outlineLvl w:val="3"/>
        <w:rPr>
          <w:rFonts w:hint="eastAsia" w:ascii="黑体" w:hAnsi="宋体" w:eastAsia="黑体"/>
          <w:bCs/>
          <w:kern w:val="0"/>
          <w:sz w:val="24"/>
          <w:szCs w:val="32"/>
        </w:rPr>
      </w:pP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30"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30"/>
      <w:r>
        <w:rPr>
          <w:rFonts w:hint="eastAsia" w:ascii="黑体" w:hAnsi="黑体" w:eastAsia="黑体"/>
          <w:color w:val="FF0000"/>
          <w:szCs w:val="21"/>
        </w:rPr>
        <w:t>）</w:t>
      </w:r>
    </w:p>
    <w:p>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明细”的“服务需求名称（标的名称）”一栏为准）；如果涉及多项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（标的）为同一企业</w:t>
      </w:r>
      <w:r>
        <w:rPr>
          <w:rFonts w:hint="eastAsia" w:ascii="黑体" w:hAnsi="宋体" w:eastAsia="黑体"/>
          <w:bCs/>
          <w:color w:val="FF0000"/>
          <w:kern w:val="0"/>
          <w:szCs w:val="21"/>
          <w:lang w:val="en-US" w:eastAsia="zh-CN"/>
        </w:rPr>
        <w:t>承接的</w:t>
      </w:r>
      <w:r>
        <w:rPr>
          <w:rFonts w:hint="eastAsia" w:ascii="黑体" w:hAnsi="宋体" w:eastAsia="黑体"/>
          <w:bCs/>
          <w:color w:val="FF0000"/>
          <w:kern w:val="0"/>
          <w:szCs w:val="21"/>
        </w:rPr>
        <w:t>，“标的名称”下划线处可以如实填写多项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eastAsia="zh-CN"/>
        </w:rPr>
        <w:t>服务承接商</w:t>
      </w:r>
      <w:r>
        <w:rPr>
          <w:rFonts w:hint="eastAsia" w:ascii="黑体" w:hAnsi="宋体" w:eastAsia="黑体"/>
          <w:b/>
          <w:bCs w:val="0"/>
          <w:color w:val="FF0000"/>
          <w:kern w:val="0"/>
          <w:szCs w:val="21"/>
        </w:rPr>
        <w:t>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w:t>
      </w:r>
      <w:r>
        <w:rPr>
          <w:rFonts w:hint="eastAsia" w:ascii="黑体" w:hAnsi="宋体" w:eastAsia="黑体"/>
          <w:bCs/>
          <w:color w:val="FF0000"/>
          <w:kern w:val="0"/>
          <w:szCs w:val="21"/>
          <w:lang w:eastAsia="zh-CN"/>
        </w:rPr>
        <w:t>服务承接商</w:t>
      </w:r>
      <w:r>
        <w:rPr>
          <w:rFonts w:hint="eastAsia" w:ascii="黑体" w:hAnsi="宋体" w:eastAsia="黑体"/>
          <w:bCs/>
          <w:color w:val="FF0000"/>
          <w:kern w:val="0"/>
          <w:szCs w:val="21"/>
        </w:rPr>
        <w:t>是否属于采购文件所属行业的中型企业/小型企业/微型企业。</w:t>
      </w:r>
    </w:p>
    <w:p>
      <w:pPr>
        <w:pStyle w:val="51"/>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w:t>
      </w:r>
      <w:r>
        <w:rPr>
          <w:rFonts w:hint="eastAsia" w:ascii="黑体" w:hAnsi="宋体" w:eastAsia="黑体"/>
          <w:bCs/>
          <w:color w:val="FF0000"/>
          <w:kern w:val="0"/>
          <w:szCs w:val="21"/>
          <w:lang w:eastAsia="zh-CN"/>
        </w:rPr>
        <w:t>。</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5、本项目属于服务类项目，相关服务承接商应当为中小企业或残疾人福利性单位或监狱企业，如包含硬件设备、产品等货物采购的，不再对其中涉及的货物制造商作出要求。</w:t>
      </w:r>
    </w:p>
    <w:p>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pPr>
      <w:r>
        <w:rPr>
          <w:rFonts w:hint="eastAsia" w:ascii="黑体" w:hAnsi="宋体" w:eastAsia="黑体"/>
          <w:bCs/>
          <w:color w:val="FF0000"/>
          <w:kern w:val="0"/>
          <w:szCs w:val="21"/>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pPr>
    </w:p>
    <w:p>
      <w:pPr>
        <w:numPr>
          <w:ilvl w:val="0"/>
          <w:numId w:val="2"/>
        </w:numPr>
        <w:jc w:val="center"/>
        <w:outlineLvl w:val="3"/>
        <w:rPr>
          <w:b/>
          <w:sz w:val="24"/>
        </w:rPr>
      </w:pPr>
      <w:r>
        <w:rPr>
          <w:b/>
          <w:sz w:val="24"/>
        </w:rPr>
        <w:t>中小企业声明函（货物）</w:t>
      </w:r>
    </w:p>
    <w:p>
      <w:pPr>
        <w:pStyle w:val="2"/>
      </w:pPr>
    </w:p>
    <w:p>
      <w:pPr>
        <w:pStyle w:val="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cstheme="minorEastAsia"/>
          <w:b/>
          <w:bCs/>
          <w:i/>
          <w:iCs/>
          <w:sz w:val="21"/>
          <w:szCs w:val="21"/>
          <w:u w:val="single"/>
        </w:rPr>
        <w:t xml:space="preserve">    （单位名称）    </w:t>
      </w:r>
      <w:r>
        <w:rPr>
          <w:rFonts w:hint="eastAsia" w:asciiTheme="minorEastAsia" w:hAnsiTheme="minorEastAsia" w:cstheme="minorEastAsia"/>
          <w:sz w:val="21"/>
          <w:szCs w:val="21"/>
        </w:rPr>
        <w:t>的</w:t>
      </w:r>
      <w:r>
        <w:rPr>
          <w:rFonts w:hint="eastAsia" w:asciiTheme="minorEastAsia" w:hAnsiTheme="minorEastAsia" w:cstheme="minorEastAsia"/>
          <w:b/>
          <w:bCs/>
          <w:i/>
          <w:iCs/>
          <w:sz w:val="21"/>
          <w:szCs w:val="21"/>
          <w:u w:val="single"/>
        </w:rPr>
        <w:t xml:space="preserve">    （项目名称）    </w:t>
      </w:r>
      <w:r>
        <w:rPr>
          <w:rFonts w:hint="eastAsia" w:asciiTheme="minorEastAsia" w:hAnsiTheme="minorEastAsia" w:cstheme="minorEastAsia"/>
          <w:sz w:val="21"/>
          <w:szCs w:val="21"/>
        </w:rPr>
        <w:t>采购活动，提供的货物全部由符合政策要求的中小企业制造。相关企业（含联合体中的中小企业、签订分包意向协议的中小企业）的具体情况如下：</w:t>
      </w:r>
    </w:p>
    <w:p>
      <w:pPr>
        <w:pStyle w:val="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1.</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pPr>
        <w:pStyle w:val="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2.</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pPr>
        <w:pStyle w:val="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w:t>
      </w:r>
    </w:p>
    <w:p>
      <w:pPr>
        <w:pStyle w:val="3"/>
        <w:ind w:firstLine="420" w:firstLineChars="200"/>
        <w:rPr>
          <w:rFonts w:hint="eastAsia" w:asciiTheme="minorEastAsia" w:hAnsiTheme="minorEastAsia" w:cstheme="minorEastAsia"/>
          <w:sz w:val="21"/>
          <w:szCs w:val="21"/>
        </w:rPr>
      </w:pPr>
    </w:p>
    <w:p>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以上企业，不属于大企业的分支机构，不存在控股股东为大企业的情形，也不存在与大企业的负责人为同一人的情形。</w:t>
      </w:r>
    </w:p>
    <w:p>
      <w:pPr>
        <w:spacing w:line="360" w:lineRule="auto"/>
        <w:ind w:firstLine="420" w:firstLineChars="200"/>
        <w:rPr>
          <w:rFonts w:hint="eastAsia" w:asciiTheme="minorEastAsia" w:hAnsiTheme="minorEastAsia" w:cstheme="minorEastAsia"/>
          <w:szCs w:val="21"/>
        </w:rPr>
      </w:pPr>
      <w:bookmarkStart w:id="31" w:name="_Hlk73562203"/>
      <w:r>
        <w:rPr>
          <w:rFonts w:hint="eastAsia" w:asciiTheme="minorEastAsia" w:hAnsiTheme="minorEastAsia" w:cstheme="minorEastAsia"/>
          <w:szCs w:val="21"/>
        </w:rPr>
        <w:t>本投标人对上述声明内容的真实性负责。如有虚假，将依法承担相应责任。</w:t>
      </w:r>
    </w:p>
    <w:p>
      <w:pPr>
        <w:spacing w:line="360" w:lineRule="auto"/>
        <w:ind w:firstLine="420" w:firstLineChars="200"/>
        <w:rPr>
          <w:rFonts w:ascii="Times New Roman" w:hAnsi="Times New Roman" w:eastAsia="宋体" w:cs="Times New Roman"/>
          <w:sz w:val="24"/>
          <w:szCs w:val="24"/>
        </w:rPr>
      </w:pPr>
      <w:r>
        <w:rPr>
          <w:rFonts w:hint="eastAsia" w:asciiTheme="minorEastAsia" w:hAnsi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1"/>
    </w:p>
    <w:p>
      <w:pPr>
        <w:ind w:firstLine="420" w:firstLineChars="200"/>
        <w:outlineLvl w:val="3"/>
        <w:rPr>
          <w:rFonts w:hint="eastAsia" w:ascii="宋体" w:hAnsi="宋体"/>
          <w:bCs/>
          <w:color w:val="FF0000"/>
          <w:kern w:val="0"/>
          <w:szCs w:val="21"/>
        </w:rPr>
      </w:pPr>
    </w:p>
    <w:p/>
    <w:p>
      <w:pPr>
        <w:ind w:firstLine="420" w:firstLineChars="200"/>
      </w:pPr>
    </w:p>
    <w:p>
      <w:pPr>
        <w:jc w:val="center"/>
        <w:outlineLvl w:val="3"/>
        <w:rPr>
          <w:b/>
          <w:sz w:val="24"/>
        </w:rPr>
      </w:pPr>
      <w:r>
        <w:rPr>
          <w:rFonts w:hint="eastAsia"/>
          <w:b/>
          <w:sz w:val="24"/>
        </w:rPr>
        <w:t>2、残疾人福利性单位声明函（货物类）</w:t>
      </w:r>
    </w:p>
    <w:p>
      <w:pPr>
        <w:rPr>
          <w:b/>
          <w:bCs/>
        </w:rPr>
      </w:pPr>
    </w:p>
    <w:p>
      <w:pPr>
        <w:spacing w:line="360" w:lineRule="auto"/>
        <w:ind w:firstLine="420" w:firstLineChars="200"/>
        <w:rPr>
          <w:rFonts w:hint="eastAsia" w:asciiTheme="minorEastAsia" w:hAnsiTheme="minorEastAsia" w:cstheme="minorEastAsia"/>
          <w:szCs w:val="21"/>
        </w:rPr>
      </w:pPr>
      <w:bookmarkStart w:id="32" w:name="_Hlk73562331"/>
      <w:bookmarkStart w:id="33" w:name="_Hlk73562245"/>
      <w:r>
        <w:rPr>
          <w:rFonts w:hint="eastAsia" w:asciiTheme="minorEastAsia" w:hAnsi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单位的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本单位对上述声明的真实性负责。如有虚假，将依法承担相应责任。</w:t>
      </w:r>
    </w:p>
    <w:p>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32"/>
    </w:p>
    <w:bookmarkEnd w:id="33"/>
    <w:p>
      <w:pPr>
        <w:ind w:firstLine="420" w:firstLineChars="200"/>
        <w:rPr>
          <w:rFonts w:hint="eastAsia" w:ascii="宋体" w:hAnsi="宋体"/>
          <w:szCs w:val="21"/>
        </w:rPr>
      </w:pPr>
    </w:p>
    <w:p>
      <w:pPr>
        <w:ind w:firstLine="420" w:firstLineChars="200"/>
        <w:rPr>
          <w:rFonts w:hint="eastAsia" w:ascii="宋体" w:hAnsi="宋体"/>
          <w:szCs w:val="21"/>
        </w:rPr>
      </w:pPr>
    </w:p>
    <w:p>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pPr>
        <w:spacing w:line="360" w:lineRule="auto"/>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pPr>
        <w:spacing w:line="360" w:lineRule="auto"/>
        <w:ind w:firstLine="420" w:firstLineChars="200"/>
        <w:rPr>
          <w:rFonts w:hint="eastAsia"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pPr>
        <w:spacing w:line="360" w:lineRule="auto"/>
        <w:ind w:firstLine="420" w:firstLineChars="200"/>
        <w:rPr>
          <w:rFonts w:hint="eastAsia"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pPr>
        <w:spacing w:line="360" w:lineRule="auto"/>
        <w:ind w:firstLine="420" w:firstLineChars="200"/>
        <w:outlineLvl w:val="3"/>
        <w:rPr>
          <w:rFonts w:hint="eastAsia" w:ascii="宋体" w:hAnsi="宋体"/>
          <w:szCs w:val="21"/>
        </w:rPr>
      </w:pPr>
      <w:r>
        <w:rPr>
          <w:rFonts w:ascii="宋体" w:hAnsi="宋体"/>
          <w:szCs w:val="21"/>
        </w:rPr>
        <w:t xml:space="preserve">…… </w:t>
      </w:r>
    </w:p>
    <w:p>
      <w:pPr>
        <w:spacing w:line="360" w:lineRule="auto"/>
        <w:ind w:firstLine="420" w:firstLineChars="200"/>
        <w:rPr>
          <w:rFonts w:hint="eastAsia"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pPr>
        <w:spacing w:line="360" w:lineRule="auto"/>
        <w:ind w:firstLine="420" w:firstLineChars="200"/>
        <w:rPr>
          <w:b/>
          <w:bCs/>
          <w:color w:val="FF0000"/>
          <w:szCs w:val="21"/>
        </w:rPr>
      </w:pPr>
      <w:r>
        <w:rPr>
          <w:rFonts w:hint="eastAsia" w:ascii="宋体" w:hAnsi="宋体"/>
          <w:szCs w:val="21"/>
        </w:rPr>
        <w:t>附：省级以上监狱管理局、戒毒管理局（含新疆生产建设兵团）出具的监狱企业证明文件。</w:t>
      </w:r>
      <w:bookmarkEnd w:id="29"/>
    </w:p>
    <w:p>
      <w:pPr>
        <w:keepNext/>
        <w:keepLines/>
        <w:pageBreakBefore/>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黑体" w:eastAsia="黑体"/>
          <w:sz w:val="24"/>
          <w:szCs w:val="24"/>
        </w:rPr>
        <w:t>四、</w:t>
      </w:r>
      <w:r>
        <w:rPr>
          <w:rFonts w:hint="eastAsia" w:ascii="宋体" w:hAnsi="宋体" w:eastAsia="宋体" w:cs="Times New Roman"/>
          <w:b/>
          <w:bCs/>
          <w:kern w:val="0"/>
          <w:sz w:val="24"/>
          <w:szCs w:val="20"/>
        </w:rPr>
        <w:t>分项报价清单</w:t>
      </w:r>
    </w:p>
    <w:p>
      <w:pPr>
        <w:spacing w:after="78" w:afterLines="25" w:line="300" w:lineRule="auto"/>
        <w:rPr>
          <w:rFonts w:ascii="Arial" w:hAnsi="Arial" w:eastAsia="宋体" w:cs="Arial"/>
          <w:szCs w:val="24"/>
        </w:rPr>
      </w:pPr>
      <w:r>
        <w:rPr>
          <w:rFonts w:hint="eastAsia" w:ascii="Arial" w:hAnsi="Arial" w:eastAsia="宋体" w:cs="Arial"/>
          <w:color w:val="000000"/>
          <w:szCs w:val="24"/>
        </w:rPr>
        <w:t>投标单位（投标人）名称：</w:t>
      </w:r>
      <w:r>
        <w:rPr>
          <w:rFonts w:ascii="Arial" w:hAnsi="Arial" w:eastAsia="宋体" w:cs="Arial"/>
          <w:color w:val="000000"/>
          <w:szCs w:val="24"/>
          <w:u w:val="single"/>
        </w:rPr>
        <w:t xml:space="preserve">                          </w:t>
      </w:r>
    </w:p>
    <w:p>
      <w:pPr>
        <w:tabs>
          <w:tab w:val="left" w:pos="720"/>
        </w:tabs>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（一）项目报价表</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519"/>
        <w:gridCol w:w="679"/>
        <w:gridCol w:w="796"/>
        <w:gridCol w:w="883"/>
        <w:gridCol w:w="660"/>
        <w:gridCol w:w="462"/>
        <w:gridCol w:w="462"/>
        <w:gridCol w:w="657"/>
        <w:gridCol w:w="880"/>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7" w:type="pct"/>
          </w:tcPr>
          <w:p>
            <w:pPr>
              <w:spacing w:line="300" w:lineRule="auto"/>
              <w:jc w:val="center"/>
              <w:rPr>
                <w:rFonts w:ascii="Arial" w:hAnsi="Arial" w:eastAsia="宋体" w:cs="Times New Roman"/>
                <w:szCs w:val="24"/>
              </w:rPr>
            </w:pPr>
            <w:r>
              <w:rPr>
                <w:rFonts w:hint="eastAsia" w:ascii="Arial" w:hAnsi="Arial" w:eastAsia="宋体" w:cs="Times New Roman"/>
                <w:szCs w:val="24"/>
              </w:rPr>
              <w:t>序号</w:t>
            </w:r>
          </w:p>
        </w:tc>
        <w:tc>
          <w:tcPr>
            <w:tcW w:w="903"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货物名称</w:t>
            </w:r>
          </w:p>
        </w:tc>
        <w:tc>
          <w:tcPr>
            <w:tcW w:w="409"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品牌</w:t>
            </w:r>
          </w:p>
        </w:tc>
        <w:tc>
          <w:tcPr>
            <w:tcW w:w="478"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规格/型号</w:t>
            </w:r>
          </w:p>
        </w:tc>
        <w:tc>
          <w:tcPr>
            <w:tcW w:w="529" w:type="pct"/>
            <w:vAlign w:val="center"/>
          </w:tcPr>
          <w:p>
            <w:pPr>
              <w:spacing w:line="300" w:lineRule="auto"/>
              <w:jc w:val="center"/>
              <w:rPr>
                <w:rFonts w:ascii="Arial" w:hAnsi="Arial" w:eastAsia="宋体" w:cs="Times New Roman"/>
                <w:b/>
                <w:szCs w:val="24"/>
              </w:rPr>
            </w:pPr>
            <w:r>
              <w:rPr>
                <w:rFonts w:hint="eastAsia" w:ascii="Arial" w:hAnsi="Arial" w:eastAsia="宋体" w:cs="Times New Roman"/>
                <w:bCs/>
                <w:szCs w:val="24"/>
              </w:rPr>
              <w:t>制造商名称</w:t>
            </w:r>
          </w:p>
        </w:tc>
        <w:tc>
          <w:tcPr>
            <w:tcW w:w="395"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原产地</w:t>
            </w:r>
          </w:p>
        </w:tc>
        <w:tc>
          <w:tcPr>
            <w:tcW w:w="282"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数量</w:t>
            </w:r>
          </w:p>
        </w:tc>
        <w:tc>
          <w:tcPr>
            <w:tcW w:w="282" w:type="pct"/>
          </w:tcPr>
          <w:p>
            <w:pPr>
              <w:spacing w:line="300" w:lineRule="auto"/>
              <w:jc w:val="center"/>
              <w:rPr>
                <w:rFonts w:ascii="Arial" w:hAnsi="Arial" w:eastAsia="宋体" w:cs="Times New Roman"/>
                <w:szCs w:val="24"/>
              </w:rPr>
            </w:pPr>
            <w:r>
              <w:rPr>
                <w:rFonts w:hint="eastAsia" w:ascii="Arial" w:hAnsi="Arial" w:eastAsia="宋体" w:cs="Times New Roman"/>
                <w:szCs w:val="24"/>
              </w:rPr>
              <w:t>单位</w:t>
            </w:r>
          </w:p>
        </w:tc>
        <w:tc>
          <w:tcPr>
            <w:tcW w:w="396"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单价(元)</w:t>
            </w:r>
          </w:p>
        </w:tc>
        <w:tc>
          <w:tcPr>
            <w:tcW w:w="527" w:type="pct"/>
            <w:vAlign w:val="center"/>
          </w:tcPr>
          <w:p>
            <w:pPr>
              <w:spacing w:line="300" w:lineRule="auto"/>
              <w:jc w:val="center"/>
              <w:rPr>
                <w:rFonts w:ascii="Arial" w:hAnsi="Arial" w:eastAsia="宋体" w:cs="Times New Roman"/>
                <w:szCs w:val="24"/>
              </w:rPr>
            </w:pPr>
            <w:r>
              <w:rPr>
                <w:rFonts w:hint="eastAsia" w:ascii="Arial" w:hAnsi="Arial" w:eastAsia="宋体" w:cs="Times New Roman"/>
                <w:szCs w:val="24"/>
              </w:rPr>
              <w:t>合价(元)</w:t>
            </w:r>
          </w:p>
        </w:tc>
        <w:tc>
          <w:tcPr>
            <w:tcW w:w="527" w:type="pct"/>
            <w:vAlign w:val="center"/>
          </w:tcPr>
          <w:p>
            <w:pPr>
              <w:spacing w:line="300" w:lineRule="auto"/>
              <w:jc w:val="center"/>
              <w:rPr>
                <w:rFonts w:ascii="Arial" w:hAnsi="Arial" w:eastAsia="宋体" w:cs="Times New Roman"/>
                <w:szCs w:val="24"/>
              </w:rPr>
            </w:pPr>
            <w:r>
              <w:rPr>
                <w:rFonts w:hint="eastAsia" w:ascii="Times New Roman" w:hAnsi="Times New Roman" w:eastAsia="宋体" w:cs="Times New Roman"/>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Align w:val="center"/>
          </w:tcPr>
          <w:p>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1</w:t>
            </w:r>
          </w:p>
        </w:tc>
        <w:tc>
          <w:tcPr>
            <w:tcW w:w="903" w:type="pct"/>
            <w:vAlign w:val="center"/>
          </w:tcPr>
          <w:p>
            <w:pPr>
              <w:spacing w:after="78" w:afterLines="25" w:line="300" w:lineRule="auto"/>
              <w:rPr>
                <w:rFonts w:ascii="Arial" w:hAnsi="Arial" w:eastAsia="宋体" w:cs="Times New Roman"/>
                <w:b/>
                <w:szCs w:val="24"/>
              </w:rPr>
            </w:pPr>
          </w:p>
        </w:tc>
        <w:tc>
          <w:tcPr>
            <w:tcW w:w="409" w:type="pct"/>
          </w:tcPr>
          <w:p>
            <w:pPr>
              <w:spacing w:after="78" w:afterLines="25" w:line="300" w:lineRule="auto"/>
              <w:rPr>
                <w:rFonts w:ascii="Arial" w:hAnsi="Arial" w:eastAsia="宋体" w:cs="Times New Roman"/>
                <w:szCs w:val="24"/>
              </w:rPr>
            </w:pPr>
          </w:p>
        </w:tc>
        <w:tc>
          <w:tcPr>
            <w:tcW w:w="478" w:type="pct"/>
          </w:tcPr>
          <w:p>
            <w:pPr>
              <w:spacing w:after="78" w:afterLines="25" w:line="300" w:lineRule="auto"/>
              <w:rPr>
                <w:rFonts w:ascii="Arial" w:hAnsi="Arial" w:eastAsia="宋体" w:cs="Times New Roman"/>
                <w:szCs w:val="24"/>
              </w:rPr>
            </w:pPr>
          </w:p>
        </w:tc>
        <w:tc>
          <w:tcPr>
            <w:tcW w:w="529" w:type="pct"/>
          </w:tcPr>
          <w:p>
            <w:pPr>
              <w:spacing w:after="78" w:afterLines="25" w:line="300" w:lineRule="auto"/>
              <w:rPr>
                <w:rFonts w:ascii="Arial" w:hAnsi="Arial" w:eastAsia="宋体" w:cs="Times New Roman"/>
                <w:szCs w:val="24"/>
              </w:rPr>
            </w:pPr>
          </w:p>
        </w:tc>
        <w:tc>
          <w:tcPr>
            <w:tcW w:w="395"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396" w:type="pct"/>
          </w:tcPr>
          <w:p>
            <w:pPr>
              <w:spacing w:after="78" w:afterLines="25" w:line="300" w:lineRule="auto"/>
              <w:rPr>
                <w:rFonts w:ascii="Arial" w:hAnsi="Arial" w:eastAsia="宋体" w:cs="Times New Roman"/>
                <w:szCs w:val="24"/>
              </w:rPr>
            </w:pPr>
          </w:p>
        </w:tc>
        <w:tc>
          <w:tcPr>
            <w:tcW w:w="527" w:type="pct"/>
          </w:tcPr>
          <w:p>
            <w:pPr>
              <w:spacing w:after="78" w:afterLines="25" w:line="300" w:lineRule="auto"/>
              <w:rPr>
                <w:rFonts w:ascii="Arial" w:hAnsi="Arial" w:eastAsia="宋体" w:cs="Times New Roman"/>
                <w:szCs w:val="24"/>
              </w:rPr>
            </w:pPr>
          </w:p>
        </w:tc>
        <w:tc>
          <w:tcPr>
            <w:tcW w:w="527" w:type="pct"/>
            <w:vMerge w:val="restart"/>
          </w:tcPr>
          <w:p>
            <w:pPr>
              <w:spacing w:after="78" w:afterLines="25" w:line="300" w:lineRule="auto"/>
              <w:rPr>
                <w:rFonts w:ascii="Arial" w:hAnsi="Arial"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7" w:type="pct"/>
          </w:tcPr>
          <w:p>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2</w:t>
            </w:r>
          </w:p>
        </w:tc>
        <w:tc>
          <w:tcPr>
            <w:tcW w:w="903" w:type="pct"/>
          </w:tcPr>
          <w:p>
            <w:pPr>
              <w:spacing w:after="78" w:afterLines="25" w:line="300" w:lineRule="auto"/>
              <w:rPr>
                <w:rFonts w:ascii="Arial" w:hAnsi="Arial" w:eastAsia="宋体" w:cs="Times New Roman"/>
                <w:b/>
                <w:szCs w:val="24"/>
              </w:rPr>
            </w:pPr>
          </w:p>
        </w:tc>
        <w:tc>
          <w:tcPr>
            <w:tcW w:w="409" w:type="pct"/>
          </w:tcPr>
          <w:p>
            <w:pPr>
              <w:spacing w:after="78" w:afterLines="25" w:line="300" w:lineRule="auto"/>
              <w:rPr>
                <w:rFonts w:ascii="Arial" w:hAnsi="Arial" w:eastAsia="宋体" w:cs="Times New Roman"/>
                <w:szCs w:val="24"/>
              </w:rPr>
            </w:pPr>
          </w:p>
        </w:tc>
        <w:tc>
          <w:tcPr>
            <w:tcW w:w="478" w:type="pct"/>
          </w:tcPr>
          <w:p>
            <w:pPr>
              <w:spacing w:after="78" w:afterLines="25" w:line="300" w:lineRule="auto"/>
              <w:rPr>
                <w:rFonts w:ascii="Arial" w:hAnsi="Arial" w:eastAsia="宋体" w:cs="Times New Roman"/>
                <w:szCs w:val="24"/>
              </w:rPr>
            </w:pPr>
          </w:p>
        </w:tc>
        <w:tc>
          <w:tcPr>
            <w:tcW w:w="529" w:type="pct"/>
          </w:tcPr>
          <w:p>
            <w:pPr>
              <w:spacing w:after="78" w:afterLines="25" w:line="300" w:lineRule="auto"/>
              <w:rPr>
                <w:rFonts w:ascii="Arial" w:hAnsi="Arial" w:eastAsia="宋体" w:cs="Times New Roman"/>
                <w:szCs w:val="24"/>
              </w:rPr>
            </w:pPr>
          </w:p>
        </w:tc>
        <w:tc>
          <w:tcPr>
            <w:tcW w:w="395"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396" w:type="pct"/>
          </w:tcPr>
          <w:p>
            <w:pPr>
              <w:spacing w:after="78" w:afterLines="25" w:line="300" w:lineRule="auto"/>
              <w:rPr>
                <w:rFonts w:ascii="Arial" w:hAnsi="Arial" w:eastAsia="宋体" w:cs="Times New Roman"/>
                <w:szCs w:val="24"/>
              </w:rPr>
            </w:pPr>
          </w:p>
        </w:tc>
        <w:tc>
          <w:tcPr>
            <w:tcW w:w="527" w:type="pct"/>
          </w:tcPr>
          <w:p>
            <w:pPr>
              <w:spacing w:after="78" w:afterLines="25" w:line="300" w:lineRule="auto"/>
              <w:rPr>
                <w:rFonts w:ascii="Arial" w:hAnsi="Arial" w:eastAsia="宋体" w:cs="Times New Roman"/>
                <w:szCs w:val="24"/>
              </w:rPr>
            </w:pPr>
          </w:p>
        </w:tc>
        <w:tc>
          <w:tcPr>
            <w:tcW w:w="527" w:type="pct"/>
            <w:vMerge w:val="continue"/>
          </w:tcPr>
          <w:p>
            <w:pPr>
              <w:spacing w:after="78" w:afterLines="25" w:line="300" w:lineRule="auto"/>
              <w:rPr>
                <w:rFonts w:ascii="Arial" w:hAnsi="Arial"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67" w:type="pct"/>
          </w:tcPr>
          <w:p>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3</w:t>
            </w:r>
          </w:p>
        </w:tc>
        <w:tc>
          <w:tcPr>
            <w:tcW w:w="903" w:type="pct"/>
          </w:tcPr>
          <w:p>
            <w:pPr>
              <w:spacing w:after="78" w:afterLines="25" w:line="300" w:lineRule="auto"/>
              <w:rPr>
                <w:rFonts w:ascii="Arial" w:hAnsi="Arial" w:eastAsia="宋体" w:cs="Times New Roman"/>
                <w:b/>
                <w:szCs w:val="24"/>
              </w:rPr>
            </w:pPr>
          </w:p>
        </w:tc>
        <w:tc>
          <w:tcPr>
            <w:tcW w:w="409" w:type="pct"/>
          </w:tcPr>
          <w:p>
            <w:pPr>
              <w:spacing w:after="78" w:afterLines="25" w:line="300" w:lineRule="auto"/>
              <w:rPr>
                <w:rFonts w:ascii="Arial" w:hAnsi="Arial" w:eastAsia="宋体" w:cs="Times New Roman"/>
                <w:szCs w:val="24"/>
              </w:rPr>
            </w:pPr>
          </w:p>
        </w:tc>
        <w:tc>
          <w:tcPr>
            <w:tcW w:w="478" w:type="pct"/>
          </w:tcPr>
          <w:p>
            <w:pPr>
              <w:spacing w:after="78" w:afterLines="25" w:line="300" w:lineRule="auto"/>
              <w:rPr>
                <w:rFonts w:ascii="Arial" w:hAnsi="Arial" w:eastAsia="宋体" w:cs="Times New Roman"/>
                <w:szCs w:val="24"/>
              </w:rPr>
            </w:pPr>
          </w:p>
        </w:tc>
        <w:tc>
          <w:tcPr>
            <w:tcW w:w="529" w:type="pct"/>
          </w:tcPr>
          <w:p>
            <w:pPr>
              <w:spacing w:after="78" w:afterLines="25" w:line="300" w:lineRule="auto"/>
              <w:rPr>
                <w:rFonts w:ascii="Arial" w:hAnsi="Arial" w:eastAsia="宋体" w:cs="Times New Roman"/>
                <w:szCs w:val="24"/>
              </w:rPr>
            </w:pPr>
          </w:p>
        </w:tc>
        <w:tc>
          <w:tcPr>
            <w:tcW w:w="395"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396" w:type="pct"/>
          </w:tcPr>
          <w:p>
            <w:pPr>
              <w:spacing w:after="78" w:afterLines="25" w:line="300" w:lineRule="auto"/>
              <w:rPr>
                <w:rFonts w:ascii="Arial" w:hAnsi="Arial" w:eastAsia="宋体" w:cs="Times New Roman"/>
                <w:szCs w:val="24"/>
              </w:rPr>
            </w:pPr>
          </w:p>
        </w:tc>
        <w:tc>
          <w:tcPr>
            <w:tcW w:w="527" w:type="pct"/>
          </w:tcPr>
          <w:p>
            <w:pPr>
              <w:spacing w:after="78" w:afterLines="25" w:line="300" w:lineRule="auto"/>
              <w:rPr>
                <w:rFonts w:ascii="Arial" w:hAnsi="Arial" w:eastAsia="宋体" w:cs="Times New Roman"/>
                <w:szCs w:val="24"/>
              </w:rPr>
            </w:pPr>
          </w:p>
        </w:tc>
        <w:tc>
          <w:tcPr>
            <w:tcW w:w="527" w:type="pct"/>
            <w:vMerge w:val="continue"/>
          </w:tcPr>
          <w:p>
            <w:pPr>
              <w:spacing w:after="78" w:afterLines="25" w:line="300" w:lineRule="auto"/>
              <w:rPr>
                <w:rFonts w:ascii="Arial" w:hAnsi="Arial"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67" w:type="pct"/>
          </w:tcPr>
          <w:p>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w:t>
            </w:r>
          </w:p>
        </w:tc>
        <w:tc>
          <w:tcPr>
            <w:tcW w:w="903" w:type="pct"/>
          </w:tcPr>
          <w:p>
            <w:pPr>
              <w:spacing w:after="78" w:afterLines="25" w:line="300" w:lineRule="auto"/>
              <w:rPr>
                <w:rFonts w:ascii="Arial" w:hAnsi="Arial" w:eastAsia="宋体" w:cs="Times New Roman"/>
                <w:b/>
                <w:szCs w:val="24"/>
              </w:rPr>
            </w:pPr>
          </w:p>
        </w:tc>
        <w:tc>
          <w:tcPr>
            <w:tcW w:w="409" w:type="pct"/>
          </w:tcPr>
          <w:p>
            <w:pPr>
              <w:spacing w:after="78" w:afterLines="25" w:line="300" w:lineRule="auto"/>
              <w:rPr>
                <w:rFonts w:ascii="Arial" w:hAnsi="Arial" w:eastAsia="宋体" w:cs="Times New Roman"/>
                <w:szCs w:val="24"/>
              </w:rPr>
            </w:pPr>
          </w:p>
        </w:tc>
        <w:tc>
          <w:tcPr>
            <w:tcW w:w="478" w:type="pct"/>
          </w:tcPr>
          <w:p>
            <w:pPr>
              <w:spacing w:after="78" w:afterLines="25" w:line="300" w:lineRule="auto"/>
              <w:rPr>
                <w:rFonts w:ascii="Arial" w:hAnsi="Arial" w:eastAsia="宋体" w:cs="Times New Roman"/>
                <w:szCs w:val="24"/>
              </w:rPr>
            </w:pPr>
          </w:p>
        </w:tc>
        <w:tc>
          <w:tcPr>
            <w:tcW w:w="529" w:type="pct"/>
          </w:tcPr>
          <w:p>
            <w:pPr>
              <w:spacing w:after="78" w:afterLines="25" w:line="300" w:lineRule="auto"/>
              <w:rPr>
                <w:rFonts w:ascii="Arial" w:hAnsi="Arial" w:eastAsia="宋体" w:cs="Times New Roman"/>
                <w:szCs w:val="24"/>
              </w:rPr>
            </w:pPr>
          </w:p>
        </w:tc>
        <w:tc>
          <w:tcPr>
            <w:tcW w:w="395"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282" w:type="pct"/>
          </w:tcPr>
          <w:p>
            <w:pPr>
              <w:spacing w:after="78" w:afterLines="25" w:line="300" w:lineRule="auto"/>
              <w:rPr>
                <w:rFonts w:ascii="Arial" w:hAnsi="Arial" w:eastAsia="宋体" w:cs="Times New Roman"/>
                <w:szCs w:val="24"/>
              </w:rPr>
            </w:pPr>
          </w:p>
        </w:tc>
        <w:tc>
          <w:tcPr>
            <w:tcW w:w="396" w:type="pct"/>
          </w:tcPr>
          <w:p>
            <w:pPr>
              <w:spacing w:after="78" w:afterLines="25" w:line="300" w:lineRule="auto"/>
              <w:rPr>
                <w:rFonts w:ascii="Arial" w:hAnsi="Arial" w:eastAsia="宋体" w:cs="Times New Roman"/>
                <w:szCs w:val="24"/>
              </w:rPr>
            </w:pPr>
          </w:p>
        </w:tc>
        <w:tc>
          <w:tcPr>
            <w:tcW w:w="527" w:type="pct"/>
          </w:tcPr>
          <w:p>
            <w:pPr>
              <w:spacing w:after="78" w:afterLines="25" w:line="300" w:lineRule="auto"/>
              <w:rPr>
                <w:rFonts w:ascii="Arial" w:hAnsi="Arial" w:eastAsia="宋体" w:cs="Times New Roman"/>
                <w:szCs w:val="24"/>
              </w:rPr>
            </w:pPr>
          </w:p>
        </w:tc>
        <w:tc>
          <w:tcPr>
            <w:tcW w:w="527" w:type="pct"/>
            <w:vMerge w:val="continue"/>
          </w:tcPr>
          <w:p>
            <w:pPr>
              <w:spacing w:after="78" w:afterLines="25" w:line="300" w:lineRule="auto"/>
              <w:rPr>
                <w:rFonts w:ascii="Arial" w:hAnsi="Arial"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84" w:type="pct"/>
            <w:gridSpan w:val="6"/>
          </w:tcPr>
          <w:p>
            <w:pPr>
              <w:spacing w:after="78" w:afterLines="25" w:line="300" w:lineRule="auto"/>
              <w:jc w:val="center"/>
              <w:rPr>
                <w:rFonts w:ascii="Arial" w:hAnsi="Arial" w:eastAsia="宋体" w:cs="Times New Roman"/>
                <w:szCs w:val="24"/>
              </w:rPr>
            </w:pPr>
            <w:r>
              <w:rPr>
                <w:rFonts w:hint="eastAsia" w:ascii="Arial" w:hAnsi="Arial" w:eastAsia="宋体" w:cs="Times New Roman"/>
                <w:b/>
                <w:szCs w:val="24"/>
              </w:rPr>
              <w:t>投标总价</w:t>
            </w:r>
            <w:r>
              <w:rPr>
                <w:rFonts w:hint="eastAsia" w:ascii="Arial" w:hAnsi="Arial" w:eastAsia="宋体" w:cs="Times New Roman"/>
                <w:szCs w:val="24"/>
              </w:rPr>
              <w:t>（以上各项之和；币种：人民币；单位：元）</w:t>
            </w:r>
          </w:p>
        </w:tc>
        <w:tc>
          <w:tcPr>
            <w:tcW w:w="2015" w:type="pct"/>
            <w:gridSpan w:val="5"/>
          </w:tcPr>
          <w:p>
            <w:pPr>
              <w:spacing w:after="78" w:afterLines="25" w:line="300" w:lineRule="auto"/>
              <w:rPr>
                <w:rFonts w:ascii="Arial" w:hAnsi="Arial" w:eastAsia="宋体" w:cs="Times New Roman"/>
                <w:szCs w:val="24"/>
              </w:rPr>
            </w:pPr>
          </w:p>
        </w:tc>
      </w:tr>
    </w:tbl>
    <w:p>
      <w:pPr>
        <w:snapToGrid w:val="0"/>
        <w:rPr>
          <w:rFonts w:hint="eastAsia" w:cs="Times New Roman" w:asciiTheme="minorEastAsia" w:hAnsiTheme="minorEastAsia"/>
          <w:b/>
          <w:szCs w:val="24"/>
        </w:rPr>
      </w:pPr>
      <w:r>
        <w:rPr>
          <w:rFonts w:hint="eastAsia" w:cs="Times New Roman" w:asciiTheme="minorEastAsia" w:hAnsiTheme="minorEastAsia"/>
          <w:b/>
          <w:szCs w:val="24"/>
        </w:rPr>
        <w:t>填写说明：</w:t>
      </w:r>
    </w:p>
    <w:p>
      <w:pPr>
        <w:snapToGrid w:val="0"/>
        <w:rPr>
          <w:rFonts w:hint="eastAsia" w:cs="Times New Roman" w:asciiTheme="minorEastAsia" w:hAnsiTheme="minorEastAsia"/>
          <w:b/>
          <w:szCs w:val="24"/>
        </w:rPr>
      </w:pPr>
      <w:r>
        <w:rPr>
          <w:rFonts w:hint="eastAsia" w:cs="Times New Roman" w:asciiTheme="minorEastAsia" w:hAnsiTheme="minorEastAsia"/>
          <w:b/>
          <w:szCs w:val="24"/>
        </w:rPr>
        <w:t>1.本表可按同样格式扩展。</w:t>
      </w:r>
    </w:p>
    <w:p>
      <w:pPr>
        <w:snapToGrid w:val="0"/>
        <w:rPr>
          <w:rFonts w:hint="eastAsia" w:cs="Times New Roman" w:asciiTheme="minorEastAsia" w:hAnsiTheme="minorEastAsia"/>
          <w:b/>
          <w:szCs w:val="24"/>
        </w:rPr>
      </w:pPr>
      <w:r>
        <w:rPr>
          <w:rFonts w:hint="eastAsia" w:cs="Times New Roman" w:asciiTheme="minorEastAsia" w:hAnsiTheme="minorEastAsia"/>
          <w:b/>
          <w:szCs w:val="24"/>
        </w:rPr>
        <w:t>2. “品牌”可以与商标一致，也可以填写便于区分其他公司商品的制造商简称或者制造商认可的品牌名称。</w:t>
      </w:r>
    </w:p>
    <w:p>
      <w:pPr>
        <w:snapToGrid w:val="0"/>
        <w:rPr>
          <w:rFonts w:hint="eastAsia" w:cs="Times New Roman" w:asciiTheme="minorEastAsia" w:hAnsiTheme="minorEastAsia"/>
          <w:b/>
          <w:szCs w:val="24"/>
        </w:rPr>
      </w:pPr>
      <w:r>
        <w:rPr>
          <w:rFonts w:hint="eastAsia" w:cs="Times New Roman" w:asciiTheme="minorEastAsia" w:hAnsiTheme="minorEastAsia"/>
          <w:b/>
          <w:szCs w:val="24"/>
        </w:rPr>
        <w:t>3.如所投货物属于定制类的非量产货物或无具体型号的货物，可以在“规格/型号”一栏仅填写规格信息而不填写型号信息（型号信息用“定制”描述即可）；</w:t>
      </w:r>
      <w:bookmarkStart w:id="34" w:name="_Hlk73646428"/>
      <w:r>
        <w:rPr>
          <w:rFonts w:hint="eastAsia" w:cs="Times New Roman" w:asciiTheme="minorEastAsia" w:hAnsiTheme="minorEastAsia"/>
          <w:b/>
          <w:szCs w:val="24"/>
        </w:rPr>
        <w:t>此类填写错误或缺漏（所投货物为定制类的非量产货物但供应商却错误填报了型号）可能带来的不利后果由供应商承担。</w:t>
      </w:r>
      <w:bookmarkEnd w:id="34"/>
    </w:p>
    <w:p>
      <w:pPr>
        <w:snapToGrid w:val="0"/>
        <w:rPr>
          <w:rFonts w:hint="eastAsia" w:cs="Times New Roman" w:asciiTheme="minorEastAsia" w:hAnsiTheme="minorEastAsia"/>
          <w:b/>
          <w:szCs w:val="24"/>
        </w:rPr>
      </w:pPr>
      <w:r>
        <w:rPr>
          <w:rFonts w:hint="eastAsia" w:cs="Times New Roman" w:asciiTheme="minorEastAsia" w:hAnsiTheme="minorEastAsia"/>
          <w:b/>
          <w:szCs w:val="24"/>
        </w:rPr>
        <w:t>4.</w:t>
      </w:r>
      <w:bookmarkStart w:id="35" w:name="_Hlk72074795"/>
      <w:r>
        <w:rPr>
          <w:rFonts w:hint="eastAsia" w:cs="Times New Roman" w:asciiTheme="minorEastAsia" w:hAnsiTheme="minorEastAsia"/>
          <w:b/>
          <w:szCs w:val="24"/>
        </w:rPr>
        <w:t>“原产地”是指该货物的实际生产加工地，而非品牌所在地</w:t>
      </w:r>
      <w:bookmarkEnd w:id="35"/>
      <w:r>
        <w:rPr>
          <w:rFonts w:hint="eastAsia" w:cs="Times New Roman" w:asciiTheme="minorEastAsia" w:hAnsiTheme="minorEastAsia"/>
          <w:b/>
          <w:szCs w:val="24"/>
        </w:rPr>
        <w:t>。</w:t>
      </w:r>
    </w:p>
    <w:p>
      <w:pPr>
        <w:snapToGrid w:val="0"/>
        <w:rPr>
          <w:rFonts w:hint="eastAsia" w:cs="Times New Roman" w:asciiTheme="minorEastAsia" w:hAnsiTheme="minorEastAsia"/>
          <w:b/>
          <w:szCs w:val="24"/>
        </w:rPr>
      </w:pPr>
      <w:r>
        <w:rPr>
          <w:rFonts w:hint="eastAsia" w:cs="Times New Roman" w:asciiTheme="minorEastAsia" w:hAnsiTheme="minorEastAsia"/>
          <w:b/>
          <w:szCs w:val="24"/>
        </w:rPr>
        <w:t>5.所投货物均应填写制造商名称。“制造商”是指产品制造厂商，产品代工制造的，应填写接受委托生产制造的制造商。</w:t>
      </w:r>
    </w:p>
    <w:p>
      <w:pPr>
        <w:snapToGrid w:val="0"/>
        <w:rPr>
          <w:rFonts w:hint="eastAsia" w:cs="Times New Roman" w:asciiTheme="minorEastAsia" w:hAnsiTheme="minorEastAsia"/>
          <w:b/>
          <w:szCs w:val="24"/>
        </w:rPr>
      </w:pPr>
      <w:r>
        <w:rPr>
          <w:rFonts w:hint="eastAsia" w:cs="Times New Roman" w:asciiTheme="minorEastAsia" w:hAnsiTheme="minorEastAsia"/>
          <w:b/>
          <w:szCs w:val="24"/>
        </w:rPr>
        <w:t>6.以上分项报价表的投标总价应当与开标一览表的投标总价一致。</w:t>
      </w:r>
    </w:p>
    <w:p>
      <w:pPr>
        <w:snapToGrid w:val="0"/>
        <w:rPr>
          <w:rFonts w:hint="eastAsia" w:cs="Times New Roman" w:asciiTheme="minorEastAsia" w:hAnsiTheme="minorEastAsia"/>
          <w:b/>
          <w:szCs w:val="24"/>
        </w:rPr>
      </w:pPr>
      <w:r>
        <w:rPr>
          <w:rFonts w:hint="eastAsia" w:cs="Times New Roman" w:asciiTheme="minorEastAsia" w:hAnsiTheme="minorEastAsia"/>
          <w:b/>
          <w:szCs w:val="24"/>
        </w:rPr>
        <w:t>7.单价、合价和投标总价为包干价，即三者均应包含货物的价款、包装、运输、装卸、安装、调试、技术指导、培训、咨询、服务、保险、税费、检测、验收合格交付使用之前以及技术和售后服务等其他各项有关费用。</w:t>
      </w:r>
    </w:p>
    <w:p>
      <w:pPr>
        <w:snapToGrid w:val="0"/>
        <w:rPr>
          <w:rFonts w:hint="eastAsia" w:cs="Times New Roman" w:asciiTheme="minorEastAsia" w:hAnsiTheme="minorEastAsia"/>
          <w:b/>
          <w:szCs w:val="24"/>
        </w:rPr>
      </w:pPr>
      <w:r>
        <w:rPr>
          <w:rFonts w:hint="eastAsia" w:cs="Times New Roman" w:asciiTheme="minorEastAsia" w:hAnsiTheme="minorEastAsia"/>
          <w:b/>
          <w:szCs w:val="24"/>
        </w:rPr>
        <w:t>8.所有价格应按“招标文件”中规定的货币单位填写；投标总价应为以上各分项价格之和；投标总价和项目报价表中单个采购预算条目报价均不得超过对应的财政预算限额，否则将导致投标无效。</w:t>
      </w:r>
    </w:p>
    <w:p>
      <w:pPr>
        <w:snapToGrid w:val="0"/>
        <w:rPr>
          <w:rFonts w:hint="eastAsia" w:cs="Times New Roman" w:asciiTheme="minorEastAsia" w:hAnsiTheme="minorEastAsia"/>
          <w:b/>
          <w:szCs w:val="24"/>
        </w:rPr>
      </w:pPr>
    </w:p>
    <w:p>
      <w:pPr>
        <w:snapToGrid w:val="0"/>
        <w:rPr>
          <w:rFonts w:hint="eastAsia" w:cs="Times New Roman" w:asciiTheme="minorEastAsia" w:hAnsiTheme="minorEastAsia"/>
          <w:b/>
          <w:color w:val="FF0000"/>
          <w:szCs w:val="24"/>
        </w:rPr>
      </w:pPr>
      <w:r>
        <w:rPr>
          <w:rFonts w:hint="eastAsia" w:cs="Times New Roman" w:asciiTheme="minorEastAsia" w:hAnsiTheme="minorEastAsia"/>
          <w:bCs/>
          <w:color w:val="FF0000"/>
          <w:szCs w:val="24"/>
        </w:rPr>
        <w:t>★</w:t>
      </w:r>
      <w:r>
        <w:rPr>
          <w:rFonts w:hint="eastAsia" w:cs="Times New Roman" w:asciiTheme="minorEastAsia" w:hAnsiTheme="minorEastAsia"/>
          <w:b/>
          <w:color w:val="FF0000"/>
          <w:szCs w:val="24"/>
        </w:rPr>
        <w:t>填写</w:t>
      </w:r>
      <w:r>
        <w:rPr>
          <w:rFonts w:cs="Times New Roman" w:asciiTheme="minorEastAsia" w:hAnsiTheme="minorEastAsia"/>
          <w:b/>
          <w:color w:val="FF0000"/>
          <w:szCs w:val="24"/>
        </w:rPr>
        <w:t>要求：</w:t>
      </w:r>
    </w:p>
    <w:p>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1.</w:t>
      </w:r>
      <w:r>
        <w:rPr>
          <w:rFonts w:hint="eastAsia" w:cs="Times New Roman" w:asciiTheme="minorEastAsia" w:hAnsiTheme="minorEastAsia"/>
          <w:b/>
          <w:color w:val="FF0000"/>
          <w:szCs w:val="24"/>
        </w:rPr>
        <w:t>《分项报价清单》</w:t>
      </w:r>
      <w:r>
        <w:rPr>
          <w:rFonts w:cs="Times New Roman" w:asciiTheme="minorEastAsia" w:hAnsiTheme="minorEastAsia"/>
          <w:b/>
          <w:color w:val="FF0000"/>
          <w:szCs w:val="24"/>
        </w:rPr>
        <w:t>所有价格应</w:t>
      </w:r>
      <w:r>
        <w:rPr>
          <w:rFonts w:hint="eastAsia" w:cs="Times New Roman" w:asciiTheme="minorEastAsia" w:hAnsiTheme="minorEastAsia"/>
          <w:b/>
          <w:color w:val="FF0000"/>
          <w:szCs w:val="24"/>
        </w:rPr>
        <w:t>以人民币为结算单位填写</w:t>
      </w:r>
      <w:r>
        <w:rPr>
          <w:rFonts w:cs="Times New Roman" w:asciiTheme="minorEastAsia" w:hAnsiTheme="minorEastAsia"/>
          <w:b/>
          <w:color w:val="FF0000"/>
          <w:szCs w:val="24"/>
        </w:rPr>
        <w:t>；</w:t>
      </w:r>
    </w:p>
    <w:p>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2.</w:t>
      </w:r>
      <w:r>
        <w:rPr>
          <w:rFonts w:hint="eastAsia" w:cs="Times New Roman" w:asciiTheme="minorEastAsia" w:hAnsiTheme="minorEastAsia"/>
          <w:b/>
          <w:color w:val="FF0000"/>
          <w:szCs w:val="24"/>
        </w:rPr>
        <w:t>《（一）项目报价表》</w:t>
      </w:r>
      <w:r>
        <w:rPr>
          <w:rFonts w:cs="Times New Roman" w:asciiTheme="minorEastAsia" w:hAnsiTheme="minorEastAsia"/>
          <w:b/>
          <w:color w:val="FF0000"/>
          <w:szCs w:val="24"/>
        </w:rPr>
        <w:t>可根据</w:t>
      </w:r>
      <w:r>
        <w:rPr>
          <w:rFonts w:hint="eastAsia" w:cs="Times New Roman" w:asciiTheme="minorEastAsia" w:hAnsiTheme="minorEastAsia"/>
          <w:b/>
          <w:color w:val="FF0000"/>
          <w:szCs w:val="24"/>
        </w:rPr>
        <w:t>实际需要</w:t>
      </w:r>
      <w:r>
        <w:rPr>
          <w:rFonts w:cs="Times New Roman" w:asciiTheme="minorEastAsia" w:hAnsiTheme="minorEastAsia"/>
          <w:b/>
          <w:color w:val="FF0000"/>
          <w:szCs w:val="24"/>
        </w:rPr>
        <w:t>增加</w:t>
      </w:r>
      <w:r>
        <w:rPr>
          <w:rFonts w:hint="eastAsia" w:cs="Times New Roman" w:asciiTheme="minorEastAsia" w:hAnsiTheme="minorEastAsia"/>
          <w:b/>
          <w:color w:val="FF0000"/>
          <w:szCs w:val="24"/>
        </w:rPr>
        <w:t>相关</w:t>
      </w:r>
      <w:r>
        <w:rPr>
          <w:rFonts w:cs="Times New Roman" w:asciiTheme="minorEastAsia" w:hAnsiTheme="minorEastAsia"/>
          <w:b/>
          <w:color w:val="FF0000"/>
          <w:szCs w:val="24"/>
        </w:rPr>
        <w:t>内容，但原</w:t>
      </w:r>
      <w:r>
        <w:rPr>
          <w:rFonts w:hint="eastAsia" w:cs="Times New Roman" w:asciiTheme="minorEastAsia" w:hAnsiTheme="minorEastAsia"/>
          <w:b/>
          <w:color w:val="FF0000"/>
          <w:szCs w:val="24"/>
        </w:rPr>
        <w:t>有</w:t>
      </w:r>
      <w:r>
        <w:rPr>
          <w:rFonts w:cs="Times New Roman" w:asciiTheme="minorEastAsia" w:hAnsiTheme="minorEastAsia"/>
          <w:b/>
          <w:color w:val="FF0000"/>
          <w:szCs w:val="24"/>
        </w:rPr>
        <w:t>的格式</w:t>
      </w:r>
      <w:r>
        <w:rPr>
          <w:rFonts w:hint="eastAsia" w:cs="Times New Roman" w:asciiTheme="minorEastAsia" w:hAnsiTheme="minorEastAsia"/>
          <w:b/>
          <w:color w:val="FF0000"/>
          <w:szCs w:val="24"/>
        </w:rPr>
        <w:t>内容</w:t>
      </w:r>
      <w:r>
        <w:rPr>
          <w:rFonts w:cs="Times New Roman" w:asciiTheme="minorEastAsia" w:hAnsiTheme="minorEastAsia"/>
          <w:b/>
          <w:color w:val="FF0000"/>
          <w:szCs w:val="24"/>
        </w:rPr>
        <w:t>不得删减；</w:t>
      </w:r>
    </w:p>
    <w:p>
      <w:pPr>
        <w:snapToGrid w:val="0"/>
        <w:rPr>
          <w:rFonts w:hint="eastAsia" w:cs="Times New Roman" w:asciiTheme="minorEastAsia" w:hAnsiTheme="minorEastAsia"/>
          <w:b/>
          <w:color w:val="FF0000"/>
          <w:szCs w:val="24"/>
        </w:rPr>
      </w:pPr>
      <w:r>
        <w:rPr>
          <w:rFonts w:hint="eastAsia" w:cs="Times New Roman" w:asciiTheme="minorEastAsia" w:hAnsiTheme="minorEastAsia"/>
          <w:b/>
          <w:color w:val="FF0000"/>
          <w:szCs w:val="24"/>
        </w:rPr>
        <w:t>3.</w:t>
      </w:r>
      <w:r>
        <w:rPr>
          <w:rFonts w:cs="Times New Roman" w:asciiTheme="minorEastAsia" w:hAnsiTheme="minorEastAsia"/>
          <w:b/>
          <w:color w:val="FF0000"/>
          <w:szCs w:val="24"/>
        </w:rPr>
        <w:t>如</w:t>
      </w:r>
      <w:r>
        <w:rPr>
          <w:rFonts w:hint="eastAsia" w:cs="Times New Roman" w:asciiTheme="minorEastAsia" w:hAnsiTheme="minorEastAsia"/>
          <w:b/>
          <w:color w:val="FF0000"/>
          <w:szCs w:val="24"/>
        </w:rPr>
        <w:t>未提供《（一）项目报价表》或者</w:t>
      </w:r>
      <w:r>
        <w:rPr>
          <w:rFonts w:cs="Times New Roman" w:asciiTheme="minorEastAsia" w:hAnsiTheme="minorEastAsia"/>
          <w:b/>
          <w:color w:val="FF0000"/>
          <w:szCs w:val="24"/>
        </w:rPr>
        <w:t>不按</w:t>
      </w:r>
      <w:r>
        <w:rPr>
          <w:rFonts w:hint="eastAsia" w:cs="Times New Roman" w:asciiTheme="minorEastAsia" w:hAnsiTheme="minorEastAsia"/>
          <w:b/>
          <w:color w:val="FF0000"/>
          <w:szCs w:val="24"/>
        </w:rPr>
        <w:t>《第三章 用户需求书：二、货物需求明细》</w:t>
      </w:r>
      <w:r>
        <w:rPr>
          <w:rFonts w:cs="Times New Roman" w:asciiTheme="minorEastAsia" w:hAnsiTheme="minorEastAsia"/>
          <w:b/>
          <w:color w:val="FF0000"/>
          <w:szCs w:val="24"/>
        </w:rPr>
        <w:t>要求填报、漏报或错报</w:t>
      </w:r>
      <w:r>
        <w:rPr>
          <w:rFonts w:hint="eastAsia" w:cs="Times New Roman" w:asciiTheme="minorEastAsia" w:hAnsiTheme="minorEastAsia"/>
          <w:b/>
          <w:color w:val="FF0000"/>
          <w:szCs w:val="24"/>
        </w:rPr>
        <w:t>的将作</w:t>
      </w:r>
      <w:r>
        <w:rPr>
          <w:rFonts w:cs="Times New Roman" w:asciiTheme="minorEastAsia" w:hAnsiTheme="minorEastAsia"/>
          <w:b/>
          <w:color w:val="FF0000"/>
          <w:szCs w:val="24"/>
        </w:rPr>
        <w:t>投标无效处理。</w:t>
      </w:r>
    </w:p>
    <w:p>
      <w:pPr>
        <w:tabs>
          <w:tab w:val="left" w:pos="720"/>
        </w:tabs>
        <w:rPr>
          <w:rFonts w:ascii="Times New Roman" w:hAnsi="Times New Roman" w:eastAsia="宋体" w:cs="Times New Roman"/>
          <w:b/>
          <w:sz w:val="24"/>
          <w:szCs w:val="24"/>
        </w:rPr>
      </w:pPr>
    </w:p>
    <w:p>
      <w:pPr>
        <w:tabs>
          <w:tab w:val="left" w:pos="720"/>
        </w:tabs>
        <w:rPr>
          <w:rFonts w:ascii="Times New Roman" w:hAnsi="Times New Roman" w:eastAsia="宋体" w:cs="Times New Roman"/>
          <w:b/>
          <w:color w:val="FF0000"/>
          <w:sz w:val="24"/>
          <w:szCs w:val="24"/>
        </w:rPr>
      </w:pPr>
      <w:r>
        <w:rPr>
          <w:rFonts w:hint="eastAsia" w:ascii="Times New Roman" w:hAnsi="Times New Roman" w:eastAsia="宋体" w:cs="Times New Roman"/>
          <w:b/>
          <w:color w:val="FF0000"/>
          <w:sz w:val="24"/>
          <w:szCs w:val="24"/>
        </w:rPr>
        <w:t>（二）核心产品品牌</w:t>
      </w:r>
    </w:p>
    <w:p>
      <w:pPr>
        <w:rPr>
          <w:rFonts w:ascii="Times New Roman" w:hAnsi="Times New Roman" w:eastAsia="宋体" w:cs="Times New Roman"/>
          <w:color w:val="FF0000"/>
          <w:sz w:val="24"/>
          <w:szCs w:val="24"/>
        </w:rPr>
      </w:pPr>
      <w:r>
        <w:rPr>
          <w:rFonts w:hint="eastAsia" w:ascii="Times New Roman" w:hAnsi="Times New Roman" w:eastAsia="宋体" w:cs="Times New Roman"/>
          <w:b/>
          <w:color w:val="FF0000"/>
          <w:sz w:val="24"/>
          <w:szCs w:val="24"/>
        </w:rPr>
        <w:t>我单位所投核心产品的品牌为：</w:t>
      </w:r>
      <w:r>
        <w:rPr>
          <w:rFonts w:hint="eastAsia" w:ascii="Times New Roman" w:hAnsi="Times New Roman" w:eastAsia="宋体" w:cs="Times New Roman"/>
          <w:color w:val="FF0000"/>
          <w:sz w:val="24"/>
          <w:szCs w:val="24"/>
          <w:u w:val="single"/>
        </w:rPr>
        <w:t xml:space="preserve">               </w:t>
      </w:r>
      <w:r>
        <w:rPr>
          <w:rFonts w:hint="eastAsia" w:ascii="Times New Roman" w:hAnsi="Times New Roman" w:eastAsia="宋体" w:cs="Times New Roman"/>
          <w:color w:val="FF0000"/>
          <w:sz w:val="24"/>
          <w:szCs w:val="24"/>
        </w:rPr>
        <w:t>。</w:t>
      </w:r>
    </w:p>
    <w:p>
      <w:pPr>
        <w:rPr>
          <w:rFonts w:ascii="Arial" w:hAnsi="Arial" w:eastAsia="宋体" w:cs="Times New Roman"/>
          <w:b/>
          <w:szCs w:val="24"/>
        </w:rPr>
      </w:pPr>
      <w:r>
        <w:rPr>
          <w:rFonts w:hint="eastAsia" w:ascii="宋体" w:hAnsi="宋体" w:eastAsia="宋体" w:cs="Times New Roman"/>
          <w:color w:val="FF0000"/>
          <w:sz w:val="24"/>
          <w:szCs w:val="24"/>
        </w:rPr>
        <w:t>备注：单一产品采购项目，核心产品即为该单一产品。</w:t>
      </w:r>
    </w:p>
    <w:p>
      <w:pPr>
        <w:spacing w:after="78" w:afterLines="25" w:line="300" w:lineRule="auto"/>
        <w:rPr>
          <w:rFonts w:ascii="Arial" w:hAnsi="Arial" w:eastAsia="宋体" w:cs="Times New Roman"/>
          <w:b/>
          <w:szCs w:val="24"/>
        </w:rPr>
      </w:pPr>
    </w:p>
    <w:p>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（三）可选配件报价清单（非项目需求要求的必备配件，此部分不包括在总报价内）</w:t>
      </w:r>
    </w:p>
    <w:p>
      <w:pPr>
        <w:ind w:firstLine="422" w:firstLineChars="200"/>
        <w:rPr>
          <w:rFonts w:hint="eastAsia" w:hAnsi="宋体"/>
          <w:b/>
          <w:bCs/>
          <w:szCs w:val="21"/>
        </w:rPr>
      </w:pPr>
      <w:r>
        <w:rPr>
          <w:rFonts w:hint="eastAsia" w:hAnsi="宋体"/>
          <w:b/>
          <w:bCs/>
          <w:szCs w:val="21"/>
        </w:rPr>
        <w:t>注：格式可以参照《（一）项目报价表》表格，并提供相应的品牌/规格/型号、原产地、制造商信息（没有品牌、型号的，用“定制”描述即可）、单价等详细信息</w:t>
      </w:r>
    </w:p>
    <w:p>
      <w:pPr>
        <w:ind w:firstLine="422" w:firstLineChars="200"/>
        <w:rPr>
          <w:rFonts w:hint="eastAsia" w:hAnsi="宋体"/>
          <w:b/>
          <w:bCs/>
          <w:szCs w:val="21"/>
        </w:rPr>
      </w:pPr>
    </w:p>
    <w:p>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（四）供应商认为需要涉及的其他内容报价清单</w:t>
      </w:r>
    </w:p>
    <w:p>
      <w:pPr>
        <w:jc w:val="both"/>
        <w:rPr>
          <w:b/>
          <w:bCs/>
          <w:color w:val="FF0000"/>
          <w:sz w:val="24"/>
        </w:rPr>
      </w:pPr>
    </w:p>
    <w:p>
      <w:pPr>
        <w:jc w:val="center"/>
        <w:rPr>
          <w:rFonts w:hint="eastAsia" w:ascii="宋体" w:hAnsi="宋体"/>
        </w:rPr>
      </w:pPr>
      <w:r>
        <w:rPr>
          <w:rFonts w:hint="eastAsia"/>
          <w:b/>
          <w:bCs/>
          <w:color w:val="FF0000"/>
          <w:sz w:val="24"/>
        </w:rPr>
        <w:t>★</w:t>
      </w:r>
      <w:r>
        <w:rPr>
          <w:rFonts w:hint="eastAsia" w:ascii="黑体" w:eastAsia="黑体"/>
          <w:sz w:val="24"/>
          <w:szCs w:val="24"/>
        </w:rPr>
        <w:t>五、供应商基本情况表</w:t>
      </w:r>
    </w:p>
    <w:p>
      <w:pPr>
        <w:pStyle w:val="6"/>
        <w:numPr>
          <w:ilvl w:val="0"/>
          <w:numId w:val="3"/>
        </w:numPr>
        <w:spacing w:before="0" w:after="0" w:line="360" w:lineRule="auto"/>
        <w:rPr>
          <w:rFonts w:ascii="Times New Roman" w:hAnsi="Times New Roman" w:cs="Times New Roman"/>
          <w:b w:val="0"/>
          <w:bCs w:val="0"/>
          <w:sz w:val="21"/>
          <w:szCs w:val="24"/>
        </w:rPr>
      </w:pPr>
      <w:r>
        <w:rPr>
          <w:rFonts w:hint="eastAsia" w:ascii="Times New Roman" w:hAnsi="Times New Roman" w:cs="Times New Roman"/>
          <w:b w:val="0"/>
          <w:bCs w:val="0"/>
          <w:sz w:val="21"/>
          <w:szCs w:val="24"/>
        </w:rPr>
        <w:t>提供投标人所在地的市场监督管理部门“商事登记簿查询（商事主体登记及备案信息查询）”查询截图；参考示例“深圳市市场监督管理局——商事登记簿查询（商事主体登记及备案信息查询）：</w:t>
      </w:r>
      <w:r>
        <w:fldChar w:fldCharType="begin"/>
      </w:r>
      <w:r>
        <w:instrText xml:space="preserve"> HYPERLINK "https://amr.sz.gov.cn/outer/entSelect/gs.html" </w:instrText>
      </w:r>
      <w:r>
        <w:fldChar w:fldCharType="separate"/>
      </w:r>
      <w:r>
        <w:rPr>
          <w:rStyle w:val="24"/>
          <w:rFonts w:hint="eastAsia" w:ascii="Times New Roman" w:hAnsi="Times New Roman" w:cs="Times New Roman"/>
          <w:b w:val="0"/>
          <w:bCs w:val="0"/>
          <w:sz w:val="21"/>
          <w:szCs w:val="24"/>
        </w:rPr>
        <w:t>https://amr.sz.gov.cn/outer/entSelect/gs.html”。</w:t>
      </w:r>
      <w:r>
        <w:rPr>
          <w:rStyle w:val="24"/>
          <w:rFonts w:hint="eastAsia" w:ascii="Times New Roman" w:hAnsi="Times New Roman" w:cs="Times New Roman"/>
          <w:b w:val="0"/>
          <w:bCs w:val="0"/>
          <w:sz w:val="21"/>
          <w:szCs w:val="24"/>
        </w:rPr>
        <w:fldChar w:fldCharType="end"/>
      </w:r>
    </w:p>
    <w:p>
      <w:pPr>
        <w:rPr>
          <w:b/>
          <w:bCs/>
          <w:color w:val="FF0000"/>
          <w:highlight w:val="yellow"/>
        </w:rPr>
      </w:pPr>
      <w:r>
        <w:rPr>
          <w:rFonts w:hint="eastAsia"/>
          <w:b/>
          <w:bCs/>
          <w:color w:val="FF0000"/>
          <w:highlight w:val="yellow"/>
        </w:rPr>
        <w:t>提示：如果投标供应商</w:t>
      </w:r>
      <w:r>
        <w:rPr>
          <w:rFonts w:ascii="宋体" w:hAnsi="宋体"/>
          <w:b/>
          <w:bCs/>
          <w:color w:val="FF0000"/>
          <w:highlight w:val="yellow"/>
        </w:rPr>
        <w:t>存在单位负责人为同一人</w:t>
      </w:r>
      <w:r>
        <w:rPr>
          <w:rFonts w:hint="eastAsia" w:ascii="宋体" w:hAnsi="宋体"/>
          <w:b/>
          <w:bCs/>
          <w:color w:val="FF0000"/>
          <w:highlight w:val="yellow"/>
        </w:rPr>
        <w:t>，</w:t>
      </w:r>
      <w:r>
        <w:rPr>
          <w:rFonts w:ascii="宋体" w:hAnsi="宋体"/>
          <w:b/>
          <w:bCs/>
          <w:color w:val="FF0000"/>
          <w:highlight w:val="yellow"/>
        </w:rPr>
        <w:t>或者存在直接控股、</w:t>
      </w:r>
      <w:r>
        <w:rPr>
          <w:rFonts w:hint="eastAsia" w:ascii="宋体" w:hAnsi="宋体"/>
          <w:b/>
          <w:bCs/>
          <w:color w:val="FF0000"/>
          <w:highlight w:val="yellow"/>
        </w:rPr>
        <w:t>间接控股、</w:t>
      </w:r>
      <w:r>
        <w:rPr>
          <w:rFonts w:ascii="宋体" w:hAnsi="宋体"/>
          <w:b/>
          <w:bCs/>
          <w:color w:val="FF0000"/>
          <w:highlight w:val="yellow"/>
        </w:rPr>
        <w:t>管理关系</w:t>
      </w:r>
      <w:r>
        <w:rPr>
          <w:rFonts w:hint="eastAsia" w:ascii="宋体" w:hAnsi="宋体"/>
          <w:b/>
          <w:bCs/>
          <w:color w:val="FF0000"/>
          <w:highlight w:val="yellow"/>
        </w:rPr>
        <w:t>等情形，将被纳入交易监管平台产生示警信息，由此产生的负面影响，由投标人自行承担。</w:t>
      </w:r>
    </w:p>
    <w:p/>
    <w:p>
      <w:pPr>
        <w:pStyle w:val="6"/>
        <w:spacing w:before="0" w:after="0" w:line="360" w:lineRule="auto"/>
        <w:rPr>
          <w:rFonts w:ascii="Times New Roman" w:hAnsi="Times New Roman" w:cs="Times New Roman"/>
          <w:b w:val="0"/>
          <w:bCs w:val="0"/>
          <w:sz w:val="21"/>
          <w:szCs w:val="24"/>
        </w:rPr>
      </w:pPr>
      <w:r>
        <w:rPr>
          <w:rFonts w:hint="eastAsia" w:ascii="Times New Roman" w:hAnsi="Times New Roman" w:cs="Times New Roman"/>
          <w:b w:val="0"/>
          <w:bCs w:val="0"/>
          <w:sz w:val="21"/>
          <w:szCs w:val="24"/>
        </w:rPr>
        <w:t>2、股东构成审查表</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4"/>
        <w:gridCol w:w="6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投标人名称</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本单位负责人（法定代表人）姓名</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是否存在本单位的控股股东</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□是，其控股股东为：</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，股份占比：</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w:t>
            </w:r>
          </w:p>
          <w:p>
            <w:pPr>
              <w:autoSpaceDE w:val="0"/>
              <w:autoSpaceDN w:val="0"/>
              <w:adjustRightInd w:val="0"/>
              <w:snapToGrid w:val="0"/>
              <w:jc w:val="left"/>
              <w:rPr>
                <w:rFonts w:hint="eastAsia" w:ascii="宋体" w:hAnsi="宋体" w:cs="Segoe UI Symbol"/>
                <w:color w:val="000000"/>
                <w:kern w:val="0"/>
                <w:szCs w:val="21"/>
              </w:rPr>
            </w:pPr>
            <w:r>
              <w:rPr>
                <w:rFonts w:hint="eastAsia" w:ascii="宋体" w:hAnsi="宋体" w:cs="Segoe UI Symbol"/>
                <w:color w:val="000000"/>
                <w:kern w:val="0"/>
                <w:szCs w:val="21"/>
              </w:rPr>
              <w:t>其他主要股东及其股份占比：</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w:t>
            </w:r>
          </w:p>
          <w:p>
            <w:pPr>
              <w:autoSpaceDE w:val="0"/>
              <w:autoSpaceDN w:val="0"/>
              <w:adjustRightInd w:val="0"/>
              <w:snapToGrid w:val="0"/>
              <w:jc w:val="left"/>
              <w:rPr>
                <w:rFonts w:hint="eastAsia" w:ascii="宋体" w:hAnsi="宋体"/>
                <w:b/>
                <w:bCs/>
                <w:color w:val="000000"/>
                <w:szCs w:val="21"/>
              </w:rPr>
            </w:pPr>
            <w:r>
              <w:rPr>
                <w:rFonts w:hint="eastAsia" w:ascii="宋体" w:hAnsi="宋体" w:cs="Segoe UI Symbol"/>
                <w:color w:val="000000"/>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是否存在“与本单位存在管理关系的单位”</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□是，该单位为：</w:t>
            </w:r>
            <w:r>
              <w:rPr>
                <w:rFonts w:hint="eastAsia" w:ascii="宋体" w:hAnsi="宋体" w:cs="Segoe UI Symbol"/>
                <w:color w:val="000000"/>
                <w:kern w:val="0"/>
                <w:szCs w:val="21"/>
                <w:u w:val="single"/>
              </w:rPr>
              <w:t xml:space="preserve">                                          </w:t>
            </w:r>
          </w:p>
          <w:p>
            <w:pPr>
              <w:autoSpaceDE w:val="0"/>
              <w:autoSpaceDN w:val="0"/>
              <w:adjustRightInd w:val="0"/>
              <w:snapToGrid w:val="0"/>
              <w:jc w:val="left"/>
              <w:rPr>
                <w:rFonts w:hint="eastAsia" w:ascii="宋体" w:hAnsi="宋体"/>
                <w:b/>
                <w:bCs/>
                <w:color w:val="000000"/>
                <w:szCs w:val="21"/>
              </w:rPr>
            </w:pPr>
            <w:r>
              <w:rPr>
                <w:rFonts w:hint="eastAsia" w:ascii="宋体" w:hAnsi="宋体" w:cs="Segoe UI Symbol"/>
                <w:color w:val="000000"/>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是否存在“与招标人有利害关系”的情况</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□是，与招标人的关系为：</w:t>
            </w:r>
            <w:r>
              <w:rPr>
                <w:rFonts w:hint="eastAsia" w:ascii="宋体" w:hAnsi="宋体" w:cs="Segoe UI Symbol"/>
                <w:color w:val="000000"/>
                <w:kern w:val="0"/>
                <w:szCs w:val="21"/>
                <w:u w:val="single"/>
              </w:rPr>
              <w:t xml:space="preserve">                                   </w:t>
            </w:r>
          </w:p>
          <w:p>
            <w:pPr>
              <w:autoSpaceDE w:val="0"/>
              <w:autoSpaceDN w:val="0"/>
              <w:adjustRightInd w:val="0"/>
              <w:snapToGrid w:val="0"/>
              <w:jc w:val="left"/>
              <w:rPr>
                <w:rFonts w:hint="eastAsia" w:ascii="宋体" w:hAnsi="宋体" w:cs="Segoe UI Symbol"/>
                <w:color w:val="000000"/>
                <w:kern w:val="0"/>
                <w:szCs w:val="21"/>
              </w:rPr>
            </w:pPr>
            <w:r>
              <w:rPr>
                <w:rFonts w:hint="eastAsia" w:ascii="宋体" w:hAnsi="宋体" w:cs="Segoe UI Symbol"/>
                <w:color w:val="000000"/>
                <w:kern w:val="0"/>
                <w:szCs w:val="21"/>
              </w:rPr>
              <w:t>□否</w:t>
            </w:r>
          </w:p>
        </w:tc>
      </w:tr>
    </w:tbl>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注：</w:t>
      </w:r>
    </w:p>
    <w:p>
      <w:pPr>
        <w:autoSpaceDE w:val="0"/>
        <w:autoSpaceDN w:val="0"/>
        <w:adjustRightInd w:val="0"/>
        <w:snapToGrid w:val="0"/>
        <w:jc w:val="left"/>
        <w:rPr>
          <w:rFonts w:hint="eastAsia" w:ascii="宋体" w:hAnsi="宋体"/>
          <w:bCs/>
          <w:color w:val="000000"/>
          <w:szCs w:val="21"/>
        </w:rPr>
      </w:pPr>
      <w:r>
        <w:rPr>
          <w:rFonts w:hint="eastAsia" w:ascii="宋体" w:hAnsi="宋体"/>
          <w:bCs/>
          <w:color w:val="000000"/>
          <w:szCs w:val="21"/>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autoSpaceDE w:val="0"/>
        <w:autoSpaceDN w:val="0"/>
        <w:adjustRightInd w:val="0"/>
        <w:snapToGrid w:val="0"/>
        <w:jc w:val="left"/>
        <w:rPr>
          <w:rFonts w:hint="eastAsia" w:ascii="宋体" w:hAnsi="宋体"/>
          <w:bCs/>
          <w:color w:val="000000"/>
          <w:szCs w:val="21"/>
        </w:rPr>
      </w:pPr>
      <w:r>
        <w:rPr>
          <w:rFonts w:hint="eastAsia" w:ascii="宋体" w:hAnsi="宋体"/>
          <w:bCs/>
          <w:color w:val="000000"/>
          <w:szCs w:val="21"/>
        </w:rPr>
        <w:t>2、投标人需如实填写上述信息，如查实上述信息与实际不符，视为提供虚假证明材料骗取中标，投标人应承担相应法律后果。</w:t>
      </w:r>
    </w:p>
    <w:p>
      <w:pPr>
        <w:pStyle w:val="6"/>
        <w:numPr>
          <w:ilvl w:val="0"/>
          <w:numId w:val="0"/>
        </w:numPr>
        <w:jc w:val="both"/>
        <w:rPr>
          <w:rFonts w:ascii="黑体" w:eastAsia="黑体"/>
          <w:b w:val="0"/>
          <w:sz w:val="24"/>
        </w:rPr>
      </w:pPr>
      <w:r>
        <w:rPr>
          <w:rFonts w:hint="eastAsia" w:ascii="黑体" w:hAnsi="宋体" w:eastAsia="黑体" w:cs="Times New Roman"/>
          <w:b w:val="0"/>
          <w:bCs/>
          <w:kern w:val="2"/>
          <w:sz w:val="24"/>
          <w:szCs w:val="32"/>
          <w:lang w:val="en-US" w:eastAsia="zh-CN" w:bidi="ar-SA"/>
        </w:rPr>
        <w:t>3、供应商基本情况表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4"/>
        <w:gridCol w:w="1528"/>
        <w:gridCol w:w="903"/>
        <w:gridCol w:w="751"/>
        <w:gridCol w:w="1145"/>
        <w:gridCol w:w="1428"/>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left"/>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宋体" w:hAnsi="宋体" w:eastAsia="宋体" w:cs="宋体"/>
                <w:b/>
                <w:bCs/>
                <w:color w:val="FF0000"/>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说明：1.同一关联关系类型有多个主体的，应分行填写。</w:t>
            </w:r>
          </w:p>
          <w:p>
            <w:pPr>
              <w:snapToGrid w:val="0"/>
              <w:jc w:val="left"/>
              <w:rPr>
                <w:rFonts w:hint="eastAsia" w:ascii="宋体" w:hAnsi="宋体" w:eastAsia="宋体" w:cs="宋体"/>
                <w:color w:val="auto"/>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2.《供应商基本情况表》为必填内容，若存在异常且不符合要求的供应商资格性审查将不予通过，作投标无效处理。</w:t>
            </w:r>
          </w:p>
        </w:tc>
      </w:tr>
    </w:tbl>
    <w:p>
      <w:pPr>
        <w:autoSpaceDE w:val="0"/>
        <w:autoSpaceDN w:val="0"/>
        <w:adjustRightInd w:val="0"/>
        <w:snapToGrid w:val="0"/>
        <w:jc w:val="left"/>
        <w:rPr>
          <w:rFonts w:ascii="Arial" w:hAnsi="Arial" w:eastAsia="宋体" w:cs="Times New Roman"/>
          <w:b/>
          <w:sz w:val="24"/>
          <w:szCs w:val="24"/>
        </w:rPr>
      </w:pPr>
    </w:p>
    <w:p>
      <w:pPr>
        <w:widowControl/>
        <w:jc w:val="center"/>
        <w:rPr>
          <w:rFonts w:ascii="Arial" w:hAnsi="Arial" w:eastAsia="宋体" w:cs="Times New Roman"/>
          <w:b/>
          <w:sz w:val="24"/>
          <w:szCs w:val="24"/>
        </w:rPr>
      </w:pPr>
    </w:p>
    <w:p>
      <w:pPr>
        <w:widowControl/>
        <w:jc w:val="center"/>
        <w:rPr>
          <w:rFonts w:ascii="Arial" w:hAnsi="Arial" w:eastAsia="宋体" w:cs="Times New Roman"/>
          <w:szCs w:val="24"/>
        </w:rPr>
      </w:pPr>
      <w:r>
        <w:rPr>
          <w:rFonts w:ascii="Arial" w:hAnsi="Arial" w:eastAsia="宋体" w:cs="Times New Roman"/>
          <w:szCs w:val="24"/>
        </w:rPr>
        <w:br w:type="page"/>
      </w:r>
    </w:p>
    <w:p>
      <w:pPr>
        <w:spacing w:after="78"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pPr>
        <w:pStyle w:val="6"/>
        <w:jc w:val="center"/>
        <w:rPr>
          <w:rFonts w:hint="eastAsia" w:ascii="黑体" w:eastAsia="黑体"/>
          <w:b w:val="0"/>
          <w:sz w:val="24"/>
        </w:rPr>
      </w:pPr>
      <w:r>
        <w:rPr>
          <w:rFonts w:hint="eastAsia" w:ascii="黑体" w:eastAsia="黑体"/>
          <w:b w:val="0"/>
          <w:sz w:val="24"/>
        </w:rPr>
        <w:t>一、</w:t>
      </w:r>
      <w:bookmarkStart w:id="36" w:name="_Hlk72092499"/>
      <w:r>
        <w:rPr>
          <w:rFonts w:hint="eastAsia" w:ascii="黑体" w:eastAsia="黑体"/>
          <w:b w:val="0"/>
          <w:sz w:val="24"/>
        </w:rPr>
        <w:t>法定代表人（负责人）证明书</w:t>
      </w:r>
      <w:bookmarkEnd w:id="36"/>
    </w:p>
    <w:p>
      <w:pPr>
        <w:rPr>
          <w:sz w:val="24"/>
        </w:rPr>
      </w:pPr>
    </w:p>
    <w:p>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特此证明。</w:t>
      </w:r>
    </w:p>
    <w:p>
      <w:pPr>
        <w:spacing w:line="360" w:lineRule="auto"/>
        <w:ind w:firstLine="420" w:firstLineChars="200"/>
        <w:rPr>
          <w:szCs w:val="21"/>
        </w:rPr>
      </w:pPr>
      <w:r>
        <w:rPr>
          <w:rFonts w:hint="eastAsia"/>
          <w:szCs w:val="21"/>
        </w:rPr>
        <w:t>说明：1、法定代表人为投标人（企业事业单位、国家机关、社会团体）的主要行政负责人。</w:t>
      </w:r>
    </w:p>
    <w:p>
      <w:pPr>
        <w:numPr>
          <w:ilvl w:val="0"/>
          <w:numId w:val="4"/>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pPr>
        <w:numPr>
          <w:ilvl w:val="0"/>
          <w:numId w:val="4"/>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pPr>
        <w:numPr>
          <w:ilvl w:val="0"/>
          <w:numId w:val="4"/>
        </w:numPr>
        <w:spacing w:line="360" w:lineRule="auto"/>
        <w:ind w:firstLine="420" w:firstLineChars="200"/>
        <w:rPr>
          <w:szCs w:val="21"/>
        </w:rPr>
      </w:pPr>
      <w:r>
        <w:rPr>
          <w:rFonts w:hint="eastAsia"/>
          <w:szCs w:val="21"/>
        </w:rPr>
        <w:t>内容必须填写真实、清楚，涂改无效，不得转让、买卖。</w:t>
      </w:r>
    </w:p>
    <w:tbl>
      <w:tblPr>
        <w:tblStyle w:val="1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rPr>
              <w:t>证件扫描件正面</w:t>
            </w:r>
          </w:p>
          <w:p>
            <w:pPr>
              <w:pStyle w:val="2"/>
              <w:jc w:val="center"/>
            </w:pPr>
          </w:p>
          <w:p>
            <w:pPr>
              <w:pStyle w:val="3"/>
              <w:jc w:val="center"/>
            </w:pPr>
          </w:p>
        </w:tc>
        <w:tc>
          <w:tcPr>
            <w:tcW w:w="4265" w:type="dxa"/>
          </w:tcPr>
          <w:p>
            <w:pPr>
              <w:jc w:val="center"/>
            </w:pPr>
            <w:r>
              <w:rPr>
                <w:rFonts w:hint="eastAsia"/>
              </w:rPr>
              <w:t>证件扫描件反面</w:t>
            </w:r>
          </w:p>
          <w:p>
            <w:pPr>
              <w:pStyle w:val="2"/>
              <w:jc w:val="center"/>
            </w:pPr>
          </w:p>
          <w:p>
            <w:pPr>
              <w:pStyle w:val="3"/>
              <w:jc w:val="center"/>
            </w:pPr>
          </w:p>
        </w:tc>
      </w:tr>
    </w:tbl>
    <w:p>
      <w:pPr>
        <w:rPr>
          <w:rFonts w:hint="eastAsia"/>
          <w:b/>
          <w:bCs/>
          <w:color w:val="FF0000"/>
          <w:szCs w:val="21"/>
          <w:u w:val="none"/>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pPr>
        <w:rPr>
          <w:rFonts w:hint="eastAsia"/>
          <w:b/>
          <w:bCs/>
          <w:color w:val="FF0000"/>
          <w:szCs w:val="21"/>
          <w:u w:val="none"/>
        </w:rPr>
      </w:pPr>
    </w:p>
    <w:p>
      <w:pPr>
        <w:pStyle w:val="6"/>
        <w:spacing w:before="120" w:after="120"/>
        <w:jc w:val="center"/>
        <w:rPr>
          <w:rFonts w:hint="eastAsia" w:ascii="黑体" w:eastAsia="黑体"/>
          <w:b w:val="0"/>
          <w:sz w:val="24"/>
        </w:rPr>
      </w:pPr>
      <w:r>
        <w:rPr>
          <w:rFonts w:hint="eastAsia" w:ascii="黑体" w:eastAsia="黑体"/>
          <w:b w:val="0"/>
          <w:sz w:val="24"/>
        </w:rPr>
        <w:t>二、投标文件签署授权委托书</w:t>
      </w:r>
    </w:p>
    <w:p>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szCs w:val="21"/>
        </w:rPr>
      </w:pPr>
      <w:r>
        <w:rPr>
          <w:rFonts w:hint="eastAsia"/>
          <w:szCs w:val="21"/>
        </w:rPr>
        <w:t>代理人无转委托权，特此委托。</w:t>
      </w:r>
    </w:p>
    <w:p>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1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ascii="Times New Roman" w:eastAsia="宋体"/>
              </w:rPr>
              <w:t>证件扫描件正面</w:t>
            </w:r>
          </w:p>
          <w:p>
            <w:pPr>
              <w:pStyle w:val="2"/>
              <w:jc w:val="center"/>
            </w:pPr>
          </w:p>
          <w:p>
            <w:pPr>
              <w:pStyle w:val="3"/>
              <w:jc w:val="center"/>
            </w:pPr>
          </w:p>
        </w:tc>
        <w:tc>
          <w:tcPr>
            <w:tcW w:w="4265" w:type="dxa"/>
          </w:tcPr>
          <w:p>
            <w:pPr>
              <w:jc w:val="center"/>
            </w:pPr>
            <w:r>
              <w:rPr>
                <w:rFonts w:hint="eastAsia" w:ascii="Times New Roman" w:eastAsia="宋体"/>
              </w:rPr>
              <w:t>证件扫描件反面</w:t>
            </w:r>
          </w:p>
          <w:p>
            <w:pPr>
              <w:pStyle w:val="2"/>
              <w:jc w:val="center"/>
            </w:pPr>
          </w:p>
          <w:p>
            <w:pPr>
              <w:pStyle w:val="3"/>
              <w:jc w:val="center"/>
            </w:pPr>
          </w:p>
        </w:tc>
      </w:tr>
    </w:tbl>
    <w:p>
      <w:pPr>
        <w:tabs>
          <w:tab w:val="left" w:pos="651"/>
        </w:tabs>
        <w:snapToGrid w:val="0"/>
        <w:jc w:val="both"/>
        <w:rPr>
          <w:rFonts w:ascii="黑体" w:eastAsia="黑体"/>
          <w:kern w:val="0"/>
          <w:sz w:val="24"/>
          <w:szCs w:val="24"/>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pPr>
        <w:tabs>
          <w:tab w:val="left" w:pos="651"/>
        </w:tabs>
        <w:snapToGrid w:val="0"/>
        <w:jc w:val="center"/>
        <w:rPr>
          <w:rFonts w:ascii="黑体" w:eastAsia="黑体"/>
          <w:kern w:val="0"/>
          <w:sz w:val="24"/>
          <w:szCs w:val="24"/>
        </w:rPr>
      </w:pPr>
    </w:p>
    <w:p>
      <w:pPr>
        <w:tabs>
          <w:tab w:val="left" w:pos="651"/>
        </w:tabs>
        <w:snapToGrid w:val="0"/>
        <w:jc w:val="center"/>
        <w:rPr>
          <w:rFonts w:ascii="黑体" w:eastAsia="黑体"/>
          <w:kern w:val="0"/>
          <w:sz w:val="24"/>
          <w:szCs w:val="24"/>
        </w:rPr>
      </w:pPr>
    </w:p>
    <w:p>
      <w:pPr>
        <w:tabs>
          <w:tab w:val="left" w:pos="651"/>
        </w:tabs>
        <w:snapToGrid w:val="0"/>
        <w:jc w:val="center"/>
        <w:rPr>
          <w:rFonts w:ascii="黑体" w:eastAsia="黑体"/>
          <w:kern w:val="0"/>
          <w:sz w:val="24"/>
          <w:szCs w:val="24"/>
        </w:rPr>
      </w:pPr>
    </w:p>
    <w:p>
      <w:pPr>
        <w:tabs>
          <w:tab w:val="left" w:pos="651"/>
        </w:tabs>
        <w:snapToGrid w:val="0"/>
        <w:jc w:val="center"/>
        <w:rPr>
          <w:rFonts w:hint="eastAsia" w:ascii="宋体" w:hAnsi="宋体" w:eastAsia="宋体" w:cs="Times New Roman"/>
          <w:b/>
          <w:bCs/>
          <w:kern w:val="0"/>
          <w:sz w:val="24"/>
          <w:szCs w:val="20"/>
        </w:rPr>
      </w:pPr>
      <w:r>
        <w:rPr>
          <w:rFonts w:hint="eastAsia" w:ascii="黑体" w:eastAsia="黑体"/>
          <w:kern w:val="0"/>
          <w:sz w:val="24"/>
          <w:szCs w:val="24"/>
        </w:rPr>
        <w:t>三、</w:t>
      </w:r>
      <w:bookmarkStart w:id="37" w:name="_Hlk72092634"/>
      <w:r>
        <w:rPr>
          <w:rFonts w:hint="eastAsia" w:ascii="黑体" w:eastAsia="黑体"/>
          <w:kern w:val="0"/>
          <w:sz w:val="24"/>
          <w:szCs w:val="24"/>
        </w:rPr>
        <w:t>实质性条款响应情况表</w:t>
      </w:r>
      <w:bookmarkEnd w:id="37"/>
    </w:p>
    <w:p>
      <w:pPr>
        <w:snapToGrid w:val="0"/>
        <w:rPr>
          <w:rFonts w:ascii="Arial" w:hAnsi="Arial" w:eastAsia="宋体" w:cs="Arial"/>
          <w:sz w:val="24"/>
          <w:szCs w:val="24"/>
        </w:rPr>
      </w:pPr>
      <w:r>
        <w:rPr>
          <w:rFonts w:hint="eastAsia" w:ascii="Arial" w:hAnsi="Arial" w:eastAsia="宋体" w:cs="Arial"/>
          <w:color w:val="000000"/>
          <w:sz w:val="24"/>
          <w:szCs w:val="24"/>
        </w:rPr>
        <w:t>投标单位（投标人）名称：</w:t>
      </w:r>
      <w:r>
        <w:rPr>
          <w:rFonts w:ascii="Arial" w:hAnsi="Arial" w:eastAsia="宋体" w:cs="Arial"/>
          <w:color w:val="000000"/>
          <w:sz w:val="24"/>
          <w:szCs w:val="24"/>
          <w:u w:val="single"/>
        </w:rPr>
        <w:t xml:space="preserve">                         </w:t>
      </w:r>
    </w:p>
    <w:p>
      <w:pPr>
        <w:snapToGrid w:val="0"/>
        <w:rPr>
          <w:rFonts w:hint="eastAsia" w:cs="Times New Roman" w:asciiTheme="minorEastAsia" w:hAnsiTheme="minorEastAsia"/>
          <w:b/>
          <w:sz w:val="24"/>
          <w:szCs w:val="24"/>
        </w:rPr>
      </w:pPr>
    </w:p>
    <w:tbl>
      <w:tblPr>
        <w:tblStyle w:val="18"/>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pPr>
              <w:jc w:val="center"/>
              <w:rPr>
                <w:rFonts w:hint="eastAsia" w:ascii="宋体" w:hAnsi="宋体" w:eastAsia="宋体" w:cs="Arial"/>
                <w:b/>
                <w:szCs w:val="21"/>
              </w:rPr>
            </w:pPr>
            <w:r>
              <w:rPr>
                <w:rFonts w:hint="eastAsia" w:ascii="宋体" w:hAnsi="宋体" w:eastAsia="宋体" w:cs="Arial"/>
                <w:b/>
                <w:szCs w:val="21"/>
              </w:rPr>
              <w:t>序号</w:t>
            </w:r>
          </w:p>
        </w:tc>
        <w:tc>
          <w:tcPr>
            <w:tcW w:w="3901" w:type="dxa"/>
            <w:vAlign w:val="center"/>
          </w:tcPr>
          <w:p>
            <w:pPr>
              <w:jc w:val="center"/>
              <w:rPr>
                <w:rFonts w:hint="eastAsia" w:ascii="宋体" w:hAnsi="宋体" w:eastAsia="宋体" w:cs="Arial"/>
                <w:b/>
                <w:szCs w:val="21"/>
              </w:rPr>
            </w:pPr>
            <w:r>
              <w:rPr>
                <w:rFonts w:hint="eastAsia" w:ascii="宋体" w:hAnsi="宋体" w:eastAsia="宋体" w:cs="Arial"/>
                <w:b/>
                <w:szCs w:val="21"/>
              </w:rPr>
              <w:t>实质性条款具体内容</w:t>
            </w:r>
          </w:p>
        </w:tc>
        <w:tc>
          <w:tcPr>
            <w:tcW w:w="2176" w:type="dxa"/>
            <w:vAlign w:val="center"/>
          </w:tcPr>
          <w:p>
            <w:pPr>
              <w:jc w:val="center"/>
              <w:rPr>
                <w:rFonts w:hint="eastAsia" w:ascii="宋体" w:hAnsi="宋体" w:eastAsia="宋体" w:cs="Arial"/>
                <w:b/>
                <w:szCs w:val="21"/>
              </w:rPr>
            </w:pPr>
            <w:r>
              <w:rPr>
                <w:rFonts w:hint="eastAsia" w:ascii="宋体" w:hAnsi="宋体" w:eastAsia="宋体" w:cs="Arial"/>
                <w:b/>
                <w:szCs w:val="21"/>
              </w:rPr>
              <w:t>投标文件响应</w:t>
            </w:r>
          </w:p>
        </w:tc>
        <w:tc>
          <w:tcPr>
            <w:tcW w:w="1732" w:type="dxa"/>
          </w:tcPr>
          <w:p>
            <w:pPr>
              <w:spacing w:before="156" w:beforeLines="50"/>
              <w:jc w:val="center"/>
              <w:rPr>
                <w:rFonts w:hint="eastAsia" w:ascii="宋体" w:hAnsi="宋体" w:eastAsia="宋体" w:cs="Arial"/>
                <w:b/>
                <w:szCs w:val="21"/>
              </w:rPr>
            </w:pPr>
            <w:r>
              <w:rPr>
                <w:rFonts w:hint="eastAsia" w:ascii="宋体" w:hAnsi="宋体" w:eastAsia="宋体" w:cs="Arial"/>
                <w:b/>
                <w:szCs w:val="21"/>
              </w:rPr>
              <w:t>偏离情况</w:t>
            </w:r>
          </w:p>
        </w:tc>
        <w:tc>
          <w:tcPr>
            <w:tcW w:w="992" w:type="dxa"/>
            <w:vAlign w:val="center"/>
          </w:tcPr>
          <w:p>
            <w:pPr>
              <w:jc w:val="center"/>
              <w:rPr>
                <w:rFonts w:hint="eastAsia" w:ascii="宋体" w:hAnsi="宋体" w:eastAsia="宋体" w:cs="Arial"/>
                <w:b/>
                <w:szCs w:val="21"/>
              </w:rPr>
            </w:pPr>
            <w:r>
              <w:rPr>
                <w:rFonts w:hint="eastAsia" w:ascii="宋体" w:hAnsi="宋体" w:eastAsia="宋体" w:cs="Arial"/>
                <w:b/>
                <w:szCs w:val="21"/>
              </w:rPr>
              <w:t>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1</w:t>
            </w:r>
          </w:p>
        </w:tc>
        <w:tc>
          <w:tcPr>
            <w:tcW w:w="3901" w:type="dxa"/>
            <w:vAlign w:val="center"/>
          </w:tcPr>
          <w:p>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本项目招标文件中所有带★号条款内容</w:t>
            </w:r>
          </w:p>
        </w:tc>
        <w:tc>
          <w:tcPr>
            <w:tcW w:w="2176" w:type="dxa"/>
            <w:vAlign w:val="center"/>
          </w:tcPr>
          <w:p>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vAlign w:val="center"/>
          </w:tcPr>
          <w:p>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无偏离</w:t>
            </w:r>
          </w:p>
        </w:tc>
        <w:tc>
          <w:tcPr>
            <w:tcW w:w="992" w:type="dxa"/>
            <w:vAlign w:val="center"/>
          </w:tcPr>
          <w:p>
            <w:pPr>
              <w:spacing w:line="300" w:lineRule="auto"/>
              <w:jc w:val="center"/>
              <w:rPr>
                <w:rFonts w:hint="eastAsia" w:ascii="宋体" w:hAnsi="宋体" w:eastAsia="宋体" w:cs="Times New Roman"/>
                <w:b/>
                <w:color w:val="FF0000"/>
                <w:kern w:val="0"/>
                <w:szCs w:val="21"/>
              </w:rPr>
            </w:pPr>
          </w:p>
        </w:tc>
      </w:tr>
    </w:tbl>
    <w:p>
      <w:pPr>
        <w:snapToGrid w:val="0"/>
        <w:rPr>
          <w:rFonts w:hint="eastAsia" w:cs="Times New Roman" w:asciiTheme="minorEastAsia" w:hAnsiTheme="minorEastAsia"/>
          <w:b/>
          <w:sz w:val="24"/>
          <w:szCs w:val="24"/>
        </w:rPr>
      </w:pPr>
      <w:r>
        <w:rPr>
          <w:rFonts w:hint="eastAsia" w:ascii="宋体" w:hAnsi="宋体" w:eastAsia="宋体" w:cs="Times New Roman"/>
          <w:b/>
          <w:sz w:val="24"/>
          <w:szCs w:val="24"/>
        </w:rPr>
        <w:t>填写说明：</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1、上表所列各项均为不可负偏离条款。</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2、“投标文件响应”一栏应当详细填写投标人自身响应情况，而不能不合理照搬照抄招标文件实质性条款具体内容。</w:t>
      </w:r>
      <w:r>
        <w:rPr>
          <w:rFonts w:hint="eastAsia" w:ascii="宋体" w:hAnsi="宋体" w:cs="宋体"/>
          <w:b/>
          <w:bCs/>
          <w:sz w:val="24"/>
          <w:szCs w:val="24"/>
        </w:rPr>
        <w:t>如完全满足实质性条款具体内容可填写“完全响应”，除招标文件另有注明外，不强制要求逐条列出响应。</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4、评审委员会有权对投标响应情况作出判断。</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pPr>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br w:type="page"/>
      </w:r>
    </w:p>
    <w:p>
      <w:pPr>
        <w:pStyle w:val="6"/>
        <w:jc w:val="center"/>
        <w:rPr>
          <w:rFonts w:hint="eastAsia"/>
          <w:sz w:val="24"/>
        </w:rPr>
      </w:pPr>
      <w:r>
        <w:rPr>
          <w:rFonts w:hint="eastAsia" w:ascii="黑体" w:eastAsia="黑体"/>
          <w:b w:val="0"/>
          <w:bCs w:val="0"/>
          <w:sz w:val="24"/>
          <w:szCs w:val="20"/>
        </w:rPr>
        <w:t>四、商务要求偏离表</w:t>
      </w:r>
    </w:p>
    <w:tbl>
      <w:tblPr>
        <w:tblStyle w:val="18"/>
        <w:tblW w:w="9091"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408"/>
        <w:gridCol w:w="4918"/>
        <w:gridCol w:w="973"/>
        <w:gridCol w:w="642"/>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pPr>
              <w:jc w:val="center"/>
              <w:rPr>
                <w:b/>
              </w:rPr>
            </w:pPr>
            <w:r>
              <w:rPr>
                <w:rFonts w:hint="eastAsia"/>
                <w:sz w:val="24"/>
              </w:rPr>
              <w:t>序号</w:t>
            </w:r>
          </w:p>
        </w:tc>
        <w:tc>
          <w:tcPr>
            <w:tcW w:w="1408" w:type="dxa"/>
            <w:vAlign w:val="center"/>
          </w:tcPr>
          <w:p>
            <w:pPr>
              <w:jc w:val="center"/>
              <w:rPr>
                <w:b/>
              </w:rPr>
            </w:pPr>
            <w:r>
              <w:rPr>
                <w:rFonts w:hint="eastAsia"/>
                <w:b/>
              </w:rPr>
              <w:t>商务需求项</w:t>
            </w:r>
          </w:p>
        </w:tc>
        <w:tc>
          <w:tcPr>
            <w:tcW w:w="4918" w:type="dxa"/>
            <w:vAlign w:val="center"/>
          </w:tcPr>
          <w:p>
            <w:pPr>
              <w:jc w:val="center"/>
              <w:rPr>
                <w:b/>
              </w:rPr>
            </w:pPr>
            <w:r>
              <w:rPr>
                <w:rFonts w:hint="eastAsia"/>
                <w:sz w:val="24"/>
              </w:rPr>
              <w:t>招标商务要求</w:t>
            </w:r>
          </w:p>
        </w:tc>
        <w:tc>
          <w:tcPr>
            <w:tcW w:w="973" w:type="dxa"/>
            <w:vAlign w:val="center"/>
          </w:tcPr>
          <w:p>
            <w:pPr>
              <w:jc w:val="center"/>
              <w:rPr>
                <w:b/>
              </w:rPr>
            </w:pPr>
            <w:r>
              <w:rPr>
                <w:rFonts w:hint="eastAsia"/>
                <w:sz w:val="24"/>
              </w:rPr>
              <w:t>投标商务响应</w:t>
            </w:r>
          </w:p>
        </w:tc>
        <w:tc>
          <w:tcPr>
            <w:tcW w:w="642" w:type="dxa"/>
            <w:vAlign w:val="center"/>
          </w:tcPr>
          <w:p>
            <w:pPr>
              <w:jc w:val="center"/>
              <w:rPr>
                <w:b/>
              </w:rPr>
            </w:pPr>
            <w:r>
              <w:rPr>
                <w:rFonts w:hint="eastAsia"/>
              </w:rPr>
              <w:t>偏离情况</w:t>
            </w:r>
          </w:p>
        </w:tc>
        <w:tc>
          <w:tcPr>
            <w:tcW w:w="540" w:type="dxa"/>
            <w:vAlign w:val="center"/>
          </w:tcPr>
          <w:p>
            <w:pPr>
              <w:jc w:val="center"/>
              <w:rPr>
                <w:b/>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pPr>
              <w:rPr>
                <w:b/>
              </w:rPr>
            </w:pPr>
            <w:r>
              <w:rPr>
                <w:rFonts w:hint="eastAsia"/>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pPr>
              <w:jc w:val="center"/>
              <w:rPr>
                <w:bCs/>
              </w:rPr>
            </w:pPr>
            <w:r>
              <w:rPr>
                <w:rFonts w:hint="eastAsia"/>
                <w:bCs/>
              </w:rPr>
              <w:t>1</w:t>
            </w:r>
          </w:p>
        </w:tc>
        <w:tc>
          <w:tcPr>
            <w:tcW w:w="1408" w:type="dxa"/>
          </w:tcPr>
          <w:p>
            <w:pPr>
              <w:jc w:val="center"/>
            </w:pPr>
            <w:r>
              <w:rPr>
                <w:rFonts w:hint="eastAsia"/>
              </w:rPr>
              <w:t>*</w:t>
            </w:r>
            <w:r>
              <w:t>***</w:t>
            </w:r>
          </w:p>
        </w:tc>
        <w:tc>
          <w:tcPr>
            <w:tcW w:w="4918" w:type="dxa"/>
          </w:tcPr>
          <w:p>
            <w:pPr>
              <w:jc w:val="center"/>
              <w:rPr>
                <w:b/>
              </w:rPr>
            </w:pPr>
            <w:r>
              <w:rPr>
                <w:rFonts w:hint="eastAsia"/>
                <w:bCs/>
                <w:szCs w:val="21"/>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pPr>
              <w:jc w:val="center"/>
              <w:rPr>
                <w:bCs/>
              </w:rPr>
            </w:pPr>
            <w:r>
              <w:rPr>
                <w:bCs/>
              </w:rPr>
              <w:t>2</w:t>
            </w:r>
          </w:p>
        </w:tc>
        <w:tc>
          <w:tcPr>
            <w:tcW w:w="1408" w:type="dxa"/>
          </w:tcPr>
          <w:p>
            <w:pPr>
              <w:jc w:val="center"/>
            </w:pPr>
            <w:r>
              <w:rPr>
                <w:rFonts w:hint="eastAsia"/>
              </w:rPr>
              <w:t>****</w:t>
            </w:r>
          </w:p>
        </w:tc>
        <w:tc>
          <w:tcPr>
            <w:tcW w:w="4918" w:type="dxa"/>
          </w:tcPr>
          <w:p>
            <w:pPr>
              <w:jc w:val="center"/>
              <w:rPr>
                <w:bCs/>
                <w:szCs w:val="21"/>
              </w:rPr>
            </w:pPr>
            <w:r>
              <w:rPr>
                <w:rFonts w:hint="eastAsia"/>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vAlign w:val="center"/>
          </w:tcPr>
          <w:p>
            <w:pPr>
              <w:rPr>
                <w:bCs/>
                <w:szCs w:val="21"/>
              </w:rPr>
            </w:pPr>
            <w:r>
              <w:rPr>
                <w:rFonts w:hint="eastAsia"/>
                <w:b/>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pPr>
              <w:jc w:val="center"/>
              <w:rPr>
                <w:bCs/>
              </w:rPr>
            </w:pPr>
            <w:r>
              <w:rPr>
                <w:rFonts w:hint="eastAsia"/>
              </w:rPr>
              <w:t>1</w:t>
            </w:r>
          </w:p>
        </w:tc>
        <w:tc>
          <w:tcPr>
            <w:tcW w:w="1408" w:type="dxa"/>
          </w:tcPr>
          <w:p>
            <w:pPr>
              <w:jc w:val="center"/>
            </w:pPr>
            <w:r>
              <w:rPr>
                <w:rFonts w:hint="eastAsia"/>
              </w:rPr>
              <w:t>****</w:t>
            </w:r>
          </w:p>
        </w:tc>
        <w:tc>
          <w:tcPr>
            <w:tcW w:w="4918" w:type="dxa"/>
          </w:tcPr>
          <w:p>
            <w:pPr>
              <w:jc w:val="center"/>
            </w:pPr>
            <w:r>
              <w:rPr>
                <w:rFonts w:hint="eastAsia"/>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pPr>
              <w:rPr>
                <w:bCs/>
                <w:szCs w:val="21"/>
              </w:rPr>
            </w:pPr>
            <w:r>
              <w:rPr>
                <w:rFonts w:hint="eastAsia"/>
                <w:b/>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pPr>
              <w:jc w:val="center"/>
            </w:pPr>
            <w:r>
              <w:rPr>
                <w:rFonts w:hint="eastAsia"/>
              </w:rPr>
              <w:t>1</w:t>
            </w:r>
          </w:p>
        </w:tc>
        <w:tc>
          <w:tcPr>
            <w:tcW w:w="1408" w:type="dxa"/>
          </w:tcPr>
          <w:p>
            <w:pPr>
              <w:jc w:val="center"/>
            </w:pPr>
            <w:r>
              <w:rPr>
                <w:rFonts w:hint="eastAsia"/>
              </w:rPr>
              <w:t>****</w:t>
            </w:r>
          </w:p>
        </w:tc>
        <w:tc>
          <w:tcPr>
            <w:tcW w:w="4918" w:type="dxa"/>
          </w:tcPr>
          <w:p>
            <w:pPr>
              <w:jc w:val="center"/>
            </w:pPr>
            <w:r>
              <w:rPr>
                <w:rFonts w:hint="eastAsia"/>
              </w:rPr>
              <w:t>（填写相关内容）</w:t>
            </w:r>
          </w:p>
        </w:tc>
        <w:tc>
          <w:tcPr>
            <w:tcW w:w="973" w:type="dxa"/>
          </w:tcPr>
          <w:p>
            <w:pPr>
              <w:rPr>
                <w:bCs/>
                <w:szCs w:val="21"/>
              </w:rPr>
            </w:pPr>
          </w:p>
        </w:tc>
        <w:tc>
          <w:tcPr>
            <w:tcW w:w="642" w:type="dxa"/>
          </w:tcPr>
          <w:p>
            <w:pPr>
              <w:rPr>
                <w:bCs/>
                <w:szCs w:val="21"/>
              </w:rPr>
            </w:pPr>
          </w:p>
        </w:tc>
        <w:tc>
          <w:tcPr>
            <w:tcW w:w="540" w:type="dxa"/>
          </w:tcPr>
          <w:p>
            <w:pPr>
              <w:rPr>
                <w:bCs/>
                <w:szCs w:val="21"/>
              </w:rPr>
            </w:pPr>
          </w:p>
        </w:tc>
      </w:tr>
    </w:tbl>
    <w:p>
      <w:pPr>
        <w:ind w:firstLine="420" w:firstLineChars="200"/>
        <w:rPr>
          <w:bCs/>
          <w:szCs w:val="21"/>
        </w:rPr>
      </w:pPr>
      <w:r>
        <w:rPr>
          <w:rFonts w:hint="eastAsia"/>
          <w:bCs/>
          <w:szCs w:val="21"/>
        </w:rPr>
        <w:t>《商务要求偏离表》编制指引：</w:t>
      </w:r>
    </w:p>
    <w:p>
      <w:pPr>
        <w:ind w:firstLine="420" w:firstLineChars="200"/>
        <w:rPr>
          <w:bCs/>
          <w:szCs w:val="21"/>
        </w:rPr>
      </w:pPr>
      <w:r>
        <w:rPr>
          <w:rFonts w:hint="eastAsia"/>
          <w:bCs/>
          <w:szCs w:val="21"/>
        </w:rPr>
        <w:t>1、商务要求偏离表的序号、商务需求项、招标商务要求等栏目对应“用户需求书”中的“商务要求”章节相关内容。</w:t>
      </w:r>
    </w:p>
    <w:p>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pPr>
        <w:rPr>
          <w:bCs/>
          <w:szCs w:val="21"/>
        </w:rPr>
      </w:pPr>
      <w:r>
        <w:rPr>
          <w:rFonts w:hint="eastAsia"/>
          <w:bCs/>
          <w:szCs w:val="21"/>
        </w:rPr>
        <w:t>“投标商务响应”对比“招标商务要求”存在响应不全（包括未响应整项招标商务要求或者未响应一项招标商务要求的部分内容），均视为“负偏离”。</w:t>
      </w:r>
    </w:p>
    <w:p>
      <w:pPr>
        <w:ind w:firstLine="420" w:firstLineChars="200"/>
        <w:rPr>
          <w:bCs/>
          <w:szCs w:val="21"/>
        </w:rPr>
      </w:pPr>
      <w:r>
        <w:rPr>
          <w:rFonts w:hint="eastAsia"/>
          <w:bCs/>
          <w:szCs w:val="21"/>
        </w:rPr>
        <w:t>4、带★号条款为不可偏离条款，如未响应或出现负偏离的，将作投标无效处理。</w:t>
      </w:r>
    </w:p>
    <w:p>
      <w:pPr>
        <w:widowControl/>
        <w:jc w:val="left"/>
        <w:rPr>
          <w:rFonts w:hint="eastAsia" w:ascii="宋体" w:hAnsi="宋体" w:eastAsia="宋体" w:cs="Times New Roman"/>
          <w:color w:val="FF0000"/>
          <w:sz w:val="32"/>
          <w:szCs w:val="32"/>
        </w:rPr>
      </w:pPr>
      <w:r>
        <w:rPr>
          <w:rFonts w:ascii="宋体" w:hAnsi="宋体" w:eastAsia="宋体" w:cs="Times New Roman"/>
          <w:color w:val="FF0000"/>
          <w:sz w:val="32"/>
          <w:szCs w:val="32"/>
        </w:rPr>
        <w:br w:type="page"/>
      </w:r>
    </w:p>
    <w:p>
      <w:pPr>
        <w:pStyle w:val="6"/>
        <w:jc w:val="center"/>
        <w:rPr>
          <w:rFonts w:hint="eastAsia"/>
          <w:sz w:val="24"/>
        </w:rPr>
      </w:pPr>
      <w:r>
        <w:rPr>
          <w:rFonts w:hint="eastAsia" w:ascii="黑体" w:eastAsia="黑体"/>
          <w:b w:val="0"/>
          <w:sz w:val="24"/>
          <w:szCs w:val="24"/>
        </w:rPr>
        <w:t>五、技术要求偏离表</w:t>
      </w:r>
    </w:p>
    <w:tbl>
      <w:tblPr>
        <w:tblStyle w:val="18"/>
        <w:tblW w:w="8754"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2"/>
        <w:gridCol w:w="3795"/>
        <w:gridCol w:w="2623"/>
        <w:gridCol w:w="710"/>
        <w:gridCol w:w="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pPr>
              <w:jc w:val="center"/>
              <w:rPr>
                <w:color w:val="000000" w:themeColor="text1"/>
                <w:szCs w:val="21"/>
                <w14:textFill>
                  <w14:solidFill>
                    <w14:schemeClr w14:val="tx1"/>
                  </w14:solidFill>
                </w14:textFill>
              </w:rPr>
            </w:pPr>
            <w:r>
              <w:rPr>
                <w:rFonts w:hint="eastAsia"/>
                <w:sz w:val="24"/>
              </w:rPr>
              <w:t>序号</w:t>
            </w:r>
          </w:p>
        </w:tc>
        <w:tc>
          <w:tcPr>
            <w:tcW w:w="772" w:type="dxa"/>
            <w:vAlign w:val="center"/>
          </w:tcPr>
          <w:p>
            <w:pPr>
              <w:jc w:val="center"/>
              <w:rPr>
                <w:color w:val="000000" w:themeColor="text1"/>
                <w:szCs w:val="21"/>
                <w14:textFill>
                  <w14:solidFill>
                    <w14:schemeClr w14:val="tx1"/>
                  </w14:solidFill>
                </w14:textFill>
              </w:rPr>
            </w:pPr>
            <w:r>
              <w:rPr>
                <w:rFonts w:hint="eastAsia"/>
                <w:sz w:val="24"/>
              </w:rPr>
              <w:t>货物名称</w:t>
            </w:r>
          </w:p>
        </w:tc>
        <w:tc>
          <w:tcPr>
            <w:tcW w:w="3795" w:type="dxa"/>
            <w:vAlign w:val="center"/>
          </w:tcPr>
          <w:p>
            <w:pPr>
              <w:jc w:val="center"/>
              <w:rPr>
                <w:color w:val="000000" w:themeColor="text1"/>
                <w:szCs w:val="21"/>
                <w14:textFill>
                  <w14:solidFill>
                    <w14:schemeClr w14:val="tx1"/>
                  </w14:solidFill>
                </w14:textFill>
              </w:rPr>
            </w:pPr>
            <w:r>
              <w:rPr>
                <w:rFonts w:hint="eastAsia"/>
                <w:sz w:val="24"/>
              </w:rPr>
              <w:t>招标技术要求</w:t>
            </w:r>
          </w:p>
        </w:tc>
        <w:tc>
          <w:tcPr>
            <w:tcW w:w="2623" w:type="dxa"/>
            <w:vAlign w:val="center"/>
          </w:tcPr>
          <w:p>
            <w:pPr>
              <w:jc w:val="center"/>
              <w:rPr>
                <w:color w:val="000000" w:themeColor="text1"/>
                <w:szCs w:val="21"/>
                <w14:textFill>
                  <w14:solidFill>
                    <w14:schemeClr w14:val="tx1"/>
                  </w14:solidFill>
                </w14:textFill>
              </w:rPr>
            </w:pPr>
            <w:r>
              <w:rPr>
                <w:rFonts w:hint="eastAsia"/>
                <w:sz w:val="24"/>
              </w:rPr>
              <w:t>投标技术响应</w:t>
            </w:r>
          </w:p>
        </w:tc>
        <w:tc>
          <w:tcPr>
            <w:tcW w:w="710" w:type="dxa"/>
            <w:vAlign w:val="center"/>
          </w:tcPr>
          <w:p>
            <w:pPr>
              <w:jc w:val="center"/>
              <w:rPr>
                <w:color w:val="000000" w:themeColor="text1"/>
                <w:szCs w:val="21"/>
                <w14:textFill>
                  <w14:solidFill>
                    <w14:schemeClr w14:val="tx1"/>
                  </w14:solidFill>
                </w14:textFill>
              </w:rPr>
            </w:pPr>
            <w:r>
              <w:rPr>
                <w:rFonts w:hint="eastAsia"/>
                <w:sz w:val="24"/>
              </w:rPr>
              <w:t>偏离情况</w:t>
            </w:r>
          </w:p>
        </w:tc>
        <w:tc>
          <w:tcPr>
            <w:tcW w:w="390" w:type="dxa"/>
            <w:vAlign w:val="center"/>
          </w:tcPr>
          <w:p>
            <w:pPr>
              <w:jc w:val="center"/>
              <w:rPr>
                <w:color w:val="000000" w:themeColor="text1"/>
                <w:szCs w:val="21"/>
                <w14:textFill>
                  <w14:solidFill>
                    <w14:schemeClr w14:val="tx1"/>
                  </w14:solidFill>
                </w14:textFill>
              </w:rPr>
            </w:pPr>
            <w:r>
              <w:rPr>
                <w:rFonts w:hint="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772"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rStyle w:val="21"/>
                <w:b w:val="0"/>
                <w:bCs w:val="0"/>
                <w:color w:val="000000" w:themeColor="text1"/>
                <w:szCs w:val="21"/>
                <w14:textFill>
                  <w14:solidFill>
                    <w14:schemeClr w14:val="tx1"/>
                  </w14:solidFill>
                </w14:textFill>
              </w:rPr>
            </w:pPr>
          </w:p>
        </w:tc>
        <w:tc>
          <w:tcPr>
            <w:tcW w:w="710" w:type="dxa"/>
          </w:tcPr>
          <w:p>
            <w:pPr>
              <w:rPr>
                <w:rStyle w:val="21"/>
                <w:b w:val="0"/>
                <w:bCs w:val="0"/>
                <w:color w:val="000000" w:themeColor="text1"/>
                <w:szCs w:val="21"/>
                <w14:textFill>
                  <w14:solidFill>
                    <w14:schemeClr w14:val="tx1"/>
                  </w14:solidFill>
                </w14:textFill>
              </w:rPr>
            </w:pPr>
          </w:p>
        </w:tc>
        <w:tc>
          <w:tcPr>
            <w:tcW w:w="390" w:type="dxa"/>
          </w:tcPr>
          <w:p>
            <w:pPr>
              <w:rPr>
                <w:rStyle w:val="21"/>
                <w:b w:val="0"/>
                <w:bCs w:val="0"/>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pPr>
              <w:rPr>
                <w:b/>
                <w:bCs/>
                <w:color w:val="FF0000"/>
                <w:szCs w:val="21"/>
              </w:rPr>
            </w:pPr>
          </w:p>
        </w:tc>
        <w:tc>
          <w:tcPr>
            <w:tcW w:w="710" w:type="dxa"/>
          </w:tcPr>
          <w:p>
            <w:pPr>
              <w:rPr>
                <w:b/>
                <w:bCs/>
                <w:color w:val="FF0000"/>
                <w:szCs w:val="21"/>
              </w:rPr>
            </w:pPr>
          </w:p>
        </w:tc>
        <w:tc>
          <w:tcPr>
            <w:tcW w:w="390" w:type="dxa"/>
          </w:tcPr>
          <w:p>
            <w:pP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pPr>
              <w:jc w:val="center"/>
              <w:rPr>
                <w:color w:val="000000" w:themeColor="text1"/>
                <w:szCs w:val="21"/>
                <w14:textFill>
                  <w14:solidFill>
                    <w14:schemeClr w14:val="tx1"/>
                  </w14:solidFill>
                </w14:textFill>
              </w:rPr>
            </w:pPr>
          </w:p>
        </w:tc>
        <w:tc>
          <w:tcPr>
            <w:tcW w:w="772" w:type="dxa"/>
            <w:vMerge w:val="continue"/>
            <w:vAlign w:val="center"/>
          </w:tcPr>
          <w:p>
            <w:pPr>
              <w:jc w:val="cente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72"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pPr>
              <w:jc w:val="center"/>
              <w:rPr>
                <w:b/>
                <w:bCs/>
                <w:color w:val="000000" w:themeColor="text1"/>
                <w:szCs w:val="21"/>
                <w14:textFill>
                  <w14:solidFill>
                    <w14:schemeClr w14:val="tx1"/>
                  </w14:solidFill>
                </w14:textFill>
              </w:rPr>
            </w:pPr>
            <w:r>
              <w:rPr>
                <w:rFonts w:hint="eastAsia"/>
              </w:rPr>
              <w:t>（填写相关内容）</w:t>
            </w:r>
          </w:p>
        </w:tc>
        <w:tc>
          <w:tcPr>
            <w:tcW w:w="2623" w:type="dxa"/>
          </w:tcPr>
          <w:p>
            <w:pPr>
              <w:rPr>
                <w:b/>
                <w:bCs/>
                <w:color w:val="FF0000"/>
                <w:szCs w:val="21"/>
              </w:rPr>
            </w:pPr>
          </w:p>
        </w:tc>
        <w:tc>
          <w:tcPr>
            <w:tcW w:w="710" w:type="dxa"/>
          </w:tcPr>
          <w:p>
            <w:pPr>
              <w:rPr>
                <w:b/>
                <w:bCs/>
                <w:color w:val="FF0000"/>
                <w:szCs w:val="21"/>
              </w:rPr>
            </w:pPr>
          </w:p>
        </w:tc>
        <w:tc>
          <w:tcPr>
            <w:tcW w:w="390" w:type="dxa"/>
          </w:tcPr>
          <w:p>
            <w:pPr>
              <w:rPr>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rPr>
              <w:t>（填写相关内容）</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pPr>
              <w:jc w:val="center"/>
              <w:rPr>
                <w:color w:val="000000" w:themeColor="text1"/>
                <w:szCs w:val="21"/>
                <w14:textFill>
                  <w14:solidFill>
                    <w14:schemeClr w14:val="tx1"/>
                  </w14:solidFill>
                </w14:textFill>
              </w:rPr>
            </w:pPr>
          </w:p>
        </w:tc>
        <w:tc>
          <w:tcPr>
            <w:tcW w:w="772" w:type="dxa"/>
            <w:vMerge w:val="continue"/>
          </w:tcPr>
          <w:p>
            <w:pPr>
              <w:rPr>
                <w:color w:val="000000" w:themeColor="text1"/>
                <w:szCs w:val="21"/>
                <w14:textFill>
                  <w14:solidFill>
                    <w14:schemeClr w14:val="tx1"/>
                  </w14:solidFill>
                </w14:textFill>
              </w:rPr>
            </w:pPr>
          </w:p>
        </w:tc>
        <w:tc>
          <w:tcPr>
            <w:tcW w:w="3795" w:type="dxa"/>
          </w:tcPr>
          <w:p>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pPr>
              <w:rPr>
                <w:color w:val="000000" w:themeColor="text1"/>
                <w:szCs w:val="21"/>
                <w14:textFill>
                  <w14:solidFill>
                    <w14:schemeClr w14:val="tx1"/>
                  </w14:solidFill>
                </w14:textFill>
              </w:rPr>
            </w:pPr>
          </w:p>
        </w:tc>
        <w:tc>
          <w:tcPr>
            <w:tcW w:w="710" w:type="dxa"/>
          </w:tcPr>
          <w:p>
            <w:pPr>
              <w:rPr>
                <w:color w:val="000000" w:themeColor="text1"/>
                <w:szCs w:val="21"/>
                <w14:textFill>
                  <w14:solidFill>
                    <w14:schemeClr w14:val="tx1"/>
                  </w14:solidFill>
                </w14:textFill>
              </w:rPr>
            </w:pPr>
          </w:p>
        </w:tc>
        <w:tc>
          <w:tcPr>
            <w:tcW w:w="390" w:type="dxa"/>
          </w:tcPr>
          <w:p>
            <w:pPr>
              <w:rPr>
                <w:color w:val="000000" w:themeColor="text1"/>
                <w:szCs w:val="21"/>
                <w14:textFill>
                  <w14:solidFill>
                    <w14:schemeClr w14:val="tx1"/>
                  </w14:solidFill>
                </w14:textFill>
              </w:rPr>
            </w:pPr>
          </w:p>
        </w:tc>
      </w:tr>
    </w:tbl>
    <w:p>
      <w:pPr>
        <w:rPr>
          <w:sz w:val="24"/>
        </w:rPr>
      </w:pPr>
    </w:p>
    <w:p>
      <w:pPr>
        <w:rPr>
          <w:szCs w:val="21"/>
        </w:rPr>
      </w:pPr>
      <w:bookmarkStart w:id="38" w:name="_Hlk72095977"/>
      <w:r>
        <w:rPr>
          <w:rFonts w:hint="eastAsia"/>
          <w:szCs w:val="21"/>
        </w:rPr>
        <w:t>证明资料【如有的话，提供的证明资料应统一编号（排序），格式自定】</w:t>
      </w:r>
      <w:bookmarkEnd w:id="38"/>
      <w:r>
        <w:rPr>
          <w:rFonts w:hint="eastAsia"/>
          <w:szCs w:val="21"/>
        </w:rPr>
        <w:t>：</w:t>
      </w:r>
    </w:p>
    <w:p>
      <w:pPr>
        <w:rPr>
          <w:b/>
          <w:szCs w:val="21"/>
        </w:rPr>
      </w:pPr>
    </w:p>
    <w:p>
      <w:pPr>
        <w:ind w:firstLine="420" w:firstLineChars="200"/>
        <w:rPr>
          <w:bCs/>
          <w:szCs w:val="21"/>
        </w:rPr>
      </w:pPr>
      <w:r>
        <w:rPr>
          <w:rFonts w:hint="eastAsia"/>
          <w:bCs/>
          <w:szCs w:val="21"/>
        </w:rPr>
        <w:t>《技术要求偏离表》编制指引：</w:t>
      </w:r>
    </w:p>
    <w:p>
      <w:pPr>
        <w:ind w:firstLine="420" w:firstLineChars="200"/>
        <w:rPr>
          <w:bCs/>
          <w:szCs w:val="21"/>
        </w:rPr>
      </w:pPr>
      <w:r>
        <w:rPr>
          <w:rFonts w:hint="eastAsia"/>
          <w:bCs/>
          <w:szCs w:val="21"/>
        </w:rPr>
        <w:t>1、技术要求偏离表的序号、货物名称、招标技术要求等栏目</w:t>
      </w:r>
      <w:bookmarkStart w:id="39" w:name="_Hlk72094407"/>
      <w:r>
        <w:rPr>
          <w:rFonts w:hint="eastAsia"/>
          <w:bCs/>
          <w:szCs w:val="21"/>
        </w:rPr>
        <w:t>对应“用户需求书”中的“技术要求”章节</w:t>
      </w:r>
      <w:bookmarkEnd w:id="39"/>
      <w:r>
        <w:rPr>
          <w:rFonts w:hint="eastAsia"/>
          <w:bCs/>
          <w:szCs w:val="21"/>
        </w:rPr>
        <w:t>相关内容。</w:t>
      </w:r>
    </w:p>
    <w:p>
      <w:pPr>
        <w:pStyle w:val="15"/>
        <w:spacing w:beforeAutospacing="0" w:afterAutospacing="0"/>
        <w:ind w:firstLine="420" w:firstLineChars="200"/>
        <w:jc w:val="both"/>
        <w:outlineLvl w:val="1"/>
        <w:rPr>
          <w:rFonts w:ascii="Times New Roman" w:hAnsi="Times New Roman" w:eastAsia="宋体" w:cs="Times New Roman"/>
          <w:bCs/>
          <w:color w:val="FF0000"/>
          <w:sz w:val="21"/>
          <w:szCs w:val="21"/>
        </w:rPr>
      </w:pPr>
      <w:r>
        <w:rPr>
          <w:bCs/>
          <w:sz w:val="21"/>
          <w:szCs w:val="21"/>
        </w:rPr>
        <w:t>2</w:t>
      </w:r>
      <w:r>
        <w:rPr>
          <w:rFonts w:hint="eastAsia"/>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Cs/>
          <w:color w:val="FF0000"/>
          <w:sz w:val="21"/>
          <w:szCs w:val="21"/>
        </w:rPr>
        <w:t>“投标技术响应”必须与</w:t>
      </w:r>
      <w:r>
        <w:rPr>
          <w:rFonts w:hint="eastAsia" w:cs="Times New Roman"/>
          <w:bCs/>
          <w:color w:val="FF0000"/>
          <w:sz w:val="21"/>
          <w:szCs w:val="21"/>
        </w:rPr>
        <w:t>所投产品</w:t>
      </w:r>
      <w:r>
        <w:rPr>
          <w:rFonts w:hint="eastAsia" w:ascii="Times New Roman" w:hAnsi="Times New Roman" w:eastAsia="宋体" w:cs="Times New Roman"/>
          <w:bCs/>
          <w:color w:val="FF0000"/>
          <w:sz w:val="21"/>
          <w:szCs w:val="21"/>
        </w:rPr>
        <w:t>客观实际保持一致，响应不实且情节严重的，经查实，将依法记入供应商诚信档案或受到行政处罚。</w:t>
      </w:r>
    </w:p>
    <w:p>
      <w:pPr>
        <w:ind w:firstLine="420" w:firstLineChars="200"/>
        <w:rPr>
          <w:rFonts w:ascii="Times New Roman" w:hAnsi="Times New Roman" w:eastAsia="宋体" w:cs="Times New Roman"/>
          <w:bCs/>
          <w:color w:val="FF0000"/>
          <w:szCs w:val="21"/>
        </w:rPr>
      </w:pPr>
      <w:r>
        <w:rPr>
          <w:bCs/>
          <w:szCs w:val="21"/>
        </w:rPr>
        <w:t>3</w:t>
      </w:r>
      <w:r>
        <w:rPr>
          <w:rFonts w:hint="eastAsia"/>
          <w:bCs/>
          <w:szCs w:val="21"/>
        </w:rPr>
        <w:t>、</w:t>
      </w:r>
      <w:bookmarkStart w:id="40" w:name="_Hlk72158270"/>
      <w:r>
        <w:rPr>
          <w:rFonts w:hint="eastAsia"/>
          <w:bCs/>
          <w:szCs w:val="21"/>
        </w:rPr>
        <w:t>“偏离情况”</w:t>
      </w:r>
      <w:bookmarkEnd w:id="40"/>
      <w:r>
        <w:rPr>
          <w:rFonts w:hint="eastAsia"/>
          <w:bCs/>
          <w:szCs w:val="21"/>
        </w:rPr>
        <w:t>一栏填写如实填写“正偏离”、“负偏离”或“无偏离”，其中：</w:t>
      </w:r>
      <w:bookmarkStart w:id="41" w:name="_Hlk72093866"/>
      <w:r>
        <w:rPr>
          <w:rFonts w:hint="eastAsia"/>
          <w:bCs/>
          <w:szCs w:val="21"/>
        </w:rPr>
        <w:t>“正偏离”表示“投标响应优于招标技术要求”，“负偏离”表示“投标响应不满足招标技术要求”，“无偏离”表示“投标响应与招标技术要求一致”</w:t>
      </w:r>
      <w:bookmarkEnd w:id="41"/>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w:t>
      </w:r>
      <w:r>
        <w:rPr>
          <w:rFonts w:hint="eastAsia" w:eastAsia="宋体"/>
          <w:bCs/>
          <w:szCs w:val="21"/>
        </w:rPr>
        <w:t>，</w:t>
      </w:r>
      <w:r>
        <w:rPr>
          <w:rFonts w:hint="eastAsia"/>
          <w:bCs/>
          <w:szCs w:val="21"/>
        </w:rPr>
        <w:t>如未响应或出现负偏离的，将做投标无效处理。</w:t>
      </w:r>
      <w:r>
        <w:rPr>
          <w:rFonts w:hint="eastAsia" w:ascii="Times New Roman" w:hAnsi="Times New Roman" w:eastAsia="宋体" w:cs="Times New Roman"/>
          <w:bCs/>
          <w:color w:val="FF0000"/>
          <w:szCs w:val="21"/>
        </w:rPr>
        <w:t>“偏离情况”必须与所投产品客观实际保持一致，响应不实且情节严重的，经查实，将依法记入供应商诚信档案或受到行政处罚。</w:t>
      </w:r>
    </w:p>
    <w:p>
      <w:pPr>
        <w:ind w:firstLine="420" w:firstLineChars="200"/>
        <w:rPr>
          <w:bCs/>
          <w:szCs w:val="21"/>
        </w:rPr>
      </w:pPr>
      <w:r>
        <w:rPr>
          <w:bCs/>
          <w:szCs w:val="21"/>
        </w:rPr>
        <w:t>4</w:t>
      </w:r>
      <w:r>
        <w:rPr>
          <w:rFonts w:hint="eastAsia"/>
          <w:bCs/>
          <w:szCs w:val="21"/>
        </w:rPr>
        <w:t>、未要求提供证明资料的招标技术要求，可以不提供证明资料（如实响应即可）。</w:t>
      </w:r>
    </w:p>
    <w:p>
      <w:pPr>
        <w:ind w:firstLine="420" w:firstLineChars="200"/>
        <w:rPr>
          <w:bCs/>
          <w:szCs w:val="21"/>
        </w:rPr>
      </w:pPr>
      <w:r>
        <w:rPr>
          <w:rFonts w:hint="eastAsia"/>
          <w:bCs/>
          <w:szCs w:val="21"/>
        </w:rPr>
        <w:t>5、</w:t>
      </w:r>
      <w:bookmarkStart w:id="42" w:name="_Hlk72096106"/>
      <w:r>
        <w:rPr>
          <w:rFonts w:hint="eastAsia"/>
          <w:bCs/>
          <w:szCs w:val="21"/>
        </w:rPr>
        <w:t>证明资料条款响应要求</w:t>
      </w:r>
      <w:bookmarkEnd w:id="42"/>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3"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44" w:name="_Hlk73558164"/>
      <w:r>
        <w:rPr>
          <w:rFonts w:hint="eastAsia"/>
          <w:bCs/>
          <w:szCs w:val="21"/>
        </w:rPr>
        <w:t>且投标人在“偏离情况”一栏响应为“正偏离”或“无偏离”的，经评审委员会认定，将判定为负偏离。</w:t>
      </w:r>
      <w:bookmarkEnd w:id="43"/>
      <w:bookmarkEnd w:id="44"/>
    </w:p>
    <w:p>
      <w:pPr>
        <w:ind w:firstLine="420" w:firstLineChars="200"/>
        <w:rPr>
          <w:bCs/>
          <w:szCs w:val="21"/>
        </w:rPr>
      </w:pPr>
      <w:r>
        <w:rPr>
          <w:rFonts w:hint="eastAsia"/>
          <w:bCs/>
          <w:szCs w:val="21"/>
        </w:rPr>
        <w:t>6、</w:t>
      </w:r>
      <w:bookmarkStart w:id="45" w:name="_Hlk72096137"/>
      <w:r>
        <w:rPr>
          <w:rFonts w:hint="eastAsia"/>
          <w:bCs/>
          <w:szCs w:val="21"/>
        </w:rPr>
        <w:t>表后“证明资料”部分内容的编制</w:t>
      </w:r>
      <w:bookmarkEnd w:id="45"/>
      <w:r>
        <w:rPr>
          <w:rFonts w:hint="eastAsia"/>
          <w:bCs/>
          <w:szCs w:val="21"/>
        </w:rPr>
        <w:t>：提供的所有证明资料应当统一编号（排序），且证明资料的编号（顺序）、数量和名称（形式）均应与“说明”一栏所填内容保持一致（一一对应），以便评审委员会查看。</w:t>
      </w:r>
      <w:bookmarkStart w:id="46" w:name="_Hlk73558180"/>
      <w:r>
        <w:rPr>
          <w:rFonts w:hint="eastAsia"/>
          <w:bCs/>
          <w:szCs w:val="21"/>
        </w:rPr>
        <w:t>未按照招标文件要求在表后放置证明材料的供应商将承担不利后果，经评审委员会认定，相关技术要求将判定为负偏离。</w:t>
      </w:r>
      <w:bookmarkEnd w:id="46"/>
    </w:p>
    <w:p>
      <w:pPr>
        <w:ind w:firstLine="420" w:firstLineChars="200"/>
        <w:rPr>
          <w:bCs/>
          <w:szCs w:val="21"/>
        </w:rPr>
      </w:pPr>
      <w:r>
        <w:rPr>
          <w:rFonts w:hint="eastAsia"/>
          <w:bCs/>
          <w:szCs w:val="21"/>
        </w:rPr>
        <w:t>7、</w:t>
      </w:r>
      <w:bookmarkStart w:id="47" w:name="_Hlk72096176"/>
      <w:r>
        <w:rPr>
          <w:rFonts w:hint="eastAsia"/>
          <w:bCs/>
          <w:szCs w:val="21"/>
        </w:rPr>
        <w:t>证明资料的形式及其它具体要求</w:t>
      </w:r>
      <w:bookmarkEnd w:id="47"/>
      <w:r>
        <w:rPr>
          <w:rFonts w:hint="eastAsia"/>
          <w:bCs/>
          <w:szCs w:val="21"/>
        </w:rPr>
        <w:t>：</w:t>
      </w:r>
    </w:p>
    <w:p>
      <w:pPr>
        <w:ind w:firstLine="420" w:firstLineChars="200"/>
        <w:rPr>
          <w:bCs/>
          <w:szCs w:val="21"/>
        </w:rPr>
      </w:pPr>
      <w:r>
        <w:rPr>
          <w:rFonts w:hint="eastAsia"/>
          <w:bCs/>
          <w:szCs w:val="21"/>
        </w:rPr>
        <w:t>（1）除照片、图片（截图）及不需加盖公章的文字说明（技术说明）外，其它证明资料均要求为原件扫描件；</w:t>
      </w:r>
    </w:p>
    <w:p>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bCs/>
          <w:szCs w:val="21"/>
        </w:rPr>
      </w:pPr>
      <w:r>
        <w:rPr>
          <w:rFonts w:hint="eastAsia"/>
          <w:bCs/>
          <w:szCs w:val="21"/>
        </w:rPr>
        <w:t>其它证明资料的形式要求参照以上要求执行；</w:t>
      </w:r>
    </w:p>
    <w:p>
      <w:pPr>
        <w:ind w:firstLine="420" w:firstLineChars="200"/>
        <w:rPr>
          <w:bCs/>
          <w:szCs w:val="21"/>
        </w:rPr>
      </w:pPr>
      <w:r>
        <w:rPr>
          <w:rFonts w:hint="eastAsia"/>
          <w:bCs/>
          <w:szCs w:val="21"/>
        </w:rPr>
        <w:t>（4）证明资料均要求原件备查。</w:t>
      </w:r>
    </w:p>
    <w:p>
      <w:pPr>
        <w:ind w:firstLine="420" w:firstLineChars="200"/>
        <w:rPr>
          <w:bCs/>
          <w:szCs w:val="21"/>
        </w:rPr>
      </w:pPr>
      <w:r>
        <w:rPr>
          <w:rFonts w:hint="eastAsia"/>
          <w:bCs/>
          <w:szCs w:val="21"/>
        </w:rPr>
        <w:t>8、其它注意事项：</w:t>
      </w:r>
    </w:p>
    <w:p>
      <w:pPr>
        <w:ind w:firstLine="420" w:firstLineChars="200"/>
        <w:rPr>
          <w:bCs/>
          <w:szCs w:val="21"/>
        </w:rPr>
      </w:pPr>
      <w:r>
        <w:rPr>
          <w:rFonts w:hint="eastAsia"/>
          <w:bCs/>
          <w:szCs w:val="21"/>
        </w:rPr>
        <w:t>（1）评审委员会有权对投标人的响应情况作出判断（评审结论）；</w:t>
      </w:r>
    </w:p>
    <w:p>
      <w:pPr>
        <w:ind w:firstLine="420" w:firstLineChars="200"/>
        <w:rPr>
          <w:bCs/>
          <w:szCs w:val="21"/>
        </w:rPr>
      </w:pPr>
      <w:r>
        <w:rPr>
          <w:rFonts w:hint="eastAsia"/>
          <w:bCs/>
          <w:szCs w:val="21"/>
        </w:rPr>
        <w:t>（2）</w:t>
      </w:r>
      <w:bookmarkStart w:id="48"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48"/>
    </w:p>
    <w:p>
      <w:pPr>
        <w:pStyle w:val="6"/>
        <w:jc w:val="center"/>
        <w:rPr>
          <w:b/>
          <w:sz w:val="24"/>
        </w:rPr>
      </w:pPr>
    </w:p>
    <w:p>
      <w:pPr>
        <w:pStyle w:val="6"/>
        <w:numPr>
          <w:ilvl w:val="0"/>
          <w:numId w:val="5"/>
        </w:numPr>
        <w:jc w:val="center"/>
        <w:rPr>
          <w:rFonts w:hint="eastAsia" w:ascii="黑体" w:eastAsia="黑体"/>
          <w:b w:val="0"/>
          <w:sz w:val="24"/>
          <w:szCs w:val="24"/>
        </w:rPr>
      </w:pPr>
      <w:r>
        <w:rPr>
          <w:rFonts w:hint="eastAsia" w:ascii="黑体" w:eastAsia="黑体"/>
          <w:b w:val="0"/>
          <w:sz w:val="24"/>
          <w:szCs w:val="24"/>
        </w:rPr>
        <w:t>总体</w:t>
      </w:r>
      <w:r>
        <w:rPr>
          <w:rFonts w:hint="eastAsia" w:ascii="黑体" w:eastAsia="黑体"/>
          <w:b w:val="0"/>
          <w:sz w:val="24"/>
          <w:szCs w:val="24"/>
          <w:lang w:val="en-US" w:eastAsia="zh-CN"/>
        </w:rPr>
        <w:t>施工组织</w:t>
      </w:r>
      <w:r>
        <w:rPr>
          <w:rFonts w:hint="eastAsia" w:ascii="黑体" w:eastAsia="黑体"/>
          <w:b w:val="0"/>
          <w:sz w:val="24"/>
          <w:szCs w:val="24"/>
        </w:rPr>
        <w:t>方案</w:t>
      </w:r>
    </w:p>
    <w:p>
      <w:pPr>
        <w:numPr>
          <w:ilvl w:val="0"/>
          <w:numId w:val="0"/>
        </w:numPr>
        <w:jc w:val="center"/>
        <w:rPr>
          <w:rFonts w:hint="eastAsia"/>
          <w:b/>
          <w:bCs/>
          <w:color w:val="FF0000"/>
          <w:sz w:val="24"/>
          <w:szCs w:val="24"/>
          <w:lang w:val="en-US" w:eastAsia="zh-CN"/>
        </w:rPr>
      </w:pPr>
      <w:r>
        <w:rPr>
          <w:rFonts w:hint="eastAsia"/>
          <w:b/>
          <w:bCs/>
          <w:color w:val="FF0000"/>
          <w:sz w:val="24"/>
          <w:szCs w:val="24"/>
          <w:lang w:val="en-US" w:eastAsia="zh-CN"/>
        </w:rPr>
        <w:t>（格式自拟）</w:t>
      </w:r>
    </w:p>
    <w:p>
      <w:pPr>
        <w:pStyle w:val="6"/>
        <w:numPr>
          <w:ilvl w:val="0"/>
          <w:numId w:val="5"/>
        </w:numPr>
        <w:ind w:left="0" w:leftChars="0" w:firstLine="0" w:firstLineChars="0"/>
        <w:jc w:val="center"/>
        <w:rPr>
          <w:rFonts w:hint="eastAsia" w:ascii="黑体" w:eastAsia="黑体"/>
          <w:b w:val="0"/>
          <w:sz w:val="24"/>
          <w:szCs w:val="24"/>
        </w:rPr>
      </w:pPr>
      <w:r>
        <w:rPr>
          <w:rFonts w:hint="eastAsia" w:ascii="黑体" w:eastAsia="黑体"/>
          <w:b w:val="0"/>
          <w:sz w:val="24"/>
          <w:szCs w:val="24"/>
        </w:rPr>
        <w:t>售后服务方案</w:t>
      </w:r>
    </w:p>
    <w:p>
      <w:pPr>
        <w:numPr>
          <w:ilvl w:val="0"/>
          <w:numId w:val="0"/>
        </w:numPr>
        <w:jc w:val="center"/>
        <w:rPr>
          <w:rFonts w:hint="eastAsia"/>
          <w:b/>
          <w:bCs/>
          <w:color w:val="FF0000"/>
          <w:sz w:val="24"/>
          <w:szCs w:val="24"/>
          <w:lang w:val="en-US" w:eastAsia="zh-CN"/>
        </w:rPr>
      </w:pPr>
      <w:r>
        <w:rPr>
          <w:rFonts w:hint="eastAsia"/>
          <w:b/>
          <w:bCs/>
          <w:color w:val="FF0000"/>
          <w:sz w:val="24"/>
          <w:szCs w:val="24"/>
          <w:lang w:val="en-US" w:eastAsia="zh-CN"/>
        </w:rPr>
        <w:t>（格式自拟）</w:t>
      </w:r>
    </w:p>
    <w:p>
      <w:pPr>
        <w:numPr>
          <w:ilvl w:val="0"/>
          <w:numId w:val="0"/>
        </w:numPr>
        <w:ind w:leftChars="0"/>
        <w:rPr>
          <w:rFonts w:hint="eastAsia"/>
        </w:rPr>
      </w:pPr>
    </w:p>
    <w:p>
      <w:pPr>
        <w:pStyle w:val="6"/>
        <w:numPr>
          <w:ilvl w:val="0"/>
          <w:numId w:val="5"/>
        </w:numPr>
        <w:ind w:left="0" w:leftChars="0" w:firstLine="0" w:firstLineChars="0"/>
        <w:jc w:val="center"/>
        <w:rPr>
          <w:rFonts w:hint="eastAsia" w:ascii="黑体" w:eastAsia="黑体"/>
          <w:b w:val="0"/>
          <w:sz w:val="24"/>
          <w:szCs w:val="24"/>
        </w:rPr>
      </w:pPr>
      <w:r>
        <w:rPr>
          <w:rFonts w:hint="eastAsia" w:ascii="黑体" w:eastAsia="黑体"/>
          <w:b w:val="0"/>
          <w:sz w:val="24"/>
          <w:szCs w:val="24"/>
        </w:rPr>
        <w:t>拟安排项目负责人情况（仅限1人）</w:t>
      </w:r>
    </w:p>
    <w:p>
      <w:pPr>
        <w:numPr>
          <w:ilvl w:val="0"/>
          <w:numId w:val="0"/>
        </w:numPr>
        <w:jc w:val="center"/>
        <w:rPr>
          <w:rFonts w:hint="eastAsia"/>
          <w:b/>
          <w:bCs/>
          <w:color w:val="FF0000"/>
          <w:sz w:val="24"/>
          <w:szCs w:val="24"/>
          <w:lang w:val="en-US" w:eastAsia="zh-CN"/>
        </w:rPr>
      </w:pPr>
      <w:r>
        <w:rPr>
          <w:rFonts w:hint="eastAsia"/>
          <w:b/>
          <w:bCs/>
          <w:color w:val="FF0000"/>
          <w:sz w:val="24"/>
          <w:szCs w:val="24"/>
          <w:lang w:val="en-US" w:eastAsia="zh-CN"/>
        </w:rPr>
        <w:t>（格式自拟）</w:t>
      </w:r>
    </w:p>
    <w:p>
      <w:pPr>
        <w:numPr>
          <w:ilvl w:val="0"/>
          <w:numId w:val="0"/>
        </w:numPr>
        <w:ind w:leftChars="0"/>
        <w:rPr>
          <w:rFonts w:hint="eastAsia"/>
          <w:lang w:eastAsia="zh-CN"/>
        </w:rPr>
      </w:pPr>
    </w:p>
    <w:p>
      <w:pPr>
        <w:pStyle w:val="6"/>
        <w:numPr>
          <w:ilvl w:val="0"/>
          <w:numId w:val="5"/>
        </w:numPr>
        <w:ind w:left="0" w:leftChars="0" w:firstLine="0" w:firstLineChars="0"/>
        <w:jc w:val="center"/>
        <w:rPr>
          <w:rFonts w:hint="eastAsia" w:ascii="黑体" w:eastAsia="黑体"/>
          <w:b w:val="0"/>
          <w:sz w:val="24"/>
          <w:szCs w:val="24"/>
          <w:lang w:val="en-US" w:eastAsia="zh-CN"/>
        </w:rPr>
      </w:pPr>
      <w:r>
        <w:rPr>
          <w:rFonts w:hint="eastAsia" w:ascii="黑体" w:eastAsia="黑体"/>
          <w:b w:val="0"/>
          <w:sz w:val="24"/>
          <w:szCs w:val="24"/>
          <w:lang w:val="en-US" w:eastAsia="zh-CN"/>
        </w:rPr>
        <w:t>拟安排的项目主要团队成员（主要技术人员）情况（项目负责人除外）</w:t>
      </w:r>
    </w:p>
    <w:p>
      <w:pPr>
        <w:numPr>
          <w:ilvl w:val="0"/>
          <w:numId w:val="0"/>
        </w:numPr>
        <w:jc w:val="center"/>
        <w:rPr>
          <w:rFonts w:hint="eastAsia"/>
          <w:b/>
          <w:bCs/>
          <w:color w:val="FF0000"/>
          <w:sz w:val="24"/>
          <w:szCs w:val="24"/>
          <w:lang w:val="en-US" w:eastAsia="zh-CN"/>
        </w:rPr>
      </w:pPr>
      <w:r>
        <w:rPr>
          <w:rFonts w:hint="eastAsia"/>
          <w:b/>
          <w:bCs/>
          <w:color w:val="FF0000"/>
          <w:sz w:val="24"/>
          <w:szCs w:val="24"/>
          <w:lang w:val="en-US" w:eastAsia="zh-CN"/>
        </w:rPr>
        <w:t>（格式自拟）</w:t>
      </w:r>
    </w:p>
    <w:p>
      <w:pPr>
        <w:numPr>
          <w:ilvl w:val="0"/>
          <w:numId w:val="0"/>
        </w:numPr>
        <w:ind w:leftChars="0"/>
        <w:rPr>
          <w:rFonts w:hint="eastAsia"/>
          <w:lang w:eastAsia="zh-CN"/>
        </w:rPr>
      </w:pPr>
    </w:p>
    <w:p>
      <w:pPr>
        <w:pStyle w:val="6"/>
        <w:numPr>
          <w:ilvl w:val="0"/>
          <w:numId w:val="5"/>
        </w:numPr>
        <w:ind w:left="0" w:leftChars="0" w:firstLine="0" w:firstLineChars="0"/>
        <w:jc w:val="center"/>
        <w:rPr>
          <w:rFonts w:hint="eastAsia" w:ascii="黑体" w:eastAsia="黑体"/>
          <w:b w:val="0"/>
          <w:sz w:val="24"/>
          <w:szCs w:val="24"/>
        </w:rPr>
      </w:pPr>
      <w:r>
        <w:rPr>
          <w:rFonts w:hint="eastAsia" w:ascii="黑体" w:eastAsia="黑体"/>
          <w:b w:val="0"/>
          <w:sz w:val="24"/>
          <w:szCs w:val="24"/>
        </w:rPr>
        <w:t>投标人通过相关认证情况</w:t>
      </w:r>
    </w:p>
    <w:p>
      <w:pPr>
        <w:numPr>
          <w:ilvl w:val="0"/>
          <w:numId w:val="0"/>
        </w:numPr>
        <w:jc w:val="center"/>
        <w:rPr>
          <w:rFonts w:hint="eastAsia"/>
          <w:lang w:eastAsia="zh-CN"/>
        </w:rPr>
      </w:pPr>
      <w:r>
        <w:rPr>
          <w:rFonts w:hint="eastAsia"/>
          <w:b/>
          <w:bCs/>
          <w:color w:val="FF0000"/>
          <w:sz w:val="24"/>
          <w:szCs w:val="24"/>
          <w:lang w:val="en-US" w:eastAsia="zh-CN"/>
        </w:rPr>
        <w:t>（格式自拟）</w:t>
      </w:r>
    </w:p>
    <w:p>
      <w:pPr>
        <w:pStyle w:val="6"/>
        <w:numPr>
          <w:ilvl w:val="0"/>
          <w:numId w:val="5"/>
        </w:numPr>
        <w:ind w:left="0" w:leftChars="0" w:firstLine="0" w:firstLineChars="0"/>
        <w:jc w:val="center"/>
        <w:rPr>
          <w:rFonts w:hint="eastAsia" w:ascii="黑体" w:eastAsia="黑体"/>
          <w:b w:val="0"/>
          <w:sz w:val="24"/>
          <w:szCs w:val="24"/>
          <w:lang w:val="en-US" w:eastAsia="zh-CN"/>
        </w:rPr>
      </w:pPr>
      <w:r>
        <w:rPr>
          <w:rFonts w:hint="eastAsia" w:ascii="黑体" w:eastAsia="黑体"/>
          <w:b w:val="0"/>
          <w:sz w:val="24"/>
          <w:szCs w:val="24"/>
          <w:lang w:val="en-US" w:eastAsia="zh-CN"/>
        </w:rPr>
        <w:t>投标人自主知识产权产品（创新、设计）情况</w:t>
      </w:r>
    </w:p>
    <w:p>
      <w:pPr>
        <w:numPr>
          <w:ilvl w:val="0"/>
          <w:numId w:val="0"/>
        </w:numPr>
        <w:jc w:val="center"/>
        <w:rPr>
          <w:rFonts w:hint="eastAsia"/>
          <w:lang w:eastAsia="zh-CN"/>
        </w:rPr>
      </w:pPr>
      <w:r>
        <w:rPr>
          <w:rFonts w:hint="eastAsia"/>
          <w:b/>
          <w:bCs/>
          <w:color w:val="FF0000"/>
          <w:sz w:val="24"/>
          <w:szCs w:val="24"/>
          <w:lang w:val="en-US" w:eastAsia="zh-CN"/>
        </w:rPr>
        <w:t>（格式自拟）</w:t>
      </w:r>
    </w:p>
    <w:p>
      <w:pPr>
        <w:pStyle w:val="6"/>
        <w:numPr>
          <w:ilvl w:val="0"/>
          <w:numId w:val="5"/>
        </w:numPr>
        <w:ind w:left="0" w:leftChars="0" w:firstLine="0" w:firstLineChars="0"/>
        <w:jc w:val="center"/>
        <w:rPr>
          <w:rFonts w:hint="eastAsia" w:ascii="黑体" w:eastAsia="黑体"/>
          <w:b w:val="0"/>
          <w:sz w:val="24"/>
          <w:szCs w:val="24"/>
        </w:rPr>
      </w:pPr>
      <w:r>
        <w:rPr>
          <w:rFonts w:hint="eastAsia" w:ascii="黑体" w:eastAsia="黑体"/>
          <w:b w:val="0"/>
          <w:sz w:val="24"/>
          <w:szCs w:val="24"/>
        </w:rPr>
        <w:t>同类项目业绩</w:t>
      </w:r>
    </w:p>
    <w:p>
      <w:pPr>
        <w:numPr>
          <w:ilvl w:val="0"/>
          <w:numId w:val="0"/>
        </w:numPr>
        <w:jc w:val="center"/>
        <w:rPr>
          <w:rFonts w:hint="eastAsia"/>
          <w:lang w:eastAsia="zh-CN"/>
        </w:rPr>
      </w:pPr>
      <w:r>
        <w:rPr>
          <w:rFonts w:hint="eastAsia"/>
          <w:b/>
          <w:bCs/>
          <w:color w:val="FF0000"/>
          <w:sz w:val="24"/>
          <w:szCs w:val="24"/>
          <w:lang w:val="en-US" w:eastAsia="zh-CN"/>
        </w:rPr>
        <w:t>（格式自拟）</w:t>
      </w:r>
    </w:p>
    <w:p>
      <w:pPr>
        <w:pStyle w:val="6"/>
        <w:jc w:val="center"/>
        <w:rPr>
          <w:rFonts w:hint="eastAsia" w:ascii="黑体" w:hAnsi="宋体" w:eastAsia="黑体" w:cstheme="minorBidi"/>
          <w:b w:val="0"/>
          <w:bCs w:val="0"/>
          <w:kern w:val="2"/>
          <w:sz w:val="24"/>
          <w:szCs w:val="20"/>
          <w:lang w:val="en-US" w:eastAsia="zh-CN" w:bidi="ar-SA"/>
        </w:rPr>
      </w:pPr>
      <w:r>
        <w:rPr>
          <w:rFonts w:hint="eastAsia" w:ascii="黑体" w:eastAsia="黑体"/>
          <w:b w:val="0"/>
          <w:sz w:val="24"/>
          <w:szCs w:val="24"/>
          <w:lang w:val="en-US" w:eastAsia="zh-CN"/>
        </w:rPr>
        <w:t>十三、</w:t>
      </w:r>
      <w:r>
        <w:rPr>
          <w:rFonts w:hint="eastAsia" w:ascii="黑体" w:hAnsi="宋体" w:eastAsia="黑体" w:cstheme="minorBidi"/>
          <w:b w:val="0"/>
          <w:bCs w:val="0"/>
          <w:kern w:val="2"/>
          <w:sz w:val="24"/>
          <w:szCs w:val="20"/>
          <w:lang w:val="en-US" w:eastAsia="zh-CN" w:bidi="ar-SA"/>
        </w:rPr>
        <w:t>投标人认为需要加以说明的其他内容</w:t>
      </w:r>
    </w:p>
    <w:p>
      <w:pPr>
        <w:widowControl/>
        <w:jc w:val="center"/>
        <w:rPr>
          <w:rFonts w:hint="eastAsia" w:ascii="黑体" w:hAnsi="宋体" w:eastAsia="黑体"/>
          <w:kern w:val="0"/>
          <w:sz w:val="24"/>
          <w:szCs w:val="20"/>
        </w:rPr>
      </w:pPr>
    </w:p>
    <w:p>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pPr>
        <w:widowControl/>
        <w:jc w:val="center"/>
        <w:rPr>
          <w:rFonts w:ascii="黑体" w:hAnsi="宋体" w:eastAsia="黑体"/>
          <w:kern w:val="0"/>
          <w:sz w:val="24"/>
          <w:szCs w:val="20"/>
        </w:rPr>
      </w:pPr>
    </w:p>
    <w:p>
      <w:pPr>
        <w:spacing w:before="0" w:beforeLines="0" w:after="157" w:afterLines="50" w:line="360" w:lineRule="exact"/>
        <w:ind w:firstLine="482" w:firstLineChars="200"/>
        <w:rPr>
          <w:rFonts w:hint="eastAsia" w:eastAsia="宋体" w:cs="Times New Roman"/>
          <w:b/>
          <w:bCs/>
          <w:color w:val="auto"/>
          <w:sz w:val="24"/>
          <w:lang w:val="en-US" w:eastAsia="zh-CN"/>
        </w:rPr>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b/>
          <w:bCs/>
          <w:color w:val="auto"/>
          <w:sz w:val="24"/>
        </w:rPr>
        <w:t>投标前已充分知悉以下情形为参与政府采购活动时的重大风险事项，并承诺已对下述风险提示事项重点排查，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若存在下述情况，我单位愿意依法承担被记入供应商诚信档案、罚款、取消参与政府采购资格、吊销营业执照等处罚；构成犯罪的，依法承担刑事责任。</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pPr>
        <w:spacing w:before="157" w:beforeLines="50" w:line="380" w:lineRule="exact"/>
        <w:ind w:firstLine="422"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pPr>
        <w:spacing w:beforeLines="0" w:line="380" w:lineRule="exact"/>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pPr>
        <w:spacing w:beforeLines="0" w:line="380" w:lineRule="exact"/>
        <w:ind w:firstLine="420" w:firstLineChars="200"/>
        <w:rPr>
          <w:color w:val="auto"/>
        </w:rPr>
      </w:pPr>
      <w:r>
        <w:rPr>
          <w:rFonts w:hint="eastAsia"/>
          <w:color w:val="auto"/>
        </w:rPr>
        <w:t>（二）由其他单位或者其他单位负责人在投标供应商编制的投标文件上加盖印章或者签字的。</w:t>
      </w:r>
    </w:p>
    <w:p>
      <w:pPr>
        <w:spacing w:beforeLines="0" w:line="380" w:lineRule="exact"/>
        <w:ind w:firstLine="420" w:firstLineChars="200"/>
        <w:rPr>
          <w:color w:val="auto"/>
        </w:rPr>
      </w:pPr>
      <w:r>
        <w:rPr>
          <w:rFonts w:hint="eastAsia"/>
          <w:color w:val="auto"/>
        </w:rPr>
        <w:t>（三）项目负责人或者主要技术人员不是本单位人员的。</w:t>
      </w:r>
    </w:p>
    <w:p>
      <w:pPr>
        <w:spacing w:beforeLines="0" w:line="380" w:lineRule="exact"/>
        <w:ind w:firstLine="420" w:firstLineChars="200"/>
        <w:rPr>
          <w:color w:val="auto"/>
        </w:rPr>
      </w:pPr>
      <w:r>
        <w:rPr>
          <w:rFonts w:hint="eastAsia"/>
          <w:color w:val="auto"/>
        </w:rPr>
        <w:t>（四）投标保证金不是从投标供应商基本账户转出的。</w:t>
      </w:r>
    </w:p>
    <w:p>
      <w:pPr>
        <w:spacing w:beforeLines="0" w:line="380" w:lineRule="exact"/>
        <w:ind w:firstLine="420" w:firstLineChars="200"/>
        <w:rPr>
          <w:color w:val="auto"/>
        </w:rPr>
      </w:pPr>
      <w:r>
        <w:rPr>
          <w:rFonts w:hint="eastAsia"/>
          <w:color w:val="auto"/>
        </w:rPr>
        <w:t>（五）其他隐瞒真实情况、提供虚假资料的行为。</w:t>
      </w:r>
    </w:p>
    <w:p>
      <w:pPr>
        <w:spacing w:beforeLines="0" w:line="380" w:lineRule="exact"/>
        <w:ind w:firstLine="422"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pPr>
        <w:spacing w:beforeLines="0" w:line="380" w:lineRule="exact"/>
        <w:ind w:firstLine="420" w:firstLineChars="200"/>
        <w:rPr>
          <w:color w:val="auto"/>
        </w:rPr>
      </w:pPr>
      <w:r>
        <w:rPr>
          <w:rFonts w:hint="eastAsia"/>
          <w:color w:val="auto"/>
        </w:rPr>
        <w:t>（一）投标供应商之间相互约定给予未中标的供应商利益补偿。</w:t>
      </w:r>
    </w:p>
    <w:p>
      <w:pPr>
        <w:spacing w:beforeLines="0" w:line="380" w:lineRule="exact"/>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color w:val="auto"/>
        </w:rPr>
      </w:pPr>
      <w:r>
        <w:rPr>
          <w:rFonts w:hint="eastAsia"/>
          <w:color w:val="auto"/>
        </w:rPr>
        <w:t>（三）不同投标供应商的投标文件由同一单位或者同一人编制，或者由同一人分阶段参与编制的。</w:t>
      </w:r>
    </w:p>
    <w:p>
      <w:pPr>
        <w:spacing w:beforeLines="0" w:line="340" w:lineRule="exact"/>
        <w:ind w:firstLine="420" w:firstLineChars="200"/>
        <w:rPr>
          <w:color w:val="auto"/>
        </w:rPr>
      </w:pPr>
      <w:r>
        <w:rPr>
          <w:rFonts w:hint="eastAsia"/>
          <w:color w:val="auto"/>
        </w:rPr>
        <w:t>（四）不同投标供应商的投标文件或部分投标文件相互混装。</w:t>
      </w:r>
    </w:p>
    <w:p>
      <w:pPr>
        <w:spacing w:beforeLines="0" w:line="340" w:lineRule="exact"/>
        <w:ind w:firstLine="420" w:firstLineChars="200"/>
        <w:rPr>
          <w:color w:val="auto"/>
        </w:rPr>
      </w:pPr>
      <w:r>
        <w:rPr>
          <w:rFonts w:hint="eastAsia"/>
          <w:color w:val="auto"/>
        </w:rPr>
        <w:t>（五）不同投标供应商的投标文件内容存在非正常一致。</w:t>
      </w:r>
    </w:p>
    <w:p>
      <w:pPr>
        <w:spacing w:beforeLines="0" w:line="340" w:lineRule="exact"/>
        <w:ind w:firstLine="420" w:firstLineChars="200"/>
        <w:rPr>
          <w:color w:val="auto"/>
        </w:rPr>
      </w:pPr>
      <w:r>
        <w:rPr>
          <w:rFonts w:hint="eastAsia"/>
          <w:color w:val="auto"/>
        </w:rPr>
        <w:t>（六）由同一单位工作人员为两家以上（含两家）供应商进行同一项投标活动的。</w:t>
      </w:r>
    </w:p>
    <w:p>
      <w:pPr>
        <w:spacing w:beforeLines="0" w:line="340" w:lineRule="exact"/>
        <w:ind w:firstLine="420" w:firstLineChars="200"/>
        <w:rPr>
          <w:color w:val="auto"/>
        </w:rPr>
      </w:pPr>
      <w:r>
        <w:rPr>
          <w:rFonts w:hint="eastAsia"/>
          <w:color w:val="auto"/>
        </w:rPr>
        <w:t>（七）不同投标人的投标报价呈规律性差异。</w:t>
      </w:r>
    </w:p>
    <w:p>
      <w:pPr>
        <w:spacing w:beforeLines="0" w:line="340" w:lineRule="exact"/>
        <w:ind w:firstLine="420" w:firstLineChars="200"/>
        <w:rPr>
          <w:color w:val="auto"/>
        </w:rPr>
      </w:pPr>
      <w:r>
        <w:rPr>
          <w:rFonts w:hint="eastAsia"/>
          <w:color w:val="auto"/>
        </w:rPr>
        <w:t>（八）不同投标人的投标保证金从同一单位或者个人的账户转出。</w:t>
      </w:r>
    </w:p>
    <w:p>
      <w:pPr>
        <w:spacing w:beforeLines="0" w:line="340" w:lineRule="exact"/>
        <w:ind w:firstLine="420" w:firstLineChars="200"/>
        <w:rPr>
          <w:color w:val="auto"/>
        </w:rPr>
      </w:pPr>
      <w:r>
        <w:rPr>
          <w:rFonts w:hint="eastAsia"/>
          <w:color w:val="auto"/>
        </w:rPr>
        <w:t>（九）主管部门依照法律、法规认定的其他情形。</w:t>
      </w:r>
    </w:p>
    <w:p>
      <w:pPr>
        <w:spacing w:beforeLines="0" w:line="340" w:lineRule="exact"/>
        <w:ind w:firstLine="422"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pPr>
        <w:spacing w:beforeLines="0" w:line="340" w:lineRule="exact"/>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在深圳政府采购网站进行的活动，均具有法律效力，须承担相应的法律后果。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pPr>
        <w:spacing w:beforeLines="0" w:line="340" w:lineRule="exact"/>
        <w:ind w:firstLine="422"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已充分知悉政府采购违法、违规行为的法律</w:t>
      </w:r>
      <w:r>
        <w:rPr>
          <w:rFonts w:hint="eastAsia"/>
          <w:b/>
          <w:color w:val="auto"/>
          <w:highlight w:val="none"/>
        </w:rPr>
        <w:t>后果。</w:t>
      </w:r>
    </w:p>
    <w:p>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pPr>
        <w:spacing w:beforeLines="0" w:line="340" w:lineRule="exact"/>
        <w:ind w:firstLine="420" w:firstLineChars="200"/>
        <w:rPr>
          <w:color w:val="auto"/>
          <w:highlight w:val="yellow"/>
        </w:rPr>
      </w:pPr>
      <w:r>
        <w:rPr>
          <w:rFonts w:hint="eastAsia"/>
          <w:color w:val="auto"/>
          <w:highlight w:val="yellow"/>
        </w:rPr>
        <w:t>以下文字请投标供应商抄写并确认：“</w:t>
      </w:r>
      <w:r>
        <w:rPr>
          <w:rFonts w:hint="eastAsia"/>
          <w:color w:val="auto"/>
          <w:highlight w:val="yellow"/>
          <w:lang w:eastAsia="zh-CN"/>
        </w:rPr>
        <w:t>我</w:t>
      </w:r>
      <w:r>
        <w:rPr>
          <w:rFonts w:hint="eastAsia"/>
          <w:color w:val="auto"/>
          <w:highlight w:val="yellow"/>
          <w:lang w:val="en-US" w:eastAsia="zh-CN"/>
        </w:rPr>
        <w:t>单位</w:t>
      </w:r>
      <w:r>
        <w:rPr>
          <w:rFonts w:hint="eastAsia"/>
          <w:color w:val="auto"/>
          <w:highlight w:val="yellow"/>
        </w:rPr>
        <w:t>已仔细阅读《政府采购违法行为风险知悉确认书》，充分知悉违法行为的法律后果，并承诺将严谨、诚信、依法依规参与政府采购活动”。</w:t>
      </w:r>
    </w:p>
    <w:tbl>
      <w:tblPr>
        <w:tblStyle w:val="39"/>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rPr>
            </w:pPr>
          </w:p>
        </w:tc>
      </w:tr>
    </w:tbl>
    <w:p>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rPr>
      </w:pPr>
    </w:p>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rPr>
      </w:pPr>
    </w:p>
    <w:p>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b/>
          <w:bCs/>
          <w:color w:val="auto"/>
          <w:spacing w:val="-4"/>
          <w:kern w:val="0"/>
          <w:szCs w:val="21"/>
          <w:highlight w:val="none"/>
        </w:rPr>
      </w:pPr>
      <w:r>
        <w:rPr>
          <w:rFonts w:hint="eastAsia" w:ascii="宋体" w:hAnsi="宋体" w:eastAsia="宋体"/>
          <w:b/>
          <w:bCs/>
          <w:color w:val="auto"/>
          <w:spacing w:val="-4"/>
          <w:kern w:val="0"/>
          <w:szCs w:val="21"/>
        </w:rPr>
        <w:t>注：</w:t>
      </w:r>
      <w:r>
        <w:rPr>
          <w:rFonts w:hint="eastAsia" w:ascii="宋体" w:hAnsi="宋体"/>
          <w:b/>
          <w:bCs/>
          <w:color w:val="auto"/>
          <w:spacing w:val="-4"/>
          <w:kern w:val="0"/>
          <w:szCs w:val="21"/>
          <w:lang w:val="en-US" w:eastAsia="zh-CN"/>
        </w:rPr>
        <w:t>1.</w:t>
      </w:r>
      <w:r>
        <w:rPr>
          <w:rFonts w:hint="eastAsia" w:ascii="宋体" w:hAnsi="宋体" w:eastAsia="宋体"/>
          <w:b/>
          <w:bCs/>
          <w:color w:val="auto"/>
          <w:spacing w:val="-4"/>
          <w:kern w:val="0"/>
          <w:szCs w:val="21"/>
          <w:lang w:eastAsia="zh-CN"/>
        </w:rPr>
        <w:t>《</w:t>
      </w:r>
      <w:r>
        <w:rPr>
          <w:rFonts w:hint="eastAsia" w:ascii="宋体" w:hAnsi="宋体" w:eastAsia="宋体"/>
          <w:b/>
          <w:bCs/>
          <w:color w:val="auto"/>
          <w:spacing w:val="-4"/>
          <w:kern w:val="0"/>
          <w:szCs w:val="21"/>
          <w:lang w:val="en-US" w:eastAsia="zh-CN"/>
        </w:rPr>
        <w:t>政府采购违法行为风险知悉确认书</w:t>
      </w:r>
      <w:r>
        <w:rPr>
          <w:rFonts w:hint="eastAsia" w:ascii="宋体" w:hAnsi="宋体" w:eastAsia="宋体"/>
          <w:b/>
          <w:bCs/>
          <w:color w:val="auto"/>
          <w:spacing w:val="-4"/>
          <w:kern w:val="0"/>
          <w:szCs w:val="21"/>
          <w:lang w:eastAsia="zh-CN"/>
        </w:rPr>
        <w:t>》需由</w:t>
      </w:r>
      <w:r>
        <w:rPr>
          <w:rFonts w:hint="eastAsia" w:ascii="宋体" w:hAnsi="宋体" w:eastAsia="宋体"/>
          <w:b/>
          <w:bCs/>
          <w:color w:val="auto"/>
          <w:spacing w:val="-4"/>
          <w:kern w:val="0"/>
          <w:szCs w:val="21"/>
          <w:highlight w:val="none"/>
        </w:rPr>
        <w:t>投标供应商负责人签字并加盖单位公章后，扫描上传至投标文件一并提交。</w:t>
      </w:r>
    </w:p>
    <w:p>
      <w:pPr>
        <w:pStyle w:val="51"/>
        <w:keepNext w:val="0"/>
        <w:keepLines w:val="0"/>
        <w:pageBreakBefore w:val="0"/>
        <w:kinsoku/>
        <w:wordWrap/>
        <w:overflowPunct/>
        <w:topLinePunct w:val="0"/>
        <w:bidi w:val="0"/>
        <w:adjustRightInd/>
        <w:snapToGrid/>
        <w:ind w:firstLine="422" w:firstLineChars="200"/>
        <w:textAlignment w:val="auto"/>
        <w:rPr>
          <w:b/>
          <w:bCs/>
          <w:color w:val="auto"/>
          <w:lang w:val="en-US" w:eastAsia="zh-CN"/>
        </w:rPr>
      </w:pPr>
      <w:r>
        <w:rPr>
          <w:rFonts w:hint="eastAsia"/>
          <w:b/>
          <w:bCs/>
          <w:color w:val="auto"/>
          <w:lang w:val="en-US" w:eastAsia="zh-CN"/>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pPr>
        <w:widowControl/>
        <w:wordWrap/>
        <w:autoSpaceDE w:val="0"/>
        <w:autoSpaceDN w:val="0"/>
        <w:spacing w:line="400" w:lineRule="exact"/>
        <w:ind w:right="1414" w:firstLine="480" w:firstLineChars="200"/>
        <w:jc w:val="right"/>
        <w:rPr>
          <w:rFonts w:eastAsiaTheme="minorEastAsia"/>
          <w:kern w:val="0"/>
          <w:sz w:val="24"/>
        </w:rPr>
      </w:pPr>
    </w:p>
    <w:p>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p>
    <w:p>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pPr>
        <w:widowControl/>
        <w:tabs>
          <w:tab w:val="left" w:pos="8200"/>
        </w:tabs>
        <w:wordWrap/>
        <w:autoSpaceDE w:val="0"/>
        <w:autoSpaceDN w:val="0"/>
        <w:spacing w:line="400" w:lineRule="exact"/>
        <w:ind w:right="1414" w:firstLine="406" w:firstLineChars="200"/>
        <w:jc w:val="both"/>
        <w:rPr>
          <w:rFonts w:hint="eastAsia" w:ascii="宋体" w:hAnsi="宋体" w:eastAsiaTheme="minorEastAsia"/>
          <w:b/>
          <w:bCs/>
          <w:color w:val="FF0000"/>
          <w:spacing w:val="-4"/>
          <w:kern w:val="0"/>
          <w:szCs w:val="21"/>
          <w:lang w:val="en-US" w:eastAsia="zh-CN"/>
        </w:rPr>
      </w:pPr>
    </w:p>
    <w:p>
      <w:pPr>
        <w:ind w:firstLine="720" w:firstLineChars="300"/>
        <w:rPr>
          <w:sz w:val="24"/>
        </w:rPr>
      </w:pPr>
    </w:p>
    <w:p>
      <w:pPr>
        <w:widowControl/>
        <w:spacing w:line="360" w:lineRule="auto"/>
        <w:jc w:val="left"/>
        <w:rPr>
          <w:rFonts w:eastAsiaTheme="minorEastAsia"/>
          <w:b/>
          <w:bCs/>
          <w:kern w:val="0"/>
          <w:sz w:val="24"/>
        </w:rPr>
      </w:pPr>
    </w:p>
    <w:p>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pPr>
        <w:widowControl/>
        <w:jc w:val="center"/>
        <w:rPr>
          <w:rFonts w:ascii="黑体" w:hAnsi="宋体" w:eastAsia="黑体"/>
          <w:kern w:val="0"/>
          <w:sz w:val="24"/>
          <w:szCs w:val="20"/>
        </w:rPr>
      </w:pPr>
    </w:p>
    <w:p>
      <w:pPr>
        <w:spacing w:after="78" w:afterLines="25" w:line="300" w:lineRule="auto"/>
        <w:rPr>
          <w:rFonts w:ascii="Arial" w:hAnsi="Arial" w:eastAsia="宋体" w:cs="Times New Roman"/>
          <w:sz w:val="24"/>
          <w:szCs w:val="24"/>
        </w:rPr>
      </w:pPr>
    </w:p>
    <w:p>
      <w:pPr>
        <w:spacing w:after="78" w:afterLines="25" w:line="300" w:lineRule="auto"/>
        <w:rPr>
          <w:rFonts w:ascii="Arial" w:hAnsi="Arial" w:eastAsia="宋体" w:cs="Times New Roman"/>
          <w:sz w:val="24"/>
          <w:szCs w:val="24"/>
        </w:rPr>
      </w:pPr>
    </w:p>
    <w:p>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pPr>
        <w:widowControl/>
        <w:jc w:val="center"/>
        <w:rPr>
          <w:rFonts w:hint="eastAsia" w:ascii="宋体" w:hAnsi="宋体" w:eastAsia="黑体" w:cs="Times New Roman"/>
          <w:bCs/>
          <w:kern w:val="44"/>
          <w:sz w:val="28"/>
          <w:szCs w:val="44"/>
        </w:rPr>
      </w:pPr>
      <w:bookmarkStart w:id="49" w:name="_Hlk72574405"/>
      <w:r>
        <w:rPr>
          <w:rFonts w:hint="eastAsia"/>
          <w:b/>
          <w:sz w:val="24"/>
        </w:rPr>
        <w:t>（仅供参考，具体以项目需求及采购结果为准）</w:t>
      </w:r>
      <w:bookmarkEnd w:id="49"/>
    </w:p>
    <w:p>
      <w:pPr>
        <w:snapToGrid w:val="0"/>
        <w:spacing w:line="300" w:lineRule="auto"/>
        <w:jc w:val="center"/>
        <w:rPr>
          <w:rFonts w:hint="eastAsia" w:ascii="仿宋" w:hAnsi="仿宋" w:eastAsia="仿宋" w:cs="Times New Roman"/>
          <w:sz w:val="28"/>
          <w:szCs w:val="28"/>
        </w:rPr>
      </w:pPr>
    </w:p>
    <w:p>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政府采购货物买卖合同</w:t>
      </w:r>
    </w:p>
    <w:p>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（试行）</w:t>
      </w:r>
    </w:p>
    <w:p>
      <w:pPr>
        <w:rPr>
          <w:rFonts w:hint="eastAsia" w:ascii="宋体" w:hAnsi="宋体" w:eastAsia="宋体" w:cs="宋体"/>
          <w:b/>
          <w:bCs/>
          <w:spacing w:val="-20"/>
          <w:kern w:val="44"/>
          <w:sz w:val="40"/>
          <w:szCs w:val="40"/>
        </w:rPr>
      </w:pPr>
    </w:p>
    <w:p>
      <w:pPr>
        <w:rPr>
          <w:rFonts w:hint="eastAsia" w:ascii="宋体" w:hAnsi="宋体" w:eastAsia="宋体" w:cs="宋体"/>
          <w:b/>
          <w:bCs/>
          <w:spacing w:val="-20"/>
          <w:kern w:val="44"/>
          <w:sz w:val="40"/>
          <w:szCs w:val="40"/>
        </w:rPr>
      </w:pPr>
    </w:p>
    <w:p>
      <w:pPr>
        <w:rPr>
          <w:rFonts w:hint="eastAsia" w:ascii="宋体" w:hAnsi="宋体" w:eastAsia="宋体" w:cs="宋体"/>
          <w:b/>
          <w:bCs/>
          <w:spacing w:val="-20"/>
          <w:kern w:val="44"/>
          <w:sz w:val="40"/>
          <w:szCs w:val="40"/>
        </w:rPr>
      </w:pPr>
    </w:p>
    <w:p>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pPr>
        <w:rPr>
          <w:rFonts w:eastAsia="宋体"/>
        </w:rPr>
      </w:pPr>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eastAsia="黑体"/>
          <w:sz w:val="44"/>
          <w:szCs w:val="44"/>
        </w:rPr>
      </w:pPr>
      <w:r>
        <w:rPr>
          <w:rFonts w:hint="eastAsia" w:eastAsia="黑体"/>
          <w:sz w:val="44"/>
          <w:szCs w:val="44"/>
        </w:rPr>
        <w:t>使 用 说 明</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pPr>
        <w:ind w:firstLine="640" w:firstLineChars="20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pPr>
        <w:ind w:firstLine="880" w:firstLineChars="200"/>
        <w:rPr>
          <w:rFonts w:eastAsia="黑体"/>
          <w:sz w:val="44"/>
          <w:szCs w:val="44"/>
        </w:rPr>
        <w:sectPr>
          <w:headerReference r:id="rId6" w:type="default"/>
          <w:footerReference r:id="rId7" w:type="default"/>
          <w:pgSz w:w="11906" w:h="16838"/>
          <w:pgMar w:top="1440" w:right="1800" w:bottom="1440" w:left="1800" w:header="851" w:footer="992" w:gutter="0"/>
          <w:cols w:space="425" w:num="1"/>
          <w:docGrid w:type="lines" w:linePitch="312" w:charSpace="0"/>
        </w:sectPr>
      </w:pPr>
    </w:p>
    <w:p>
      <w:pPr>
        <w:keepNext/>
        <w:keepLines/>
        <w:adjustRightInd w:val="0"/>
        <w:snapToGrid w:val="0"/>
        <w:spacing w:line="400" w:lineRule="exact"/>
        <w:jc w:val="center"/>
        <w:outlineLvl w:val="1"/>
        <w:rPr>
          <w:rFonts w:hint="eastAsia" w:ascii="黑体" w:hAnsi="黑体" w:eastAsia="黑体" w:cs="Times New Roman"/>
          <w:b/>
          <w:bCs/>
          <w:sz w:val="28"/>
          <w:szCs w:val="28"/>
        </w:rPr>
      </w:pPr>
      <w:bookmarkStart w:id="50" w:name="_Toc22209"/>
    </w:p>
    <w:p>
      <w:pPr>
        <w:keepNext/>
        <w:keepLines/>
        <w:adjustRightInd w:val="0"/>
        <w:snapToGrid w:val="0"/>
        <w:spacing w:line="400" w:lineRule="exact"/>
        <w:jc w:val="center"/>
        <w:outlineLvl w:val="1"/>
        <w:rPr>
          <w:rFonts w:hint="eastAsia" w:ascii="黑体" w:hAnsi="华文中宋" w:eastAsia="黑体" w:cs="Times New Roman"/>
          <w:sz w:val="28"/>
          <w:szCs w:val="28"/>
        </w:rPr>
      </w:pPr>
      <w:r>
        <w:rPr>
          <w:rFonts w:hint="eastAsia" w:ascii="黑体" w:hAnsi="黑体" w:eastAsia="黑体" w:cs="Times New Roman"/>
          <w:sz w:val="28"/>
          <w:szCs w:val="28"/>
        </w:rPr>
        <w:t xml:space="preserve">第一节 </w:t>
      </w:r>
      <w:r>
        <w:rPr>
          <w:rFonts w:hint="eastAsia" w:ascii="黑体" w:hAnsi="华文中宋" w:eastAsia="黑体" w:cs="Times New Roman"/>
          <w:sz w:val="28"/>
          <w:szCs w:val="28"/>
        </w:rPr>
        <w:t>政府采购合同协议书</w:t>
      </w:r>
      <w:bookmarkEnd w:id="50"/>
    </w:p>
    <w:p>
      <w:pPr>
        <w:keepNext/>
        <w:keepLines/>
        <w:adjustRightInd w:val="0"/>
        <w:snapToGrid w:val="0"/>
        <w:spacing w:line="400" w:lineRule="exact"/>
        <w:jc w:val="center"/>
        <w:outlineLvl w:val="1"/>
        <w:rPr>
          <w:rFonts w:hint="eastAsia" w:ascii="黑体" w:hAnsi="华文中宋" w:eastAsia="黑体" w:cs="Times New Roman"/>
          <w:sz w:val="28"/>
          <w:szCs w:val="28"/>
        </w:rPr>
      </w:pPr>
    </w:p>
    <w:p>
      <w:pPr>
        <w:adjustRightInd w:val="0"/>
        <w:snapToGrid w:val="0"/>
        <w:spacing w:line="400" w:lineRule="exact"/>
        <w:rPr>
          <w:rFonts w:hint="eastAsia"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rPr>
        <w:t>（采购人、受采购人委托签订合同的单位或采购</w:t>
      </w:r>
      <w:r>
        <w:rPr>
          <w:rFonts w:hint="eastAsia" w:ascii="宋体" w:hAnsi="宋体" w:eastAsia="宋体"/>
          <w:szCs w:val="21"/>
        </w:rPr>
        <w:tab/>
      </w:r>
      <w:r>
        <w:rPr>
          <w:rFonts w:hint="eastAsia" w:ascii="宋体" w:hAnsi="宋体" w:eastAsia="宋体"/>
          <w:szCs w:val="21"/>
        </w:rPr>
        <w:t xml:space="preserve">                                   文件约定的合同甲方）</w:t>
      </w:r>
    </w:p>
    <w:p>
      <w:pPr>
        <w:adjustRightInd w:val="0"/>
        <w:snapToGrid w:val="0"/>
        <w:spacing w:line="400" w:lineRule="exact"/>
        <w:rPr>
          <w:rFonts w:hint="eastAsia" w:ascii="宋体" w:hAnsi="宋体" w:eastAsia="宋体"/>
          <w:szCs w:val="21"/>
        </w:rPr>
      </w:pPr>
      <w:r>
        <w:rPr>
          <w:rFonts w:hint="eastAsia" w:ascii="宋体" w:hAnsi="宋体" w:eastAsia="宋体"/>
          <w:szCs w:val="21"/>
        </w:rPr>
        <w:t>乙方1（全称）：</w:t>
      </w:r>
      <w:r>
        <w:rPr>
          <w:rFonts w:hint="eastAsia" w:ascii="宋体" w:hAnsi="宋体" w:eastAsia="宋体"/>
          <w:szCs w:val="21"/>
          <w:u w:val="single"/>
        </w:rPr>
        <w:t xml:space="preserve">                       </w:t>
      </w:r>
      <w:r>
        <w:rPr>
          <w:rFonts w:hint="eastAsia" w:ascii="宋体" w:hAnsi="宋体" w:eastAsia="宋体"/>
          <w:szCs w:val="21"/>
        </w:rPr>
        <w:t>（供应商）</w:t>
      </w:r>
    </w:p>
    <w:p>
      <w:pPr>
        <w:adjustRightInd w:val="0"/>
        <w:snapToGrid w:val="0"/>
        <w:spacing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adjustRightInd w:val="0"/>
        <w:snapToGrid w:val="0"/>
        <w:spacing w:line="400" w:lineRule="exact"/>
        <w:rPr>
          <w:rFonts w:hint="eastAsia" w:ascii="宋体" w:hAnsi="宋体" w:eastAsia="宋体"/>
          <w:szCs w:val="21"/>
        </w:rPr>
      </w:pPr>
      <w:r>
        <w:rPr>
          <w:rFonts w:hint="eastAsia" w:eastAsia="宋体"/>
        </w:rPr>
        <w:t>乙方</w:t>
      </w:r>
      <w:r>
        <w:rPr>
          <w:rFonts w:hint="eastAsia" w:ascii="宋体" w:hAnsi="宋体" w:eastAsia="宋体"/>
          <w:szCs w:val="21"/>
        </w:rPr>
        <w:t>3</w:t>
      </w:r>
      <w:r>
        <w:rPr>
          <w:rFonts w:hint="eastAsia" w:eastAsia="宋体"/>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pPr>
        <w:spacing w:line="400" w:lineRule="exact"/>
        <w:rPr>
          <w:rFonts w:eastAsia="宋体"/>
        </w:rPr>
      </w:pPr>
    </w:p>
    <w:p>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项目信息</w:t>
      </w:r>
    </w:p>
    <w:p>
      <w:pPr>
        <w:numPr>
          <w:ilvl w:val="0"/>
          <w:numId w:val="7"/>
        </w:numPr>
        <w:adjustRightInd w:val="0"/>
        <w:snapToGrid w:val="0"/>
        <w:spacing w:line="400" w:lineRule="exact"/>
        <w:ind w:firstLine="420" w:firstLineChars="200"/>
        <w:rPr>
          <w:rFonts w:hint="eastAsia" w:ascii="宋体" w:hAnsi="宋体" w:eastAsia="宋体" w:cs="Times New Roman"/>
          <w:szCs w:val="21"/>
          <w:u w:val="single"/>
        </w:rPr>
      </w:pPr>
      <w:r>
        <w:rPr>
          <w:rFonts w:hint="eastAsia" w:ascii="宋体" w:hAnsi="宋体" w:eastAsia="宋体" w:cs="Times New Roman"/>
          <w:szCs w:val="21"/>
        </w:rPr>
        <w:t>采购项目名称：</w:t>
      </w:r>
      <w:r>
        <w:rPr>
          <w:rFonts w:hint="eastAsia" w:ascii="宋体" w:hAnsi="宋体" w:eastAsia="宋体"/>
          <w:szCs w:val="21"/>
          <w:u w:val="single"/>
        </w:rPr>
        <w:t xml:space="preserve">                                            </w:t>
      </w:r>
    </w:p>
    <w:p>
      <w:pPr>
        <w:numPr>
          <w:ilvl w:val="255"/>
          <w:numId w:val="0"/>
        </w:numPr>
        <w:tabs>
          <w:tab w:val="left" w:pos="999"/>
        </w:tabs>
        <w:adjustRightInd w:val="0"/>
        <w:snapToGrid w:val="0"/>
        <w:spacing w:line="400" w:lineRule="exact"/>
        <w:rPr>
          <w:rFonts w:hint="eastAsia" w:ascii="宋体" w:hAnsi="宋体" w:eastAsia="宋体" w:cs="Times New Roman"/>
          <w:szCs w:val="21"/>
        </w:rPr>
      </w:pPr>
      <w:r>
        <w:rPr>
          <w:rFonts w:hint="eastAsia" w:ascii="宋体" w:hAnsi="宋体" w:eastAsia="宋体" w:cs="Times New Roman"/>
          <w:szCs w:val="21"/>
        </w:rPr>
        <w:t xml:space="preserve">         采购项目编号：</w:t>
      </w:r>
      <w:r>
        <w:rPr>
          <w:rFonts w:ascii="宋体" w:hAnsi="宋体" w:eastAsia="宋体" w:cs="Times New Roman"/>
          <w:szCs w:val="21"/>
          <w:u w:val="single"/>
        </w:rPr>
        <w:t xml:space="preserve">                                          </w:t>
      </w:r>
    </w:p>
    <w:p>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（2）采购计划编号：</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 xml:space="preserve"> </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（3）项目内容：</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 xml:space="preserve">     采购标的及数量（台/套</w:t>
      </w:r>
      <w:r>
        <w:rPr>
          <w:rFonts w:ascii="宋体" w:hAnsi="宋体" w:eastAsia="宋体"/>
          <w:szCs w:val="21"/>
          <w:lang w:val="en"/>
        </w:rPr>
        <w:t>/</w:t>
      </w:r>
      <w:r>
        <w:rPr>
          <w:rFonts w:hint="eastAsia" w:ascii="宋体" w:hAnsi="宋体" w:eastAsia="宋体"/>
          <w:szCs w:val="21"/>
          <w:lang w:val="en"/>
        </w:rPr>
        <w:t>个</w:t>
      </w:r>
      <w:r>
        <w:rPr>
          <w:rFonts w:ascii="宋体" w:hAnsi="宋体" w:eastAsia="宋体"/>
          <w:szCs w:val="21"/>
          <w:lang w:val="en"/>
        </w:rPr>
        <w:t>/</w:t>
      </w:r>
      <w:r>
        <w:rPr>
          <w:rFonts w:hint="eastAsia" w:ascii="宋体" w:hAnsi="宋体" w:eastAsia="宋体"/>
          <w:szCs w:val="21"/>
          <w:lang w:val="en"/>
        </w:rPr>
        <w:t>架</w:t>
      </w:r>
      <w:r>
        <w:rPr>
          <w:rFonts w:ascii="宋体" w:hAnsi="宋体" w:eastAsia="宋体"/>
          <w:szCs w:val="21"/>
          <w:lang w:val="en"/>
        </w:rPr>
        <w:t>/</w:t>
      </w:r>
      <w:r>
        <w:rPr>
          <w:rFonts w:hint="eastAsia" w:ascii="宋体" w:hAnsi="宋体" w:eastAsia="宋体"/>
          <w:szCs w:val="21"/>
          <w:lang w:val="en"/>
        </w:rPr>
        <w:t>组等</w:t>
      </w:r>
      <w:r>
        <w:rPr>
          <w:rFonts w:hint="eastAsia" w:ascii="宋体" w:hAnsi="宋体" w:eastAsia="宋体"/>
          <w:szCs w:val="21"/>
        </w:rPr>
        <w:t>）：</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szCs w:val="21"/>
          <w:u w:val="single"/>
        </w:rPr>
        <w:t xml:space="preserve">                  </w:t>
      </w:r>
      <w:r>
        <w:rPr>
          <w:rFonts w:hint="eastAsia" w:ascii="宋体" w:hAnsi="宋体" w:eastAsia="宋体"/>
          <w:szCs w:val="21"/>
        </w:rPr>
        <w:t xml:space="preserve"> </w:t>
      </w:r>
    </w:p>
    <w:p>
      <w:pPr>
        <w:numPr>
          <w:ilvl w:val="255"/>
          <w:numId w:val="0"/>
        </w:numPr>
        <w:adjustRightInd w:val="0"/>
        <w:snapToGrid w:val="0"/>
        <w:spacing w:line="400" w:lineRule="exact"/>
        <w:ind w:firstLine="420" w:firstLineChars="200"/>
        <w:rPr>
          <w:rFonts w:hint="eastAsia" w:ascii="宋体" w:hAnsi="宋体" w:eastAsia="宋体" w:cs="宋体"/>
          <w:szCs w:val="21"/>
          <w:lang w:val="en"/>
        </w:rPr>
      </w:pPr>
      <w:r>
        <w:rPr>
          <w:rFonts w:hint="eastAsia" w:ascii="宋体" w:hAnsi="宋体" w:eastAsia="宋体"/>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lang w:val="en"/>
        </w:rPr>
        <w:t xml:space="preserve">     </w:t>
      </w:r>
      <w:r>
        <w:rPr>
          <w:rFonts w:hint="eastAsia" w:ascii="宋体" w:hAnsi="宋体" w:eastAsia="宋体" w:cs="宋体"/>
          <w:szCs w:val="21"/>
        </w:rPr>
        <w:t>规格型号：</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p>
    <w:p>
      <w:pPr>
        <w:adjustRightInd w:val="0"/>
        <w:snapToGrid w:val="0"/>
        <w:spacing w:line="400" w:lineRule="exact"/>
        <w:ind w:firstLine="945" w:firstLineChars="450"/>
        <w:rPr>
          <w:rFonts w:hint="eastAsia" w:ascii="宋体" w:hAnsi="宋体" w:eastAsia="宋体"/>
          <w:szCs w:val="21"/>
          <w:u w:val="single"/>
        </w:rPr>
      </w:pPr>
      <w:r>
        <w:rPr>
          <w:rFonts w:hint="eastAsia" w:ascii="宋体" w:hAnsi="宋体" w:eastAsia="宋体"/>
          <w:szCs w:val="21"/>
        </w:rPr>
        <w:t>采购标的的技术要求、商务要求具体见附件。</w:t>
      </w:r>
    </w:p>
    <w:p>
      <w:pPr>
        <w:numPr>
          <w:ilvl w:val="255"/>
          <w:numId w:val="0"/>
        </w:numPr>
        <w:adjustRightInd w:val="0"/>
        <w:snapToGrid w:val="0"/>
        <w:spacing w:line="400" w:lineRule="exact"/>
        <w:ind w:firstLine="945" w:firstLineChars="450"/>
        <w:rPr>
          <w:rFonts w:hint="eastAsia" w:ascii="宋体" w:hAnsi="宋体" w:eastAsia="宋体" w:cs="宋体"/>
          <w:szCs w:val="21"/>
        </w:rPr>
      </w:pPr>
      <w:r>
        <w:rPr>
          <w:rFonts w:hint="eastAsia" w:ascii="汉仪书宋二S" w:hAnsi="汉仪书宋二S" w:eastAsia="汉仪书宋二S" w:cs="汉仪书宋二S"/>
          <w:szCs w:val="21"/>
        </w:rPr>
        <w:t>①</w:t>
      </w:r>
      <w:r>
        <w:rPr>
          <w:rFonts w:hint="eastAsia" w:ascii="宋体" w:hAnsi="宋体" w:eastAsia="宋体" w:cs="宋体"/>
          <w:szCs w:val="21"/>
        </w:rPr>
        <w:t>涉及信息类产品，请填写该产品关键部件的品牌、型号：</w:t>
      </w:r>
    </w:p>
    <w:p>
      <w:pPr>
        <w:numPr>
          <w:ilvl w:val="255"/>
          <w:numId w:val="0"/>
        </w:numPr>
        <w:adjustRightInd w:val="0"/>
        <w:snapToGrid w:val="0"/>
        <w:spacing w:line="400" w:lineRule="exact"/>
        <w:ind w:firstLine="420" w:firstLineChars="200"/>
        <w:rPr>
          <w:rFonts w:hint="eastAsia" w:ascii="宋体" w:hAnsi="宋体" w:eastAsia="宋体" w:cs="宋体"/>
          <w:kern w:val="0"/>
          <w:szCs w:val="21"/>
          <w:u w:val="single"/>
        </w:rPr>
      </w:pPr>
      <w:r>
        <w:rPr>
          <w:rFonts w:hint="eastAsia" w:ascii="宋体" w:hAnsi="宋体" w:eastAsia="宋体" w:cs="宋体"/>
          <w:szCs w:val="21"/>
        </w:rPr>
        <w:t xml:space="preserve">     标的名称：</w:t>
      </w:r>
      <w:r>
        <w:rPr>
          <w:rFonts w:hint="eastAsia" w:ascii="宋体" w:hAnsi="宋体" w:eastAsia="宋体" w:cs="宋体"/>
          <w:kern w:val="0"/>
          <w:szCs w:val="21"/>
          <w:u w:val="single"/>
        </w:rPr>
        <w:t xml:space="preserve">      </w:t>
      </w:r>
      <w:r>
        <w:rPr>
          <w:rFonts w:ascii="宋体" w:hAnsi="宋体" w:eastAsia="宋体" w:cs="宋体"/>
          <w:kern w:val="0"/>
          <w:szCs w:val="21"/>
          <w:u w:val="single"/>
          <w:lang w:val="en"/>
        </w:rPr>
        <w:t xml:space="preserve">               </w:t>
      </w:r>
      <w:r>
        <w:rPr>
          <w:rFonts w:hint="eastAsia" w:ascii="宋体" w:hAnsi="宋体" w:eastAsia="宋体" w:cs="宋体"/>
          <w:kern w:val="0"/>
          <w:szCs w:val="21"/>
          <w:u w:val="single"/>
        </w:rPr>
        <w:t xml:space="preserve">    </w:t>
      </w:r>
    </w:p>
    <w:p>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汉仪书宋二S" w:hAnsi="汉仪书宋二S" w:eastAsia="汉仪书宋二S" w:cs="汉仪书宋二S"/>
          <w:szCs w:val="21"/>
        </w:rPr>
        <w:t>②</w:t>
      </w:r>
      <w:r>
        <w:rPr>
          <w:rFonts w:hint="eastAsia" w:ascii="宋体" w:hAnsi="宋体" w:eastAsia="宋体" w:cs="宋体"/>
          <w:szCs w:val="21"/>
        </w:rPr>
        <w:t>涉及车辆采购，请填写是否属于新能源汽车：</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数量：</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否</w:t>
      </w:r>
    </w:p>
    <w:p>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lang w:val="en"/>
        </w:rPr>
        <w:t>4</w:t>
      </w:r>
      <w:r>
        <w:rPr>
          <w:rFonts w:hint="eastAsia" w:ascii="宋体" w:hAnsi="宋体" w:eastAsia="宋体" w:cs="宋体"/>
          <w:szCs w:val="21"/>
        </w:rPr>
        <w:t>）政府采购组织形式：</w:t>
      </w:r>
      <w:r>
        <w:rPr>
          <w:rFonts w:hint="eastAsia" w:ascii="宋体" w:hAnsi="宋体" w:eastAsia="宋体" w:cs="宋体"/>
          <w:szCs w:val="21"/>
        </w:rPr>
        <w:sym w:font="Wingdings" w:char="00A8"/>
      </w:r>
      <w:r>
        <w:rPr>
          <w:rFonts w:hint="eastAsia" w:ascii="宋体" w:hAnsi="宋体" w:eastAsia="宋体" w:cs="宋体"/>
          <w:szCs w:val="21"/>
        </w:rPr>
        <w:t xml:space="preserve">集中采购    </w:t>
      </w:r>
      <w:r>
        <w:rPr>
          <w:rFonts w:hint="eastAsia" w:ascii="宋体" w:hAnsi="宋体" w:eastAsia="宋体" w:cs="宋体"/>
          <w:szCs w:val="21"/>
        </w:rPr>
        <w:sym w:font="Wingdings" w:char="00A8"/>
      </w:r>
      <w:r>
        <w:rPr>
          <w:rFonts w:hint="eastAsia" w:ascii="宋体" w:hAnsi="宋体" w:eastAsia="宋体" w:cs="宋体"/>
          <w:szCs w:val="21"/>
        </w:rPr>
        <w:t>自行采购</w:t>
      </w:r>
    </w:p>
    <w:p>
      <w:pPr>
        <w:numPr>
          <w:ilvl w:val="255"/>
          <w:numId w:val="0"/>
        </w:numPr>
        <w:autoSpaceDE w:val="0"/>
        <w:autoSpaceDN w:val="0"/>
        <w:adjustRightInd w:val="0"/>
        <w:snapToGrid w:val="0"/>
        <w:spacing w:line="400" w:lineRule="exact"/>
        <w:ind w:left="210" w:leftChars="100" w:firstLine="210" w:firstLineChars="100"/>
        <w:rPr>
          <w:rFonts w:hint="eastAsia" w:ascii="宋体" w:hAnsi="宋体" w:eastAsia="宋体" w:cs="宋体"/>
          <w:szCs w:val="21"/>
          <w:u w:val="single"/>
        </w:rPr>
      </w:pPr>
      <w:r>
        <w:rPr>
          <w:rFonts w:hint="eastAsia" w:ascii="宋体" w:hAnsi="宋体" w:eastAsia="宋体" w:cs="宋体"/>
          <w:szCs w:val="21"/>
        </w:rPr>
        <w:t>（</w:t>
      </w:r>
      <w:r>
        <w:rPr>
          <w:rFonts w:ascii="宋体" w:hAnsi="宋体" w:eastAsia="宋体" w:cs="宋体"/>
          <w:szCs w:val="21"/>
          <w:lang w:val="en"/>
        </w:rPr>
        <w:t>5</w:t>
      </w:r>
      <w:r>
        <w:rPr>
          <w:rFonts w:hint="eastAsia" w:ascii="宋体" w:hAnsi="宋体" w:eastAsia="宋体" w:cs="宋体"/>
          <w:szCs w:val="21"/>
        </w:rPr>
        <w:t>）政府采购方式：</w:t>
      </w:r>
      <w:r>
        <w:rPr>
          <w:rFonts w:hint="eastAsia" w:ascii="宋体" w:hAnsi="宋体" w:eastAsia="宋体" w:cs="宋体"/>
          <w:szCs w:val="21"/>
        </w:rPr>
        <w:sym w:font="Wingdings" w:char="00A8"/>
      </w:r>
      <w:r>
        <w:rPr>
          <w:rFonts w:hint="eastAsia" w:ascii="宋体" w:hAnsi="宋体" w:eastAsia="宋体" w:cs="宋体"/>
          <w:szCs w:val="21"/>
        </w:rPr>
        <w:t xml:space="preserve">公开招标  </w:t>
      </w:r>
      <w:r>
        <w:rPr>
          <w:rFonts w:hint="eastAsia" w:ascii="宋体" w:hAnsi="宋体" w:eastAsia="宋体" w:cs="宋体"/>
          <w:szCs w:val="21"/>
        </w:rPr>
        <w:sym w:font="Wingdings" w:char="00A8"/>
      </w:r>
      <w:r>
        <w:rPr>
          <w:rFonts w:hint="eastAsia" w:ascii="宋体" w:hAnsi="宋体" w:eastAsia="宋体" w:cs="宋体"/>
          <w:szCs w:val="21"/>
        </w:rPr>
        <w:t>竞争性谈判</w:t>
      </w:r>
      <w:r>
        <w:rPr>
          <w:rFonts w:hint="eastAsia" w:ascii="宋体" w:hAnsi="宋体" w:eastAsia="华文楷体" w:cs="宋体"/>
          <w:sz w:val="22"/>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 xml:space="preserve">单一来源  </w:t>
      </w:r>
      <w:r>
        <w:rPr>
          <w:rFonts w:hint="eastAsia" w:ascii="宋体" w:hAnsi="宋体" w:eastAsia="宋体" w:cs="宋体"/>
          <w:szCs w:val="21"/>
        </w:rPr>
        <w:sym w:font="Wingdings" w:char="00A8"/>
      </w:r>
      <w:r>
        <w:rPr>
          <w:rFonts w:hint="eastAsia" w:ascii="宋体" w:hAnsi="宋体" w:eastAsia="宋体" w:cs="宋体"/>
          <w:szCs w:val="21"/>
        </w:rPr>
        <w:t xml:space="preserve">竞价  </w:t>
      </w:r>
      <w:r>
        <w:rPr>
          <w:rFonts w:hint="eastAsia" w:ascii="宋体" w:hAnsi="宋体" w:eastAsia="宋体" w:cs="宋体"/>
          <w:szCs w:val="21"/>
        </w:rPr>
        <w:sym w:font="Wingdings" w:char="00A8"/>
      </w:r>
      <w:r>
        <w:rPr>
          <w:rFonts w:hint="eastAsia" w:ascii="宋体" w:hAnsi="宋体" w:eastAsia="宋体" w:cs="宋体"/>
          <w:szCs w:val="21"/>
        </w:rPr>
        <w:t xml:space="preserve">框架协议 </w:t>
      </w:r>
      <w:r>
        <w:rPr>
          <w:rFonts w:hint="eastAsia" w:ascii="宋体" w:hAnsi="宋体" w:eastAsia="宋体" w:cs="宋体"/>
          <w:szCs w:val="21"/>
        </w:rPr>
        <w:sym w:font="Wingdings" w:char="00A8"/>
      </w:r>
      <w:r>
        <w:rPr>
          <w:rFonts w:hint="eastAsia" w:ascii="宋体" w:hAnsi="宋体" w:eastAsia="宋体" w:cs="宋体"/>
          <w:szCs w:val="21"/>
        </w:rPr>
        <w:t>其他：</w:t>
      </w:r>
      <w:r>
        <w:rPr>
          <w:rFonts w:hint="eastAsia" w:ascii="宋体" w:hAnsi="宋体" w:eastAsia="宋体" w:cs="宋体"/>
          <w:szCs w:val="21"/>
          <w:u w:val="single"/>
        </w:rPr>
        <w:t xml:space="preserve">          </w:t>
      </w:r>
    </w:p>
    <w:p>
      <w:pPr>
        <w:numPr>
          <w:ilvl w:val="255"/>
          <w:numId w:val="0"/>
        </w:numPr>
        <w:autoSpaceDE w:val="0"/>
        <w:autoSpaceDN w:val="0"/>
        <w:adjustRightInd w:val="0"/>
        <w:snapToGrid w:val="0"/>
        <w:spacing w:line="400" w:lineRule="exact"/>
        <w:ind w:firstLine="420"/>
        <w:rPr>
          <w:rFonts w:hint="eastAsia" w:ascii="宋体" w:hAnsi="宋体" w:eastAsia="宋体" w:cs="宋体"/>
          <w:szCs w:val="21"/>
        </w:rPr>
      </w:pPr>
      <w:r>
        <w:rPr>
          <w:rFonts w:hint="eastAsia" w:ascii="宋体" w:hAnsi="宋体" w:eastAsia="宋体" w:cs="宋体"/>
          <w:szCs w:val="21"/>
        </w:rPr>
        <w:t>（注：在框架协议采购的第二阶段，可选择使用该合同文本）</w:t>
      </w:r>
    </w:p>
    <w:p>
      <w:pPr>
        <w:numPr>
          <w:ilvl w:val="255"/>
          <w:numId w:val="0"/>
        </w:numPr>
        <w:autoSpaceDE w:val="0"/>
        <w:autoSpaceDN w:val="0"/>
        <w:adjustRightInd w:val="0"/>
        <w:snapToGrid w:val="0"/>
        <w:spacing w:line="400" w:lineRule="exact"/>
        <w:ind w:firstLine="220" w:firstLineChars="100"/>
        <w:rPr>
          <w:rFonts w:hint="eastAsia" w:ascii="宋体" w:hAnsi="宋体" w:eastAsia="宋体" w:cs="Times New Roman"/>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eastAsia="宋体" w:cs="Times New Roman"/>
          <w:szCs w:val="21"/>
        </w:rPr>
        <w:t>中标（成交）采购标的制造商是否为中小企业：</w:t>
      </w:r>
      <w:r>
        <w:rPr>
          <w:rFonts w:hint="eastAsia" w:ascii="宋体" w:hAnsi="宋体" w:eastAsia="宋体" w:cs="Times New Roman"/>
          <w:szCs w:val="21"/>
        </w:rPr>
        <w:sym w:font="Wingdings" w:char="00A8"/>
      </w:r>
      <w:r>
        <w:rPr>
          <w:rFonts w:hint="eastAsia" w:ascii="宋体" w:hAnsi="宋体" w:eastAsia="宋体" w:cs="Times New Roman"/>
          <w:szCs w:val="21"/>
        </w:rPr>
        <w:t xml:space="preserve">是      </w:t>
      </w:r>
      <w:r>
        <w:rPr>
          <w:rFonts w:hint="eastAsia" w:ascii="宋体" w:hAnsi="宋体" w:eastAsia="宋体" w:cs="Times New Roman"/>
          <w:szCs w:val="21"/>
        </w:rPr>
        <w:sym w:font="Wingdings" w:char="00A8"/>
      </w:r>
      <w:r>
        <w:rPr>
          <w:rFonts w:hint="eastAsia" w:ascii="宋体" w:hAnsi="宋体" w:eastAsia="宋体" w:cs="Times New Roman"/>
          <w:szCs w:val="21"/>
        </w:rPr>
        <w:t>否</w:t>
      </w:r>
    </w:p>
    <w:p>
      <w:pPr>
        <w:numPr>
          <w:ilvl w:val="255"/>
          <w:numId w:val="0"/>
        </w:numPr>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本合同是否为专门面向中小企业的采购合同（中小企业预留合同）：</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snapToGrid w:val="0"/>
        <w:spacing w:line="400" w:lineRule="exact"/>
        <w:rPr>
          <w:rFonts w:eastAsia="宋体"/>
        </w:rPr>
      </w:pPr>
      <w:r>
        <w:rPr>
          <w:rFonts w:hint="eastAsia" w:eastAsia="宋体"/>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w:t>
      </w:r>
      <w:r>
        <w:rPr>
          <w:rFonts w:ascii="宋体" w:hAnsi="宋体" w:eastAsia="宋体"/>
          <w:szCs w:val="21"/>
          <w:lang w:val="e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分包主要内容：</w:t>
      </w:r>
      <w:r>
        <w:rPr>
          <w:rFonts w:hint="eastAsia" w:ascii="宋体" w:hAnsi="宋体" w:eastAsia="宋体"/>
          <w:szCs w:val="21"/>
          <w:u w:val="single"/>
        </w:rPr>
        <w:t xml:space="preserve">                                            </w:t>
      </w:r>
    </w:p>
    <w:p>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分包供应商/制造商名称（如供应商和制造商不同，请分别填写）：</w:t>
      </w:r>
    </w:p>
    <w:p>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w:t>
      </w:r>
      <w:r>
        <w:rPr>
          <w:rFonts w:hint="eastAsia" w:ascii="宋体" w:hAnsi="宋体" w:eastAsia="宋体"/>
          <w:szCs w:val="21"/>
          <w:u w:val="single"/>
        </w:rPr>
        <w:t xml:space="preserve">                                                          </w:t>
      </w:r>
    </w:p>
    <w:p>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分包供应商/制造商类型（如果供应商和制造商不同，只填写制造商类型）：</w:t>
      </w:r>
    </w:p>
    <w:p>
      <w:pPr>
        <w:adjustRightInd w:val="0"/>
        <w:snapToGrid w:val="0"/>
        <w:spacing w:line="400" w:lineRule="exact"/>
        <w:ind w:firstLine="840" w:firstLineChars="400"/>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 xml:space="preserve">小微型企业  </w:t>
      </w:r>
    </w:p>
    <w:p>
      <w:pPr>
        <w:adjustRightInd w:val="0"/>
        <w:snapToGrid w:val="0"/>
        <w:spacing w:line="400" w:lineRule="exact"/>
        <w:ind w:firstLine="840" w:firstLineChars="400"/>
        <w:rPr>
          <w:rFonts w:eastAsia="华文楷体"/>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残疾人福利性单位 </w:t>
      </w:r>
      <w:r>
        <w:rPr>
          <w:rFonts w:hint="eastAsia" w:ascii="宋体" w:hAnsi="宋体" w:eastAsia="宋体"/>
          <w:iCs/>
          <w:szCs w:val="21"/>
        </w:rPr>
        <w:sym w:font="Wingdings" w:char="00A8"/>
      </w:r>
      <w:r>
        <w:rPr>
          <w:rFonts w:hint="eastAsia" w:ascii="宋体" w:hAnsi="宋体" w:eastAsia="宋体"/>
          <w:iCs/>
          <w:szCs w:val="21"/>
        </w:rPr>
        <w:t xml:space="preserve">监狱企业 </w:t>
      </w:r>
      <w:r>
        <w:rPr>
          <w:rFonts w:hint="eastAsia" w:ascii="宋体" w:hAnsi="宋体" w:eastAsia="宋体"/>
          <w:iCs/>
          <w:szCs w:val="21"/>
        </w:rPr>
        <w:sym w:font="Wingdings" w:char="00A8"/>
      </w:r>
      <w:r>
        <w:rPr>
          <w:rFonts w:hint="eastAsia" w:ascii="宋体" w:hAnsi="宋体" w:eastAsia="宋体"/>
          <w:iCs/>
          <w:szCs w:val="21"/>
        </w:rPr>
        <w:t>其他</w:t>
      </w:r>
    </w:p>
    <w:p>
      <w:pPr>
        <w:numPr>
          <w:ilvl w:val="255"/>
          <w:numId w:val="0"/>
        </w:numPr>
        <w:adjustRightInd w:val="0"/>
        <w:snapToGrid w:val="0"/>
        <w:spacing w:line="400" w:lineRule="exact"/>
        <w:rPr>
          <w:rFonts w:hint="eastAsia" w:ascii="宋体" w:hAnsi="宋体" w:eastAsia="宋体" w:cs="宋体"/>
          <w:iCs/>
          <w:szCs w:val="21"/>
        </w:rPr>
      </w:pPr>
      <w:r>
        <w:rPr>
          <w:rFonts w:hint="eastAsia" w:ascii="宋体" w:hAnsi="宋体" w:eastAsia="宋体"/>
          <w:szCs w:val="21"/>
        </w:rPr>
        <w:t xml:space="preserve">    </w:t>
      </w:r>
      <w:r>
        <w:rPr>
          <w:rFonts w:hint="eastAsia" w:ascii="宋体" w:hAnsi="宋体" w:eastAsia="宋体" w:cs="宋体"/>
          <w:szCs w:val="21"/>
        </w:rPr>
        <w:t>（</w:t>
      </w:r>
      <w:r>
        <w:rPr>
          <w:rFonts w:ascii="宋体" w:hAnsi="宋体" w:eastAsia="宋体" w:cs="宋体"/>
          <w:szCs w:val="21"/>
          <w:lang w:val="en"/>
        </w:rPr>
        <w:t>8</w:t>
      </w:r>
      <w:r>
        <w:rPr>
          <w:rFonts w:hint="eastAsia" w:ascii="宋体" w:hAnsi="宋体" w:eastAsia="宋体" w:cs="宋体"/>
          <w:szCs w:val="21"/>
        </w:rPr>
        <w:t>）中标（成交）供应商是否为外商投资企业：</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pPr>
        <w:tabs>
          <w:tab w:val="left" w:pos="1340"/>
        </w:tabs>
        <w:autoSpaceDE w:val="0"/>
        <w:autoSpaceDN w:val="0"/>
        <w:adjustRightIn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 xml:space="preserve">     外商投资企业类型：</w:t>
      </w:r>
      <w:r>
        <w:rPr>
          <w:rFonts w:hint="eastAsia" w:ascii="宋体" w:hAnsi="宋体" w:eastAsia="宋体" w:cs="宋体"/>
          <w:iCs/>
          <w:szCs w:val="21"/>
        </w:rPr>
        <w:sym w:font="Wingdings" w:char="00A8"/>
      </w:r>
      <w:r>
        <w:rPr>
          <w:rFonts w:hint="eastAsia" w:ascii="宋体" w:hAnsi="宋体" w:eastAsia="宋体" w:cs="宋体"/>
          <w:szCs w:val="21"/>
        </w:rPr>
        <w:t xml:space="preserve">全部由外国投资者投资  </w:t>
      </w:r>
      <w:r>
        <w:rPr>
          <w:rFonts w:hint="eastAsia" w:ascii="宋体" w:hAnsi="宋体" w:eastAsia="宋体" w:cs="宋体"/>
          <w:iCs/>
          <w:szCs w:val="21"/>
        </w:rPr>
        <w:sym w:font="Wingdings" w:char="00A8"/>
      </w:r>
      <w:r>
        <w:rPr>
          <w:rFonts w:hint="eastAsia" w:ascii="宋体" w:hAnsi="宋体" w:eastAsia="宋体" w:cs="宋体"/>
          <w:iCs/>
          <w:szCs w:val="21"/>
        </w:rPr>
        <w:t>部分由外国投资者投资</w:t>
      </w:r>
    </w:p>
    <w:p>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ascii="宋体" w:hAnsi="宋体" w:eastAsia="宋体" w:cs="宋体"/>
          <w:szCs w:val="21"/>
          <w:lang w:val="en"/>
        </w:rPr>
        <w:t>9</w:t>
      </w:r>
      <w:r>
        <w:rPr>
          <w:rFonts w:hint="eastAsia" w:ascii="宋体" w:hAnsi="宋体" w:eastAsia="宋体" w:cs="宋体"/>
          <w:szCs w:val="21"/>
        </w:rPr>
        <w:t>）是否涉及进口产品：</w:t>
      </w:r>
    </w:p>
    <w:p>
      <w:pPr>
        <w:numPr>
          <w:ilvl w:val="255"/>
          <w:numId w:val="0"/>
        </w:numPr>
        <w:adjustRightInd w:val="0"/>
        <w:snapToGrid w:val="0"/>
        <w:spacing w:line="400" w:lineRule="exact"/>
        <w:ind w:firstLine="840" w:firstLineChars="400"/>
        <w:rPr>
          <w:rFonts w:hint="eastAsia"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p>
    <w:p>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cs="宋体"/>
          <w:szCs w:val="21"/>
        </w:rPr>
        <w:t xml:space="preserve">        国别：</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规格型号：</w:t>
      </w:r>
      <w:r>
        <w:rPr>
          <w:rFonts w:hint="eastAsia" w:ascii="宋体" w:hAnsi="宋体" w:eastAsia="宋体" w:cs="宋体"/>
          <w:szCs w:val="21"/>
          <w:u w:val="single"/>
        </w:rPr>
        <w:t xml:space="preserve">        </w:t>
      </w:r>
      <w:r>
        <w:rPr>
          <w:rFonts w:hint="eastAsia" w:ascii="宋体" w:hAnsi="宋体" w:eastAsia="宋体"/>
          <w:szCs w:val="21"/>
        </w:rPr>
        <w:t xml:space="preserve">      </w:t>
      </w:r>
    </w:p>
    <w:p>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否</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0</w:t>
      </w:r>
      <w:r>
        <w:rPr>
          <w:rFonts w:hint="eastAsia" w:ascii="宋体" w:hAnsi="宋体" w:eastAsia="宋体"/>
          <w:szCs w:val="21"/>
        </w:rPr>
        <w:t>）是否涉及节能产品：</w:t>
      </w:r>
    </w:p>
    <w:p>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是，《节能产品政府采购品目清单》的底级品目名称：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是否涉及环境标志产品：</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是，《环境标志产品政府采购品目清单》的底级品目名称：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pPr>
        <w:numPr>
          <w:ilvl w:val="255"/>
          <w:numId w:val="0"/>
        </w:numPr>
        <w:autoSpaceDE w:val="0"/>
        <w:autoSpaceDN w:val="0"/>
        <w:adjustRightInd w:val="0"/>
        <w:snapToGrid w:val="0"/>
        <w:spacing w:line="400" w:lineRule="exact"/>
        <w:rPr>
          <w:rFonts w:hint="eastAsia" w:ascii="宋体" w:hAnsi="宋体" w:eastAsia="宋体" w:cs="Times New Roman"/>
          <w:szCs w:val="21"/>
        </w:rPr>
      </w:pPr>
      <w:r>
        <w:rPr>
          <w:rFonts w:hint="eastAsia" w:ascii="宋体" w:hAnsi="宋体" w:eastAsia="华文楷体" w:cs="华文楷体"/>
          <w:szCs w:val="21"/>
        </w:rPr>
        <w:t xml:space="preserve">          </w:t>
      </w:r>
      <w:r>
        <w:rPr>
          <w:rFonts w:hint="eastAsia" w:ascii="宋体" w:hAnsi="宋体" w:eastAsia="宋体" w:cs="Times New Roman"/>
          <w:szCs w:val="21"/>
        </w:rPr>
        <w:t xml:space="preserve">是否涉及绿色产品： </w:t>
      </w:r>
    </w:p>
    <w:p>
      <w:pPr>
        <w:autoSpaceDE w:val="0"/>
        <w:autoSpaceDN w:val="0"/>
        <w:adjustRightInd w:val="0"/>
        <w:spacing w:line="400" w:lineRule="exact"/>
        <w:ind w:firstLine="420"/>
        <w:rPr>
          <w:rFonts w:hint="eastAsia" w:ascii="宋体" w:hAnsi="宋体" w:eastAsia="宋体" w:cs="华文楷体"/>
          <w:sz w:val="22"/>
          <w:szCs w:val="21"/>
          <w:u w:val="single"/>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是，绿色产品政府采购相关政策确定的底级品目名称：</w:t>
      </w:r>
      <w:r>
        <w:rPr>
          <w:rFonts w:hint="eastAsia" w:ascii="宋体" w:hAnsi="宋体" w:eastAsia="宋体" w:cs="华文楷体"/>
          <w:sz w:val="22"/>
          <w:szCs w:val="21"/>
          <w:u w:val="single"/>
        </w:rPr>
        <w:t xml:space="preserve">         </w:t>
      </w:r>
    </w:p>
    <w:p>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pPr>
        <w:autoSpaceDE w:val="0"/>
        <w:autoSpaceDN w:val="0"/>
        <w:adjustRightInd w:val="0"/>
        <w:spacing w:line="400" w:lineRule="exact"/>
        <w:ind w:firstLine="420"/>
        <w:rPr>
          <w:rFonts w:hint="eastAsia" w:ascii="宋体" w:hAnsi="宋体" w:eastAsia="华文楷体" w:cs="华文楷体"/>
          <w:szCs w:val="21"/>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否</w:t>
      </w:r>
    </w:p>
    <w:p>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1</w:t>
      </w:r>
      <w:r>
        <w:rPr>
          <w:rFonts w:hint="eastAsia" w:ascii="宋体" w:hAnsi="宋体" w:eastAsia="宋体"/>
          <w:szCs w:val="21"/>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 xml:space="preserve">是       </w:t>
      </w:r>
      <w:r>
        <w:rPr>
          <w:rFonts w:hint="eastAsia" w:ascii="宋体" w:hAnsi="宋体" w:eastAsia="宋体"/>
          <w:szCs w:val="21"/>
        </w:rPr>
        <w:sym w:font="Wingdings" w:char="00A8"/>
      </w:r>
      <w:r>
        <w:rPr>
          <w:rFonts w:hint="eastAsia" w:ascii="宋体" w:hAnsi="宋体" w:eastAsia="宋体"/>
          <w:szCs w:val="21"/>
        </w:rPr>
        <w:t xml:space="preserve">否      </w:t>
      </w:r>
      <w:r>
        <w:rPr>
          <w:rFonts w:hint="eastAsia" w:ascii="宋体" w:hAnsi="宋体" w:eastAsia="宋体"/>
          <w:szCs w:val="21"/>
        </w:rPr>
        <w:sym w:font="Wingdings" w:char="00A8"/>
      </w:r>
      <w:r>
        <w:rPr>
          <w:rFonts w:hint="eastAsia" w:ascii="宋体" w:hAnsi="宋体" w:eastAsia="宋体"/>
          <w:szCs w:val="21"/>
        </w:rPr>
        <w:t>不涉及</w:t>
      </w:r>
    </w:p>
    <w:p>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合同金额</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p>
    <w:p>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分包金额（如有）小写：</w:t>
      </w:r>
      <w:r>
        <w:rPr>
          <w:rFonts w:hint="eastAsia" w:ascii="宋体" w:hAnsi="宋体" w:eastAsia="宋体"/>
          <w:szCs w:val="21"/>
          <w:u w:val="single"/>
        </w:rPr>
        <w:t xml:space="preserve">                   </w:t>
      </w:r>
    </w:p>
    <w:p>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（注：固定单价合同应填写单价和最高限价）</w:t>
      </w:r>
    </w:p>
    <w:p>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（2）合同定价方式（采用组合定价方式的，可以勾选多项）：</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 xml:space="preserve">固定单价 </w:t>
      </w:r>
      <w:r>
        <w:rPr>
          <w:rFonts w:hint="eastAsia" w:ascii="宋体" w:hAnsi="宋体" w:eastAsia="宋体"/>
          <w:iCs/>
          <w:szCs w:val="21"/>
        </w:rPr>
        <w:sym w:font="Wingdings" w:char="00A8"/>
      </w:r>
      <w:r>
        <w:rPr>
          <w:rFonts w:hint="eastAsia" w:ascii="宋体" w:hAnsi="宋体" w:eastAsia="宋体"/>
          <w:iCs/>
          <w:szCs w:val="21"/>
        </w:rPr>
        <w:t xml:space="preserve">固定费率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 xml:space="preserve">绩效激励 </w:t>
      </w:r>
      <w:r>
        <w:rPr>
          <w:rFonts w:hint="eastAsia" w:ascii="宋体" w:hAnsi="宋体" w:eastAsia="宋体"/>
          <w:iCs/>
          <w:szCs w:val="21"/>
        </w:rPr>
        <w:sym w:font="Wingdings" w:char="00A8"/>
      </w:r>
      <w:r>
        <w:rPr>
          <w:rFonts w:hint="eastAsia" w:ascii="宋体" w:hAnsi="宋体" w:eastAsia="宋体"/>
          <w:iCs/>
          <w:szCs w:val="21"/>
        </w:rPr>
        <w:t>其他</w:t>
      </w:r>
      <w:r>
        <w:rPr>
          <w:rFonts w:hint="eastAsia" w:ascii="宋体" w:hAnsi="宋体" w:eastAsia="宋体"/>
          <w:szCs w:val="21"/>
          <w:u w:val="single"/>
        </w:rPr>
        <w:t xml:space="preserve">       </w:t>
      </w:r>
    </w:p>
    <w:p>
      <w:pPr>
        <w:spacing w:line="400" w:lineRule="exact"/>
        <w:ind w:firstLine="420" w:firstLineChars="200"/>
        <w:rPr>
          <w:rFonts w:ascii="Times New Roman" w:hAnsi="Times New Roman" w:eastAsia="宋体" w:cs="Times New Roman"/>
          <w:szCs w:val="21"/>
        </w:rPr>
      </w:pPr>
      <w:r>
        <w:rPr>
          <w:rFonts w:hint="eastAsia" w:ascii="宋体" w:hAnsi="宋体" w:eastAsia="宋体" w:cs="Times New Roman"/>
          <w:szCs w:val="21"/>
        </w:rPr>
        <w:t>（3）付款方式（按项目实际勾选填写）：</w:t>
      </w:r>
    </w:p>
    <w:p>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（应明确一次性支付合同款项的条件）                    </w:t>
      </w:r>
    </w:p>
    <w:p>
      <w:pPr>
        <w:snapToGrid w:val="0"/>
        <w:spacing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（应明确分期支付合同款项的各期比例和支付条件，各期支付条件应与分期履约验收情况挂钩） </w:t>
      </w:r>
      <w:r>
        <w:rPr>
          <w:rFonts w:hint="eastAsia" w:ascii="宋体" w:hAnsi="宋体" w:eastAsia="宋体"/>
          <w:szCs w:val="21"/>
        </w:rPr>
        <w:t>，其中涉及预付款的：</w:t>
      </w:r>
      <w:r>
        <w:rPr>
          <w:rFonts w:hint="eastAsia" w:ascii="宋体" w:hAnsi="宋体" w:eastAsia="宋体"/>
          <w:szCs w:val="21"/>
          <w:u w:val="single"/>
        </w:rPr>
        <w:t xml:space="preserve"> （应明确预付款的支付比例和支付条件） </w:t>
      </w:r>
    </w:p>
    <w:p>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pPr>
        <w:adjustRightInd w:val="0"/>
        <w:snapToGrid w:val="0"/>
        <w:spacing w:line="400" w:lineRule="exact"/>
        <w:ind w:firstLine="630" w:firstLineChars="3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pPr>
        <w:numPr>
          <w:ilvl w:val="0"/>
          <w:numId w:val="6"/>
        </w:numPr>
        <w:adjustRightInd w:val="0"/>
        <w:snapToGrid w:val="0"/>
        <w:spacing w:line="400" w:lineRule="exact"/>
        <w:ind w:firstLine="422" w:firstLineChars="200"/>
        <w:rPr>
          <w:rFonts w:hint="eastAsia" w:ascii="宋体" w:hAnsi="宋体" w:eastAsia="宋体"/>
          <w:b/>
          <w:szCs w:val="21"/>
          <w:u w:val="single"/>
        </w:rPr>
      </w:pPr>
      <w:r>
        <w:rPr>
          <w:rFonts w:hint="eastAsia" w:ascii="宋体" w:hAnsi="宋体" w:eastAsia="宋体"/>
          <w:b/>
          <w:szCs w:val="21"/>
        </w:rPr>
        <w:t>合同履行</w:t>
      </w:r>
    </w:p>
    <w:p>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（2）履约地点</w:t>
      </w:r>
      <w:r>
        <w:rPr>
          <w:rFonts w:hint="eastAsia" w:ascii="宋体" w:hAnsi="宋体" w:eastAsia="宋体" w:cs="宋体"/>
          <w:bCs/>
          <w:szCs w:val="21"/>
        </w:rPr>
        <w:t>：</w:t>
      </w:r>
      <w:r>
        <w:rPr>
          <w:rFonts w:hint="eastAsia" w:ascii="宋体" w:hAnsi="宋体" w:eastAsia="宋体" w:cs="宋体"/>
          <w:szCs w:val="21"/>
          <w:u w:val="single"/>
        </w:rPr>
        <w:t xml:space="preserve">                             </w:t>
      </w:r>
    </w:p>
    <w:p>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（3）履约担保：</w:t>
      </w:r>
      <w:r>
        <w:rPr>
          <w:rFonts w:hint="eastAsia" w:ascii="宋体" w:hAnsi="宋体" w:eastAsia="宋体" w:cs="宋体"/>
        </w:rPr>
        <w:t>是否收取履约保证金：</w:t>
      </w:r>
      <w:r>
        <w:rPr>
          <w:rFonts w:hint="eastAsia" w:ascii="宋体" w:hAnsi="宋体" w:eastAsia="宋体" w:cs="宋体"/>
          <w:szCs w:val="21"/>
        </w:rPr>
        <w:sym w:font="Wingdings" w:char="00A8"/>
      </w:r>
      <w:r>
        <w:rPr>
          <w:rFonts w:hint="eastAsia" w:ascii="宋体" w:hAnsi="宋体" w:eastAsia="宋体" w:cs="宋体"/>
          <w:szCs w:val="21"/>
        </w:rPr>
        <w:t xml:space="preserve">是    </w:t>
      </w:r>
      <w:r>
        <w:rPr>
          <w:rFonts w:hint="eastAsia" w:ascii="宋体" w:hAnsi="宋体" w:eastAsia="宋体" w:cs="宋体"/>
          <w:szCs w:val="21"/>
        </w:rPr>
        <w:sym w:font="Wingdings" w:char="00A8"/>
      </w:r>
      <w:r>
        <w:rPr>
          <w:rFonts w:hint="eastAsia" w:ascii="宋体" w:hAnsi="宋体" w:eastAsia="宋体" w:cs="宋体"/>
          <w:szCs w:val="21"/>
        </w:rPr>
        <w:t>否</w:t>
      </w:r>
    </w:p>
    <w:p>
      <w:pPr>
        <w:autoSpaceDE w:val="0"/>
        <w:autoSpaceDN w:val="0"/>
        <w:adjustRightInd w:val="0"/>
        <w:spacing w:line="400" w:lineRule="exact"/>
        <w:ind w:firstLine="440" w:firstLineChars="200"/>
        <w:rPr>
          <w:rFonts w:hint="eastAsia" w:ascii="宋体" w:hAnsi="宋体" w:eastAsia="宋体" w:cs="宋体"/>
          <w:szCs w:val="21"/>
        </w:rPr>
      </w:pPr>
      <w:r>
        <w:rPr>
          <w:rFonts w:hint="eastAsia" w:ascii="宋体" w:hAnsi="宋体" w:eastAsia="华文楷体" w:cs="宋体"/>
          <w:bCs/>
          <w:sz w:val="22"/>
          <w:szCs w:val="21"/>
        </w:rPr>
        <w:t xml:space="preserve">  </w:t>
      </w:r>
      <w:r>
        <w:rPr>
          <w:rFonts w:hint="eastAsia" w:ascii="宋体" w:hAnsi="宋体" w:eastAsia="宋体" w:cs="宋体"/>
          <w:szCs w:val="21"/>
        </w:rPr>
        <w:t xml:space="preserve">  收取履约保证金形式：</w:t>
      </w:r>
      <w:r>
        <w:rPr>
          <w:rFonts w:hint="eastAsia" w:ascii="宋体" w:hAnsi="宋体" w:eastAsia="宋体" w:cs="宋体"/>
          <w:bCs/>
          <w:szCs w:val="21"/>
          <w:u w:val="single"/>
        </w:rPr>
        <w:t xml:space="preserve">                            </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收取履约保证金金额：</w:t>
      </w:r>
      <w:r>
        <w:rPr>
          <w:rFonts w:hint="eastAsia" w:ascii="宋体" w:hAnsi="宋体" w:eastAsia="宋体" w:cs="宋体"/>
          <w:bCs/>
          <w:szCs w:val="21"/>
          <w:u w:val="single"/>
        </w:rPr>
        <w:t xml:space="preserve">                            </w:t>
      </w:r>
    </w:p>
    <w:p>
      <w:pPr>
        <w:snapToGrid w:val="0"/>
        <w:spacing w:line="400" w:lineRule="exact"/>
        <w:ind w:firstLine="420" w:firstLineChars="200"/>
        <w:rPr>
          <w:rFonts w:hint="eastAsia" w:ascii="宋体" w:hAnsi="宋体" w:eastAsia="宋体" w:cs="宋体"/>
        </w:rPr>
      </w:pPr>
      <w:r>
        <w:rPr>
          <w:rFonts w:hint="eastAsia" w:ascii="宋体" w:hAnsi="宋体" w:eastAsia="宋体" w:cs="宋体"/>
          <w:bCs/>
          <w:szCs w:val="21"/>
        </w:rPr>
        <w:t xml:space="preserve">    履约担保期限：</w:t>
      </w:r>
      <w:r>
        <w:rPr>
          <w:rFonts w:hint="eastAsia" w:ascii="宋体" w:hAnsi="宋体" w:eastAsia="宋体" w:cs="宋体"/>
          <w:bCs/>
          <w:szCs w:val="21"/>
          <w:u w:val="single"/>
        </w:rPr>
        <w:t xml:space="preserve">                                  </w:t>
      </w:r>
    </w:p>
    <w:p>
      <w:pPr>
        <w:adjustRightInd w:val="0"/>
        <w:snapToGrid w:val="0"/>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p>
    <w:p>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（5）风险处置措施和替代方案：</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合同验收</w:t>
      </w:r>
    </w:p>
    <w:p>
      <w:pPr>
        <w:numPr>
          <w:ilvl w:val="0"/>
          <w:numId w:val="8"/>
        </w:num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Cs w:val="21"/>
        </w:rPr>
        <w:sym w:font="Wingdings" w:char="00A8"/>
      </w:r>
      <w:r>
        <w:rPr>
          <w:rFonts w:hint="eastAsia" w:ascii="宋体" w:hAnsi="宋体" w:eastAsia="宋体"/>
          <w:bCs/>
          <w:szCs w:val="21"/>
        </w:rPr>
        <w:t xml:space="preserve">自行组织 </w:t>
      </w:r>
      <w:r>
        <w:rPr>
          <w:rFonts w:hint="eastAsia" w:ascii="宋体" w:hAnsi="宋体" w:eastAsia="宋体" w:cs="宋体"/>
          <w:szCs w:val="21"/>
        </w:rPr>
        <w:sym w:font="Wingdings" w:char="00A8"/>
      </w:r>
      <w:r>
        <w:rPr>
          <w:rFonts w:hint="eastAsia" w:ascii="宋体" w:hAnsi="宋体" w:eastAsia="宋体"/>
          <w:bCs/>
          <w:szCs w:val="21"/>
        </w:rPr>
        <w:t>委托第三方组织</w:t>
      </w:r>
    </w:p>
    <w:p>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验收主体：</w:t>
      </w:r>
      <w:r>
        <w:rPr>
          <w:rFonts w:hint="eastAsia" w:ascii="宋体" w:hAnsi="宋体" w:eastAsia="宋体"/>
          <w:bCs/>
          <w:szCs w:val="21"/>
          <w:u w:val="single"/>
        </w:rPr>
        <w:t xml:space="preserve">                  </w:t>
      </w:r>
    </w:p>
    <w:p>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是否邀请本项目的其他供应商参加验收：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是否邀请专家参加验收：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是否邀请服务对象参加验收：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是否邀请第三方检测机构参加验收：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是否进行抽查检测：</w:t>
      </w:r>
      <w:r>
        <w:rPr>
          <w:rFonts w:hint="eastAsia" w:ascii="宋体" w:hAnsi="宋体" w:eastAsia="宋体" w:cs="宋体"/>
          <w:szCs w:val="21"/>
        </w:rPr>
        <w:sym w:font="Wingdings" w:char="00A8"/>
      </w:r>
      <w:r>
        <w:rPr>
          <w:rFonts w:hint="eastAsia" w:ascii="宋体" w:hAnsi="宋体" w:eastAsia="宋体"/>
          <w:bCs/>
          <w:szCs w:val="21"/>
        </w:rPr>
        <w:t>是，抽查比例：</w:t>
      </w:r>
      <w:r>
        <w:rPr>
          <w:rFonts w:hint="eastAsia" w:ascii="宋体" w:hAnsi="宋体" w:eastAsia="宋体"/>
          <w:bCs/>
          <w:szCs w:val="21"/>
          <w:u w:val="single"/>
        </w:rPr>
        <w:t xml:space="preserve">        </w:t>
      </w: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是否存在破坏性检测：</w:t>
      </w:r>
      <w:r>
        <w:rPr>
          <w:rFonts w:hint="eastAsia" w:ascii="宋体" w:hAnsi="宋体" w:eastAsia="宋体" w:cs="宋体"/>
          <w:szCs w:val="21"/>
        </w:rPr>
        <w:sym w:font="Wingdings" w:char="00A8"/>
      </w:r>
      <w:r>
        <w:rPr>
          <w:rFonts w:hint="eastAsia" w:ascii="宋体" w:hAnsi="宋体" w:eastAsia="宋体"/>
          <w:bCs/>
          <w:szCs w:val="21"/>
        </w:rPr>
        <w:t>是，</w:t>
      </w:r>
      <w:r>
        <w:rPr>
          <w:rFonts w:hint="eastAsia" w:ascii="宋体" w:hAnsi="宋体" w:eastAsia="宋体"/>
          <w:bCs/>
          <w:szCs w:val="21"/>
          <w:u w:val="single"/>
        </w:rPr>
        <w:t>（应明确对被破坏的检测产品的处理方式）</w:t>
      </w:r>
    </w:p>
    <w:p>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 xml:space="preserve">（计划于何时验收/供应商提出验收申请之日起   日内组织验收） </w:t>
      </w:r>
    </w:p>
    <w:p>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Cs w:val="21"/>
        </w:rPr>
        <w:sym w:font="Wingdings" w:char="00A8"/>
      </w:r>
      <w:r>
        <w:rPr>
          <w:rFonts w:hint="eastAsia" w:ascii="宋体" w:hAnsi="宋体" w:eastAsia="宋体"/>
          <w:bCs/>
          <w:szCs w:val="21"/>
        </w:rPr>
        <w:t xml:space="preserve">一次性验收         </w:t>
      </w:r>
    </w:p>
    <w:p>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分期/分项验收：</w:t>
      </w:r>
      <w:r>
        <w:rPr>
          <w:rFonts w:hint="eastAsia" w:ascii="宋体" w:hAnsi="宋体" w:eastAsia="宋体"/>
          <w:bCs/>
          <w:szCs w:val="21"/>
          <w:u w:val="single"/>
        </w:rPr>
        <w:t xml:space="preserve"> （应明确分期</w:t>
      </w:r>
      <w:r>
        <w:rPr>
          <w:rFonts w:ascii="宋体" w:hAnsi="宋体" w:eastAsia="宋体"/>
          <w:bCs/>
          <w:szCs w:val="21"/>
          <w:u w:val="single"/>
          <w:lang w:val="en"/>
        </w:rPr>
        <w:t>/</w:t>
      </w:r>
      <w:r>
        <w:rPr>
          <w:rFonts w:hint="eastAsia" w:ascii="宋体" w:hAnsi="宋体" w:eastAsia="宋体"/>
          <w:bCs/>
          <w:szCs w:val="21"/>
          <w:u w:val="single"/>
          <w:lang w:val="en"/>
        </w:rPr>
        <w:t>分项验收的工作安排</w:t>
      </w:r>
      <w:r>
        <w:rPr>
          <w:rFonts w:hint="eastAsia" w:ascii="宋体" w:hAnsi="宋体" w:eastAsia="宋体"/>
          <w:bCs/>
          <w:szCs w:val="21"/>
          <w:u w:val="single"/>
        </w:rPr>
        <w:t xml:space="preserve">）  </w:t>
      </w:r>
    </w:p>
    <w:p>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（应当包括每一项技术和商务要求的履约情况，特别是落实政府采购扶持中小企业，支持绿色发展和乡村振兴等政策情况）                                      </w:t>
      </w:r>
    </w:p>
    <w:p>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（7）是否以采购活动中供应商提供的样品作为参考：</w:t>
      </w:r>
      <w:r>
        <w:rPr>
          <w:rFonts w:hint="eastAsia" w:ascii="宋体" w:hAnsi="宋体" w:eastAsia="宋体" w:cs="宋体"/>
          <w:szCs w:val="21"/>
        </w:rPr>
        <w:sym w:font="Wingdings" w:char="00A8"/>
      </w:r>
      <w:r>
        <w:rPr>
          <w:rFonts w:hint="eastAsia" w:ascii="宋体" w:hAnsi="宋体" w:eastAsia="宋体" w:cs="宋体"/>
          <w:bCs/>
          <w:szCs w:val="21"/>
        </w:rPr>
        <w:t xml:space="preserve">是  </w:t>
      </w:r>
      <w:r>
        <w:rPr>
          <w:rFonts w:hint="eastAsia" w:ascii="宋体" w:hAnsi="宋体" w:eastAsia="宋体" w:cs="宋体"/>
          <w:szCs w:val="21"/>
        </w:rPr>
        <w:sym w:font="Wingdings" w:char="00A8"/>
      </w:r>
      <w:r>
        <w:rPr>
          <w:rFonts w:hint="eastAsia" w:ascii="宋体" w:hAnsi="宋体" w:eastAsia="宋体" w:cs="宋体"/>
          <w:bCs/>
          <w:szCs w:val="21"/>
        </w:rPr>
        <w:t>否</w:t>
      </w:r>
    </w:p>
    <w:p>
      <w:pPr>
        <w:adjustRightInd w:val="0"/>
        <w:snapToGrid w:val="0"/>
        <w:spacing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（产权过户登记等）          </w:t>
      </w:r>
    </w:p>
    <w:p>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（1）政府采购合同协议书及其变更、补充协议</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（2）政府采购合同专用条款</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（3）政府采购合同通用条款</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（4）中标（成交）通知书</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（5）投标（响应）文件</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（6）采购文件</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（7）有关技术文件，图纸</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（8）</w:t>
      </w:r>
      <w:r>
        <w:rPr>
          <w:rFonts w:hint="eastAsia" w:ascii="宋体" w:hAnsi="宋体" w:eastAsia="宋体" w:cs="宋体"/>
          <w:color w:val="000000"/>
          <w:szCs w:val="21"/>
        </w:rPr>
        <w:t>国家法律、行政法规和规章制度规定或合同约定的作为合同组成部分的其他文件</w:t>
      </w:r>
    </w:p>
    <w:p>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合同生效</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pPr>
        <w:numPr>
          <w:ilvl w:val="0"/>
          <w:numId w:val="6"/>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合同份数</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份，甲方执</w:t>
      </w:r>
      <w:r>
        <w:rPr>
          <w:rFonts w:hint="eastAsia" w:ascii="宋体" w:hAnsi="宋体" w:eastAsia="宋体"/>
          <w:szCs w:val="21"/>
          <w:u w:val="single"/>
        </w:rPr>
        <w:t xml:space="preserve">    </w:t>
      </w:r>
      <w:r>
        <w:rPr>
          <w:rFonts w:hint="eastAsia" w:ascii="宋体" w:hAnsi="宋体" w:eastAsia="宋体"/>
          <w:szCs w:val="21"/>
        </w:rPr>
        <w:t>份，乙方执</w:t>
      </w:r>
      <w:r>
        <w:rPr>
          <w:rFonts w:hint="eastAsia" w:ascii="宋体" w:hAnsi="宋体" w:eastAsia="宋体"/>
          <w:szCs w:val="21"/>
          <w:u w:val="single"/>
        </w:rPr>
        <w:t xml:space="preserve">    </w:t>
      </w:r>
      <w:r>
        <w:rPr>
          <w:rFonts w:hint="eastAsia" w:ascii="宋体" w:hAnsi="宋体" w:eastAsia="宋体"/>
          <w:szCs w:val="21"/>
        </w:rPr>
        <w:t>份，均具有同等法律效力。</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pPr>
        <w:adjustRightInd w:val="0"/>
        <w:snapToGrid w:val="0"/>
        <w:spacing w:line="400" w:lineRule="exact"/>
        <w:ind w:firstLine="420" w:firstLineChars="200"/>
        <w:rPr>
          <w:rFonts w:eastAsia="宋体"/>
        </w:rPr>
      </w:pPr>
      <w:r>
        <w:rPr>
          <w:rFonts w:hint="eastAsia" w:ascii="宋体" w:hAnsi="宋体" w:eastAsia="宋体"/>
          <w:szCs w:val="21"/>
        </w:rPr>
        <w:t>附件：具体标的及其技术要求和商务要求、联合协议、分包意向协议等。</w:t>
      </w:r>
    </w:p>
    <w:p>
      <w:pPr>
        <w:rPr>
          <w:rFonts w:eastAsia="宋体"/>
        </w:rPr>
      </w:pPr>
      <w:r>
        <w:rPr>
          <w:rFonts w:hint="eastAsia" w:eastAsia="宋体"/>
        </w:rPr>
        <w:br w:type="page"/>
      </w:r>
    </w:p>
    <w:p>
      <w:pPr>
        <w:ind w:firstLine="420" w:firstLineChars="200"/>
        <w:rPr>
          <w:rFonts w:ascii="Times New Roman" w:hAnsi="Times New Roman" w:eastAsia="宋体" w:cs="Times New Roman"/>
          <w:szCs w:val="21"/>
        </w:rPr>
      </w:pPr>
    </w:p>
    <w:tbl>
      <w:tblPr>
        <w:tblStyle w:val="18"/>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rPr>
              <w:t>、受采购人委托签订合同的单位或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法定代表人</w:t>
            </w:r>
          </w:p>
          <w:p>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拥有者性别</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住  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通信地址</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rFonts w:eastAsia="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pPr>
              <w:adjustRightInd w:val="0"/>
              <w:snapToGrid w:val="0"/>
              <w:spacing w:before="156" w:beforeLines="50" w:line="360" w:lineRule="auto"/>
              <w:jc w:val="left"/>
              <w:rPr>
                <w:rFonts w:ascii="Times New Roman" w:hAnsi="Times New Roman" w:eastAsia="宋体" w:cs="Times New Roman"/>
                <w:spacing w:val="20"/>
                <w:szCs w:val="21"/>
              </w:rPr>
            </w:pPr>
            <w:r>
              <w:rPr>
                <w:rFonts w:hint="eastAsia" w:ascii="宋体" w:hAnsi="宋体" w:eastAsia="宋体" w:cs="Times New Roman"/>
                <w:szCs w:val="21"/>
              </w:rPr>
              <w:t>注：涉及联合体或其他合同主体的信息应按上表格式加列。</w:t>
            </w:r>
          </w:p>
        </w:tc>
      </w:tr>
    </w:tbl>
    <w:p>
      <w:pPr>
        <w:ind w:firstLine="527" w:firstLineChars="250"/>
        <w:rPr>
          <w:rFonts w:hint="eastAsia" w:ascii="宋体" w:hAnsi="宋体"/>
          <w:b/>
          <w:szCs w:val="21"/>
        </w:rPr>
      </w:pPr>
    </w:p>
    <w:p>
      <w:pPr>
        <w:keepNext/>
        <w:keepLines/>
        <w:adjustRightInd w:val="0"/>
        <w:snapToGrid w:val="0"/>
        <w:spacing w:before="156" w:beforeLines="50" w:line="360" w:lineRule="auto"/>
        <w:jc w:val="center"/>
        <w:outlineLvl w:val="1"/>
        <w:rPr>
          <w:rFonts w:hint="eastAsia" w:ascii="黑体" w:hAnsi="黑体" w:eastAsia="黑体" w:cs="Times New Roman"/>
          <w:b/>
          <w:bCs/>
          <w:sz w:val="28"/>
          <w:szCs w:val="28"/>
        </w:rPr>
      </w:pPr>
      <w:bookmarkStart w:id="51" w:name="_Toc27624"/>
      <w:r>
        <w:rPr>
          <w:rFonts w:hint="eastAsia" w:ascii="黑体" w:hAnsi="黑体" w:eastAsia="黑体" w:cs="Times New Roman"/>
          <w:sz w:val="28"/>
          <w:szCs w:val="28"/>
        </w:rPr>
        <w:t>第二节 政府采购合同通用条款</w:t>
      </w:r>
      <w:bookmarkEnd w:id="51"/>
    </w:p>
    <w:p>
      <w:pPr>
        <w:tabs>
          <w:tab w:val="left" w:pos="8820"/>
          <w:tab w:val="left" w:pos="9345"/>
          <w:tab w:val="left" w:pos="9765"/>
        </w:tabs>
        <w:adjustRightInd w:val="0"/>
        <w:snapToGrid w:val="0"/>
        <w:spacing w:line="400" w:lineRule="exact"/>
        <w:jc w:val="left"/>
        <w:rPr>
          <w:rFonts w:hint="eastAsia" w:ascii="宋体" w:hAnsi="宋体" w:eastAsia="宋体"/>
          <w:b/>
          <w:bCs/>
          <w:sz w:val="24"/>
        </w:rPr>
      </w:pPr>
      <w:r>
        <w:rPr>
          <w:rFonts w:hint="eastAsia" w:ascii="宋体" w:hAnsi="宋体" w:eastAsia="宋体"/>
          <w:b/>
          <w:sz w:val="24"/>
        </w:rPr>
        <w:t xml:space="preserve">1. </w:t>
      </w:r>
      <w:r>
        <w:rPr>
          <w:rFonts w:hint="eastAsia" w:ascii="宋体" w:hAnsi="宋体" w:eastAsia="宋体"/>
          <w:b/>
          <w:bCs/>
          <w:sz w:val="24"/>
        </w:rPr>
        <w:t>定义</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1.1合同当事人</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szCs w:val="21"/>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1.2本合同下列术语应解释为：</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Cs w:val="21"/>
        </w:rPr>
        <w:t>国家法律、行政法规和规章制度规定或合同约定的作为合同组成部分的其他文件</w:t>
      </w:r>
      <w:r>
        <w:rPr>
          <w:rFonts w:hint="eastAsia" w:ascii="宋体" w:hAnsi="宋体" w:eastAsia="宋体"/>
          <w:szCs w:val="21"/>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szCs w:val="21"/>
        </w:rPr>
        <w:t>（3）“货物”系指乙方根据本合同规定须向甲方提供的各种形态和种类的物品，包括原材料、设备、产品（</w:t>
      </w:r>
      <w:r>
        <w:rPr>
          <w:rFonts w:hint="eastAsia" w:ascii="宋体" w:hAnsi="宋体" w:eastAsia="宋体"/>
          <w:color w:val="000000"/>
          <w:szCs w:val="21"/>
        </w:rPr>
        <w:t>包括软件）及相关的其备品备件、工具、手册及</w:t>
      </w:r>
      <w:r>
        <w:rPr>
          <w:rFonts w:ascii="宋体" w:hAnsi="宋体" w:eastAsia="宋体"/>
          <w:color w:val="000000"/>
          <w:szCs w:val="21"/>
          <w:lang w:val="en"/>
        </w:rPr>
        <w:t>其他</w:t>
      </w:r>
      <w:r>
        <w:rPr>
          <w:rFonts w:hint="eastAsia" w:ascii="宋体" w:hAnsi="宋体" w:eastAsia="宋体"/>
          <w:color w:val="000000"/>
          <w:szCs w:val="21"/>
        </w:rPr>
        <w:t>技术资料和材料等。</w:t>
      </w:r>
    </w:p>
    <w:p>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（4）“</w:t>
      </w:r>
      <w:r>
        <w:rPr>
          <w:rFonts w:hint="eastAsia" w:ascii="宋体" w:hAnsi="宋体" w:eastAsia="宋体"/>
          <w:szCs w:val="21"/>
        </w:rPr>
        <w:t>相关</w:t>
      </w:r>
      <w:r>
        <w:rPr>
          <w:rFonts w:hint="eastAsia" w:ascii="宋体" w:hAnsi="宋体" w:eastAsia="宋体"/>
          <w:color w:val="000000"/>
          <w:szCs w:val="21"/>
        </w:rPr>
        <w:t>服务”系指根据合同规定，乙方应提供的与货物有关的技术、管理和</w:t>
      </w:r>
      <w:r>
        <w:rPr>
          <w:rFonts w:ascii="宋体" w:hAnsi="宋体" w:eastAsia="宋体"/>
          <w:color w:val="000000"/>
          <w:szCs w:val="21"/>
          <w:lang w:val="en"/>
        </w:rPr>
        <w:t>其他</w:t>
      </w:r>
      <w:r>
        <w:rPr>
          <w:rFonts w:hint="eastAsia" w:ascii="宋体" w:hAnsi="宋体" w:eastAsia="宋体"/>
          <w:color w:val="000000"/>
          <w:szCs w:val="21"/>
        </w:rPr>
        <w:t>服务，包括但不限于：管理和质量保证、运输、保险、检验、现场准备、安装、集成、调试、培训、维修、废弃处置、技术支持等以及合同中规定乙方应承担的</w:t>
      </w:r>
      <w:r>
        <w:rPr>
          <w:rFonts w:ascii="宋体" w:hAnsi="宋体" w:eastAsia="宋体"/>
          <w:color w:val="000000"/>
          <w:szCs w:val="21"/>
          <w:lang w:val="en"/>
        </w:rPr>
        <w:t>其他</w:t>
      </w:r>
      <w:r>
        <w:rPr>
          <w:rFonts w:hint="eastAsia" w:ascii="宋体" w:hAnsi="宋体" w:eastAsia="宋体"/>
          <w:color w:val="000000"/>
          <w:szCs w:val="21"/>
        </w:rPr>
        <w:t>义务。</w:t>
      </w:r>
    </w:p>
    <w:p>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w:t>
      </w:r>
      <w:r>
        <w:rPr>
          <w:rFonts w:hint="eastAsia" w:ascii="宋体" w:hAnsi="宋体" w:eastAsia="宋体"/>
          <w:szCs w:val="21"/>
        </w:rPr>
        <w:t>“联合体”系指由两个以上的自然人、法人或者非法人组织组成，以一个供应商的身份共同参加政府采购的主体</w:t>
      </w:r>
      <w:r>
        <w:rPr>
          <w:rFonts w:hint="eastAsia" w:ascii="宋体" w:hAnsi="宋体" w:eastAsia="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（7）其他术语解释，见【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pPr>
        <w:numPr>
          <w:ilvl w:val="0"/>
          <w:numId w:val="9"/>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color w:val="000000"/>
          <w:sz w:val="24"/>
        </w:rPr>
        <w:t>合同标的及金额</w:t>
      </w:r>
    </w:p>
    <w:p>
      <w:pPr>
        <w:autoSpaceDE w:val="0"/>
        <w:autoSpaceDN w:val="0"/>
        <w:adjustRightInd w:val="0"/>
        <w:snapToGrid w:val="0"/>
        <w:spacing w:line="400" w:lineRule="exact"/>
        <w:ind w:firstLine="420" w:firstLineChars="200"/>
        <w:jc w:val="left"/>
        <w:rPr>
          <w:rFonts w:hint="eastAsia" w:ascii="宋体" w:hAnsi="宋体" w:eastAsia="宋体"/>
          <w:b/>
          <w:bCs/>
          <w:i/>
          <w:iCs/>
          <w:color w:val="000000"/>
          <w:szCs w:val="21"/>
        </w:rPr>
      </w:pPr>
      <w:r>
        <w:rPr>
          <w:rFonts w:hint="eastAsia" w:ascii="宋体" w:hAnsi="宋体" w:eastAsia="宋体"/>
          <w:color w:val="000000"/>
          <w:szCs w:val="21"/>
        </w:rPr>
        <w:t>2.1 合同标的及金额应与中标（成交）结果一致。乙方为履行本合同而发生的所有费用均应包含在合同价款中，甲方不再另行支付</w:t>
      </w:r>
      <w:r>
        <w:rPr>
          <w:rFonts w:ascii="宋体" w:hAnsi="宋体" w:eastAsia="宋体"/>
          <w:color w:val="000000"/>
          <w:szCs w:val="21"/>
          <w:lang w:val="en"/>
        </w:rPr>
        <w:t>其他</w:t>
      </w:r>
      <w:r>
        <w:rPr>
          <w:rFonts w:hint="eastAsia" w:ascii="宋体" w:hAnsi="宋体" w:eastAsia="宋体"/>
          <w:color w:val="000000"/>
          <w:szCs w:val="21"/>
        </w:rPr>
        <w:t>任何费用。</w:t>
      </w:r>
    </w:p>
    <w:p>
      <w:pPr>
        <w:adjustRightInd w:val="0"/>
        <w:snapToGrid w:val="0"/>
        <w:spacing w:line="400" w:lineRule="exact"/>
        <w:jc w:val="left"/>
        <w:rPr>
          <w:rFonts w:hint="eastAsia" w:ascii="宋体" w:hAnsi="宋体" w:eastAsia="宋体"/>
          <w:b/>
          <w:color w:val="000000"/>
          <w:sz w:val="24"/>
        </w:rPr>
      </w:pPr>
      <w:r>
        <w:rPr>
          <w:rFonts w:hint="eastAsia" w:ascii="宋体" w:hAnsi="宋体" w:eastAsia="宋体"/>
          <w:b/>
          <w:color w:val="000000"/>
          <w:sz w:val="24"/>
        </w:rPr>
        <w:t>3. 履行合同的时间、地点和方式</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3.1 </w:t>
      </w:r>
      <w:r>
        <w:rPr>
          <w:rFonts w:hint="eastAsia" w:ascii="宋体" w:hAnsi="宋体" w:eastAsia="宋体" w:cs="宋体"/>
          <w:szCs w:val="21"/>
        </w:rPr>
        <w:t>乙方应当在约定的时间、地点，按照约定方式履行合同。</w:t>
      </w:r>
    </w:p>
    <w:p>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4. 甲方的权利和义务</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4.1</w:t>
      </w:r>
      <w:r>
        <w:rPr>
          <w:rFonts w:ascii="宋体" w:hAnsi="宋体" w:eastAsia="宋体"/>
          <w:color w:val="000000"/>
          <w:szCs w:val="21"/>
        </w:rPr>
        <w:t xml:space="preserve"> 签署合同后，甲方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r>
        <w:rPr>
          <w:rFonts w:hint="eastAsia" w:ascii="宋体" w:hAnsi="宋体" w:eastAsia="宋体"/>
          <w:color w:val="000000"/>
          <w:szCs w:val="21"/>
        </w:rPr>
        <w:t>甲方有权对乙方的履约行为进行检查，并</w:t>
      </w:r>
      <w:r>
        <w:rPr>
          <w:rFonts w:ascii="宋体" w:hAnsi="宋体" w:eastAsia="宋体"/>
          <w:color w:val="000000"/>
          <w:szCs w:val="21"/>
        </w:rPr>
        <w:t>及时确认乙方提交的事项</w:t>
      </w:r>
      <w:r>
        <w:rPr>
          <w:rFonts w:hint="eastAsia" w:ascii="宋体" w:hAnsi="宋体" w:eastAsia="宋体"/>
          <w:color w:val="000000"/>
          <w:szCs w:val="21"/>
        </w:rPr>
        <w:t>。甲方应当</w:t>
      </w:r>
      <w:r>
        <w:rPr>
          <w:rFonts w:ascii="宋体" w:hAnsi="宋体" w:eastAsia="宋体"/>
          <w:color w:val="000000"/>
          <w:szCs w:val="21"/>
        </w:rPr>
        <w:t>配合乙方完成</w:t>
      </w:r>
      <w:r>
        <w:rPr>
          <w:rFonts w:hint="eastAsia" w:ascii="宋体" w:hAnsi="宋体" w:eastAsia="宋体"/>
          <w:color w:val="000000"/>
          <w:szCs w:val="21"/>
        </w:rPr>
        <w:t>相关项目</w:t>
      </w:r>
      <w:r>
        <w:rPr>
          <w:rFonts w:ascii="宋体" w:hAnsi="宋体" w:eastAsia="宋体"/>
          <w:color w:val="000000"/>
          <w:szCs w:val="21"/>
        </w:rPr>
        <w:t>实施工作。</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4.2 </w:t>
      </w:r>
      <w:r>
        <w:rPr>
          <w:rFonts w:ascii="宋体" w:hAnsi="宋体" w:eastAsia="宋体"/>
          <w:color w:val="000000"/>
          <w:szCs w:val="21"/>
        </w:rPr>
        <w:t>甲方有权要求乙方按时提交各阶段有关</w:t>
      </w:r>
      <w:r>
        <w:rPr>
          <w:rFonts w:hint="eastAsia" w:ascii="宋体" w:hAnsi="宋体" w:eastAsia="宋体"/>
          <w:color w:val="000000"/>
          <w:szCs w:val="21"/>
        </w:rPr>
        <w:t>安排计划</w:t>
      </w:r>
      <w:r>
        <w:rPr>
          <w:rFonts w:ascii="宋体" w:hAnsi="宋体" w:eastAsia="宋体"/>
          <w:color w:val="000000"/>
          <w:szCs w:val="21"/>
        </w:rPr>
        <w:t>，并有权</w:t>
      </w:r>
      <w:r>
        <w:rPr>
          <w:rFonts w:hint="eastAsia" w:ascii="宋体" w:hAnsi="宋体" w:eastAsia="宋体"/>
          <w:color w:val="000000"/>
          <w:szCs w:val="21"/>
        </w:rPr>
        <w:t>定期核对乙方提供货物数量、规格、质量等内容。甲方</w:t>
      </w:r>
      <w:r>
        <w:rPr>
          <w:rFonts w:ascii="宋体" w:hAnsi="宋体" w:eastAsia="宋体"/>
          <w:color w:val="000000"/>
          <w:szCs w:val="21"/>
        </w:rPr>
        <w:t>有权督促乙方工作并要求乙方</w:t>
      </w:r>
      <w:r>
        <w:rPr>
          <w:rFonts w:hint="eastAsia" w:ascii="宋体" w:hAnsi="宋体" w:eastAsia="宋体"/>
          <w:color w:val="000000"/>
          <w:szCs w:val="21"/>
        </w:rPr>
        <w:t>更</w:t>
      </w:r>
      <w:r>
        <w:rPr>
          <w:rFonts w:ascii="宋体" w:hAnsi="宋体" w:eastAsia="宋体"/>
          <w:color w:val="000000"/>
          <w:szCs w:val="21"/>
        </w:rPr>
        <w:t>换不符合要求的</w:t>
      </w:r>
      <w:r>
        <w:rPr>
          <w:rFonts w:hint="eastAsia" w:ascii="宋体" w:hAnsi="宋体" w:eastAsia="宋体"/>
          <w:color w:val="000000"/>
          <w:szCs w:val="21"/>
        </w:rPr>
        <w:t>货物</w:t>
      </w:r>
      <w:r>
        <w:rPr>
          <w:rFonts w:ascii="宋体" w:hAnsi="宋体" w:eastAsia="宋体"/>
          <w:color w:val="000000"/>
          <w:szCs w:val="21"/>
        </w:rPr>
        <w:t>。</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w:t>
      </w:r>
      <w:r>
        <w:rPr>
          <w:rFonts w:ascii="宋体" w:hAnsi="宋体" w:eastAsia="宋体"/>
          <w:color w:val="000000"/>
          <w:szCs w:val="21"/>
        </w:rPr>
        <w:t>3</w:t>
      </w:r>
      <w:r>
        <w:rPr>
          <w:rFonts w:hint="eastAsia" w:ascii="宋体" w:hAnsi="宋体" w:eastAsia="宋体"/>
          <w:color w:val="000000"/>
          <w:szCs w:val="21"/>
        </w:rPr>
        <w:t xml:space="preserve"> </w:t>
      </w:r>
      <w:r>
        <w:rPr>
          <w:rFonts w:ascii="宋体" w:hAnsi="宋体" w:eastAsia="宋体"/>
          <w:color w:val="000000"/>
          <w:szCs w:val="21"/>
        </w:rPr>
        <w:t>甲方</w:t>
      </w:r>
      <w:r>
        <w:rPr>
          <w:rFonts w:hint="eastAsia" w:ascii="宋体" w:hAnsi="宋体" w:eastAsia="宋体"/>
          <w:color w:val="000000"/>
          <w:szCs w:val="21"/>
        </w:rPr>
        <w:t>有权要求乙方对缺陷部分予以修复，并按合同约定享有货物保修及其他合同约定的权利。</w:t>
      </w:r>
    </w:p>
    <w:p>
      <w:pPr>
        <w:snapToGrid w:val="0"/>
        <w:spacing w:line="400" w:lineRule="exact"/>
        <w:ind w:firstLine="420" w:firstLineChars="200"/>
        <w:rPr>
          <w:rFonts w:eastAsia="华文楷体"/>
        </w:rPr>
      </w:pPr>
      <w:r>
        <w:rPr>
          <w:rFonts w:ascii="宋体" w:hAnsi="宋体" w:eastAsia="宋体"/>
          <w:color w:val="000000"/>
          <w:szCs w:val="21"/>
        </w:rPr>
        <w:t>4.4 甲方应当按照合同约定及时对交付的货物进行验收</w:t>
      </w:r>
      <w:r>
        <w:rPr>
          <w:rFonts w:hint="eastAsia" w:ascii="宋体" w:hAnsi="宋体" w:eastAsia="宋体"/>
          <w:color w:val="000000"/>
          <w:szCs w:val="21"/>
        </w:rPr>
        <w:t>，</w:t>
      </w:r>
      <w:r>
        <w:rPr>
          <w:rFonts w:hint="eastAsia" w:ascii="宋体" w:hAnsi="宋体" w:eastAsia="宋体" w:cs="宋体"/>
          <w:szCs w:val="21"/>
        </w:rPr>
        <w:t>未</w:t>
      </w:r>
      <w:r>
        <w:rPr>
          <w:rFonts w:hint="eastAsia" w:ascii="宋体" w:hAnsi="宋体" w:eastAsia="宋体"/>
          <w:color w:val="000000"/>
          <w:szCs w:val="21"/>
        </w:rPr>
        <w:t>在</w:t>
      </w:r>
      <w:r>
        <w:rPr>
          <w:rFonts w:hint="eastAsia" w:ascii="宋体" w:hAnsi="宋体" w:eastAsia="宋体" w:cs="宋体"/>
          <w:b/>
          <w:bCs/>
          <w:szCs w:val="21"/>
        </w:rPr>
        <w:t>【政府采购合同专用条款】</w:t>
      </w:r>
      <w:r>
        <w:rPr>
          <w:rFonts w:hint="eastAsia" w:ascii="宋体" w:hAnsi="宋体" w:eastAsia="宋体" w:cs="宋体"/>
          <w:szCs w:val="21"/>
        </w:rPr>
        <w:t>约定的期限内对乙方履约提出任何异议或者向乙方作出任何说明的，</w:t>
      </w:r>
      <w:r>
        <w:rPr>
          <w:rFonts w:hint="eastAsia" w:ascii="宋体" w:hAnsi="宋体" w:eastAsia="宋体"/>
          <w:color w:val="000000"/>
          <w:szCs w:val="21"/>
        </w:rPr>
        <w:t>视为验收通过。</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ascii="宋体" w:hAnsi="宋体" w:eastAsia="宋体"/>
          <w:color w:val="000000"/>
          <w:szCs w:val="21"/>
        </w:rPr>
        <w:t>4</w:t>
      </w:r>
      <w:r>
        <w:rPr>
          <w:rFonts w:hint="eastAsia" w:ascii="宋体" w:hAnsi="宋体" w:eastAsia="宋体"/>
          <w:color w:val="000000"/>
          <w:szCs w:val="21"/>
        </w:rPr>
        <w:t>.</w:t>
      </w:r>
      <w:r>
        <w:rPr>
          <w:rFonts w:ascii="宋体" w:hAnsi="宋体" w:eastAsia="宋体"/>
          <w:color w:val="000000"/>
          <w:szCs w:val="21"/>
        </w:rPr>
        <w:t xml:space="preserve">5 </w:t>
      </w:r>
      <w:r>
        <w:rPr>
          <w:rFonts w:hint="eastAsia" w:ascii="宋体" w:hAnsi="宋体" w:eastAsia="宋体"/>
          <w:color w:val="000000"/>
          <w:szCs w:val="21"/>
        </w:rPr>
        <w:t>甲方应当根据合同约定及时向乙方支付合同价款</w:t>
      </w:r>
      <w:r>
        <w:rPr>
          <w:rFonts w:ascii="宋体" w:hAnsi="宋体" w:eastAsia="宋体"/>
          <w:color w:val="000000"/>
          <w:szCs w:val="21"/>
        </w:rPr>
        <w:t>，不得以内部人员变更、履行内部付款流程等为由，拒绝或迟延支付。</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4.6</w:t>
      </w:r>
      <w:r>
        <w:rPr>
          <w:rFonts w:ascii="宋体" w:hAnsi="宋体" w:eastAsia="宋体"/>
          <w:color w:val="000000"/>
          <w:szCs w:val="21"/>
        </w:rPr>
        <w:t xml:space="preserve"> </w:t>
      </w:r>
      <w:r>
        <w:rPr>
          <w:rFonts w:hint="eastAsia" w:ascii="宋体" w:hAnsi="宋体" w:eastAsia="宋体"/>
          <w:color w:val="000000"/>
          <w:szCs w:val="21"/>
        </w:rPr>
        <w:t>国家法律法规规定及</w:t>
      </w:r>
      <w:r>
        <w:rPr>
          <w:rFonts w:hint="eastAsia" w:ascii="宋体" w:hAnsi="宋体" w:eastAsia="宋体" w:cs="宋体"/>
          <w:b/>
          <w:bCs/>
          <w:szCs w:val="21"/>
        </w:rPr>
        <w:t>【政府采购合同专用条款】</w:t>
      </w:r>
      <w:r>
        <w:rPr>
          <w:rFonts w:hint="eastAsia" w:ascii="宋体" w:hAnsi="宋体" w:eastAsia="宋体"/>
          <w:color w:val="000000"/>
          <w:szCs w:val="21"/>
        </w:rPr>
        <w:t>约定应由甲方承担的其他义务和责任。</w:t>
      </w:r>
    </w:p>
    <w:p>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5. 乙方的权利和义务</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5.1 </w:t>
      </w:r>
      <w:r>
        <w:rPr>
          <w:rFonts w:ascii="宋体" w:hAnsi="宋体" w:eastAsia="宋体"/>
          <w:color w:val="000000"/>
          <w:szCs w:val="21"/>
        </w:rPr>
        <w:t>签署合同后，乙方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5.</w:t>
      </w:r>
      <w:r>
        <w:rPr>
          <w:rFonts w:ascii="宋体" w:hAnsi="宋体" w:eastAsia="宋体"/>
          <w:color w:val="000000"/>
          <w:szCs w:val="21"/>
        </w:rPr>
        <w:t>2 乙方应按照合同要求</w:t>
      </w:r>
      <w:r>
        <w:rPr>
          <w:rFonts w:hint="eastAsia" w:ascii="宋体" w:hAnsi="宋体" w:eastAsia="宋体"/>
          <w:color w:val="000000"/>
          <w:szCs w:val="21"/>
        </w:rPr>
        <w:t>履约</w:t>
      </w:r>
      <w:r>
        <w:rPr>
          <w:rFonts w:ascii="宋体" w:hAnsi="宋体" w:eastAsia="宋体"/>
          <w:color w:val="000000"/>
          <w:szCs w:val="21"/>
        </w:rPr>
        <w:t>，充分合理安排，确保</w:t>
      </w:r>
      <w:r>
        <w:rPr>
          <w:rFonts w:hint="eastAsia" w:ascii="宋体" w:hAnsi="宋体" w:eastAsia="宋体"/>
          <w:color w:val="000000"/>
          <w:szCs w:val="21"/>
        </w:rPr>
        <w:t>提供的货物及相关服务符合合同有关</w:t>
      </w:r>
      <w:r>
        <w:rPr>
          <w:rFonts w:ascii="宋体" w:hAnsi="宋体" w:eastAsia="宋体"/>
          <w:color w:val="000000"/>
          <w:szCs w:val="21"/>
        </w:rPr>
        <w:t>要求</w:t>
      </w:r>
      <w:r>
        <w:rPr>
          <w:rFonts w:hint="eastAsia" w:ascii="宋体" w:hAnsi="宋体" w:eastAsia="宋体"/>
          <w:color w:val="000000"/>
          <w:szCs w:val="21"/>
        </w:rPr>
        <w:t>。接受项目行业管理部门及政府有关部门的指导，配合甲方的履约检查及验收，并</w:t>
      </w:r>
      <w:r>
        <w:rPr>
          <w:rFonts w:ascii="宋体" w:hAnsi="宋体" w:eastAsia="宋体"/>
          <w:color w:val="000000"/>
          <w:szCs w:val="21"/>
        </w:rPr>
        <w:t>负责项目实施过程中的所有协调工作。</w:t>
      </w:r>
    </w:p>
    <w:p>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3</w:t>
      </w:r>
      <w:r>
        <w:rPr>
          <w:rFonts w:hint="eastAsia" w:ascii="宋体" w:hAnsi="宋体" w:eastAsia="宋体" w:cs="Times New Roman"/>
          <w:color w:val="000000"/>
          <w:szCs w:val="21"/>
        </w:rPr>
        <w:t>乙方有权</w:t>
      </w:r>
      <w:r>
        <w:rPr>
          <w:rFonts w:hint="eastAsia" w:ascii="宋体" w:hAnsi="宋体" w:eastAsia="宋体" w:cs="宋体"/>
          <w:color w:val="000000"/>
          <w:szCs w:val="21"/>
        </w:rPr>
        <w:t>根据合同约定向甲方收取合同价款。</w:t>
      </w:r>
    </w:p>
    <w:p>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4</w:t>
      </w:r>
      <w:r>
        <w:rPr>
          <w:rFonts w:hint="eastAsia" w:ascii="宋体" w:hAnsi="宋体" w:eastAsia="宋体" w:cs="宋体"/>
          <w:color w:val="000000"/>
          <w:szCs w:val="21"/>
        </w:rPr>
        <w:t>国家法律法规规定</w:t>
      </w:r>
      <w:r>
        <w:rPr>
          <w:rFonts w:hint="eastAsia" w:ascii="宋体" w:hAnsi="宋体" w:eastAsia="宋体" w:cs="Times New Roman"/>
          <w:color w:val="000000"/>
          <w:szCs w:val="21"/>
        </w:rPr>
        <w:t>及</w:t>
      </w:r>
      <w:r>
        <w:rPr>
          <w:rFonts w:hint="eastAsia" w:ascii="宋体" w:hAnsi="宋体" w:eastAsia="宋体" w:cs="宋体"/>
          <w:b/>
          <w:bCs/>
          <w:szCs w:val="21"/>
        </w:rPr>
        <w:t>【政府采购合同专用条款】</w:t>
      </w:r>
      <w:r>
        <w:rPr>
          <w:rFonts w:hint="eastAsia" w:ascii="宋体" w:hAnsi="宋体" w:eastAsia="宋体" w:cs="宋体"/>
          <w:szCs w:val="21"/>
        </w:rPr>
        <w:t>约定应</w:t>
      </w:r>
      <w:r>
        <w:rPr>
          <w:rFonts w:hint="eastAsia" w:ascii="宋体" w:hAnsi="宋体" w:eastAsia="宋体" w:cs="宋体"/>
          <w:color w:val="000000"/>
          <w:szCs w:val="21"/>
        </w:rPr>
        <w:t>由乙方承担的其他义务和责任。</w:t>
      </w:r>
    </w:p>
    <w:p>
      <w:pPr>
        <w:numPr>
          <w:ilvl w:val="0"/>
          <w:numId w:val="10"/>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合同履行</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6.1 甲乙双方应当按照</w:t>
      </w:r>
      <w:r>
        <w:rPr>
          <w:rFonts w:hint="eastAsia" w:ascii="宋体" w:hAnsi="宋体" w:eastAsia="宋体" w:cs="宋体"/>
          <w:b/>
          <w:bCs/>
          <w:szCs w:val="21"/>
        </w:rPr>
        <w:t>【政府采购合同专用条款】</w:t>
      </w:r>
      <w:r>
        <w:rPr>
          <w:rFonts w:hint="eastAsia" w:ascii="宋体" w:hAnsi="宋体" w:eastAsia="宋体"/>
          <w:color w:val="000000"/>
          <w:szCs w:val="21"/>
        </w:rPr>
        <w:t>约定顺序履行合同义务；如果没有先后顺序的，应当同时履行。</w:t>
      </w:r>
    </w:p>
    <w:p>
      <w:pPr>
        <w:autoSpaceDE w:val="0"/>
        <w:autoSpaceDN w:val="0"/>
        <w:adjustRightInd w:val="0"/>
        <w:snapToGrid w:val="0"/>
        <w:spacing w:line="400" w:lineRule="exact"/>
        <w:ind w:firstLine="420" w:firstLineChars="200"/>
        <w:jc w:val="left"/>
        <w:rPr>
          <w:rFonts w:eastAsia="宋体"/>
        </w:rPr>
      </w:pPr>
      <w:r>
        <w:rPr>
          <w:rFonts w:hint="eastAsia" w:ascii="宋体" w:hAnsi="宋体" w:eastAsia="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7. 货物包装、运输、保险和交付要求</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7.1 本合同</w:t>
      </w:r>
      <w:r>
        <w:rPr>
          <w:rFonts w:hint="eastAsia" w:ascii="宋体" w:hAnsi="宋体" w:eastAsia="宋体"/>
          <w:bCs/>
          <w:color w:val="000000"/>
          <w:szCs w:val="21"/>
        </w:rPr>
        <w:t>涉及商品包装、快递包装的，</w:t>
      </w:r>
      <w:r>
        <w:rPr>
          <w:rFonts w:hint="eastAsia" w:ascii="宋体" w:hAnsi="宋体" w:eastAsia="宋体"/>
          <w:color w:val="000000"/>
          <w:szCs w:val="21"/>
        </w:rPr>
        <w:t>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包装应适应远距离运输、防潮、防震、防锈和防野蛮装卸等要求，确保货物安全无损地运抵</w:t>
      </w:r>
      <w:r>
        <w:rPr>
          <w:rFonts w:hint="eastAsia" w:ascii="宋体" w:hAnsi="宋体" w:eastAsia="宋体"/>
          <w:b/>
          <w:color w:val="000000"/>
          <w:szCs w:val="21"/>
        </w:rPr>
        <w:t>【政府采购合同专用条款】</w:t>
      </w:r>
      <w:r>
        <w:rPr>
          <w:rFonts w:hint="eastAsia" w:ascii="宋体" w:hAnsi="宋体" w:eastAsia="宋体"/>
          <w:bCs/>
          <w:color w:val="000000"/>
          <w:szCs w:val="21"/>
        </w:rPr>
        <w:t>约定的</w:t>
      </w:r>
      <w:r>
        <w:rPr>
          <w:rFonts w:hint="eastAsia" w:ascii="宋体" w:hAnsi="宋体" w:eastAsia="宋体"/>
          <w:color w:val="000000"/>
          <w:szCs w:val="21"/>
        </w:rPr>
        <w:t>指定现场。</w:t>
      </w:r>
    </w:p>
    <w:p>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7.2 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乙方负责办理将货物运抵本合同规定的交货地点，并装卸、交付至甲方的一切运输事项，相关费用应包含在合同价款中。</w:t>
      </w:r>
    </w:p>
    <w:p>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7.3 货物保险要求按</w:t>
      </w:r>
      <w:r>
        <w:rPr>
          <w:rFonts w:hint="eastAsia" w:ascii="宋体" w:hAnsi="宋体" w:eastAsia="宋体"/>
          <w:b/>
          <w:color w:val="000000"/>
          <w:szCs w:val="21"/>
        </w:rPr>
        <w:t>【政府采购合同专用条款】</w:t>
      </w:r>
      <w:r>
        <w:rPr>
          <w:rFonts w:hint="eastAsia" w:ascii="宋体" w:hAnsi="宋体" w:eastAsia="宋体"/>
          <w:bCs/>
          <w:color w:val="000000"/>
          <w:szCs w:val="21"/>
        </w:rPr>
        <w:t>规定执行</w:t>
      </w:r>
      <w:r>
        <w:rPr>
          <w:rFonts w:hint="eastAsia" w:ascii="宋体" w:hAnsi="宋体" w:eastAsia="宋体"/>
          <w:color w:val="000000"/>
          <w:szCs w:val="21"/>
        </w:rPr>
        <w:t>。</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7.5 </w:t>
      </w:r>
      <w:r>
        <w:rPr>
          <w:rFonts w:hint="eastAsia" w:ascii="宋体" w:hAnsi="宋体" w:eastAsia="宋体" w:cs="宋体"/>
          <w:color w:val="000000"/>
          <w:szCs w:val="21"/>
        </w:rPr>
        <w:t>乙方在运输到达之前应提前通知甲方，并提示货物运输装卸的注意事项，甲方配合乙方做好货物的接收工作。</w:t>
      </w:r>
    </w:p>
    <w:p>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Times New Roman"/>
          <w:color w:val="000000"/>
          <w:szCs w:val="21"/>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hint="eastAsia" w:ascii="宋体" w:hAnsi="宋体" w:eastAsia="宋体"/>
          <w:b/>
          <w:sz w:val="24"/>
        </w:rPr>
      </w:pPr>
      <w:r>
        <w:rPr>
          <w:rFonts w:hint="eastAsia" w:ascii="宋体" w:hAnsi="宋体" w:eastAsia="宋体"/>
          <w:b/>
          <w:color w:val="000000"/>
          <w:sz w:val="24"/>
        </w:rPr>
        <w:t xml:space="preserve">8. </w:t>
      </w:r>
      <w:r>
        <w:rPr>
          <w:rFonts w:hint="eastAsia" w:ascii="宋体" w:hAnsi="宋体" w:eastAsia="宋体"/>
          <w:b/>
          <w:sz w:val="24"/>
        </w:rPr>
        <w:t>质量标准和保证</w:t>
      </w:r>
    </w:p>
    <w:p>
      <w:pPr>
        <w:adjustRightInd w:val="0"/>
        <w:snapToGrid w:val="0"/>
        <w:spacing w:line="400" w:lineRule="exact"/>
        <w:ind w:firstLine="420" w:firstLineChars="200"/>
        <w:jc w:val="left"/>
        <w:rPr>
          <w:rFonts w:hint="eastAsia" w:ascii="宋体" w:hAnsi="宋体" w:eastAsia="宋体" w:cs="Courier New"/>
          <w:b/>
          <w:szCs w:val="21"/>
        </w:rPr>
      </w:pPr>
      <w:r>
        <w:rPr>
          <w:rFonts w:hint="eastAsia" w:ascii="宋体" w:hAnsi="宋体" w:eastAsia="宋体" w:cs="Courier New"/>
          <w:szCs w:val="21"/>
        </w:rPr>
        <w:t>8.1 质量标准</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（1）本合同下提供的货物应符合合同</w:t>
      </w:r>
      <w:r>
        <w:rPr>
          <w:rFonts w:hint="eastAsia" w:ascii="宋体" w:hAnsi="宋体" w:eastAsia="宋体" w:cs="宋体"/>
          <w:color w:val="000000"/>
          <w:szCs w:val="21"/>
        </w:rPr>
        <w:t>约定的</w:t>
      </w:r>
      <w:r>
        <w:rPr>
          <w:rFonts w:hint="eastAsia" w:ascii="宋体" w:hAnsi="宋体" w:eastAsia="宋体" w:cs="宋体"/>
          <w:szCs w:val="21"/>
        </w:rPr>
        <w:t>品牌、规格型号、技术性能、配置、质量、数量等要求。</w:t>
      </w:r>
      <w:r>
        <w:rPr>
          <w:rFonts w:hint="eastAsia" w:ascii="宋体" w:hAnsi="宋体" w:eastAsia="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adjustRightInd w:val="0"/>
        <w:snapToGrid w:val="0"/>
        <w:spacing w:line="400" w:lineRule="exact"/>
        <w:ind w:firstLine="420" w:firstLineChars="200"/>
        <w:jc w:val="left"/>
        <w:rPr>
          <w:rFonts w:hint="eastAsia" w:ascii="宋体" w:hAnsi="宋体" w:eastAsia="宋体" w:cs="Courier New"/>
          <w:szCs w:val="21"/>
        </w:rPr>
      </w:pPr>
      <w:r>
        <w:rPr>
          <w:rFonts w:hint="eastAsia" w:ascii="宋体" w:hAnsi="宋体" w:eastAsia="宋体" w:cs="Courier New"/>
          <w:szCs w:val="21"/>
        </w:rPr>
        <w:t>（2）采用中华人民共和国法定计量单位。</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（3）乙方所提供的货物应符合国家有关安全、环保、卫生的规定。</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8.2 保证</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（1）乙方应保证提供的货物完全符合合同规定的质量、规格和性能要求。乙方应保证货物在正确安装、正常使用和保养条件下，</w:t>
      </w:r>
      <w:r>
        <w:rPr>
          <w:rFonts w:hint="eastAsia" w:ascii="宋体" w:hAnsi="宋体" w:eastAsia="宋体" w:cs="宋体"/>
          <w:szCs w:val="21"/>
        </w:rPr>
        <w:t>在其使用寿命期内具备合同约定的性能</w:t>
      </w:r>
      <w:r>
        <w:rPr>
          <w:rFonts w:hint="eastAsia" w:ascii="宋体" w:hAnsi="宋体" w:eastAsia="宋体"/>
          <w:szCs w:val="21"/>
        </w:rPr>
        <w:t>。存在质量保证期的，货物最终交付验收合格后在</w:t>
      </w:r>
      <w:r>
        <w:rPr>
          <w:rFonts w:hint="eastAsia" w:ascii="宋体" w:hAnsi="宋体" w:eastAsia="宋体"/>
          <w:b/>
          <w:szCs w:val="21"/>
        </w:rPr>
        <w:t>【政府采购合同专用条款】</w:t>
      </w:r>
      <w:r>
        <w:rPr>
          <w:rFonts w:hint="eastAsia" w:ascii="宋体" w:hAnsi="宋体" w:eastAsia="宋体"/>
          <w:szCs w:val="21"/>
        </w:rPr>
        <w:t>规定或乙方书面承诺（两者以较长的为准）的质量保证期内，本保证保持有效。</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（2）在质量保证期内所发现的缺陷，甲方应尽快以书面形式通知乙方。</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（3）乙方收到通知后，应在</w:t>
      </w:r>
      <w:r>
        <w:rPr>
          <w:rFonts w:hint="eastAsia" w:ascii="宋体" w:hAnsi="宋体" w:eastAsia="宋体"/>
          <w:b/>
          <w:szCs w:val="21"/>
        </w:rPr>
        <w:t>【政府采购合同专用条款】</w:t>
      </w:r>
      <w:r>
        <w:rPr>
          <w:rFonts w:hint="eastAsia" w:ascii="宋体" w:hAnsi="宋体" w:eastAsia="宋体"/>
          <w:szCs w:val="21"/>
        </w:rPr>
        <w:t>规定的响应时间内以合理的速度免费维修或更换有缺陷的货物或部件。</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rPr>
        <w:t>5</w:t>
      </w:r>
      <w:r>
        <w:rPr>
          <w:rFonts w:hint="eastAsia" w:ascii="宋体" w:hAnsi="宋体" w:eastAsia="宋体"/>
          <w:szCs w:val="21"/>
        </w:rPr>
        <w:t>.1条规定以书面形式</w:t>
      </w:r>
      <w:r>
        <w:rPr>
          <w:rFonts w:hint="eastAsia" w:ascii="宋体" w:hAnsi="宋体" w:eastAsia="宋体"/>
          <w:color w:val="000000"/>
          <w:szCs w:val="21"/>
        </w:rPr>
        <w:t>追究</w:t>
      </w:r>
      <w:r>
        <w:rPr>
          <w:rFonts w:hint="eastAsia" w:ascii="宋体" w:hAnsi="宋体" w:eastAsia="宋体"/>
          <w:szCs w:val="21"/>
        </w:rPr>
        <w:t>乙方</w:t>
      </w:r>
      <w:r>
        <w:rPr>
          <w:rFonts w:hint="eastAsia" w:ascii="宋体" w:hAnsi="宋体" w:eastAsia="宋体"/>
          <w:color w:val="000000"/>
          <w:szCs w:val="21"/>
        </w:rPr>
        <w:t>的违约责任</w:t>
      </w:r>
      <w:r>
        <w:rPr>
          <w:rFonts w:hint="eastAsia" w:ascii="宋体" w:hAnsi="宋体" w:eastAsia="宋体"/>
          <w:szCs w:val="21"/>
        </w:rPr>
        <w:t>。</w:t>
      </w:r>
    </w:p>
    <w:p>
      <w:pPr>
        <w:adjustRightInd w:val="0"/>
        <w:snapToGrid w:val="0"/>
        <w:spacing w:line="400" w:lineRule="exact"/>
        <w:ind w:firstLine="420" w:firstLineChars="200"/>
        <w:jc w:val="left"/>
        <w:rPr>
          <w:rFonts w:eastAsia="宋体"/>
        </w:rPr>
      </w:pPr>
      <w:r>
        <w:rPr>
          <w:rFonts w:hint="eastAsia" w:ascii="宋体" w:hAnsi="宋体" w:eastAsia="宋体"/>
          <w:szCs w:val="21"/>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hint="eastAsia" w:ascii="宋体" w:hAnsi="宋体" w:eastAsia="宋体"/>
          <w:b/>
          <w:bCs/>
          <w:sz w:val="24"/>
        </w:rPr>
      </w:pPr>
      <w:r>
        <w:rPr>
          <w:rFonts w:hint="eastAsia" w:ascii="宋体" w:hAnsi="宋体" w:eastAsia="宋体"/>
          <w:b/>
          <w:bCs/>
          <w:color w:val="000000"/>
          <w:sz w:val="24"/>
        </w:rPr>
        <w:t>9</w:t>
      </w:r>
      <w:r>
        <w:rPr>
          <w:rFonts w:hint="eastAsia" w:ascii="宋体" w:hAnsi="宋体" w:eastAsia="宋体"/>
          <w:b/>
          <w:bCs/>
          <w:sz w:val="24"/>
        </w:rPr>
        <w:t>.</w:t>
      </w:r>
      <w:r>
        <w:rPr>
          <w:rFonts w:hint="eastAsia" w:ascii="宋体" w:hAnsi="宋体" w:eastAsia="宋体"/>
          <w:b/>
          <w:bCs/>
          <w:color w:val="000000"/>
          <w:sz w:val="24"/>
        </w:rPr>
        <w:t xml:space="preserve"> </w:t>
      </w:r>
      <w:r>
        <w:rPr>
          <w:rFonts w:hint="eastAsia" w:ascii="宋体" w:hAnsi="宋体" w:eastAsia="宋体"/>
          <w:b/>
          <w:bCs/>
          <w:sz w:val="24"/>
        </w:rPr>
        <w:t>权利瑕疵担保</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9.1 乙方保证对其出售的货物享有合法的权利。</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9.2 </w:t>
      </w:r>
      <w:r>
        <w:rPr>
          <w:rFonts w:hint="eastAsia" w:ascii="宋体" w:hAnsi="宋体" w:eastAsia="宋体" w:cs="宋体"/>
          <w:szCs w:val="15"/>
        </w:rPr>
        <w:t>乙方保证在交付的货物上不存在抵押权等担保物权。</w:t>
      </w:r>
    </w:p>
    <w:p>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9.3 如甲方使用上述货物构成对第三人侵权的，则由乙方承担全部责任。</w:t>
      </w:r>
    </w:p>
    <w:p>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10. 知识产权保护</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color w:val="000000"/>
          <w:szCs w:val="21"/>
        </w:rPr>
        <w:t>10.1 乙方对其所销售的货物应当享有知识产权或经权利人合法授权，保证没有侵犯任</w:t>
      </w:r>
      <w:r>
        <w:rPr>
          <w:rFonts w:hint="eastAsia" w:ascii="宋体" w:hAnsi="宋体" w:eastAsia="宋体"/>
          <w:szCs w:val="21"/>
        </w:rPr>
        <w:t>何第三人的知识产权等权利。</w:t>
      </w:r>
      <w:bookmarkStart w:id="52"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52"/>
      <w:r>
        <w:rPr>
          <w:rFonts w:hint="eastAsia" w:ascii="宋体" w:hAnsi="宋体" w:eastAsia="宋体"/>
          <w:szCs w:val="21"/>
        </w:rPr>
        <w:t>。</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11. 保密义务</w:t>
      </w:r>
    </w:p>
    <w:p>
      <w:pPr>
        <w:autoSpaceDE w:val="0"/>
        <w:autoSpaceDN w:val="0"/>
        <w:adjustRightInd w:val="0"/>
        <w:snapToGrid w:val="0"/>
        <w:spacing w:line="400" w:lineRule="exact"/>
        <w:ind w:firstLine="420" w:firstLineChars="200"/>
        <w:jc w:val="left"/>
        <w:rPr>
          <w:rFonts w:hint="eastAsia" w:ascii="宋体" w:hAnsi="宋体" w:eastAsia="宋体" w:cs="宋体"/>
          <w:szCs w:val="15"/>
        </w:rPr>
      </w:pPr>
      <w:r>
        <w:rPr>
          <w:rFonts w:hint="eastAsia" w:ascii="宋体" w:hAnsi="宋体" w:eastAsia="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12. 合同价款支付</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12.1 合同价款支付按照国库集中支付制度及财政管理相关规定执行。</w:t>
      </w:r>
    </w:p>
    <w:p>
      <w:pPr>
        <w:keepNext/>
        <w:keepLines/>
        <w:spacing w:line="400" w:lineRule="exact"/>
        <w:ind w:firstLine="420" w:firstLineChars="200"/>
        <w:outlineLvl w:val="1"/>
        <w:rPr>
          <w:rFonts w:ascii="Arial" w:hAnsi="Arial" w:eastAsia="宋体" w:cs="Times New Roman"/>
          <w:b/>
          <w:bCs/>
          <w:sz w:val="24"/>
          <w:szCs w:val="32"/>
        </w:rPr>
      </w:pPr>
      <w:r>
        <w:rPr>
          <w:rFonts w:hint="eastAsia" w:ascii="宋体" w:hAnsi="宋体" w:eastAsia="宋体" w:cs="Times New Roman"/>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szCs w:val="21"/>
        </w:rPr>
        <w:t>政府采购合同专用条款</w:t>
      </w:r>
      <w:r>
        <w:rPr>
          <w:rFonts w:hint="eastAsia" w:ascii="宋体" w:hAnsi="宋体" w:eastAsia="宋体" w:cs="Times New Roman"/>
          <w:szCs w:val="21"/>
        </w:rPr>
        <w:t>】中约定。</w:t>
      </w:r>
    </w:p>
    <w:p>
      <w:pPr>
        <w:spacing w:line="400" w:lineRule="exact"/>
        <w:rPr>
          <w:rFonts w:hint="eastAsia" w:ascii="宋体" w:hAnsi="宋体" w:eastAsia="宋体" w:cs="Times New Roman"/>
          <w:b/>
          <w:bCs/>
          <w:sz w:val="24"/>
          <w:szCs w:val="24"/>
        </w:rPr>
      </w:pPr>
      <w:r>
        <w:rPr>
          <w:rFonts w:hint="eastAsia" w:ascii="宋体" w:hAnsi="宋体" w:eastAsia="宋体" w:cs="Times New Roman"/>
          <w:b/>
          <w:bCs/>
          <w:sz w:val="24"/>
          <w:szCs w:val="24"/>
        </w:rPr>
        <w:t>13. 履约保证金</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13.1 </w:t>
      </w:r>
      <w:r>
        <w:rPr>
          <w:rFonts w:hint="eastAsia" w:ascii="宋体" w:hAnsi="宋体" w:eastAsia="宋体" w:cs="宋体"/>
          <w:szCs w:val="15"/>
        </w:rPr>
        <w:t>乙方应当以支票、汇票、本票或者金融机构、担保机构出具的保函等非现金形式提交。</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13.2 如果乙方出现</w:t>
      </w:r>
      <w:r>
        <w:rPr>
          <w:rFonts w:hint="eastAsia" w:ascii="宋体" w:hAnsi="宋体" w:eastAsia="宋体" w:cs="宋体"/>
          <w:b/>
          <w:bCs/>
          <w:szCs w:val="15"/>
        </w:rPr>
        <w:t>【政府采购合同专用条款】</w:t>
      </w:r>
      <w:r>
        <w:rPr>
          <w:rFonts w:hint="eastAsia" w:ascii="宋体" w:hAnsi="宋体" w:eastAsia="宋体" w:cs="宋体"/>
          <w:szCs w:val="15"/>
        </w:rPr>
        <w:t>约定情形的</w:t>
      </w:r>
      <w:r>
        <w:rPr>
          <w:rFonts w:hint="eastAsia" w:ascii="宋体" w:hAnsi="宋体" w:eastAsia="宋体"/>
          <w:szCs w:val="21"/>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rPr>
          <w:rFonts w:eastAsia="宋体"/>
        </w:rPr>
      </w:pPr>
      <w:r>
        <w:rPr>
          <w:rFonts w:hint="eastAsia" w:ascii="宋体" w:hAnsi="宋体" w:eastAsia="宋体"/>
          <w:szCs w:val="21"/>
        </w:rPr>
        <w:t>13.3 甲方在项目通过验收后按照</w:t>
      </w:r>
      <w:r>
        <w:rPr>
          <w:rFonts w:hint="eastAsia" w:ascii="宋体" w:hAnsi="宋体" w:eastAsia="宋体"/>
          <w:b/>
          <w:szCs w:val="21"/>
        </w:rPr>
        <w:t>【政府采购合同专用条款】</w:t>
      </w:r>
      <w:r>
        <w:rPr>
          <w:rFonts w:hint="eastAsia" w:ascii="宋体" w:hAnsi="宋体" w:eastAsia="宋体"/>
          <w:szCs w:val="21"/>
        </w:rPr>
        <w:t>规定的时间内将履约保证金退还乙方；逾期退还的，乙方可要求甲方支付违约金，违约金按照</w:t>
      </w:r>
      <w:r>
        <w:rPr>
          <w:rFonts w:hint="eastAsia" w:ascii="宋体" w:hAnsi="宋体" w:eastAsia="宋体"/>
          <w:b/>
          <w:szCs w:val="21"/>
        </w:rPr>
        <w:t>【政府采购合同专用条款】</w:t>
      </w:r>
      <w:r>
        <w:rPr>
          <w:rFonts w:hint="eastAsia" w:ascii="宋体" w:hAnsi="宋体" w:eastAsia="宋体"/>
          <w:szCs w:val="21"/>
        </w:rPr>
        <w:t>规定支付。</w:t>
      </w:r>
    </w:p>
    <w:p>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bCs/>
          <w:sz w:val="24"/>
        </w:rPr>
        <w:t xml:space="preserve">14. </w:t>
      </w:r>
      <w:r>
        <w:rPr>
          <w:rFonts w:hint="eastAsia" w:eastAsia="宋体"/>
          <w:b/>
          <w:sz w:val="24"/>
        </w:rPr>
        <w:t>售后</w:t>
      </w:r>
      <w:r>
        <w:rPr>
          <w:rFonts w:hint="eastAsia" w:ascii="宋体" w:hAnsi="宋体" w:eastAsia="宋体"/>
          <w:b/>
          <w:sz w:val="24"/>
        </w:rPr>
        <w:t>服务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14.1 除项目不涉及或采购活动中明确约定无须承担外，乙方还应提供下列服务：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（1）货物的现场移动、安装、调试、启动监督及技术支持；</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（2）提供货物组装和维修所需的专用工具和辅助材料；</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（3）在</w:t>
      </w:r>
      <w:r>
        <w:rPr>
          <w:rFonts w:hint="eastAsia" w:ascii="宋体" w:hAnsi="宋体" w:eastAsia="宋体" w:cs="宋体"/>
          <w:b/>
          <w:bCs/>
          <w:szCs w:val="15"/>
        </w:rPr>
        <w:t>【政府采购合同专用条款】</w:t>
      </w:r>
      <w:r>
        <w:rPr>
          <w:rFonts w:hint="eastAsia" w:ascii="宋体" w:hAnsi="宋体" w:eastAsia="宋体"/>
          <w:szCs w:val="21"/>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（4）在制造商所在地或指定现场就货物的安装、启动、运营、维护、废弃处置等对甲方操作人员进行培训</w:t>
      </w:r>
      <w:r>
        <w:rPr>
          <w:rFonts w:hint="eastAsia" w:ascii="宋体" w:hAnsi="宋体" w:eastAsia="宋体" w:cs="宋体"/>
          <w:szCs w:val="15"/>
        </w:rPr>
        <w:t>；</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（5）依照法律、行政法规的规定或者按照</w:t>
      </w:r>
      <w:r>
        <w:rPr>
          <w:rFonts w:hint="eastAsia" w:ascii="宋体" w:hAnsi="宋体" w:eastAsia="宋体" w:cs="宋体"/>
          <w:b/>
          <w:bCs/>
          <w:szCs w:val="21"/>
        </w:rPr>
        <w:t>【政府采购合同专用条款】</w:t>
      </w:r>
      <w:r>
        <w:rPr>
          <w:rFonts w:hint="eastAsia" w:ascii="宋体" w:hAnsi="宋体" w:eastAsia="宋体" w:cs="宋体"/>
          <w:szCs w:val="21"/>
        </w:rPr>
        <w:t>约定，货物在有效使用年限届满后应予回收的，乙方负有自行或者委托第三人对货物予以回收的义务；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（6）</w:t>
      </w:r>
      <w:r>
        <w:rPr>
          <w:rFonts w:hint="eastAsia" w:ascii="宋体" w:hAnsi="宋体" w:eastAsia="宋体"/>
          <w:b/>
          <w:szCs w:val="21"/>
        </w:rPr>
        <w:t>【政府采购合同专用条款】</w:t>
      </w:r>
      <w:r>
        <w:rPr>
          <w:rFonts w:hint="eastAsia" w:ascii="宋体" w:hAnsi="宋体" w:eastAsia="宋体"/>
          <w:szCs w:val="21"/>
        </w:rPr>
        <w:t>规定由乙方提供的其他服务。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14.2 乙方提供的售后服务的费用已包含在合同价款中，甲方不再另行支付。</w:t>
      </w:r>
    </w:p>
    <w:p>
      <w:p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15. 违约责任</w:t>
      </w:r>
    </w:p>
    <w:p>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15.1质量瑕疵的违约责任</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乙方提供的产品不符合合同约定的质量标准或存在产品质量缺陷，甲方有权要求乙方根据</w:t>
      </w:r>
      <w:r>
        <w:rPr>
          <w:rFonts w:hint="eastAsia" w:ascii="宋体" w:hAnsi="宋体" w:eastAsia="宋体"/>
          <w:b/>
          <w:szCs w:val="21"/>
        </w:rPr>
        <w:t>【政府采购合同专用条款】</w:t>
      </w:r>
      <w:r>
        <w:rPr>
          <w:rFonts w:hint="eastAsia" w:ascii="宋体" w:hAnsi="宋体" w:eastAsia="宋体"/>
          <w:bCs/>
          <w:szCs w:val="21"/>
        </w:rPr>
        <w:t>要求</w:t>
      </w:r>
      <w:r>
        <w:rPr>
          <w:rFonts w:hint="eastAsia" w:ascii="宋体" w:hAnsi="宋体" w:eastAsia="宋体"/>
          <w:szCs w:val="21"/>
        </w:rPr>
        <w:t>及时修理、重作、更换，并承担由此给甲方造成的损失。</w:t>
      </w:r>
    </w:p>
    <w:p>
      <w:pPr>
        <w:autoSpaceDE w:val="0"/>
        <w:autoSpaceDN w:val="0"/>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15.2 迟延交货的违约责任</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（2）如果乙方没有按照合同规定的时间交货和提供相关服务，甲方有权从货款中扣除误期赔偿费而不影响合同项下的其他补救方法，赔偿费按</w:t>
      </w:r>
      <w:r>
        <w:rPr>
          <w:rFonts w:hint="eastAsia" w:ascii="宋体" w:hAnsi="宋体" w:eastAsia="宋体"/>
          <w:b/>
          <w:szCs w:val="21"/>
        </w:rPr>
        <w:t>【政府采购合同专用条款】</w:t>
      </w:r>
      <w:r>
        <w:rPr>
          <w:rFonts w:hint="eastAsia" w:ascii="宋体" w:hAnsi="宋体" w:eastAsia="宋体"/>
          <w:szCs w:val="21"/>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15.3 迟延支付的违约责任</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甲方存在迟延支付乙方合同款项的，应当承担</w:t>
      </w:r>
      <w:r>
        <w:rPr>
          <w:rFonts w:hint="eastAsia" w:ascii="宋体" w:hAnsi="宋体" w:eastAsia="宋体"/>
          <w:b/>
          <w:bCs/>
          <w:szCs w:val="21"/>
        </w:rPr>
        <w:t>【政府采购合同专用条款】</w:t>
      </w:r>
      <w:r>
        <w:rPr>
          <w:rFonts w:hint="eastAsia" w:ascii="宋体" w:hAnsi="宋体" w:eastAsia="宋体"/>
          <w:szCs w:val="21"/>
        </w:rPr>
        <w:t>规定的逾期付款利息。</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bCs/>
          <w:szCs w:val="21"/>
        </w:rPr>
        <w:t>15.4其他违约责任根据项目实际需要按</w:t>
      </w:r>
      <w:r>
        <w:rPr>
          <w:rFonts w:hint="eastAsia" w:ascii="宋体" w:hAnsi="宋体" w:eastAsia="宋体"/>
          <w:b/>
          <w:bCs/>
          <w:szCs w:val="21"/>
        </w:rPr>
        <w:t>【政府采购合同专用条款】</w:t>
      </w:r>
      <w:r>
        <w:rPr>
          <w:rFonts w:hint="eastAsia" w:ascii="宋体" w:hAnsi="宋体" w:eastAsia="宋体"/>
          <w:szCs w:val="21"/>
        </w:rPr>
        <w:t>规定执行。</w:t>
      </w:r>
    </w:p>
    <w:p>
      <w:pPr>
        <w:numPr>
          <w:ilvl w:val="0"/>
          <w:numId w:val="11"/>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合同变更、中止与终止</w:t>
      </w:r>
    </w:p>
    <w:p>
      <w:pPr>
        <w:adjustRightInd w:val="0"/>
        <w:snapToGrid w:val="0"/>
        <w:spacing w:line="400" w:lineRule="exact"/>
        <w:jc w:val="left"/>
        <w:rPr>
          <w:rFonts w:hint="eastAsia" w:ascii="宋体" w:hAnsi="宋体" w:eastAsia="宋体"/>
          <w:szCs w:val="21"/>
        </w:rPr>
      </w:pPr>
      <w:r>
        <w:rPr>
          <w:rFonts w:hint="eastAsia" w:ascii="宋体" w:hAnsi="宋体" w:eastAsia="宋体"/>
          <w:szCs w:val="21"/>
        </w:rPr>
        <w:t xml:space="preserve">    16.1合同的变更</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政府采购合同履行中，在不改变合同其他条款的前提下，甲方可以在合同价款10%的范围内追加与合同标的相同的货物，并就此与乙方协商一致后签订补充协议。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16.2合同的中止</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rPr>
          <w:rFonts w:eastAsia="宋体"/>
        </w:rPr>
      </w:pPr>
      <w:r>
        <w:rPr>
          <w:rFonts w:hint="eastAsia" w:ascii="宋体" w:hAnsi="宋体" w:eastAsia="宋体"/>
          <w:szCs w:val="21"/>
        </w:rPr>
        <w:t>（4）甲方不得以行政区划调整、政府换届、机构或者职能调整以及相关责任人更替为由中止合同。</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16.3合同的终止</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（1）合同因有效期限届满而终止；</w:t>
      </w:r>
    </w:p>
    <w:p>
      <w:pPr>
        <w:snapToGrid w:val="0"/>
        <w:spacing w:line="400" w:lineRule="exact"/>
        <w:ind w:firstLine="420" w:firstLineChars="200"/>
        <w:rPr>
          <w:rFonts w:hint="eastAsia" w:ascii="宋体" w:hAnsi="宋体" w:eastAsia="宋体" w:cs="宋体"/>
          <w:szCs w:val="21"/>
        </w:rPr>
      </w:pPr>
      <w:r>
        <w:rPr>
          <w:rFonts w:hint="eastAsia" w:ascii="宋体" w:hAnsi="宋体" w:eastAsia="宋体"/>
          <w:szCs w:val="21"/>
        </w:rPr>
        <w:t>（2）乙方未按合同约定履行，构成根本性违约的，甲方有权终止合同，</w:t>
      </w:r>
      <w:r>
        <w:rPr>
          <w:rFonts w:hint="eastAsia" w:ascii="宋体" w:hAnsi="宋体" w:eastAsia="宋体" w:cs="宋体"/>
          <w:szCs w:val="21"/>
        </w:rPr>
        <w:t>并追究乙方的违约责任</w:t>
      </w:r>
      <w:r>
        <w:rPr>
          <w:rFonts w:hint="eastAsia" w:ascii="宋体" w:hAnsi="宋体" w:eastAsia="宋体"/>
          <w:szCs w:val="21"/>
        </w:rPr>
        <w:t>。</w:t>
      </w:r>
    </w:p>
    <w:p>
      <w:pPr>
        <w:autoSpaceDE w:val="0"/>
        <w:autoSpaceDN w:val="0"/>
        <w:adjustRightInd w:val="0"/>
        <w:spacing w:line="400" w:lineRule="exact"/>
        <w:ind w:firstLine="440" w:firstLineChars="200"/>
        <w:rPr>
          <w:rFonts w:hint="eastAsia"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eastAsia="宋体" w:cs="Times New Roman"/>
          <w:szCs w:val="21"/>
        </w:rPr>
        <w:t>涉及国家利益、社会公共利益的情形</w:t>
      </w:r>
    </w:p>
    <w:p>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17. 合同分包</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18. 不可抗力</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18.1 不可抗力是指合同双方不能预见、不能避免且不能克服的客观情况。</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19. 解决争议的方法</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19.2 选择仲裁的，应在</w:t>
      </w:r>
      <w:r>
        <w:rPr>
          <w:rFonts w:hint="eastAsia" w:ascii="宋体" w:hAnsi="宋体" w:eastAsia="宋体" w:cs="宋体"/>
          <w:b/>
          <w:bCs/>
          <w:szCs w:val="21"/>
        </w:rPr>
        <w:t>【政府采购合同专用条款】</w:t>
      </w:r>
      <w:r>
        <w:rPr>
          <w:rFonts w:hint="eastAsia" w:ascii="宋体" w:hAnsi="宋体" w:eastAsia="宋体" w:cs="宋体"/>
          <w:szCs w:val="21"/>
        </w:rPr>
        <w:t>中明确仲裁机构及仲裁地；通过诉讼方式解决的，可以在</w:t>
      </w:r>
      <w:r>
        <w:rPr>
          <w:rFonts w:hint="eastAsia" w:ascii="宋体" w:hAnsi="宋体" w:eastAsia="宋体" w:cs="宋体"/>
          <w:b/>
          <w:bCs/>
          <w:szCs w:val="21"/>
        </w:rPr>
        <w:t>【政府采购合同专用条款】</w:t>
      </w:r>
      <w:r>
        <w:rPr>
          <w:rFonts w:hint="eastAsia" w:ascii="宋体" w:hAnsi="宋体" w:eastAsia="宋体" w:cs="宋体"/>
          <w:szCs w:val="21"/>
        </w:rPr>
        <w:t>中进一步约定选择与争议有实际联系的地点的人民法院管辖，但管辖法院的约定不得违反级别管辖和专属管辖的规定。</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hint="eastAsia" w:ascii="宋体" w:hAnsi="宋体" w:eastAsia="宋体"/>
          <w:sz w:val="24"/>
        </w:rPr>
      </w:pPr>
      <w:r>
        <w:rPr>
          <w:rFonts w:hint="eastAsia" w:ascii="宋体" w:hAnsi="宋体" w:eastAsia="宋体"/>
          <w:b/>
          <w:sz w:val="24"/>
        </w:rPr>
        <w:t>20. 政府采购政策</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20.1 </w:t>
      </w:r>
      <w:r>
        <w:rPr>
          <w:rFonts w:hint="eastAsia" w:ascii="宋体" w:hAnsi="宋体" w:eastAsia="宋体" w:cs="宋体"/>
          <w:lang w:val="en-GB"/>
        </w:rPr>
        <w:t>本合同应当按照规定执行政府采购政策。</w:t>
      </w:r>
    </w:p>
    <w:p>
      <w:pPr>
        <w:autoSpaceDE w:val="0"/>
        <w:autoSpaceDN w:val="0"/>
        <w:adjustRightInd w:val="0"/>
        <w:snapToGrid w:val="0"/>
        <w:spacing w:line="400" w:lineRule="exact"/>
        <w:ind w:firstLine="420" w:firstLineChars="200"/>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0.2 本合同依法执行政府采购政策的方式和内容，属于合同履约验收的范围。</w:t>
      </w:r>
      <w:r>
        <w:rPr>
          <w:rFonts w:hint="eastAsia" w:ascii="宋体" w:hAnsi="宋体" w:eastAsia="宋体" w:cs="宋体"/>
        </w:rPr>
        <w:t>甲乙双方</w:t>
      </w:r>
      <w:r>
        <w:rPr>
          <w:rFonts w:hint="eastAsia" w:ascii="宋体" w:hAnsi="宋体" w:eastAsia="宋体" w:cs="宋体"/>
          <w:lang w:val="en-GB"/>
        </w:rPr>
        <w:t>未按规定要求执行政府采购政策造成损失的</w:t>
      </w:r>
      <w:r>
        <w:rPr>
          <w:rFonts w:hint="eastAsia" w:ascii="宋体" w:hAnsi="宋体" w:eastAsia="宋体"/>
          <w:szCs w:val="21"/>
        </w:rPr>
        <w:t>，有过错的一方应当承担赔偿责任，双方都有过错的，各自承担相应的责任。</w:t>
      </w:r>
    </w:p>
    <w:p>
      <w:pPr>
        <w:spacing w:line="400" w:lineRule="exact"/>
        <w:ind w:firstLine="420" w:firstLineChars="200"/>
        <w:rPr>
          <w:rFonts w:ascii="Calibri" w:hAnsi="Calibri" w:eastAsia="宋体" w:cs="Times New Roman"/>
        </w:rPr>
      </w:pPr>
      <w:r>
        <w:rPr>
          <w:rFonts w:ascii="宋体" w:hAnsi="宋体" w:eastAsia="宋体" w:cs="Times New Roman"/>
          <w:szCs w:val="21"/>
        </w:rPr>
        <w:t>2</w:t>
      </w:r>
      <w:r>
        <w:rPr>
          <w:rFonts w:hint="eastAsia" w:ascii="宋体" w:hAnsi="宋体" w:eastAsia="宋体" w:cs="Times New Roman"/>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21. 法律适用</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21.1 本合同的订立、生效、解释、履行及与本合同有关的争议解决，均适用法律、行政法规。</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22. 通知</w:t>
      </w:r>
    </w:p>
    <w:p>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22.1 本合同任何一方向对方发出的通知、信件、数据电文等，应当发送至本合同第一部分《政府采购合同协议书》所约定的通讯地址、联系人、联系电话或电子邮箱。</w:t>
      </w:r>
    </w:p>
    <w:p>
      <w:pPr>
        <w:autoSpaceDE w:val="0"/>
        <w:autoSpaceDN w:val="0"/>
        <w:adjustRightInd w:val="0"/>
        <w:spacing w:line="400" w:lineRule="exact"/>
        <w:rPr>
          <w:rFonts w:hint="eastAsia" w:ascii="华文楷体" w:hAnsi="华文楷体" w:eastAsia="华文楷体" w:cs="华文楷体"/>
          <w:szCs w:val="21"/>
        </w:rPr>
      </w:pPr>
      <w:r>
        <w:rPr>
          <w:rFonts w:hint="eastAsia" w:ascii="宋体" w:hAnsi="宋体" w:eastAsia="宋体" w:cs="宋体"/>
          <w:szCs w:val="21"/>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22.3本合同一方给另一方的通知均应采用书面形式，传真或快递送到本合同中规定的对方的地址和办理签收手续。</w:t>
      </w:r>
    </w:p>
    <w:p>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22.4通知以送达之日或通知书中规定的生效之日起生效，两者中以较迟之日为准。</w:t>
      </w:r>
    </w:p>
    <w:p>
      <w:pPr>
        <w:numPr>
          <w:ilvl w:val="0"/>
          <w:numId w:val="12"/>
        </w:num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合同未尽事项</w:t>
      </w:r>
    </w:p>
    <w:p>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23.1合同未尽事项见</w:t>
      </w:r>
      <w:r>
        <w:rPr>
          <w:rFonts w:hint="eastAsia" w:ascii="宋体" w:hAnsi="宋体" w:eastAsia="宋体"/>
          <w:b/>
          <w:szCs w:val="21"/>
        </w:rPr>
        <w:t>【政府采购合同专用条款】</w:t>
      </w:r>
      <w:r>
        <w:rPr>
          <w:rFonts w:hint="eastAsia" w:ascii="宋体" w:hAnsi="宋体" w:eastAsia="宋体"/>
          <w:bCs/>
          <w:szCs w:val="21"/>
        </w:rPr>
        <w:t>。</w:t>
      </w:r>
    </w:p>
    <w:p>
      <w:pPr>
        <w:adjustRightInd w:val="0"/>
        <w:snapToGrid w:val="0"/>
        <w:spacing w:line="400" w:lineRule="exact"/>
        <w:jc w:val="left"/>
        <w:rPr>
          <w:rFonts w:hint="eastAsia" w:ascii="黑体" w:hAnsi="华文中宋" w:eastAsia="黑体"/>
          <w:sz w:val="28"/>
          <w:szCs w:val="28"/>
        </w:rPr>
      </w:pPr>
      <w:r>
        <w:rPr>
          <w:rFonts w:hint="eastAsia" w:ascii="宋体" w:hAnsi="宋体" w:eastAsia="宋体"/>
          <w:bCs/>
          <w:szCs w:val="21"/>
        </w:rPr>
        <w:t xml:space="preserve">    23.2 合同附件与合同正文具有同等的法律效力。</w:t>
      </w:r>
      <w:bookmarkStart w:id="53" w:name="_Toc20313"/>
    </w:p>
    <w:p>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pPr>
        <w:keepNext/>
        <w:keepLines/>
        <w:adjustRightInd w:val="0"/>
        <w:snapToGrid w:val="0"/>
        <w:spacing w:line="360" w:lineRule="auto"/>
        <w:jc w:val="center"/>
        <w:outlineLvl w:val="1"/>
        <w:rPr>
          <w:rFonts w:hint="eastAsia" w:ascii="黑体" w:hAnsi="华文中宋" w:eastAsia="黑体" w:cs="Times New Roman"/>
          <w:sz w:val="28"/>
          <w:szCs w:val="28"/>
        </w:rPr>
      </w:pPr>
      <w:r>
        <w:rPr>
          <w:rFonts w:hint="eastAsia" w:ascii="黑体" w:hAnsi="华文中宋" w:eastAsia="黑体" w:cs="Times New Roman"/>
          <w:sz w:val="28"/>
          <w:szCs w:val="28"/>
        </w:rPr>
        <w:t>第三节 政府采购合同专用条款</w:t>
      </w:r>
      <w:bookmarkEnd w:id="53"/>
    </w:p>
    <w:tbl>
      <w:tblPr>
        <w:tblStyle w:val="18"/>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第1.2（6）项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联合体具体要求</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cs="Times New Roman"/>
                <w:szCs w:val="21"/>
              </w:rPr>
            </w:pPr>
            <w:r>
              <w:rPr>
                <w:rFonts w:hint="eastAsia" w:ascii="宋体" w:hAnsi="宋体" w:eastAsia="宋体"/>
                <w:szCs w:val="21"/>
              </w:rPr>
              <w:t>第1.2（7）项</w:t>
            </w:r>
          </w:p>
        </w:tc>
        <w:tc>
          <w:tcPr>
            <w:tcW w:w="1742" w:type="dxa"/>
            <w:vAlign w:val="center"/>
          </w:tcPr>
          <w:p>
            <w:pPr>
              <w:adjustRightInd w:val="0"/>
              <w:snapToGrid w:val="0"/>
              <w:jc w:val="left"/>
              <w:rPr>
                <w:rFonts w:hint="eastAsia" w:ascii="宋体" w:hAnsi="宋体" w:eastAsia="宋体" w:cs="Times New Roman"/>
                <w:szCs w:val="21"/>
              </w:rPr>
            </w:pPr>
            <w:r>
              <w:rPr>
                <w:rFonts w:hint="eastAsia" w:ascii="宋体" w:hAnsi="宋体" w:eastAsia="宋体"/>
                <w:szCs w:val="21"/>
              </w:rPr>
              <w:t>其他术语解释</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第4.4款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履约验收中甲方提出异议或作出说明的期限</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第4.6款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约定甲方承担的其他义务和责任</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snapToGrid w:val="0"/>
              <w:jc w:val="center"/>
              <w:rPr>
                <w:rFonts w:eastAsia="宋体"/>
              </w:rPr>
            </w:pPr>
            <w:r>
              <w:rPr>
                <w:rFonts w:hint="eastAsia" w:ascii="宋体" w:hAnsi="宋体" w:eastAsia="宋体"/>
                <w:szCs w:val="21"/>
              </w:rPr>
              <w:t>第5.4款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约定乙方承担的其他义务和责任</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snapToGrid w:val="0"/>
              <w:jc w:val="center"/>
              <w:rPr>
                <w:rFonts w:hint="eastAsia" w:ascii="宋体" w:hAnsi="宋体" w:eastAsia="宋体"/>
                <w:szCs w:val="21"/>
              </w:rPr>
            </w:pPr>
            <w:r>
              <w:rPr>
                <w:rFonts w:hint="eastAsia" w:ascii="宋体" w:hAnsi="宋体" w:eastAsia="宋体"/>
                <w:szCs w:val="21"/>
              </w:rPr>
              <w:t>第6.1款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履行合同义务的顺序</w:t>
            </w:r>
          </w:p>
        </w:tc>
        <w:tc>
          <w:tcPr>
            <w:tcW w:w="5170" w:type="dxa"/>
            <w:vAlign w:val="center"/>
          </w:tcPr>
          <w:p>
            <w:pPr>
              <w:adjustRightInd w:val="0"/>
              <w:snapToGrid w:val="0"/>
              <w:jc w:val="left"/>
              <w:rPr>
                <w:rFonts w:hint="eastAsia" w:ascii="宋体" w:hAnsi="宋体" w:eastAsia="宋体" w:cs="Times New Roman"/>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第7.1款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包装特殊要求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hint="eastAsia" w:ascii="宋体" w:hAnsi="宋体" w:eastAsia="宋体"/>
                <w:szCs w:val="21"/>
              </w:rPr>
            </w:pP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指定现场</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第7.2款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运输特殊要求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第7.3款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保险要求</w:t>
            </w:r>
          </w:p>
        </w:tc>
        <w:tc>
          <w:tcPr>
            <w:tcW w:w="5170" w:type="dxa"/>
            <w:vAlign w:val="center"/>
          </w:tcPr>
          <w:p>
            <w:pPr>
              <w:rPr>
                <w:rFonts w:eastAsia="宋体"/>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第8.2（1）项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质量保证期</w:t>
            </w:r>
          </w:p>
        </w:tc>
        <w:tc>
          <w:tcPr>
            <w:tcW w:w="5170" w:type="dxa"/>
            <w:vAlign w:val="center"/>
          </w:tcPr>
          <w:p>
            <w:pPr>
              <w:autoSpaceDE w:val="0"/>
              <w:autoSpaceDN w:val="0"/>
              <w:adjustRightInd w:val="0"/>
              <w:snapToGrid w:val="0"/>
              <w:ind w:firstLine="420" w:firstLineChars="20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第8.2（3）项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货物质量缺陷</w:t>
            </w:r>
          </w:p>
          <w:p>
            <w:pPr>
              <w:adjustRightInd w:val="0"/>
              <w:snapToGrid w:val="0"/>
              <w:jc w:val="left"/>
              <w:rPr>
                <w:rFonts w:hint="eastAsia" w:ascii="宋体" w:hAnsi="宋体" w:eastAsia="宋体"/>
                <w:szCs w:val="21"/>
              </w:rPr>
            </w:pPr>
            <w:r>
              <w:rPr>
                <w:rFonts w:hint="eastAsia" w:ascii="宋体" w:hAnsi="宋体" w:eastAsia="宋体"/>
                <w:szCs w:val="21"/>
              </w:rPr>
              <w:t>响应时间</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hint="eastAsia" w:ascii="宋体" w:hAnsi="宋体" w:eastAsia="宋体" w:cs="宋体"/>
                <w:szCs w:val="21"/>
              </w:rPr>
            </w:pPr>
            <w:r>
              <w:rPr>
                <w:rFonts w:hint="eastAsia" w:ascii="宋体" w:hAnsi="宋体" w:eastAsia="宋体" w:cs="宋体"/>
                <w:szCs w:val="21"/>
              </w:rPr>
              <w:t>第二节</w:t>
            </w:r>
          </w:p>
          <w:p>
            <w:pPr>
              <w:autoSpaceDE w:val="0"/>
              <w:autoSpaceDN w:val="0"/>
              <w:adjustRightInd w:val="0"/>
              <w:spacing w:line="400" w:lineRule="exact"/>
              <w:jc w:val="center"/>
              <w:rPr>
                <w:rFonts w:hint="eastAsia" w:ascii="华文楷体" w:hAnsi="华文楷体" w:eastAsia="华文楷体" w:cs="华文楷体"/>
                <w:sz w:val="22"/>
                <w:szCs w:val="21"/>
              </w:rPr>
            </w:pPr>
            <w:r>
              <w:rPr>
                <w:rFonts w:hint="eastAsia" w:ascii="宋体" w:hAnsi="宋体" w:eastAsia="宋体" w:cs="宋体"/>
                <w:sz w:val="22"/>
                <w:szCs w:val="21"/>
              </w:rPr>
              <w:t>第11.1款</w:t>
            </w:r>
          </w:p>
        </w:tc>
        <w:tc>
          <w:tcPr>
            <w:tcW w:w="1742" w:type="dxa"/>
            <w:vAlign w:val="center"/>
          </w:tcPr>
          <w:p>
            <w:pPr>
              <w:adjustRightInd w:val="0"/>
              <w:snapToGrid w:val="0"/>
              <w:rPr>
                <w:rFonts w:hint="eastAsia" w:ascii="宋体" w:hAnsi="宋体" w:eastAsia="宋体"/>
                <w:szCs w:val="21"/>
              </w:rPr>
            </w:pPr>
            <w:r>
              <w:rPr>
                <w:rFonts w:hint="eastAsia" w:ascii="宋体" w:hAnsi="宋体" w:eastAsia="宋体"/>
                <w:szCs w:val="21"/>
              </w:rPr>
              <w:t>其他应当保密的信息</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第12.2款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合同价款支付时间</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第13.2款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履约保证金不予退还的情形</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第13.3款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履约保证金退还时间及逾期退还的违约金</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第14.1（3）项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运行监督、维修期限</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第14.1（5）项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货物回收的约定</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第14.1（6）项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乙方提供的其他服务</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第15.1款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修理、重作、更换相关具体规定</w:t>
            </w:r>
          </w:p>
        </w:tc>
        <w:tc>
          <w:tcPr>
            <w:tcW w:w="5170" w:type="dxa"/>
            <w:vAlign w:val="center"/>
          </w:tcPr>
          <w:p>
            <w:pPr>
              <w:adjustRightInd w:val="0"/>
              <w:snapToGrid w:val="0"/>
              <w:jc w:val="left"/>
              <w:rPr>
                <w:rFonts w:hint="eastAsia" w:ascii="宋体" w:hAnsi="宋体" w:eastAsia="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第15.2（2）项</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迟延交货赔偿费</w:t>
            </w:r>
          </w:p>
        </w:tc>
        <w:tc>
          <w:tcPr>
            <w:tcW w:w="5170" w:type="dxa"/>
            <w:vAlign w:val="center"/>
          </w:tcPr>
          <w:p>
            <w:pPr>
              <w:adjustRightInd w:val="0"/>
              <w:snapToGrid w:val="0"/>
              <w:jc w:val="left"/>
              <w:rPr>
                <w:rFonts w:hint="eastAsia"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第15.3款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pPr>
              <w:adjustRightInd w:val="0"/>
              <w:snapToGrid w:val="0"/>
              <w:jc w:val="left"/>
              <w:rPr>
                <w:rFonts w:hint="eastAsia"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hint="eastAsia"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hint="eastAsia" w:ascii="宋体" w:hAnsi="宋体" w:eastAsia="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hint="eastAsia" w:ascii="宋体" w:hAnsi="宋体" w:eastAsia="宋体"/>
                <w:szCs w:val="21"/>
              </w:rPr>
            </w:pPr>
            <w:r>
              <w:rPr>
                <w:rFonts w:hint="eastAsia" w:ascii="宋体" w:hAnsi="宋体" w:eastAsia="宋体"/>
                <w:szCs w:val="21"/>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因本合同及合同有关事项发生的争议，按下列第</w:t>
            </w:r>
            <w:r>
              <w:rPr>
                <w:rFonts w:hint="eastAsia" w:ascii="宋体" w:hAnsi="宋体" w:eastAsia="宋体" w:cs="宋体"/>
                <w:iCs/>
                <w:szCs w:val="21"/>
                <w:u w:val="single"/>
              </w:rPr>
              <w:t xml:space="preserve">   </w:t>
            </w:r>
            <w:r>
              <w:rPr>
                <w:rFonts w:hint="eastAsia" w:ascii="宋体" w:hAnsi="宋体" w:eastAsia="宋体" w:cs="宋体"/>
                <w:iCs/>
                <w:szCs w:val="21"/>
              </w:rPr>
              <w:t>种方式解决：</w:t>
            </w:r>
          </w:p>
          <w:p>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（1）向</w:t>
            </w:r>
            <w:r>
              <w:rPr>
                <w:rFonts w:hint="eastAsia" w:ascii="宋体" w:hAnsi="宋体" w:eastAsia="宋体" w:cs="宋体"/>
                <w:iCs/>
                <w:szCs w:val="21"/>
                <w:u w:val="single"/>
              </w:rPr>
              <w:t xml:space="preserve">                    </w:t>
            </w:r>
            <w:r>
              <w:rPr>
                <w:rFonts w:hint="eastAsia" w:ascii="宋体" w:hAnsi="宋体" w:eastAsia="宋体" w:cs="宋体"/>
                <w:iCs/>
                <w:szCs w:val="21"/>
              </w:rPr>
              <w:t>仲裁委员会申请仲裁，仲裁地点为</w:t>
            </w:r>
            <w:r>
              <w:rPr>
                <w:rFonts w:hint="eastAsia" w:ascii="宋体" w:hAnsi="宋体" w:eastAsia="宋体" w:cs="宋体"/>
                <w:iCs/>
                <w:szCs w:val="21"/>
                <w:u w:val="single"/>
              </w:rPr>
              <w:t xml:space="preserve">           </w:t>
            </w:r>
            <w:r>
              <w:rPr>
                <w:rFonts w:hint="eastAsia" w:ascii="宋体" w:hAnsi="宋体" w:eastAsia="宋体" w:cs="宋体"/>
                <w:iCs/>
                <w:szCs w:val="21"/>
              </w:rPr>
              <w:t>；</w:t>
            </w:r>
          </w:p>
          <w:p>
            <w:pPr>
              <w:adjustRightInd w:val="0"/>
              <w:snapToGrid w:val="0"/>
              <w:jc w:val="left"/>
              <w:rPr>
                <w:rFonts w:hint="eastAsia" w:ascii="宋体" w:hAnsi="宋体" w:eastAsia="宋体"/>
                <w:szCs w:val="21"/>
                <w:u w:val="single"/>
              </w:rPr>
            </w:pPr>
            <w:r>
              <w:rPr>
                <w:rFonts w:hint="eastAsia" w:ascii="宋体" w:hAnsi="宋体" w:eastAsia="宋体" w:cs="宋体"/>
                <w:iCs/>
                <w:szCs w:val="21"/>
              </w:rPr>
              <w:t>（2）向</w:t>
            </w:r>
            <w:r>
              <w:rPr>
                <w:rFonts w:hint="eastAsia" w:ascii="宋体" w:hAnsi="宋体" w:eastAsia="宋体" w:cs="宋体"/>
                <w:iCs/>
                <w:szCs w:val="21"/>
                <w:u w:val="single"/>
              </w:rPr>
              <w:t xml:space="preserve">                    </w:t>
            </w:r>
            <w:r>
              <w:rPr>
                <w:rFonts w:hint="eastAsia" w:ascii="宋体" w:hAnsi="宋体" w:eastAsia="宋体" w:cs="宋体"/>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hint="eastAsia" w:ascii="宋体" w:hAnsi="宋体" w:eastAsia="宋体"/>
                <w:szCs w:val="21"/>
              </w:rPr>
            </w:pPr>
            <w:r>
              <w:rPr>
                <w:rFonts w:hint="eastAsia" w:ascii="宋体" w:hAnsi="宋体" w:eastAsia="宋体"/>
                <w:szCs w:val="21"/>
              </w:rPr>
              <w:t>第二节</w:t>
            </w:r>
          </w:p>
          <w:p>
            <w:pPr>
              <w:adjustRightInd w:val="0"/>
              <w:snapToGrid w:val="0"/>
              <w:jc w:val="center"/>
              <w:rPr>
                <w:rFonts w:hint="eastAsia" w:ascii="宋体" w:hAnsi="宋体" w:eastAsia="宋体"/>
                <w:szCs w:val="21"/>
              </w:rPr>
            </w:pPr>
            <w:r>
              <w:rPr>
                <w:rFonts w:hint="eastAsia" w:ascii="宋体" w:hAnsi="宋体" w:eastAsia="宋体"/>
                <w:szCs w:val="21"/>
              </w:rPr>
              <w:t>第23.1款</w:t>
            </w:r>
          </w:p>
        </w:tc>
        <w:tc>
          <w:tcPr>
            <w:tcW w:w="1742" w:type="dxa"/>
            <w:vAlign w:val="center"/>
          </w:tcPr>
          <w:p>
            <w:pPr>
              <w:adjustRightInd w:val="0"/>
              <w:snapToGrid w:val="0"/>
              <w:jc w:val="left"/>
              <w:rPr>
                <w:rFonts w:hint="eastAsia" w:ascii="宋体" w:hAnsi="宋体" w:eastAsia="宋体"/>
                <w:szCs w:val="21"/>
              </w:rPr>
            </w:pPr>
            <w:r>
              <w:rPr>
                <w:rFonts w:hint="eastAsia" w:ascii="宋体" w:hAnsi="宋体" w:eastAsia="宋体"/>
                <w:bCs/>
                <w:szCs w:val="21"/>
              </w:rPr>
              <w:t>其他专用条款</w:t>
            </w:r>
          </w:p>
        </w:tc>
        <w:tc>
          <w:tcPr>
            <w:tcW w:w="5170" w:type="dxa"/>
            <w:vAlign w:val="center"/>
          </w:tcPr>
          <w:p>
            <w:pPr>
              <w:adjustRightInd w:val="0"/>
              <w:snapToGrid w:val="0"/>
              <w:jc w:val="left"/>
              <w:rPr>
                <w:rFonts w:hint="eastAsia" w:ascii="宋体" w:hAnsi="宋体" w:eastAsia="宋体"/>
                <w:szCs w:val="21"/>
              </w:rPr>
            </w:pPr>
          </w:p>
        </w:tc>
      </w:tr>
    </w:tbl>
    <w:p>
      <w:pPr>
        <w:rPr>
          <w:rFonts w:eastAsia="宋体"/>
        </w:rPr>
      </w:pPr>
    </w:p>
    <w:p>
      <w:pPr>
        <w:widowControl/>
        <w:jc w:val="left"/>
        <w:rPr>
          <w:rFonts w:ascii="Arial" w:hAnsi="Arial" w:eastAsia="宋体" w:cs="Times New Roman"/>
          <w:color w:val="FF0000"/>
          <w:szCs w:val="24"/>
        </w:rPr>
      </w:pPr>
    </w:p>
    <w:p>
      <w:pPr>
        <w:widowControl/>
        <w:jc w:val="left"/>
        <w:rPr>
          <w:rFonts w:hint="eastAsia" w:ascii="宋体" w:hAnsi="宋体" w:eastAsia="黑体" w:cs="Times New Roman"/>
          <w:b/>
          <w:bCs/>
          <w:color w:val="0000FF"/>
          <w:kern w:val="44"/>
          <w:sz w:val="36"/>
          <w:szCs w:val="44"/>
        </w:rPr>
      </w:pPr>
      <w:r>
        <w:rPr>
          <w:rFonts w:ascii="宋体" w:hAnsi="宋体" w:eastAsia="黑体" w:cs="Times New Roman"/>
          <w:b/>
          <w:bCs/>
          <w:color w:val="0000FF"/>
          <w:kern w:val="44"/>
          <w:sz w:val="36"/>
          <w:szCs w:val="44"/>
        </w:rPr>
        <w:br w:type="page"/>
      </w:r>
    </w:p>
    <w:p>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pPr>
        <w:pStyle w:val="33"/>
        <w:keepNext/>
        <w:keepLines/>
        <w:numPr>
          <w:ilvl w:val="0"/>
          <w:numId w:val="13"/>
        </w:numPr>
        <w:tabs>
          <w:tab w:val="left" w:pos="720"/>
        </w:tabs>
        <w:adjustRightInd w:val="0"/>
        <w:spacing w:before="156" w:beforeLines="50" w:after="156" w:afterLines="50"/>
        <w:ind w:firstLineChars="0"/>
        <w:jc w:val="center"/>
        <w:textAlignment w:val="baseline"/>
        <w:outlineLvl w:val="1"/>
        <w:rPr>
          <w:rFonts w:asciiTheme="majorHAnsi" w:hAnsiTheme="majorHAnsi" w:eastAsiaTheme="majorEastAsia" w:cstheme="majorBidi"/>
          <w:b/>
          <w:bCs/>
          <w:sz w:val="28"/>
          <w:szCs w:val="28"/>
        </w:rPr>
      </w:pPr>
      <w:bookmarkStart w:id="54" w:name="_Hlk72399513"/>
      <w:r>
        <w:rPr>
          <w:rFonts w:hint="eastAsia" w:asciiTheme="majorHAnsi" w:hAnsiTheme="majorHAnsi" w:eastAsiaTheme="majorEastAsia" w:cstheme="majorBidi"/>
          <w:b/>
          <w:bCs/>
          <w:sz w:val="28"/>
          <w:szCs w:val="28"/>
        </w:rPr>
        <w:t>总则</w:t>
      </w:r>
    </w:p>
    <w:bookmarkEnd w:id="54"/>
    <w:p>
      <w:pPr>
        <w:rPr>
          <w:rFonts w:hint="eastAsia" w:ascii="黑体" w:hAnsi="宋体" w:eastAsia="黑体"/>
          <w:sz w:val="24"/>
        </w:rPr>
      </w:pPr>
      <w:bookmarkStart w:id="55" w:name="_Hlk72439706"/>
      <w:r>
        <w:rPr>
          <w:rFonts w:hint="eastAsia" w:ascii="黑体" w:hAnsi="宋体" w:eastAsia="黑体"/>
          <w:sz w:val="24"/>
        </w:rPr>
        <w:t>1. 通用条款说明</w:t>
      </w:r>
    </w:p>
    <w:p>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56" w:name="_Hlk72399729"/>
      <w:r>
        <w:rPr>
          <w:rFonts w:hint="eastAsia" w:ascii="宋体" w:hAnsi="宋体"/>
          <w:szCs w:val="21"/>
        </w:rPr>
        <w:t>如有需要，政府集中采购机构可以对通用条款的内容进行补充。</w:t>
      </w:r>
      <w:bookmarkEnd w:id="56"/>
    </w:p>
    <w:p>
      <w:pPr>
        <w:ind w:firstLine="411" w:firstLineChars="196"/>
        <w:rPr>
          <w:rFonts w:hint="eastAsia" w:ascii="宋体" w:hAnsi="宋体"/>
          <w:szCs w:val="21"/>
        </w:rPr>
      </w:pPr>
      <w:r>
        <w:rPr>
          <w:rFonts w:hint="eastAsia" w:ascii="宋体" w:hAnsi="宋体"/>
          <w:szCs w:val="21"/>
        </w:rPr>
        <w:t>1.2招标文件分为第一册“专用条款”和第二册“通用条款”。</w:t>
      </w:r>
    </w:p>
    <w:p>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本项目参照《深圳经济特区政府采购条例》、《深圳经济特区政府采购条例实施细则》及政府采购其他法律法规，通过公开招标方式确定中标供应商。</w:t>
      </w:r>
    </w:p>
    <w:p>
      <w:pPr>
        <w:rPr>
          <w:rFonts w:hint="eastAsia" w:ascii="黑体" w:hAnsi="宋体" w:eastAsia="黑体"/>
          <w:sz w:val="24"/>
        </w:rPr>
      </w:pPr>
      <w:r>
        <w:rPr>
          <w:rFonts w:hint="eastAsia" w:ascii="黑体" w:hAnsi="宋体" w:eastAsia="黑体"/>
          <w:sz w:val="24"/>
        </w:rPr>
        <w:t>3．定义</w:t>
      </w:r>
    </w:p>
    <w:p>
      <w:pPr>
        <w:ind w:firstLine="420" w:firstLineChars="200"/>
        <w:rPr>
          <w:rFonts w:hint="eastAsia" w:ascii="宋体" w:hAnsi="宋体"/>
          <w:szCs w:val="21"/>
        </w:rPr>
      </w:pPr>
      <w:r>
        <w:rPr>
          <w:rFonts w:ascii="宋体" w:hAnsi="宋体"/>
          <w:szCs w:val="21"/>
        </w:rPr>
        <w:t>招标文件中下列术语应解释为：</w:t>
      </w:r>
    </w:p>
    <w:p>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11" w:firstLineChars="196"/>
        <w:rPr>
          <w:rFonts w:hint="eastAsia" w:ascii="宋体" w:hAnsi="宋体"/>
          <w:szCs w:val="21"/>
        </w:rPr>
      </w:pPr>
      <w:r>
        <w:rPr>
          <w:rFonts w:hint="eastAsia" w:ascii="宋体" w:hAnsi="宋体"/>
          <w:szCs w:val="21"/>
        </w:rPr>
        <w:t>3.6“合同”指由本次招标所产生的合同或合约文件；</w:t>
      </w:r>
    </w:p>
    <w:p>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pPr>
        <w:rPr>
          <w:rFonts w:hint="eastAsia" w:ascii="黑体" w:hAnsi="宋体" w:eastAsia="黑体"/>
          <w:sz w:val="24"/>
        </w:rPr>
      </w:pPr>
      <w:r>
        <w:rPr>
          <w:rFonts w:hint="eastAsia" w:ascii="黑体" w:hAnsi="宋体" w:eastAsia="黑体"/>
          <w:sz w:val="24"/>
        </w:rPr>
        <w:t xml:space="preserve">4. </w:t>
      </w:r>
      <w:bookmarkStart w:id="57" w:name="_Hlk72398643"/>
      <w:r>
        <w:rPr>
          <w:rFonts w:hint="eastAsia" w:ascii="黑体" w:hAnsi="宋体" w:eastAsia="黑体"/>
          <w:sz w:val="24"/>
        </w:rPr>
        <w:t>政府采购供应商责任</w:t>
      </w:r>
    </w:p>
    <w:p>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rPr>
          <w:rFonts w:hint="eastAsia" w:ascii="黑体" w:hAnsi="宋体" w:eastAsia="黑体"/>
          <w:sz w:val="24"/>
        </w:rPr>
      </w:pPr>
      <w:r>
        <w:rPr>
          <w:rFonts w:hint="eastAsia" w:ascii="黑体" w:hAnsi="宋体" w:eastAsia="黑体"/>
          <w:sz w:val="24"/>
        </w:rPr>
        <w:t>5．投标人参加政府采购的条件</w:t>
      </w:r>
    </w:p>
    <w:p>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pPr>
        <w:ind w:firstLine="411" w:firstLineChars="196"/>
        <w:rPr>
          <w:rFonts w:hint="eastAsia" w:ascii="宋体" w:hAnsi="宋体"/>
          <w:szCs w:val="21"/>
        </w:rPr>
      </w:pPr>
      <w:r>
        <w:rPr>
          <w:rFonts w:hint="eastAsia" w:ascii="宋体" w:hAnsi="宋体"/>
          <w:szCs w:val="21"/>
        </w:rPr>
        <w:t>5.2投标人资格要求</w:t>
      </w:r>
    </w:p>
    <w:p>
      <w:pPr>
        <w:ind w:firstLine="411" w:firstLineChars="196"/>
        <w:rPr>
          <w:rFonts w:hint="eastAsia" w:ascii="宋体" w:hAnsi="宋体"/>
          <w:szCs w:val="21"/>
        </w:rPr>
      </w:pPr>
      <w:r>
        <w:rPr>
          <w:rFonts w:hint="eastAsia" w:ascii="宋体" w:hAnsi="宋体"/>
          <w:szCs w:val="21"/>
        </w:rPr>
        <w:t>参加本项目的投标人应具备的资格条件详见本项目招标公告中 “投标人资格要求”（即申请人的资格要求）的内容。</w:t>
      </w:r>
    </w:p>
    <w:p>
      <w:pPr>
        <w:ind w:firstLine="411" w:firstLineChars="196"/>
        <w:rPr>
          <w:rFonts w:hint="eastAsia" w:ascii="宋体" w:hAnsi="宋体"/>
          <w:szCs w:val="21"/>
        </w:rPr>
      </w:pPr>
      <w:r>
        <w:rPr>
          <w:rFonts w:hint="eastAsia" w:ascii="宋体" w:hAnsi="宋体"/>
          <w:szCs w:val="21"/>
        </w:rPr>
        <w:t>5.3联合体投标</w:t>
      </w:r>
    </w:p>
    <w:p>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pPr>
        <w:ind w:firstLine="411" w:firstLineChars="196"/>
        <w:rPr>
          <w:rFonts w:hint="eastAsia" w:ascii="宋体" w:hAnsi="宋体"/>
        </w:rPr>
      </w:pPr>
      <w:r>
        <w:rPr>
          <w:rFonts w:hint="eastAsia" w:ascii="宋体" w:hAnsi="宋体"/>
        </w:rPr>
        <w:t>（2）在投标截止前，投标联合体各方均应注册成政府集中采购机构供应商；</w:t>
      </w:r>
    </w:p>
    <w:p>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pPr>
        <w:rPr>
          <w:rFonts w:hint="eastAsia" w:ascii="黑体" w:hAnsi="宋体" w:eastAsia="黑体"/>
          <w:sz w:val="24"/>
        </w:rPr>
      </w:pPr>
      <w:r>
        <w:rPr>
          <w:rFonts w:hint="eastAsia" w:ascii="黑体" w:hAnsi="宋体" w:eastAsia="黑体"/>
          <w:sz w:val="24"/>
        </w:rPr>
        <w:t>6．政策导向</w:t>
      </w:r>
    </w:p>
    <w:p>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pPr>
        <w:ind w:firstLine="405"/>
        <w:rPr>
          <w:rFonts w:eastAsia="宋体"/>
        </w:rPr>
      </w:pPr>
      <w:r>
        <w:rPr>
          <w:rFonts w:hint="eastAsia" w:ascii="宋体" w:hAnsi="宋体"/>
        </w:rPr>
        <w:t>6.3  本项目支持投标人性别平等的相关政策。</w:t>
      </w:r>
    </w:p>
    <w:p>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58"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8"/>
    </w:p>
    <w:p>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pPr>
        <w:rPr>
          <w:rFonts w:hint="eastAsia" w:ascii="黑体" w:hAnsi="宋体" w:eastAsia="黑体"/>
          <w:sz w:val="24"/>
        </w:rPr>
      </w:pPr>
      <w:r>
        <w:rPr>
          <w:rFonts w:hint="eastAsia" w:ascii="黑体" w:hAnsi="宋体" w:eastAsia="黑体"/>
          <w:sz w:val="24"/>
        </w:rPr>
        <w:t>8．投标费用</w:t>
      </w:r>
    </w:p>
    <w:p>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pPr>
        <w:rPr>
          <w:rFonts w:hint="eastAsia" w:ascii="黑体" w:hAnsi="宋体" w:eastAsia="黑体"/>
          <w:sz w:val="24"/>
        </w:rPr>
      </w:pPr>
      <w:r>
        <w:rPr>
          <w:rFonts w:hint="eastAsia" w:ascii="黑体" w:hAnsi="宋体" w:eastAsia="黑体"/>
          <w:sz w:val="24"/>
        </w:rPr>
        <w:t>9．踏勘现场</w:t>
      </w:r>
    </w:p>
    <w:p>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7"/>
    <w:p>
      <w:pPr>
        <w:ind w:firstLine="411" w:firstLineChars="196"/>
        <w:rPr>
          <w:rFonts w:hint="eastAsia" w:ascii="宋体" w:hAnsi="宋体"/>
        </w:rPr>
      </w:pPr>
    </w:p>
    <w:p>
      <w:pPr>
        <w:pStyle w:val="5"/>
        <w:numPr>
          <w:ilvl w:val="0"/>
          <w:numId w:val="14"/>
        </w:numPr>
        <w:spacing w:before="156" w:beforeLines="50" w:after="156" w:afterLines="50"/>
        <w:ind w:left="562" w:hanging="562"/>
        <w:rPr>
          <w:sz w:val="28"/>
          <w:szCs w:val="28"/>
        </w:rPr>
      </w:pPr>
      <w:r>
        <w:rPr>
          <w:rFonts w:hint="eastAsia"/>
          <w:sz w:val="28"/>
          <w:szCs w:val="28"/>
        </w:rPr>
        <w:t>招标文件</w:t>
      </w:r>
    </w:p>
    <w:p>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59" w:name="_Hlk72399819"/>
      <w:r>
        <w:rPr>
          <w:rFonts w:hint="eastAsia" w:ascii="黑体" w:hAnsi="宋体" w:eastAsia="黑体"/>
          <w:sz w:val="24"/>
        </w:rPr>
        <w:t>招标文件的编制与组成</w:t>
      </w:r>
    </w:p>
    <w:p>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pPr>
        <w:ind w:firstLine="411" w:firstLineChars="196"/>
        <w:rPr>
          <w:rFonts w:hint="eastAsia" w:ascii="宋体" w:hAnsi="宋体"/>
          <w:szCs w:val="21"/>
        </w:rPr>
      </w:pPr>
      <w:r>
        <w:rPr>
          <w:rFonts w:hint="eastAsia" w:ascii="宋体" w:hAnsi="宋体"/>
          <w:szCs w:val="21"/>
        </w:rPr>
        <w:t>招标文件包括下列内容：</w:t>
      </w:r>
    </w:p>
    <w:p>
      <w:pPr>
        <w:ind w:left="420" w:leftChars="200" w:firstLine="413" w:firstLineChars="196"/>
        <w:rPr>
          <w:rFonts w:hint="eastAsia" w:ascii="宋体" w:hAnsi="宋体"/>
          <w:b/>
          <w:szCs w:val="21"/>
        </w:rPr>
      </w:pPr>
      <w:r>
        <w:rPr>
          <w:rFonts w:hint="eastAsia" w:ascii="宋体" w:hAnsi="宋体"/>
          <w:b/>
          <w:szCs w:val="21"/>
        </w:rPr>
        <w:t>第一册  专用条款</w:t>
      </w:r>
    </w:p>
    <w:p>
      <w:pPr>
        <w:ind w:left="1079" w:leftChars="514"/>
        <w:rPr>
          <w:rFonts w:hint="eastAsia" w:ascii="宋体" w:hAnsi="宋体"/>
          <w:b/>
          <w:szCs w:val="21"/>
        </w:rPr>
      </w:pPr>
      <w:r>
        <w:rPr>
          <w:rFonts w:hint="eastAsia" w:ascii="宋体" w:hAnsi="宋体"/>
          <w:b/>
          <w:szCs w:val="21"/>
        </w:rPr>
        <w:t>关键信息</w:t>
      </w:r>
    </w:p>
    <w:p>
      <w:pPr>
        <w:ind w:left="630" w:leftChars="300" w:firstLine="411" w:firstLineChars="196"/>
        <w:rPr>
          <w:rFonts w:hint="eastAsia" w:ascii="宋体" w:hAnsi="宋体"/>
          <w:szCs w:val="21"/>
        </w:rPr>
      </w:pPr>
      <w:r>
        <w:rPr>
          <w:rFonts w:hint="eastAsia" w:ascii="宋体" w:hAnsi="宋体"/>
          <w:szCs w:val="21"/>
        </w:rPr>
        <w:t>第一章  招标公告</w:t>
      </w:r>
    </w:p>
    <w:p>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pPr>
        <w:ind w:left="630" w:leftChars="300" w:firstLine="411" w:firstLineChars="196"/>
        <w:rPr>
          <w:rFonts w:hint="eastAsia" w:ascii="宋体" w:hAnsi="宋体"/>
          <w:szCs w:val="21"/>
        </w:rPr>
      </w:pPr>
      <w:r>
        <w:rPr>
          <w:rFonts w:hint="eastAsia" w:ascii="宋体" w:hAnsi="宋体"/>
          <w:szCs w:val="21"/>
        </w:rPr>
        <w:t>第三章  用户需求书</w:t>
      </w:r>
    </w:p>
    <w:p>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pPr>
        <w:ind w:left="630" w:leftChars="300" w:firstLine="411" w:firstLineChars="196"/>
        <w:rPr>
          <w:rFonts w:hint="eastAsia" w:ascii="宋体" w:hAnsi="宋体"/>
          <w:szCs w:val="21"/>
        </w:rPr>
      </w:pPr>
      <w:r>
        <w:rPr>
          <w:rFonts w:hint="eastAsia" w:ascii="宋体" w:hAnsi="宋体"/>
          <w:szCs w:val="21"/>
        </w:rPr>
        <w:t>第五章  合同条款及格式</w:t>
      </w:r>
    </w:p>
    <w:p>
      <w:pPr>
        <w:ind w:left="420" w:leftChars="200" w:firstLine="413" w:firstLineChars="196"/>
        <w:rPr>
          <w:rFonts w:hint="eastAsia" w:ascii="宋体" w:hAnsi="宋体"/>
          <w:b/>
          <w:szCs w:val="21"/>
        </w:rPr>
      </w:pPr>
      <w:r>
        <w:rPr>
          <w:rFonts w:hint="eastAsia" w:ascii="宋体" w:hAnsi="宋体"/>
          <w:b/>
          <w:szCs w:val="21"/>
        </w:rPr>
        <w:t>第二册  通用条款</w:t>
      </w:r>
    </w:p>
    <w:p>
      <w:pPr>
        <w:ind w:left="630" w:leftChars="300" w:firstLine="411" w:firstLineChars="196"/>
        <w:rPr>
          <w:rFonts w:hint="eastAsia" w:ascii="宋体" w:hAnsi="宋体"/>
          <w:szCs w:val="21"/>
        </w:rPr>
      </w:pPr>
      <w:r>
        <w:rPr>
          <w:rFonts w:hint="eastAsia" w:ascii="宋体" w:hAnsi="宋体"/>
          <w:szCs w:val="21"/>
        </w:rPr>
        <w:t>第一章  总则</w:t>
      </w:r>
    </w:p>
    <w:p>
      <w:pPr>
        <w:ind w:left="630" w:leftChars="300" w:firstLine="411" w:firstLineChars="196"/>
        <w:rPr>
          <w:rFonts w:hint="eastAsia" w:ascii="宋体" w:hAnsi="宋体"/>
          <w:szCs w:val="21"/>
        </w:rPr>
      </w:pPr>
      <w:r>
        <w:rPr>
          <w:rFonts w:hint="eastAsia" w:ascii="宋体" w:hAnsi="宋体"/>
          <w:szCs w:val="21"/>
        </w:rPr>
        <w:t>第二章  招标文件</w:t>
      </w:r>
    </w:p>
    <w:p>
      <w:pPr>
        <w:ind w:left="630" w:leftChars="300" w:firstLine="411" w:firstLineChars="196"/>
        <w:rPr>
          <w:rFonts w:hint="eastAsia" w:ascii="宋体" w:hAnsi="宋体"/>
          <w:szCs w:val="21"/>
        </w:rPr>
      </w:pPr>
      <w:r>
        <w:rPr>
          <w:rFonts w:hint="eastAsia" w:ascii="宋体" w:hAnsi="宋体"/>
          <w:szCs w:val="21"/>
        </w:rPr>
        <w:t>第三章  投标文件的编制</w:t>
      </w:r>
    </w:p>
    <w:p>
      <w:pPr>
        <w:ind w:left="630" w:leftChars="300" w:firstLine="411" w:firstLineChars="196"/>
        <w:rPr>
          <w:rFonts w:hint="eastAsia" w:ascii="宋体" w:hAnsi="宋体"/>
          <w:szCs w:val="21"/>
        </w:rPr>
      </w:pPr>
      <w:r>
        <w:rPr>
          <w:rFonts w:hint="eastAsia" w:ascii="宋体" w:hAnsi="宋体"/>
          <w:szCs w:val="21"/>
        </w:rPr>
        <w:t>第四章  投标文件的递交</w:t>
      </w:r>
    </w:p>
    <w:p>
      <w:pPr>
        <w:ind w:left="630" w:leftChars="300" w:firstLine="411" w:firstLineChars="196"/>
        <w:rPr>
          <w:rFonts w:hint="eastAsia" w:ascii="宋体" w:hAnsi="宋体"/>
          <w:szCs w:val="21"/>
        </w:rPr>
      </w:pPr>
      <w:r>
        <w:rPr>
          <w:rFonts w:hint="eastAsia" w:ascii="宋体" w:hAnsi="宋体"/>
          <w:szCs w:val="21"/>
        </w:rPr>
        <w:t>第五章  开标</w:t>
      </w:r>
    </w:p>
    <w:p>
      <w:pPr>
        <w:ind w:left="630" w:leftChars="300" w:firstLine="411" w:firstLineChars="196"/>
        <w:rPr>
          <w:rFonts w:hint="eastAsia" w:ascii="宋体" w:hAnsi="宋体"/>
          <w:szCs w:val="21"/>
        </w:rPr>
      </w:pPr>
      <w:r>
        <w:rPr>
          <w:rFonts w:hint="eastAsia" w:ascii="宋体" w:hAnsi="宋体"/>
          <w:szCs w:val="21"/>
        </w:rPr>
        <w:t>第六章  评审要求</w:t>
      </w:r>
    </w:p>
    <w:p>
      <w:pPr>
        <w:ind w:left="630" w:leftChars="300" w:firstLine="411" w:firstLineChars="196"/>
        <w:rPr>
          <w:rFonts w:hint="eastAsia" w:ascii="宋体" w:hAnsi="宋体"/>
          <w:szCs w:val="21"/>
        </w:rPr>
      </w:pPr>
      <w:r>
        <w:rPr>
          <w:rFonts w:hint="eastAsia" w:ascii="宋体" w:hAnsi="宋体"/>
          <w:szCs w:val="21"/>
        </w:rPr>
        <w:t>第七章  评审程序及评审方法</w:t>
      </w:r>
    </w:p>
    <w:p>
      <w:pPr>
        <w:ind w:left="630" w:leftChars="300" w:firstLine="411" w:firstLineChars="196"/>
        <w:rPr>
          <w:rFonts w:hint="eastAsia" w:ascii="宋体" w:hAnsi="宋体"/>
          <w:szCs w:val="21"/>
        </w:rPr>
      </w:pPr>
      <w:r>
        <w:rPr>
          <w:rFonts w:hint="eastAsia" w:ascii="宋体" w:hAnsi="宋体"/>
          <w:szCs w:val="21"/>
        </w:rPr>
        <w:t>第八章  定标及公示</w:t>
      </w:r>
    </w:p>
    <w:p>
      <w:pPr>
        <w:ind w:left="630" w:leftChars="300" w:firstLine="411" w:firstLineChars="196"/>
        <w:rPr>
          <w:rFonts w:hint="eastAsia" w:ascii="宋体" w:hAnsi="宋体"/>
          <w:szCs w:val="21"/>
        </w:rPr>
      </w:pPr>
      <w:r>
        <w:rPr>
          <w:rFonts w:hint="eastAsia" w:ascii="宋体" w:hAnsi="宋体"/>
          <w:szCs w:val="21"/>
        </w:rPr>
        <w:t>第九章  公开招标失败的后续处理</w:t>
      </w:r>
    </w:p>
    <w:p>
      <w:pPr>
        <w:ind w:left="630" w:leftChars="300" w:firstLine="411" w:firstLineChars="196"/>
        <w:rPr>
          <w:rFonts w:hint="eastAsia" w:ascii="宋体" w:hAnsi="宋体"/>
          <w:szCs w:val="21"/>
        </w:rPr>
      </w:pPr>
      <w:r>
        <w:rPr>
          <w:rFonts w:hint="eastAsia" w:ascii="宋体" w:hAnsi="宋体"/>
          <w:szCs w:val="21"/>
        </w:rPr>
        <w:t>第十章  合同的授予与备案</w:t>
      </w:r>
    </w:p>
    <w:p>
      <w:pPr>
        <w:ind w:left="630" w:leftChars="300" w:firstLine="411" w:firstLineChars="196"/>
        <w:rPr>
          <w:rFonts w:hint="eastAsia" w:ascii="宋体" w:hAnsi="宋体"/>
          <w:szCs w:val="21"/>
        </w:rPr>
      </w:pPr>
      <w:r>
        <w:rPr>
          <w:rFonts w:hint="eastAsia" w:ascii="宋体" w:hAnsi="宋体"/>
          <w:szCs w:val="21"/>
        </w:rPr>
        <w:t>第十一章  质疑处理</w:t>
      </w:r>
    </w:p>
    <w:p>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9"/>
    </w:p>
    <w:p>
      <w:pPr>
        <w:rPr>
          <w:rFonts w:hint="eastAsia" w:ascii="宋体" w:hAnsi="宋体"/>
          <w:szCs w:val="21"/>
        </w:rPr>
      </w:pPr>
    </w:p>
    <w:p>
      <w:pPr>
        <w:pStyle w:val="5"/>
        <w:numPr>
          <w:ilvl w:val="0"/>
          <w:numId w:val="14"/>
        </w:numPr>
        <w:spacing w:before="156" w:beforeLines="50" w:after="156" w:afterLines="50"/>
        <w:ind w:left="562" w:hanging="562"/>
        <w:rPr>
          <w:sz w:val="28"/>
          <w:szCs w:val="28"/>
        </w:rPr>
      </w:pPr>
      <w:r>
        <w:rPr>
          <w:rFonts w:hint="eastAsia"/>
          <w:sz w:val="28"/>
          <w:szCs w:val="28"/>
        </w:rPr>
        <w:t>投标文件的编制</w:t>
      </w:r>
    </w:p>
    <w:p>
      <w:pPr>
        <w:rPr>
          <w:rFonts w:hint="eastAsia" w:ascii="黑体" w:hAnsi="宋体" w:eastAsia="黑体"/>
          <w:sz w:val="24"/>
        </w:rPr>
      </w:pPr>
      <w:r>
        <w:rPr>
          <w:rFonts w:hint="eastAsia" w:ascii="黑体" w:hAnsi="宋体" w:eastAsia="黑体"/>
          <w:sz w:val="24"/>
        </w:rPr>
        <w:t>14．</w:t>
      </w:r>
      <w:bookmarkStart w:id="60" w:name="_Hlk72400236"/>
      <w:r>
        <w:rPr>
          <w:rFonts w:hint="eastAsia" w:ascii="黑体" w:hAnsi="宋体" w:eastAsia="黑体"/>
          <w:sz w:val="24"/>
        </w:rPr>
        <w:t>投标文件的语言及度量单位</w:t>
      </w:r>
    </w:p>
    <w:p>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60"/>
    <w:p>
      <w:pPr>
        <w:rPr>
          <w:rFonts w:hint="eastAsia" w:ascii="黑体" w:hAnsi="宋体" w:eastAsia="黑体"/>
          <w:sz w:val="24"/>
        </w:rPr>
      </w:pPr>
      <w:r>
        <w:rPr>
          <w:rFonts w:hint="eastAsia" w:ascii="黑体" w:hAnsi="宋体" w:eastAsia="黑体"/>
          <w:sz w:val="24"/>
        </w:rPr>
        <w:t>15．</w:t>
      </w:r>
      <w:bookmarkStart w:id="61" w:name="_Hlk72401567"/>
      <w:r>
        <w:rPr>
          <w:rFonts w:hint="eastAsia" w:ascii="黑体" w:hAnsi="宋体" w:eastAsia="黑体"/>
          <w:sz w:val="24"/>
        </w:rPr>
        <w:t>投标文件的组成</w:t>
      </w:r>
    </w:p>
    <w:p>
      <w:pPr>
        <w:ind w:firstLine="411" w:firstLineChars="196"/>
        <w:rPr>
          <w:rFonts w:hint="eastAsia" w:ascii="宋体" w:hAnsi="宋体"/>
          <w:szCs w:val="21"/>
        </w:rPr>
      </w:pPr>
      <w:r>
        <w:rPr>
          <w:rFonts w:hint="eastAsia" w:ascii="宋体" w:hAnsi="宋体"/>
          <w:szCs w:val="21"/>
        </w:rPr>
        <w:t>具体内容在招标文件专用条款中进行规定。</w:t>
      </w:r>
    </w:p>
    <w:p>
      <w:pPr>
        <w:rPr>
          <w:rFonts w:hint="eastAsia" w:ascii="黑体" w:hAnsi="宋体" w:eastAsia="黑体"/>
          <w:sz w:val="24"/>
        </w:rPr>
      </w:pPr>
      <w:r>
        <w:rPr>
          <w:rFonts w:ascii="黑体" w:hAnsi="宋体" w:eastAsia="黑体"/>
          <w:sz w:val="24"/>
        </w:rPr>
        <w:t>16．投标文件格式</w:t>
      </w:r>
    </w:p>
    <w:p>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pPr>
        <w:rPr>
          <w:rFonts w:hint="eastAsia" w:ascii="黑体" w:hAnsi="宋体" w:eastAsia="黑体"/>
          <w:sz w:val="24"/>
        </w:rPr>
      </w:pPr>
      <w:r>
        <w:rPr>
          <w:rFonts w:hint="eastAsia" w:ascii="黑体" w:hAnsi="宋体" w:eastAsia="黑体"/>
          <w:sz w:val="24"/>
        </w:rPr>
        <w:t>17．投标货币</w:t>
      </w:r>
    </w:p>
    <w:p>
      <w:pPr>
        <w:ind w:firstLine="411" w:firstLineChars="196"/>
        <w:rPr>
          <w:rFonts w:hint="eastAsia" w:ascii="宋体" w:hAnsi="宋体"/>
          <w:szCs w:val="21"/>
        </w:rPr>
      </w:pPr>
      <w:r>
        <w:rPr>
          <w:rFonts w:hint="eastAsia" w:ascii="宋体" w:hAnsi="宋体"/>
          <w:szCs w:val="21"/>
        </w:rPr>
        <w:t>本项目的投标报价应以人民币计。</w:t>
      </w:r>
    </w:p>
    <w:bookmarkEnd w:id="61"/>
    <w:p>
      <w:pPr>
        <w:rPr>
          <w:rFonts w:hint="eastAsia" w:ascii="黑体" w:hAnsi="宋体" w:eastAsia="黑体"/>
          <w:sz w:val="24"/>
        </w:rPr>
      </w:pPr>
      <w:r>
        <w:rPr>
          <w:rFonts w:hint="eastAsia" w:ascii="黑体" w:hAnsi="宋体" w:eastAsia="黑体"/>
          <w:sz w:val="24"/>
        </w:rPr>
        <w:t>18．</w:t>
      </w:r>
      <w:bookmarkStart w:id="62" w:name="_Hlk72401735"/>
      <w:r>
        <w:rPr>
          <w:rFonts w:hint="eastAsia" w:ascii="黑体" w:hAnsi="宋体" w:eastAsia="黑体"/>
          <w:sz w:val="24"/>
        </w:rPr>
        <w:t>证明投标文件投标技术方案的合格性和符合招标文件规定的文件要求</w:t>
      </w:r>
    </w:p>
    <w:p>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hint="eastAsia" w:ascii="宋体" w:hAnsi="宋体"/>
          <w:szCs w:val="21"/>
        </w:rPr>
      </w:pPr>
      <w:r>
        <w:rPr>
          <w:rFonts w:hint="eastAsia" w:ascii="宋体" w:hAnsi="宋体"/>
          <w:szCs w:val="21"/>
        </w:rPr>
        <w:t>18.2.1主要技术指标和性能的详细说明。</w:t>
      </w:r>
    </w:p>
    <w:p>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62"/>
    <w:p>
      <w:pPr>
        <w:rPr>
          <w:rFonts w:hint="eastAsia" w:ascii="黑体" w:hAnsi="宋体" w:eastAsia="黑体"/>
          <w:sz w:val="24"/>
        </w:rPr>
      </w:pPr>
      <w:r>
        <w:rPr>
          <w:rFonts w:hint="eastAsia" w:ascii="黑体" w:hAnsi="宋体" w:eastAsia="黑体"/>
          <w:sz w:val="24"/>
        </w:rPr>
        <w:t>19．</w:t>
      </w:r>
      <w:bookmarkStart w:id="63" w:name="_Hlk72402034"/>
      <w:r>
        <w:rPr>
          <w:rFonts w:hint="eastAsia" w:ascii="黑体" w:hAnsi="宋体" w:eastAsia="黑体"/>
          <w:sz w:val="24"/>
        </w:rPr>
        <w:t>投标文件其他证明文件的要求</w:t>
      </w:r>
    </w:p>
    <w:p>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64"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4"/>
    <w:p>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hint="eastAsia" w:ascii="黑体" w:hAnsi="宋体" w:eastAsia="黑体"/>
          <w:sz w:val="24"/>
        </w:rPr>
      </w:pPr>
      <w:r>
        <w:rPr>
          <w:rFonts w:hint="eastAsia" w:ascii="黑体" w:hAnsi="宋体" w:eastAsia="黑体"/>
          <w:sz w:val="24"/>
        </w:rPr>
        <w:t>20．投标有效期</w:t>
      </w:r>
    </w:p>
    <w:bookmarkEnd w:id="63"/>
    <w:p>
      <w:pPr>
        <w:ind w:firstLine="411" w:firstLineChars="196"/>
        <w:rPr>
          <w:rFonts w:hint="eastAsia" w:ascii="宋体" w:hAnsi="宋体"/>
          <w:szCs w:val="21"/>
        </w:rPr>
      </w:pPr>
      <w:bookmarkStart w:id="65"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5"/>
    <w:p>
      <w:pPr>
        <w:rPr>
          <w:rFonts w:hint="eastAsia" w:ascii="黑体" w:hAnsi="宋体" w:eastAsia="黑体"/>
          <w:sz w:val="24"/>
        </w:rPr>
      </w:pPr>
      <w:r>
        <w:rPr>
          <w:rFonts w:hint="eastAsia" w:ascii="黑体" w:hAnsi="宋体" w:eastAsia="黑体"/>
          <w:sz w:val="24"/>
        </w:rPr>
        <w:t>21．</w:t>
      </w:r>
      <w:bookmarkStart w:id="66" w:name="_Hlk72402325"/>
      <w:r>
        <w:rPr>
          <w:rFonts w:hint="eastAsia" w:ascii="黑体" w:hAnsi="宋体" w:eastAsia="黑体"/>
          <w:sz w:val="24"/>
        </w:rPr>
        <w:t xml:space="preserve">关于投标保证金 </w:t>
      </w:r>
    </w:p>
    <w:p>
      <w:pPr>
        <w:rPr>
          <w:rFonts w:hint="eastAsia"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pPr>
        <w:rPr>
          <w:rFonts w:hint="eastAsia" w:ascii="黑体" w:hAnsi="宋体" w:eastAsia="黑体"/>
          <w:sz w:val="24"/>
        </w:rPr>
      </w:pPr>
      <w:r>
        <w:rPr>
          <w:rFonts w:hint="eastAsia" w:ascii="黑体" w:hAnsi="宋体" w:eastAsia="黑体"/>
          <w:sz w:val="24"/>
        </w:rPr>
        <w:t>22．投标人的替代方案</w:t>
      </w:r>
    </w:p>
    <w:p>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6"/>
    <w:p>
      <w:pPr>
        <w:rPr>
          <w:rFonts w:hint="eastAsia" w:ascii="黑体" w:hAnsi="宋体" w:eastAsia="黑体"/>
          <w:sz w:val="24"/>
        </w:rPr>
      </w:pPr>
      <w:r>
        <w:rPr>
          <w:rFonts w:hint="eastAsia" w:ascii="黑体" w:hAnsi="宋体" w:eastAsia="黑体"/>
          <w:sz w:val="24"/>
        </w:rPr>
        <w:t>23．</w:t>
      </w:r>
      <w:bookmarkStart w:id="67"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pPr>
        <w:ind w:firstLine="411" w:firstLineChars="196"/>
        <w:rPr>
          <w:rFonts w:hint="eastAsia" w:ascii="宋体" w:hAnsi="宋体"/>
        </w:rPr>
      </w:pPr>
      <w:r>
        <w:rPr>
          <w:rFonts w:hint="eastAsia" w:ascii="宋体" w:hAnsi="宋体"/>
        </w:rPr>
        <w:t>23.1投标人应准备所投项目的电子投标文件一份。</w:t>
      </w:r>
    </w:p>
    <w:p>
      <w:pPr>
        <w:ind w:firstLine="411" w:firstLineChars="196"/>
        <w:rPr>
          <w:rFonts w:hint="eastAsia" w:ascii="宋体" w:hAnsi="宋体"/>
        </w:rPr>
      </w:pPr>
      <w:r>
        <w:rPr>
          <w:rFonts w:hint="eastAsia" w:ascii="宋体" w:hAnsi="宋体"/>
        </w:rPr>
        <w:t>23.2投标人在使用《投标书编制软件》编制投标书时须注意：</w:t>
      </w:r>
    </w:p>
    <w:p>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pPr>
        <w:ind w:firstLine="411" w:firstLineChars="196"/>
        <w:rPr>
          <w:rFonts w:hint="eastAsia" w:ascii="宋体" w:hAnsi="宋体"/>
        </w:rPr>
      </w:pPr>
      <w:r>
        <w:rPr>
          <w:rFonts w:hint="eastAsia" w:ascii="宋体" w:hAnsi="宋体"/>
        </w:rPr>
        <w:t>23.3电报、电话、传真形式的投标概不接受。</w:t>
      </w:r>
    </w:p>
    <w:p>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67"/>
    </w:p>
    <w:p>
      <w:pPr>
        <w:ind w:firstLine="411" w:firstLineChars="196"/>
        <w:rPr>
          <w:rFonts w:hint="eastAsia" w:ascii="宋体" w:hAnsi="宋体"/>
          <w:szCs w:val="21"/>
        </w:rPr>
      </w:pPr>
    </w:p>
    <w:p>
      <w:pPr>
        <w:pStyle w:val="5"/>
        <w:numPr>
          <w:ilvl w:val="0"/>
          <w:numId w:val="14"/>
        </w:numPr>
        <w:spacing w:before="156" w:beforeLines="50" w:after="156" w:afterLines="50"/>
        <w:ind w:left="562" w:hanging="562"/>
        <w:rPr>
          <w:sz w:val="28"/>
          <w:szCs w:val="28"/>
        </w:rPr>
      </w:pPr>
      <w:r>
        <w:rPr>
          <w:rFonts w:hint="eastAsia"/>
          <w:sz w:val="28"/>
          <w:szCs w:val="28"/>
        </w:rPr>
        <w:t>投标文件的递交</w:t>
      </w:r>
    </w:p>
    <w:p>
      <w:pPr>
        <w:rPr>
          <w:rFonts w:hint="eastAsia" w:ascii="黑体" w:hAnsi="宋体" w:eastAsia="黑体"/>
          <w:sz w:val="24"/>
        </w:rPr>
      </w:pPr>
      <w:bookmarkStart w:id="68" w:name="_Hlk72405459"/>
      <w:r>
        <w:rPr>
          <w:rFonts w:hint="eastAsia" w:ascii="黑体" w:hAnsi="宋体" w:eastAsia="黑体"/>
          <w:sz w:val="24"/>
        </w:rPr>
        <w:t>24．投标文件的保密</w:t>
      </w:r>
    </w:p>
    <w:p>
      <w:pPr>
        <w:ind w:firstLine="411" w:firstLineChars="196"/>
        <w:rPr>
          <w:rFonts w:hint="eastAsia"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pPr>
        <w:rPr>
          <w:rFonts w:hint="eastAsia" w:ascii="宋体" w:hAnsi="宋体"/>
          <w:b/>
        </w:rPr>
      </w:pPr>
      <w:r>
        <w:rPr>
          <w:rFonts w:hint="eastAsia" w:ascii="宋体" w:hAnsi="宋体"/>
          <w:b/>
        </w:rPr>
        <w:t>24.2若采购项目出现延期情况：</w:t>
      </w:r>
    </w:p>
    <w:p>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pPr>
        <w:rPr>
          <w:rFonts w:hint="eastAsia" w:ascii="黑体" w:hAnsi="宋体" w:eastAsia="黑体"/>
          <w:sz w:val="24"/>
        </w:rPr>
      </w:pPr>
      <w:r>
        <w:rPr>
          <w:rFonts w:hint="eastAsia" w:ascii="黑体" w:hAnsi="宋体" w:eastAsia="黑体"/>
          <w:sz w:val="24"/>
        </w:rPr>
        <w:t>25．上传投标文件及投标截止日期</w:t>
      </w:r>
    </w:p>
    <w:p>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pPr>
        <w:ind w:firstLine="411" w:firstLineChars="196"/>
        <w:rPr>
          <w:rFonts w:hint="eastAsia" w:ascii="宋体" w:hAnsi="宋体"/>
        </w:rPr>
      </w:pPr>
    </w:p>
    <w:p>
      <w:pPr>
        <w:ind w:firstLine="411" w:firstLineChars="196"/>
        <w:rPr>
          <w:rFonts w:hint="eastAsia" w:ascii="宋体" w:hAnsi="宋体"/>
        </w:rPr>
      </w:pPr>
    </w:p>
    <w:bookmarkEnd w:id="68"/>
    <w:p>
      <w:pPr>
        <w:rPr>
          <w:rFonts w:hint="eastAsia" w:ascii="黑体" w:hAnsi="宋体" w:eastAsia="黑体"/>
          <w:sz w:val="24"/>
        </w:rPr>
      </w:pPr>
      <w:r>
        <w:rPr>
          <w:rFonts w:hint="eastAsia" w:ascii="黑体" w:hAnsi="宋体" w:eastAsia="黑体"/>
          <w:sz w:val="24"/>
        </w:rPr>
        <w:t>26. 样品、现场演示、方案讲解</w:t>
      </w:r>
    </w:p>
    <w:p>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pPr>
        <w:rPr>
          <w:rFonts w:hint="eastAsia" w:ascii="黑体" w:hAnsi="宋体" w:eastAsia="黑体"/>
          <w:sz w:val="24"/>
        </w:rPr>
      </w:pPr>
      <w:bookmarkStart w:id="69"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69"/>
    <w:p>
      <w:pPr>
        <w:pStyle w:val="5"/>
        <w:numPr>
          <w:ilvl w:val="0"/>
          <w:numId w:val="14"/>
        </w:numPr>
        <w:spacing w:before="156" w:beforeLines="50" w:after="156" w:afterLines="50"/>
        <w:ind w:left="562" w:hanging="562"/>
        <w:rPr>
          <w:sz w:val="28"/>
          <w:szCs w:val="28"/>
        </w:rPr>
      </w:pPr>
      <w:r>
        <w:rPr>
          <w:rFonts w:hint="eastAsia"/>
          <w:sz w:val="28"/>
          <w:szCs w:val="28"/>
        </w:rPr>
        <w:t>开标</w:t>
      </w:r>
    </w:p>
    <w:p>
      <w:pPr>
        <w:rPr>
          <w:rFonts w:hint="eastAsia" w:ascii="黑体" w:hAnsi="宋体" w:eastAsia="黑体"/>
          <w:sz w:val="24"/>
        </w:rPr>
      </w:pPr>
      <w:r>
        <w:rPr>
          <w:rFonts w:hint="eastAsia" w:ascii="黑体" w:hAnsi="宋体" w:eastAsia="黑体"/>
          <w:sz w:val="24"/>
        </w:rPr>
        <w:t>28．开标</w:t>
      </w:r>
    </w:p>
    <w:p>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pPr>
        <w:ind w:firstLine="315" w:firstLineChars="15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hint="eastAsia" w:ascii="宋体" w:hAnsi="宋体"/>
          <w:szCs w:val="21"/>
        </w:rPr>
      </w:pPr>
    </w:p>
    <w:p>
      <w:pPr>
        <w:pStyle w:val="5"/>
        <w:numPr>
          <w:ilvl w:val="0"/>
          <w:numId w:val="14"/>
        </w:numPr>
        <w:spacing w:before="156" w:beforeLines="50" w:after="156" w:afterLines="50"/>
        <w:ind w:left="562" w:hanging="562"/>
        <w:rPr>
          <w:sz w:val="28"/>
          <w:szCs w:val="28"/>
        </w:rPr>
      </w:pPr>
      <w:r>
        <w:rPr>
          <w:rFonts w:hint="eastAsia"/>
          <w:sz w:val="28"/>
          <w:szCs w:val="28"/>
        </w:rPr>
        <w:t>评审要求</w:t>
      </w:r>
    </w:p>
    <w:p>
      <w:pPr>
        <w:rPr>
          <w:rFonts w:hint="eastAsia" w:ascii="黑体" w:hAnsi="宋体" w:eastAsia="黑体"/>
          <w:sz w:val="24"/>
        </w:rPr>
      </w:pPr>
      <w:r>
        <w:rPr>
          <w:rFonts w:hint="eastAsia" w:ascii="黑体" w:hAnsi="宋体" w:eastAsia="黑体"/>
          <w:sz w:val="24"/>
        </w:rPr>
        <w:t>29．评审委员会组成</w:t>
      </w:r>
    </w:p>
    <w:p>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pPr>
        <w:ind w:firstLine="411" w:firstLineChars="196"/>
        <w:rPr>
          <w:rFonts w:hint="eastAsia" w:ascii="宋体" w:hAnsi="宋体"/>
        </w:rPr>
      </w:pPr>
      <w:bookmarkStart w:id="70"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70"/>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pPr>
        <w:ind w:firstLine="411" w:firstLineChars="196"/>
        <w:rPr>
          <w:rFonts w:hint="eastAsia" w:ascii="宋体" w:hAnsi="宋体"/>
        </w:rPr>
      </w:pPr>
      <w:r>
        <w:rPr>
          <w:rFonts w:hint="eastAsia" w:ascii="宋体" w:hAnsi="宋体"/>
        </w:rPr>
        <w:t>29.2评审定标应当遵循公平、公正、科学、择优的原则。</w:t>
      </w:r>
    </w:p>
    <w:p>
      <w:pPr>
        <w:ind w:firstLine="411" w:firstLineChars="196"/>
        <w:rPr>
          <w:rFonts w:hint="eastAsia" w:ascii="宋体" w:hAnsi="宋体"/>
        </w:rPr>
      </w:pPr>
      <w:r>
        <w:rPr>
          <w:rFonts w:hint="eastAsia" w:ascii="宋体" w:hAnsi="宋体"/>
        </w:rPr>
        <w:t>29.3评审活动依法进行，任何单位和个人不得非法干预评标过程和结果。</w:t>
      </w:r>
    </w:p>
    <w:p>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pPr>
        <w:rPr>
          <w:rFonts w:hint="eastAsia" w:ascii="黑体" w:hAnsi="宋体" w:eastAsia="黑体"/>
          <w:sz w:val="24"/>
        </w:rPr>
      </w:pPr>
      <w:r>
        <w:rPr>
          <w:rFonts w:hint="eastAsia" w:ascii="黑体" w:hAnsi="宋体" w:eastAsia="黑体"/>
          <w:sz w:val="24"/>
        </w:rPr>
        <w:t>30．向评审委员会提供的资料</w:t>
      </w:r>
    </w:p>
    <w:p>
      <w:pPr>
        <w:ind w:firstLine="411" w:firstLineChars="196"/>
        <w:rPr>
          <w:rFonts w:hint="eastAsia" w:ascii="宋体" w:hAnsi="宋体"/>
        </w:rPr>
      </w:pPr>
      <w:r>
        <w:rPr>
          <w:rFonts w:hint="eastAsia" w:ascii="宋体" w:hAnsi="宋体"/>
        </w:rPr>
        <w:t>30.1公开发布的招标文件，包括图纸、服务清单、答疑文件等；</w:t>
      </w:r>
    </w:p>
    <w:p>
      <w:pPr>
        <w:ind w:firstLine="411" w:firstLineChars="196"/>
        <w:rPr>
          <w:rFonts w:hint="eastAsia" w:ascii="宋体" w:hAnsi="宋体"/>
        </w:rPr>
      </w:pPr>
      <w:r>
        <w:rPr>
          <w:rFonts w:hint="eastAsia" w:ascii="宋体" w:hAnsi="宋体"/>
        </w:rPr>
        <w:t>30.2其他评标必须的资料。</w:t>
      </w:r>
    </w:p>
    <w:p>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pPr>
        <w:ind w:firstLine="411" w:firstLineChars="196"/>
        <w:rPr>
          <w:rFonts w:hint="eastAsia" w:ascii="宋体" w:hAnsi="宋体"/>
        </w:rPr>
      </w:pPr>
      <w:r>
        <w:rPr>
          <w:rFonts w:hint="eastAsia" w:ascii="宋体" w:hAnsi="宋体"/>
        </w:rPr>
        <w:t>（1）招标的目的；</w:t>
      </w:r>
    </w:p>
    <w:p>
      <w:pPr>
        <w:ind w:firstLine="411" w:firstLineChars="196"/>
        <w:rPr>
          <w:rFonts w:hint="eastAsia" w:ascii="宋体" w:hAnsi="宋体"/>
        </w:rPr>
      </w:pPr>
      <w:r>
        <w:rPr>
          <w:rFonts w:hint="eastAsia" w:ascii="宋体" w:hAnsi="宋体"/>
        </w:rPr>
        <w:t>（2）招标项目需求的范围和性质；</w:t>
      </w:r>
    </w:p>
    <w:p>
      <w:pPr>
        <w:ind w:firstLine="411" w:firstLineChars="196"/>
        <w:rPr>
          <w:rFonts w:hint="eastAsia" w:ascii="宋体" w:hAnsi="宋体"/>
        </w:rPr>
      </w:pPr>
      <w:r>
        <w:rPr>
          <w:rFonts w:hint="eastAsia" w:ascii="宋体" w:hAnsi="宋体"/>
        </w:rPr>
        <w:t>（3）招标文件规定的投标人的资格、财政预算限额、商务条款；</w:t>
      </w:r>
    </w:p>
    <w:p>
      <w:pPr>
        <w:ind w:firstLine="411" w:firstLineChars="196"/>
        <w:rPr>
          <w:rFonts w:hint="eastAsia" w:ascii="宋体" w:hAnsi="宋体"/>
        </w:rPr>
      </w:pPr>
      <w:r>
        <w:rPr>
          <w:rFonts w:hint="eastAsia" w:ascii="宋体" w:hAnsi="宋体"/>
        </w:rPr>
        <w:t>（4）招标文件规定的评标程序、评标方法和评标因素；</w:t>
      </w:r>
    </w:p>
    <w:p>
      <w:pPr>
        <w:ind w:firstLine="411" w:firstLineChars="196"/>
        <w:rPr>
          <w:rFonts w:hint="eastAsia" w:ascii="宋体" w:hAnsi="宋体"/>
        </w:rPr>
      </w:pPr>
      <w:r>
        <w:rPr>
          <w:rFonts w:hint="eastAsia" w:ascii="宋体" w:hAnsi="宋体"/>
        </w:rPr>
        <w:t>（5）招标文件所列示的资格性审查表及符合性审查表。</w:t>
      </w:r>
    </w:p>
    <w:p>
      <w:pPr>
        <w:rPr>
          <w:rFonts w:hint="eastAsia" w:ascii="黑体" w:hAnsi="宋体" w:eastAsia="黑体"/>
          <w:sz w:val="24"/>
        </w:rPr>
      </w:pPr>
      <w:r>
        <w:rPr>
          <w:rFonts w:hint="eastAsia" w:ascii="黑体" w:hAnsi="宋体" w:eastAsia="黑体"/>
          <w:sz w:val="24"/>
        </w:rPr>
        <w:t>31．独立评审</w:t>
      </w:r>
    </w:p>
    <w:p>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pPr>
        <w:ind w:firstLine="411" w:firstLineChars="196"/>
        <w:rPr>
          <w:rFonts w:hint="eastAsia" w:ascii="宋体" w:hAnsi="宋体"/>
          <w:bCs/>
          <w:szCs w:val="21"/>
        </w:rPr>
      </w:pPr>
    </w:p>
    <w:p>
      <w:pPr>
        <w:pStyle w:val="5"/>
        <w:numPr>
          <w:ilvl w:val="0"/>
          <w:numId w:val="14"/>
        </w:numPr>
        <w:spacing w:before="156" w:beforeLines="50" w:after="156" w:afterLines="50"/>
        <w:ind w:left="562" w:hanging="562"/>
        <w:rPr>
          <w:sz w:val="28"/>
          <w:szCs w:val="28"/>
        </w:rPr>
      </w:pPr>
      <w:r>
        <w:rPr>
          <w:rFonts w:hint="eastAsia"/>
          <w:sz w:val="28"/>
          <w:szCs w:val="28"/>
        </w:rPr>
        <w:t>评审程序及评审方法</w:t>
      </w:r>
    </w:p>
    <w:p>
      <w:pPr>
        <w:rPr>
          <w:rFonts w:hint="eastAsia" w:ascii="黑体" w:hAnsi="宋体" w:eastAsia="黑体"/>
          <w:sz w:val="24"/>
        </w:rPr>
      </w:pPr>
      <w:r>
        <w:rPr>
          <w:rFonts w:hint="eastAsia" w:ascii="黑体" w:hAnsi="宋体" w:eastAsia="黑体"/>
          <w:sz w:val="24"/>
        </w:rPr>
        <w:t>32．投标文件初审</w:t>
      </w:r>
    </w:p>
    <w:p>
      <w:pPr>
        <w:ind w:firstLine="411" w:firstLineChars="196"/>
        <w:rPr>
          <w:rFonts w:hint="eastAsia" w:ascii="宋体" w:hAnsi="宋体"/>
        </w:rPr>
      </w:pPr>
      <w:r>
        <w:rPr>
          <w:rFonts w:hint="eastAsia" w:ascii="宋体" w:hAnsi="宋体"/>
        </w:rPr>
        <w:t>32.1投标文件初审包括资格性审查和符合性审查。</w:t>
      </w:r>
    </w:p>
    <w:p>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pPr>
        <w:ind w:firstLine="411" w:firstLineChars="196"/>
        <w:rPr>
          <w:rFonts w:hint="eastAsia" w:ascii="宋体" w:hAnsi="宋体"/>
          <w:bCs/>
        </w:rPr>
      </w:pPr>
      <w:r>
        <w:rPr>
          <w:rFonts w:hint="eastAsia" w:ascii="宋体" w:hAnsi="宋体"/>
          <w:bCs/>
        </w:rPr>
        <w:t>32.3 投标文件初审中关于供应商家数的计算:</w:t>
      </w:r>
    </w:p>
    <w:p>
      <w:pPr>
        <w:ind w:firstLine="411" w:firstLineChars="196"/>
        <w:rPr>
          <w:rFonts w:hint="eastAsia"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hint="eastAsia" w:ascii="宋体" w:hAnsi="宋体"/>
        </w:rPr>
      </w:pPr>
      <w:r>
        <w:rPr>
          <w:rFonts w:hint="eastAsia" w:ascii="宋体" w:hAnsi="宋体"/>
        </w:rPr>
        <w:t>32.4投标人投标文件作无效处理的情形，具体包括但不限于以下：</w:t>
      </w:r>
    </w:p>
    <w:p>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pPr>
        <w:ind w:firstLine="411" w:firstLineChars="196"/>
        <w:rPr>
          <w:rFonts w:hint="eastAsia" w:ascii="宋体" w:hAnsi="宋体"/>
        </w:rPr>
      </w:pPr>
      <w:r>
        <w:rPr>
          <w:rFonts w:hint="eastAsia" w:ascii="宋体" w:hAnsi="宋体"/>
        </w:rPr>
        <w:t>32.4.3不同投标人的投标文件载明的项目管理成员或者联系人员为同一人；</w:t>
      </w:r>
    </w:p>
    <w:p>
      <w:pPr>
        <w:ind w:firstLine="411" w:firstLineChars="196"/>
        <w:rPr>
          <w:rFonts w:hint="eastAsia" w:ascii="宋体" w:hAnsi="宋体"/>
        </w:rPr>
      </w:pPr>
      <w:r>
        <w:rPr>
          <w:rFonts w:hint="eastAsia" w:ascii="宋体" w:hAnsi="宋体"/>
        </w:rPr>
        <w:t>32.4.4不同投标人的投标文件异常一致或者投标报价呈规律性差异；</w:t>
      </w:r>
    </w:p>
    <w:p>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pPr>
        <w:ind w:firstLine="411" w:firstLineChars="196"/>
        <w:rPr>
          <w:rFonts w:hint="eastAsia" w:ascii="宋体" w:hAnsi="宋体"/>
        </w:rPr>
      </w:pPr>
      <w:r>
        <w:rPr>
          <w:rFonts w:hint="eastAsia" w:ascii="宋体" w:hAnsi="宋体"/>
        </w:rPr>
        <w:t>32.4.6投标供应商之间相互约定给予未中标的供应商利益补偿；</w:t>
      </w:r>
    </w:p>
    <w:p>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pPr>
        <w:ind w:firstLine="411" w:firstLineChars="196"/>
        <w:rPr>
          <w:rFonts w:hint="eastAsia" w:ascii="宋体" w:hAnsi="宋体"/>
        </w:rPr>
      </w:pPr>
      <w:r>
        <w:rPr>
          <w:rFonts w:hint="eastAsia" w:ascii="宋体" w:hAnsi="宋体"/>
        </w:rPr>
        <w:t>32.4.8不同投标供应商的投标文件内容存在非正常一致；</w:t>
      </w:r>
    </w:p>
    <w:p>
      <w:pPr>
        <w:ind w:firstLine="411" w:firstLineChars="196"/>
        <w:rPr>
          <w:rFonts w:hint="eastAsia" w:ascii="宋体" w:hAnsi="宋体"/>
        </w:rPr>
      </w:pPr>
      <w:r>
        <w:rPr>
          <w:rFonts w:hint="eastAsia" w:ascii="宋体" w:hAnsi="宋体"/>
        </w:rPr>
        <w:t>32.4.9在同一单位工作人员为两家以上（含两家）供应商进行同一项投标活动；</w:t>
      </w:r>
    </w:p>
    <w:p>
      <w:pPr>
        <w:ind w:firstLine="411" w:firstLineChars="196"/>
        <w:rPr>
          <w:rFonts w:hint="eastAsia" w:ascii="宋体" w:hAnsi="宋体"/>
        </w:rPr>
      </w:pPr>
      <w:r>
        <w:rPr>
          <w:rFonts w:hint="eastAsia" w:ascii="宋体" w:hAnsi="宋体"/>
        </w:rPr>
        <w:t>32.4.10主管部门依照法律、法规认定的其他情形。</w:t>
      </w:r>
    </w:p>
    <w:p>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pPr>
        <w:rPr>
          <w:rFonts w:hint="eastAsia" w:ascii="黑体" w:hAnsi="宋体" w:eastAsia="黑体"/>
          <w:sz w:val="24"/>
        </w:rPr>
      </w:pPr>
      <w:r>
        <w:rPr>
          <w:rFonts w:hint="eastAsia" w:ascii="黑体" w:hAnsi="宋体" w:eastAsia="黑体"/>
          <w:sz w:val="24"/>
        </w:rPr>
        <w:t>33．澄清有关问题</w:t>
      </w:r>
    </w:p>
    <w:p>
      <w:pPr>
        <w:ind w:firstLine="411" w:firstLineChars="196"/>
        <w:rPr>
          <w:rFonts w:hint="eastAsia" w:ascii="宋体" w:hAnsi="宋体"/>
        </w:rPr>
      </w:pPr>
      <w:bookmarkStart w:id="71"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71"/>
    </w:p>
    <w:p>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pPr>
        <w:rPr>
          <w:rFonts w:hint="eastAsia" w:ascii="黑体" w:hAnsi="宋体" w:eastAsia="黑体"/>
          <w:sz w:val="24"/>
        </w:rPr>
      </w:pPr>
      <w:bookmarkStart w:id="72" w:name="_Toc73521669"/>
      <w:bookmarkStart w:id="73" w:name="_Toc73521581"/>
      <w:bookmarkStart w:id="74" w:name="_Toc73518151"/>
      <w:bookmarkStart w:id="75" w:name="_Toc73517673"/>
      <w:bookmarkStart w:id="76" w:name="_Toc100052400"/>
      <w:r>
        <w:rPr>
          <w:rFonts w:hint="eastAsia" w:ascii="黑体" w:hAnsi="宋体" w:eastAsia="黑体"/>
          <w:sz w:val="24"/>
        </w:rPr>
        <w:t>34．错误的修正</w:t>
      </w:r>
      <w:bookmarkEnd w:id="72"/>
      <w:bookmarkEnd w:id="73"/>
      <w:bookmarkEnd w:id="74"/>
      <w:bookmarkEnd w:id="75"/>
      <w:bookmarkEnd w:id="76"/>
    </w:p>
    <w:p>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11" w:firstLineChars="196"/>
        <w:rPr>
          <w:rFonts w:hint="eastAsia" w:ascii="宋体" w:hAnsi="宋体"/>
          <w:szCs w:val="21"/>
        </w:rPr>
      </w:pPr>
      <w:r>
        <w:rPr>
          <w:rFonts w:hint="eastAsia" w:ascii="宋体" w:hAnsi="宋体"/>
          <w:szCs w:val="21"/>
        </w:rPr>
        <w:t>34.2大写金额和小写金额不一致的，以大写金额为准；</w:t>
      </w:r>
    </w:p>
    <w:p>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rPr>
          <w:rFonts w:hint="eastAsia" w:ascii="黑体" w:hAnsi="宋体" w:eastAsia="黑体"/>
          <w:sz w:val="24"/>
        </w:rPr>
      </w:pPr>
      <w:r>
        <w:rPr>
          <w:rFonts w:hint="eastAsia" w:ascii="黑体" w:hAnsi="宋体" w:eastAsia="黑体"/>
          <w:sz w:val="24"/>
        </w:rPr>
        <w:t>35．投标文件的比较与评价</w:t>
      </w:r>
    </w:p>
    <w:p>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rPr>
          <w:rFonts w:hint="eastAsia" w:ascii="黑体" w:hAnsi="宋体" w:eastAsia="黑体"/>
          <w:sz w:val="24"/>
        </w:rPr>
      </w:pPr>
      <w:r>
        <w:rPr>
          <w:rFonts w:hint="eastAsia" w:ascii="黑体" w:hAnsi="宋体" w:eastAsia="黑体"/>
          <w:sz w:val="24"/>
        </w:rPr>
        <w:t>36. 实地考察或资料查验</w:t>
      </w:r>
    </w:p>
    <w:p>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rPr>
          <w:rFonts w:hint="eastAsia" w:ascii="黑体" w:hAnsi="宋体" w:eastAsia="黑体"/>
          <w:sz w:val="24"/>
        </w:rPr>
      </w:pPr>
      <w:r>
        <w:rPr>
          <w:rFonts w:hint="eastAsia" w:ascii="黑体" w:hAnsi="宋体" w:eastAsia="黑体"/>
          <w:sz w:val="24"/>
        </w:rPr>
        <w:t>37．评审方法</w:t>
      </w:r>
    </w:p>
    <w:p>
      <w:pPr>
        <w:ind w:firstLine="413" w:firstLineChars="196"/>
        <w:rPr>
          <w:rFonts w:hint="eastAsia" w:ascii="宋体" w:hAnsi="宋体"/>
          <w:b/>
          <w:bCs/>
          <w:szCs w:val="21"/>
        </w:rPr>
      </w:pPr>
      <w:bookmarkStart w:id="77" w:name="_Hlk72438142"/>
      <w:r>
        <w:rPr>
          <w:rFonts w:hint="eastAsia" w:ascii="宋体" w:hAnsi="宋体"/>
          <w:b/>
          <w:bCs/>
          <w:szCs w:val="21"/>
        </w:rPr>
        <w:t>37.1.1最低价法</w:t>
      </w:r>
    </w:p>
    <w:p>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pPr>
        <w:ind w:firstLine="411" w:firstLineChars="196"/>
        <w:rPr>
          <w:rFonts w:hint="eastAsia"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3" w:firstLineChars="196"/>
        <w:rPr>
          <w:rFonts w:hint="eastAsia" w:ascii="宋体" w:hAnsi="宋体"/>
          <w:b/>
          <w:bCs/>
          <w:szCs w:val="21"/>
        </w:rPr>
      </w:pPr>
      <w:r>
        <w:rPr>
          <w:rFonts w:hint="eastAsia" w:ascii="宋体" w:hAnsi="宋体"/>
          <w:b/>
          <w:bCs/>
          <w:szCs w:val="21"/>
        </w:rPr>
        <w:t>37.1.2综合评分法</w:t>
      </w:r>
    </w:p>
    <w:p>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77"/>
    </w:p>
    <w:p>
      <w:pPr>
        <w:ind w:firstLine="413" w:firstLineChars="196"/>
        <w:rPr>
          <w:rFonts w:hint="eastAsia" w:ascii="宋体" w:hAnsi="宋体"/>
          <w:b/>
          <w:bCs/>
          <w:szCs w:val="21"/>
        </w:rPr>
      </w:pPr>
      <w:r>
        <w:rPr>
          <w:rFonts w:hint="eastAsia" w:ascii="宋体" w:hAnsi="宋体"/>
          <w:b/>
          <w:bCs/>
          <w:szCs w:val="21"/>
        </w:rPr>
        <w:t>37.2 本项目采用的评审方法见本项目招标文件第一册“专用条款”的相关内容。</w:t>
      </w:r>
    </w:p>
    <w:p>
      <w:pPr>
        <w:ind w:firstLine="413" w:firstLineChars="196"/>
        <w:rPr>
          <w:rFonts w:hint="eastAsia" w:ascii="宋体" w:hAnsi="宋体"/>
          <w:b/>
          <w:bCs/>
          <w:szCs w:val="21"/>
        </w:rPr>
      </w:pPr>
      <w:r>
        <w:rPr>
          <w:rFonts w:hint="eastAsia" w:ascii="宋体" w:hAnsi="宋体"/>
          <w:b/>
          <w:bCs/>
          <w:szCs w:val="21"/>
        </w:rPr>
        <w:t>37.3重新评审的情形</w:t>
      </w:r>
    </w:p>
    <w:p>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ind w:firstLine="413" w:firstLineChars="196"/>
        <w:rPr>
          <w:rFonts w:hint="eastAsia" w:ascii="宋体" w:hAnsi="宋体"/>
          <w:b/>
          <w:bCs/>
          <w:szCs w:val="21"/>
        </w:rPr>
      </w:pPr>
      <w:r>
        <w:rPr>
          <w:rFonts w:hint="eastAsia" w:ascii="宋体" w:hAnsi="宋体"/>
          <w:b/>
          <w:bCs/>
          <w:szCs w:val="21"/>
        </w:rPr>
        <w:t xml:space="preserve"> 37.4重新组建评审委员会的情形</w:t>
      </w:r>
    </w:p>
    <w:p>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hint="eastAsia" w:ascii="宋体" w:hAnsi="宋体"/>
          <w:szCs w:val="21"/>
        </w:rPr>
      </w:pPr>
    </w:p>
    <w:p>
      <w:pPr>
        <w:pStyle w:val="5"/>
        <w:numPr>
          <w:ilvl w:val="0"/>
          <w:numId w:val="14"/>
        </w:numPr>
        <w:spacing w:before="156" w:beforeLines="50" w:after="156" w:afterLines="50"/>
        <w:ind w:left="562" w:hanging="562"/>
        <w:rPr>
          <w:sz w:val="28"/>
          <w:szCs w:val="28"/>
        </w:rPr>
      </w:pPr>
      <w:r>
        <w:rPr>
          <w:rFonts w:hint="eastAsia"/>
          <w:sz w:val="28"/>
          <w:szCs w:val="28"/>
        </w:rPr>
        <w:t>定标及公示</w:t>
      </w:r>
    </w:p>
    <w:p>
      <w:pPr>
        <w:rPr>
          <w:rFonts w:hint="eastAsia" w:ascii="黑体" w:hAnsi="宋体" w:eastAsia="黑体"/>
          <w:sz w:val="24"/>
        </w:rPr>
      </w:pPr>
      <w:r>
        <w:rPr>
          <w:rFonts w:hint="eastAsia" w:ascii="黑体" w:hAnsi="宋体" w:eastAsia="黑体"/>
          <w:sz w:val="24"/>
        </w:rPr>
        <w:t>38．定标方法</w:t>
      </w:r>
    </w:p>
    <w:p>
      <w:pPr>
        <w:ind w:firstLine="411" w:firstLineChars="196"/>
        <w:rPr>
          <w:rFonts w:hint="eastAsia" w:ascii="宋体" w:hAnsi="宋体"/>
          <w:szCs w:val="21"/>
        </w:rPr>
      </w:pPr>
      <w:bookmarkStart w:id="78" w:name="_Hlk73782795"/>
      <w:r>
        <w:rPr>
          <w:rFonts w:hint="eastAsia" w:ascii="宋体" w:hAnsi="宋体"/>
          <w:szCs w:val="21"/>
        </w:rPr>
        <w:t>38.1非评定分离项目定标方法</w:t>
      </w:r>
    </w:p>
    <w:p>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hint="eastAsia"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1" w:firstLineChars="196"/>
        <w:rPr>
          <w:rFonts w:hint="eastAsia"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1" w:firstLineChars="196"/>
        <w:rPr>
          <w:rFonts w:hint="eastAsia" w:ascii="宋体" w:hAnsi="宋体"/>
          <w:szCs w:val="21"/>
        </w:rPr>
      </w:pPr>
      <w:r>
        <w:rPr>
          <w:rFonts w:hint="eastAsia" w:ascii="宋体" w:hAnsi="宋体"/>
          <w:szCs w:val="21"/>
        </w:rPr>
        <w:t>38.2评定分离项目定标方法</w:t>
      </w:r>
    </w:p>
    <w:p>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pPr>
      <w:r>
        <w:rPr>
          <w:rFonts w:ascii="宋体" w:hAnsi="宋体"/>
          <w:szCs w:val="21"/>
        </w:rPr>
        <w:t xml:space="preserve">38.2.2 </w:t>
      </w:r>
      <w:bookmarkStart w:id="79"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pPr>
        <w:ind w:firstLine="411" w:firstLineChars="196"/>
        <w:rPr>
          <w:rFonts w:hint="eastAsia" w:ascii="宋体" w:hAnsi="宋体"/>
          <w:szCs w:val="21"/>
        </w:rPr>
      </w:pPr>
      <w:r>
        <w:rPr>
          <w:rFonts w:hint="eastAsia" w:ascii="宋体" w:hAnsi="宋体"/>
          <w:szCs w:val="21"/>
        </w:rPr>
        <w:t>38.2.3</w:t>
      </w:r>
      <w:bookmarkStart w:id="80"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79"/>
      <w:bookmarkEnd w:id="80"/>
    </w:p>
    <w:p>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78"/>
    </w:p>
    <w:p>
      <w:pPr>
        <w:rPr>
          <w:rFonts w:hint="eastAsia" w:ascii="黑体" w:hAnsi="宋体" w:eastAsia="黑体"/>
          <w:sz w:val="24"/>
        </w:rPr>
      </w:pPr>
      <w:r>
        <w:rPr>
          <w:rFonts w:hint="eastAsia" w:ascii="黑体" w:hAnsi="宋体" w:eastAsia="黑体"/>
          <w:sz w:val="24"/>
        </w:rPr>
        <w:t>39．编写评审报告</w:t>
      </w:r>
    </w:p>
    <w:p>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hint="eastAsia" w:ascii="黑体" w:hAnsi="宋体" w:eastAsia="黑体"/>
          <w:sz w:val="24"/>
        </w:rPr>
      </w:pPr>
      <w:r>
        <w:rPr>
          <w:rFonts w:hint="eastAsia" w:ascii="黑体" w:hAnsi="宋体" w:eastAsia="黑体"/>
          <w:sz w:val="24"/>
        </w:rPr>
        <w:t>40．中标公告</w:t>
      </w:r>
    </w:p>
    <w:p>
      <w:pPr>
        <w:ind w:firstLine="411" w:firstLineChars="196"/>
        <w:rPr>
          <w:rFonts w:hint="eastAsia" w:ascii="宋体" w:hAnsi="宋体"/>
          <w:szCs w:val="21"/>
        </w:rPr>
      </w:pPr>
      <w:r>
        <w:rPr>
          <w:rFonts w:hint="eastAsia" w:ascii="宋体" w:hAnsi="宋体"/>
          <w:szCs w:val="21"/>
        </w:rPr>
        <w:t>40.1</w:t>
      </w:r>
      <w:bookmarkStart w:id="81"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81"/>
      <w:bookmarkStart w:id="82"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82"/>
    <w:p>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pPr>
        <w:rPr>
          <w:rFonts w:hint="eastAsia" w:ascii="黑体" w:hAnsi="宋体" w:eastAsia="黑体"/>
          <w:sz w:val="24"/>
        </w:rPr>
      </w:pPr>
      <w:r>
        <w:rPr>
          <w:rFonts w:hint="eastAsia" w:ascii="黑体" w:hAnsi="宋体" w:eastAsia="黑体"/>
          <w:sz w:val="24"/>
        </w:rPr>
        <w:t>41．中标通知书</w:t>
      </w:r>
    </w:p>
    <w:p>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83" w:name="_Hlk72438863"/>
      <w:r>
        <w:rPr>
          <w:rFonts w:hint="eastAsia" w:ascii="宋体" w:hAnsi="宋体"/>
          <w:szCs w:val="21"/>
        </w:rPr>
        <w:t>中标公告公布以后无异常的情况下,中标供应商和采购人可自行登录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3"/>
    </w:p>
    <w:p>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11" w:firstLineChars="196"/>
        <w:rPr>
          <w:rFonts w:hint="eastAsia" w:ascii="宋体" w:hAnsi="宋体"/>
          <w:szCs w:val="21"/>
        </w:rPr>
      </w:pPr>
      <w:bookmarkStart w:id="84" w:name="_Hlk71407340"/>
      <w:r>
        <w:rPr>
          <w:rFonts w:hint="eastAsia" w:ascii="宋体" w:hAnsi="宋体"/>
          <w:szCs w:val="21"/>
        </w:rPr>
        <w:t>41.3因质疑投诉或其它原因导致项目结果变更或采购终止的，政府集中采购机构有权吊销中标通知书。</w:t>
      </w:r>
    </w:p>
    <w:bookmarkEnd w:id="84"/>
    <w:p>
      <w:pPr>
        <w:ind w:firstLine="411" w:firstLineChars="196"/>
        <w:rPr>
          <w:rFonts w:hint="eastAsia" w:ascii="宋体" w:hAnsi="宋体"/>
          <w:szCs w:val="21"/>
        </w:rPr>
      </w:pPr>
    </w:p>
    <w:p>
      <w:pPr>
        <w:pStyle w:val="5"/>
        <w:numPr>
          <w:ilvl w:val="0"/>
          <w:numId w:val="14"/>
        </w:numPr>
        <w:spacing w:before="156" w:beforeLines="50" w:after="156" w:afterLines="50"/>
        <w:ind w:left="562" w:hanging="562"/>
        <w:rPr>
          <w:sz w:val="28"/>
          <w:szCs w:val="28"/>
        </w:rPr>
      </w:pPr>
      <w:r>
        <w:rPr>
          <w:rFonts w:hint="eastAsia"/>
          <w:sz w:val="28"/>
          <w:szCs w:val="28"/>
        </w:rPr>
        <w:t>公开招标失败的后续处理</w:t>
      </w:r>
    </w:p>
    <w:p>
      <w:pPr>
        <w:rPr>
          <w:rFonts w:hint="eastAsia" w:ascii="黑体" w:hAnsi="宋体" w:eastAsia="黑体"/>
          <w:sz w:val="24"/>
        </w:rPr>
      </w:pPr>
      <w:r>
        <w:rPr>
          <w:rFonts w:hint="eastAsia" w:ascii="黑体" w:hAnsi="宋体" w:eastAsia="黑体"/>
          <w:sz w:val="24"/>
        </w:rPr>
        <w:t>42．公开招标失败的处理</w:t>
      </w:r>
    </w:p>
    <w:p>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hint="eastAsia" w:ascii="宋体" w:hAnsi="宋体"/>
          <w:szCs w:val="21"/>
        </w:rPr>
      </w:pPr>
      <w:r>
        <w:rPr>
          <w:rFonts w:hint="eastAsia" w:ascii="宋体" w:hAnsi="宋体"/>
          <w:szCs w:val="21"/>
        </w:rPr>
        <w:t>42.3重新组织采购有以下两种组织形式：</w:t>
      </w:r>
    </w:p>
    <w:p>
      <w:pPr>
        <w:ind w:firstLine="411" w:firstLineChars="196"/>
        <w:rPr>
          <w:rFonts w:hint="eastAsia" w:ascii="宋体" w:hAnsi="宋体"/>
        </w:rPr>
      </w:pPr>
      <w:r>
        <w:rPr>
          <w:rFonts w:hint="eastAsia" w:ascii="宋体" w:hAnsi="宋体"/>
        </w:rPr>
        <w:t>（1）由政府集中采购机构重新组织公开招标；</w:t>
      </w:r>
    </w:p>
    <w:p>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pPr>
        <w:rPr>
          <w:rFonts w:hint="eastAsia" w:ascii="黑体" w:hAnsi="宋体" w:eastAsia="黑体"/>
          <w:sz w:val="24"/>
        </w:rPr>
      </w:pPr>
    </w:p>
    <w:p>
      <w:pPr>
        <w:pStyle w:val="5"/>
        <w:numPr>
          <w:ilvl w:val="0"/>
          <w:numId w:val="14"/>
        </w:numPr>
        <w:spacing w:before="156" w:beforeLines="50" w:after="156" w:afterLines="50"/>
        <w:ind w:left="562" w:hanging="562"/>
        <w:rPr>
          <w:sz w:val="28"/>
          <w:szCs w:val="28"/>
        </w:rPr>
      </w:pPr>
      <w:bookmarkStart w:id="85" w:name="_Hlk72439043"/>
      <w:r>
        <w:rPr>
          <w:rFonts w:hint="eastAsia"/>
          <w:sz w:val="28"/>
          <w:szCs w:val="28"/>
        </w:rPr>
        <w:t>合同的授予与备案</w:t>
      </w:r>
      <w:bookmarkEnd w:id="85"/>
    </w:p>
    <w:p>
      <w:pPr>
        <w:rPr>
          <w:rFonts w:hint="eastAsia" w:ascii="黑体" w:hAnsi="宋体" w:eastAsia="黑体"/>
          <w:sz w:val="24"/>
        </w:rPr>
      </w:pPr>
      <w:bookmarkStart w:id="86" w:name="_Toc73518157"/>
      <w:bookmarkStart w:id="87" w:name="_Toc73517679"/>
      <w:bookmarkStart w:id="88" w:name="_Toc73521586"/>
      <w:bookmarkStart w:id="89" w:name="_Toc100052408"/>
      <w:bookmarkStart w:id="90" w:name="_Toc73521674"/>
      <w:bookmarkStart w:id="91" w:name="_Hlk72439088"/>
      <w:r>
        <w:rPr>
          <w:rFonts w:hint="eastAsia" w:ascii="黑体" w:hAnsi="宋体" w:eastAsia="黑体"/>
          <w:sz w:val="24"/>
        </w:rPr>
        <w:t>43．合同授予标准</w:t>
      </w:r>
      <w:bookmarkEnd w:id="86"/>
      <w:bookmarkEnd w:id="87"/>
      <w:bookmarkEnd w:id="88"/>
      <w:bookmarkEnd w:id="89"/>
      <w:bookmarkEnd w:id="90"/>
    </w:p>
    <w:p>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pPr>
        <w:rPr>
          <w:rFonts w:hint="eastAsia" w:ascii="黑体" w:hAnsi="宋体" w:eastAsia="黑体"/>
          <w:sz w:val="24"/>
        </w:rPr>
      </w:pPr>
      <w:bookmarkStart w:id="92" w:name="_Toc73518158"/>
      <w:bookmarkStart w:id="93" w:name="_Toc73517680"/>
      <w:bookmarkStart w:id="94" w:name="_Toc73521587"/>
      <w:bookmarkStart w:id="95" w:name="_Toc100052409"/>
      <w:bookmarkStart w:id="96" w:name="_Toc73521675"/>
      <w:r>
        <w:rPr>
          <w:rFonts w:hint="eastAsia" w:ascii="黑体" w:hAnsi="宋体" w:eastAsia="黑体"/>
          <w:sz w:val="24"/>
        </w:rPr>
        <w:t>44．</w:t>
      </w:r>
      <w:bookmarkEnd w:id="92"/>
      <w:bookmarkEnd w:id="93"/>
      <w:bookmarkEnd w:id="94"/>
      <w:bookmarkEnd w:id="95"/>
      <w:bookmarkEnd w:id="96"/>
      <w:r>
        <w:rPr>
          <w:rFonts w:hint="eastAsia" w:ascii="黑体" w:hAnsi="宋体" w:eastAsia="黑体"/>
          <w:sz w:val="24"/>
        </w:rPr>
        <w:t>接受和拒绝任何或所有投标的权力</w:t>
      </w:r>
    </w:p>
    <w:p>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hint="eastAsia" w:ascii="黑体" w:hAnsi="宋体" w:eastAsia="黑体"/>
          <w:sz w:val="24"/>
        </w:rPr>
      </w:pPr>
      <w:bookmarkStart w:id="97" w:name="_Toc73521589"/>
      <w:bookmarkStart w:id="98" w:name="_Toc73521677"/>
      <w:bookmarkStart w:id="99" w:name="_Toc73518160"/>
      <w:bookmarkStart w:id="100" w:name="_Toc100052410"/>
      <w:bookmarkStart w:id="101" w:name="_Toc73517682"/>
      <w:r>
        <w:rPr>
          <w:rFonts w:hint="eastAsia" w:ascii="黑体" w:hAnsi="宋体" w:eastAsia="黑体"/>
          <w:sz w:val="24"/>
        </w:rPr>
        <w:t>45．合同的签订</w:t>
      </w:r>
      <w:bookmarkEnd w:id="97"/>
      <w:bookmarkEnd w:id="98"/>
      <w:bookmarkEnd w:id="99"/>
      <w:bookmarkEnd w:id="100"/>
      <w:bookmarkEnd w:id="101"/>
    </w:p>
    <w:p>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pPr>
        <w:rPr>
          <w:rFonts w:hint="eastAsia" w:ascii="黑体" w:hAnsi="宋体" w:eastAsia="黑体"/>
          <w:sz w:val="24"/>
        </w:rPr>
      </w:pPr>
      <w:bookmarkStart w:id="102" w:name="_Toc73517683"/>
      <w:bookmarkStart w:id="103" w:name="_Toc100052411"/>
      <w:bookmarkStart w:id="104" w:name="_Toc73518161"/>
      <w:bookmarkStart w:id="105" w:name="_Toc73521590"/>
      <w:bookmarkStart w:id="106" w:name="_Toc73521678"/>
      <w:r>
        <w:rPr>
          <w:rFonts w:hint="eastAsia" w:ascii="黑体" w:hAnsi="宋体" w:eastAsia="黑体"/>
          <w:sz w:val="24"/>
        </w:rPr>
        <w:t>46．履约担保</w:t>
      </w:r>
      <w:bookmarkEnd w:id="102"/>
      <w:bookmarkEnd w:id="103"/>
      <w:bookmarkEnd w:id="104"/>
      <w:bookmarkEnd w:id="105"/>
      <w:bookmarkEnd w:id="106"/>
    </w:p>
    <w:p>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pPr>
        <w:rPr>
          <w:rFonts w:hint="eastAsia" w:ascii="黑体" w:hAnsi="宋体" w:eastAsia="黑体"/>
          <w:sz w:val="24"/>
        </w:rPr>
      </w:pPr>
      <w:r>
        <w:rPr>
          <w:rFonts w:hint="eastAsia" w:ascii="黑体" w:hAnsi="宋体" w:eastAsia="黑体"/>
          <w:sz w:val="24"/>
        </w:rPr>
        <w:t>47. 合同备案</w:t>
      </w:r>
    </w:p>
    <w:p>
      <w:pPr>
        <w:rPr>
          <w:rFonts w:hint="eastAsia"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pPr>
        <w:rPr>
          <w:rFonts w:hint="eastAsia" w:ascii="黑体" w:hAnsi="宋体" w:eastAsia="黑体"/>
          <w:sz w:val="24"/>
        </w:rPr>
      </w:pPr>
      <w:r>
        <w:rPr>
          <w:rFonts w:hint="eastAsia" w:ascii="黑体" w:hAnsi="宋体" w:eastAsia="黑体"/>
          <w:sz w:val="24"/>
        </w:rPr>
        <w:t>49. 项目验收</w:t>
      </w:r>
    </w:p>
    <w:p>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pPr>
        <w:rPr>
          <w:rFonts w:hint="eastAsia" w:ascii="黑体" w:hAnsi="宋体" w:eastAsia="黑体"/>
          <w:sz w:val="24"/>
        </w:rPr>
      </w:pPr>
      <w:r>
        <w:rPr>
          <w:rFonts w:hint="eastAsia" w:ascii="黑体" w:hAnsi="宋体" w:eastAsia="黑体"/>
          <w:sz w:val="24"/>
        </w:rPr>
        <w:t>50. 宣传</w:t>
      </w:r>
    </w:p>
    <w:p>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pPr>
        <w:ind w:left="210" w:leftChars="100" w:firstLine="411" w:firstLineChars="196"/>
        <w:rPr>
          <w:rFonts w:hint="eastAsia" w:ascii="宋体" w:hAnsi="宋体"/>
        </w:rPr>
      </w:pPr>
      <w:r>
        <w:rPr>
          <w:rFonts w:ascii="宋体" w:hAnsi="宋体"/>
        </w:rPr>
        <w:t>a.名片、宣传册、广告标语等；</w:t>
      </w:r>
    </w:p>
    <w:p>
      <w:pPr>
        <w:ind w:left="210" w:leftChars="100" w:firstLine="411" w:firstLineChars="196"/>
        <w:rPr>
          <w:rFonts w:hint="eastAsia" w:ascii="宋体" w:hAnsi="宋体"/>
        </w:rPr>
      </w:pPr>
      <w:r>
        <w:rPr>
          <w:rFonts w:ascii="宋体" w:hAnsi="宋体"/>
        </w:rPr>
        <w:t>b.案例介绍、推广等；</w:t>
      </w:r>
    </w:p>
    <w:p>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pPr>
        <w:rPr>
          <w:rFonts w:hint="eastAsia" w:ascii="黑体" w:hAnsi="宋体" w:eastAsia="黑体"/>
          <w:sz w:val="24"/>
        </w:rPr>
      </w:pPr>
      <w:r>
        <w:rPr>
          <w:rFonts w:hint="eastAsia" w:ascii="黑体" w:hAnsi="宋体" w:eastAsia="黑体"/>
          <w:sz w:val="24"/>
        </w:rPr>
        <w:t>51. 供应商违法责任</w:t>
      </w:r>
    </w:p>
    <w:p>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hint="eastAsia" w:ascii="宋体" w:hAnsi="宋体"/>
          <w:szCs w:val="21"/>
        </w:rPr>
      </w:pPr>
      <w:r>
        <w:rPr>
          <w:rFonts w:hint="eastAsia" w:ascii="宋体" w:hAnsi="宋体"/>
          <w:szCs w:val="21"/>
        </w:rPr>
        <w:t>（1）在采购活动中应当回避而未回避的；</w:t>
      </w:r>
    </w:p>
    <w:p>
      <w:pPr>
        <w:ind w:firstLine="411" w:firstLineChars="196"/>
        <w:rPr>
          <w:rFonts w:hint="eastAsia" w:ascii="宋体" w:hAnsi="宋体"/>
          <w:szCs w:val="21"/>
        </w:rPr>
      </w:pPr>
      <w:r>
        <w:rPr>
          <w:rFonts w:hint="eastAsia" w:ascii="宋体" w:hAnsi="宋体"/>
          <w:szCs w:val="21"/>
        </w:rPr>
        <w:t>（2）未按本条例规定签订、履行采购合同，造成严重后果的；</w:t>
      </w:r>
    </w:p>
    <w:p>
      <w:pPr>
        <w:ind w:firstLine="411" w:firstLineChars="196"/>
        <w:rPr>
          <w:rFonts w:hint="eastAsia" w:ascii="宋体" w:hAnsi="宋体"/>
          <w:szCs w:val="21"/>
        </w:rPr>
      </w:pPr>
      <w:r>
        <w:rPr>
          <w:rFonts w:hint="eastAsia" w:ascii="宋体" w:hAnsi="宋体"/>
          <w:szCs w:val="21"/>
        </w:rPr>
        <w:t>（3）隐瞒真实情况，提供虚假资料的；</w:t>
      </w:r>
    </w:p>
    <w:p>
      <w:pPr>
        <w:ind w:firstLine="411" w:firstLineChars="196"/>
        <w:rPr>
          <w:rFonts w:hint="eastAsia" w:ascii="宋体" w:hAnsi="宋体"/>
          <w:szCs w:val="21"/>
        </w:rPr>
      </w:pPr>
      <w:r>
        <w:rPr>
          <w:rFonts w:hint="eastAsia" w:ascii="宋体" w:hAnsi="宋体"/>
          <w:szCs w:val="21"/>
        </w:rPr>
        <w:t>（4）以非法手段排斥其他供应商参与竞争的；</w:t>
      </w:r>
    </w:p>
    <w:p>
      <w:pPr>
        <w:ind w:firstLine="411" w:firstLineChars="196"/>
        <w:rPr>
          <w:rFonts w:hint="eastAsia" w:ascii="宋体" w:hAnsi="宋体"/>
          <w:szCs w:val="21"/>
        </w:rPr>
      </w:pPr>
      <w:r>
        <w:rPr>
          <w:rFonts w:hint="eastAsia" w:ascii="宋体" w:hAnsi="宋体"/>
          <w:szCs w:val="21"/>
        </w:rPr>
        <w:t>（5）与其他采购参加人串通投标的；</w:t>
      </w:r>
    </w:p>
    <w:p>
      <w:pPr>
        <w:ind w:firstLine="411" w:firstLineChars="196"/>
        <w:rPr>
          <w:rFonts w:hint="eastAsia" w:ascii="宋体" w:hAnsi="宋体"/>
          <w:szCs w:val="21"/>
        </w:rPr>
      </w:pPr>
      <w:r>
        <w:rPr>
          <w:rFonts w:hint="eastAsia" w:ascii="宋体" w:hAnsi="宋体"/>
          <w:szCs w:val="21"/>
        </w:rPr>
        <w:t>（6）恶意投诉的；</w:t>
      </w:r>
    </w:p>
    <w:p>
      <w:pPr>
        <w:ind w:firstLine="411" w:firstLineChars="196"/>
        <w:rPr>
          <w:rFonts w:hint="eastAsia" w:ascii="宋体" w:hAnsi="宋体"/>
          <w:szCs w:val="21"/>
        </w:rPr>
      </w:pPr>
      <w:r>
        <w:rPr>
          <w:rFonts w:hint="eastAsia" w:ascii="宋体" w:hAnsi="宋体"/>
          <w:szCs w:val="21"/>
        </w:rPr>
        <w:t>（7）向采购项目相关人行贿或者提供其他不当利益的；</w:t>
      </w:r>
    </w:p>
    <w:p>
      <w:pPr>
        <w:ind w:firstLine="411" w:firstLineChars="196"/>
        <w:rPr>
          <w:rFonts w:hint="eastAsia" w:ascii="宋体" w:hAnsi="宋体"/>
          <w:szCs w:val="21"/>
        </w:rPr>
      </w:pPr>
      <w:r>
        <w:rPr>
          <w:rFonts w:hint="eastAsia" w:ascii="宋体" w:hAnsi="宋体"/>
          <w:szCs w:val="21"/>
        </w:rPr>
        <w:t>（8）阻碍、抗拒主管部门监督检查的；</w:t>
      </w:r>
    </w:p>
    <w:p>
      <w:pPr>
        <w:ind w:firstLine="411" w:firstLineChars="196"/>
        <w:rPr>
          <w:rFonts w:hint="eastAsia" w:ascii="宋体" w:hAnsi="宋体"/>
          <w:szCs w:val="21"/>
        </w:rPr>
      </w:pPr>
      <w:r>
        <w:rPr>
          <w:rFonts w:hint="eastAsia" w:ascii="宋体" w:hAnsi="宋体"/>
          <w:szCs w:val="21"/>
        </w:rPr>
        <w:t>（9）其他违反本条例规定的行为。</w:t>
      </w:r>
    </w:p>
    <w:p>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07" w:name="_Hlk72440769"/>
      <w:r>
        <w:rPr>
          <w:rFonts w:hint="eastAsia" w:ascii="宋体" w:hAnsi="宋体"/>
          <w:szCs w:val="21"/>
        </w:rPr>
        <w:t>政府集中采购机构或采购人不予退还其交纳的谈判保证金，情节严重的，并由主管部门</w:t>
      </w:r>
      <w:bookmarkEnd w:id="107"/>
      <w:r>
        <w:rPr>
          <w:rFonts w:hint="eastAsia" w:ascii="宋体" w:hAnsi="宋体"/>
          <w:szCs w:val="21"/>
        </w:rPr>
        <w:t>记入供应商诚信档案，予以通报：</w:t>
      </w:r>
    </w:p>
    <w:p>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91"/>
    <w:p>
      <w:pPr>
        <w:pStyle w:val="5"/>
        <w:numPr>
          <w:ilvl w:val="0"/>
          <w:numId w:val="14"/>
        </w:numPr>
        <w:spacing w:before="156" w:beforeLines="50" w:after="156" w:afterLines="50"/>
        <w:ind w:left="562" w:hanging="562"/>
        <w:rPr>
          <w:sz w:val="28"/>
          <w:szCs w:val="28"/>
        </w:rPr>
      </w:pPr>
      <w:r>
        <w:rPr>
          <w:rFonts w:hint="eastAsia"/>
          <w:sz w:val="28"/>
          <w:szCs w:val="28"/>
        </w:rPr>
        <w:t>质疑处理</w:t>
      </w:r>
    </w:p>
    <w:p>
      <w:pPr>
        <w:rPr>
          <w:rFonts w:hint="eastAsia" w:ascii="黑体" w:hAnsi="宋体" w:eastAsia="黑体"/>
          <w:sz w:val="24"/>
        </w:rPr>
      </w:pPr>
      <w:r>
        <w:rPr>
          <w:rFonts w:hint="eastAsia" w:ascii="黑体" w:hAnsi="宋体" w:eastAsia="黑体"/>
          <w:sz w:val="24"/>
        </w:rPr>
        <w:t>52.质疑提出与答复</w:t>
      </w:r>
    </w:p>
    <w:p>
      <w:pPr>
        <w:rPr>
          <w:rFonts w:hint="eastAsia" w:ascii="宋体" w:hAnsi="宋体"/>
          <w:szCs w:val="21"/>
        </w:rPr>
      </w:pPr>
      <w:r>
        <w:rPr>
          <w:rFonts w:hint="eastAsia" w:ascii="宋体" w:hAnsi="宋体"/>
          <w:szCs w:val="21"/>
        </w:rPr>
        <w:t xml:space="preserve">    52.1提出质疑</w:t>
      </w:r>
    </w:p>
    <w:p>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pPr>
        <w:rPr>
          <w:rFonts w:hint="eastAsia" w:ascii="宋体" w:hAnsi="宋体"/>
          <w:szCs w:val="21"/>
        </w:rPr>
      </w:pPr>
      <w:r>
        <w:rPr>
          <w:rFonts w:hint="eastAsia" w:ascii="宋体" w:hAnsi="宋体"/>
          <w:szCs w:val="21"/>
        </w:rPr>
        <w:t xml:space="preserve">    52.2</w:t>
      </w:r>
      <w:r>
        <w:rPr>
          <w:rFonts w:ascii="宋体" w:hAnsi="宋体"/>
          <w:szCs w:val="21"/>
        </w:rPr>
        <w:t>法律依据</w:t>
      </w:r>
    </w:p>
    <w:p>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108" w:name="_Hlk75374941"/>
      <w:r>
        <w:rPr>
          <w:rFonts w:hint="eastAsia" w:ascii="宋体" w:hAnsi="宋体"/>
          <w:szCs w:val="21"/>
        </w:rPr>
        <w:t>以联合体形式参与的，质疑应当由组成联合体的所有成员共同提出</w:t>
      </w:r>
      <w:bookmarkEnd w:id="108"/>
      <w:r>
        <w:rPr>
          <w:rFonts w:hint="eastAsia" w:ascii="宋体" w:hAnsi="宋体"/>
          <w:szCs w:val="21"/>
        </w:rPr>
        <w:t>；</w:t>
      </w:r>
    </w:p>
    <w:p>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rPr>
          <w:rFonts w:hint="eastAsia" w:ascii="宋体" w:hAnsi="宋体"/>
          <w:szCs w:val="21"/>
        </w:rPr>
      </w:pPr>
      <w:r>
        <w:rPr>
          <w:rFonts w:hint="eastAsia" w:ascii="宋体" w:hAnsi="宋体"/>
          <w:szCs w:val="21"/>
        </w:rPr>
        <w:t>（1）供应商的名称（或者姓名）、地址、邮编、邮箱、联系人及联系电话；</w:t>
      </w:r>
    </w:p>
    <w:p>
      <w:pPr>
        <w:ind w:firstLine="420" w:firstLineChars="200"/>
        <w:rPr>
          <w:rFonts w:hint="eastAsia" w:ascii="宋体" w:hAnsi="宋体"/>
          <w:szCs w:val="21"/>
        </w:rPr>
      </w:pPr>
      <w:r>
        <w:rPr>
          <w:rFonts w:hint="eastAsia" w:ascii="宋体" w:hAnsi="宋体"/>
          <w:szCs w:val="21"/>
        </w:rPr>
        <w:t>（2）质疑项目的名称、编号；</w:t>
      </w:r>
    </w:p>
    <w:p>
      <w:pPr>
        <w:ind w:firstLine="420" w:firstLineChars="200"/>
        <w:rPr>
          <w:rFonts w:hint="eastAsia" w:ascii="宋体" w:hAnsi="宋体"/>
          <w:szCs w:val="21"/>
        </w:rPr>
      </w:pPr>
      <w:r>
        <w:rPr>
          <w:rFonts w:hint="eastAsia" w:ascii="宋体" w:hAnsi="宋体"/>
          <w:szCs w:val="21"/>
        </w:rPr>
        <w:t>（3）具体、明确的质疑对象、质疑事项和质疑请求；</w:t>
      </w:r>
    </w:p>
    <w:p>
      <w:pPr>
        <w:ind w:firstLine="420" w:firstLineChars="200"/>
        <w:rPr>
          <w:rFonts w:hint="eastAsia" w:ascii="宋体" w:hAnsi="宋体"/>
          <w:szCs w:val="21"/>
        </w:rPr>
      </w:pPr>
      <w:r>
        <w:rPr>
          <w:rFonts w:hint="eastAsia" w:ascii="宋体" w:hAnsi="宋体"/>
          <w:szCs w:val="21"/>
        </w:rPr>
        <w:t>（4）因质疑事项而受损害的权益；</w:t>
      </w:r>
    </w:p>
    <w:p>
      <w:pPr>
        <w:ind w:firstLine="420" w:firstLineChars="200"/>
        <w:rPr>
          <w:rFonts w:hint="eastAsia" w:ascii="宋体" w:hAnsi="宋体"/>
          <w:szCs w:val="21"/>
        </w:rPr>
      </w:pPr>
      <w:r>
        <w:rPr>
          <w:rFonts w:hint="eastAsia" w:ascii="宋体" w:hAnsi="宋体"/>
          <w:szCs w:val="21"/>
        </w:rPr>
        <w:t>（5）事实依据；</w:t>
      </w:r>
    </w:p>
    <w:p>
      <w:pPr>
        <w:ind w:firstLine="420" w:firstLineChars="200"/>
        <w:rPr>
          <w:rFonts w:hint="eastAsia" w:ascii="宋体" w:hAnsi="宋体"/>
          <w:szCs w:val="21"/>
        </w:rPr>
      </w:pPr>
      <w:r>
        <w:rPr>
          <w:rFonts w:hint="eastAsia" w:ascii="宋体" w:hAnsi="宋体"/>
          <w:szCs w:val="21"/>
        </w:rPr>
        <w:t>（6）必要的法律依据；</w:t>
      </w:r>
    </w:p>
    <w:p>
      <w:pPr>
        <w:ind w:firstLine="420" w:firstLineChars="200"/>
        <w:rPr>
          <w:rFonts w:hint="eastAsia" w:ascii="宋体" w:hAnsi="宋体"/>
          <w:szCs w:val="21"/>
        </w:rPr>
      </w:pPr>
      <w:r>
        <w:rPr>
          <w:rFonts w:hint="eastAsia" w:ascii="宋体" w:hAnsi="宋体"/>
          <w:szCs w:val="21"/>
        </w:rPr>
        <w:t>（7）提出质疑的日期。</w:t>
      </w:r>
    </w:p>
    <w:p>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hint="eastAsia" w:ascii="宋体" w:hAnsi="宋体"/>
          <w:szCs w:val="21"/>
        </w:rPr>
      </w:pPr>
      <w:r>
        <w:rPr>
          <w:rFonts w:hint="eastAsia" w:ascii="宋体" w:hAnsi="宋体"/>
          <w:szCs w:val="21"/>
        </w:rPr>
        <w:t>52.5收文地点</w:t>
      </w:r>
    </w:p>
    <w:p>
      <w:pPr>
        <w:ind w:firstLine="422" w:firstLineChars="200"/>
        <w:rPr>
          <w:rFonts w:hint="eastAsia"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hint="eastAsia" w:ascii="宋体" w:hAnsi="宋体"/>
          <w:szCs w:val="21"/>
        </w:rPr>
      </w:pPr>
      <w:r>
        <w:rPr>
          <w:rFonts w:hint="eastAsia" w:ascii="宋体" w:hAnsi="宋体"/>
          <w:szCs w:val="21"/>
        </w:rPr>
        <w:t>供应商提交的质疑存在下列情形之一的，不予受理：</w:t>
      </w:r>
    </w:p>
    <w:p>
      <w:pPr>
        <w:ind w:firstLine="420" w:firstLineChars="200"/>
        <w:rPr>
          <w:rFonts w:hint="eastAsia" w:ascii="宋体" w:hAnsi="宋体"/>
          <w:szCs w:val="21"/>
        </w:rPr>
      </w:pPr>
      <w:r>
        <w:rPr>
          <w:rFonts w:hint="eastAsia" w:ascii="宋体" w:hAnsi="宋体"/>
          <w:szCs w:val="21"/>
        </w:rPr>
        <w:t>（1）质疑主体不满足要求的；</w:t>
      </w:r>
    </w:p>
    <w:p>
      <w:pPr>
        <w:ind w:firstLine="420" w:firstLineChars="200"/>
        <w:rPr>
          <w:rFonts w:hint="eastAsia" w:ascii="宋体" w:hAnsi="宋体"/>
          <w:szCs w:val="21"/>
        </w:rPr>
      </w:pPr>
      <w:r>
        <w:rPr>
          <w:rFonts w:hint="eastAsia" w:ascii="宋体" w:hAnsi="宋体"/>
          <w:szCs w:val="21"/>
        </w:rPr>
        <w:t>（2）供应商自身权益未受到损害的；</w:t>
      </w:r>
    </w:p>
    <w:p>
      <w:pPr>
        <w:ind w:firstLine="420" w:firstLineChars="200"/>
        <w:rPr>
          <w:rFonts w:hint="eastAsia" w:ascii="宋体" w:hAnsi="宋体"/>
          <w:szCs w:val="21"/>
        </w:rPr>
      </w:pPr>
      <w:r>
        <w:rPr>
          <w:rFonts w:hint="eastAsia" w:ascii="宋体" w:hAnsi="宋体"/>
          <w:szCs w:val="21"/>
        </w:rPr>
        <w:t>（3）供应商未在法定质疑期限内提出质疑的；</w:t>
      </w:r>
    </w:p>
    <w:p>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hint="eastAsia" w:ascii="宋体" w:hAnsi="宋体"/>
          <w:szCs w:val="21"/>
        </w:rPr>
      </w:pPr>
      <w:r>
        <w:rPr>
          <w:rFonts w:hint="eastAsia" w:ascii="宋体" w:hAnsi="宋体"/>
          <w:szCs w:val="21"/>
        </w:rPr>
        <w:t>（5）其他不符合受理条件情形的。</w:t>
      </w:r>
    </w:p>
    <w:p>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pPr>
        <w:rPr>
          <w:rFonts w:hint="eastAsia" w:ascii="宋体" w:hAnsi="宋体"/>
          <w:szCs w:val="21"/>
        </w:rPr>
      </w:pPr>
      <w:r>
        <w:rPr>
          <w:rFonts w:hint="eastAsia" w:ascii="宋体" w:hAnsi="宋体"/>
          <w:szCs w:val="21"/>
        </w:rPr>
        <w:t xml:space="preserve">    自收文之日起七个工作日内。</w:t>
      </w:r>
    </w:p>
    <w:p>
      <w:pPr>
        <w:rPr>
          <w:rFonts w:hint="eastAsia" w:ascii="宋体" w:hAnsi="宋体"/>
          <w:szCs w:val="21"/>
        </w:rPr>
      </w:pPr>
      <w:r>
        <w:rPr>
          <w:rFonts w:hint="eastAsia" w:ascii="宋体" w:hAnsi="宋体"/>
          <w:szCs w:val="21"/>
        </w:rPr>
        <w:t xml:space="preserve">    52.8投诉</w:t>
      </w:r>
    </w:p>
    <w:p>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pPr>
        <w:rPr>
          <w:rFonts w:hint="eastAsia" w:ascii="黑体" w:hAnsi="宋体" w:eastAsia="黑体"/>
          <w:sz w:val="24"/>
        </w:rPr>
      </w:pPr>
      <w:r>
        <w:rPr>
          <w:rFonts w:hint="eastAsia" w:ascii="黑体" w:hAnsi="宋体" w:eastAsia="黑体"/>
          <w:sz w:val="24"/>
        </w:rPr>
        <w:t>53. 质疑后续处理</w:t>
      </w:r>
    </w:p>
    <w:p>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pPr>
        <w:jc w:val="center"/>
        <w:rPr>
          <w:rFonts w:ascii="Times New Roman" w:hAnsi="Times New Roman" w:eastAsia="宋体" w:cs="Times New Roman"/>
          <w:szCs w:val="24"/>
        </w:rPr>
      </w:pPr>
      <w:r>
        <w:rPr>
          <w:rFonts w:ascii="Times New Roman" w:hAnsi="Times New Roman" w:eastAsia="宋体" w:cs="Times New Roman"/>
          <w:szCs w:val="24"/>
        </w:rPr>
        <w:t>---- END ----</w:t>
      </w:r>
      <w:bookmarkEnd w:id="55"/>
    </w:p>
    <w:p>
      <w:pPr>
        <w:rPr>
          <w:b/>
          <w:color w:val="FF0000"/>
          <w:sz w:val="52"/>
          <w:szCs w:val="52"/>
        </w:rPr>
      </w:pPr>
    </w:p>
    <w:p>
      <w:pPr>
        <w:rPr>
          <w:rFonts w:hint="eastAsia" w:ascii="宋体" w:hAnsi="宋体" w:eastAsia="黑体" w:cs="Times New Roman"/>
          <w:b/>
          <w:bCs/>
          <w:color w:val="0000FF"/>
          <w:kern w:val="44"/>
          <w:sz w:val="36"/>
          <w:szCs w:val="44"/>
        </w:rPr>
      </w:pP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t xml:space="preserve">- </w:t>
    </w:r>
    <w:r>
      <w:fldChar w:fldCharType="begin"/>
    </w:r>
    <w:r>
      <w:instrText xml:space="preserve"> PAGE </w:instrText>
    </w:r>
    <w:r>
      <w:fldChar w:fldCharType="separate"/>
    </w:r>
    <w:r>
      <w:t>29</w:t>
    </w:r>
    <w:r>
      <w:fldChar w:fldCharType="end"/>
    </w:r>
    <w:r>
      <w:t xml:space="preserve"> -</w: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sz w:val="1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pPr>
          <w:pStyle w:val="13"/>
          <w:jc w:val="center"/>
        </w:pPr>
        <w:r>
          <w:fldChar w:fldCharType="begin"/>
        </w:r>
        <w:r>
          <w:instrText xml:space="preserve"> PAGE   \* MERGEFORMAT </w:instrText>
        </w:r>
        <w:r>
          <w:fldChar w:fldCharType="separate"/>
        </w:r>
        <w:r>
          <w:rPr>
            <w:lang w:val="zh-CN"/>
          </w:rPr>
          <w:t>29</w:t>
        </w:r>
        <w:r>
          <w:rPr>
            <w:lang w:val="zh-CN"/>
          </w:rPr>
          <w:fldChar w:fldCharType="end"/>
        </w:r>
      </w:p>
    </w:sdtContent>
  </w:sdt>
  <w:p>
    <w:pPr>
      <w:pStyle w:val="13"/>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rFonts w:ascii="Times New Roman" w:hAnsi="Times New Roman" w:eastAsia="宋体" w:cs="Times New Roman"/>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0686203"/>
    <w:multiLevelType w:val="singleLevel"/>
    <w:tmpl w:val="D0686203"/>
    <w:lvl w:ilvl="0" w:tentative="0">
      <w:start w:val="2"/>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17D28BD"/>
    <w:multiLevelType w:val="singleLevel"/>
    <w:tmpl w:val="417D28BD"/>
    <w:lvl w:ilvl="0" w:tentative="0">
      <w:start w:val="6"/>
      <w:numFmt w:val="chineseCounting"/>
      <w:suff w:val="nothing"/>
      <w:lvlText w:val="%1、"/>
      <w:lvlJc w:val="left"/>
      <w:rPr>
        <w:rFonts w:hint="eastAsia"/>
      </w:rPr>
    </w:lvl>
  </w:abstractNum>
  <w:abstractNum w:abstractNumId="12">
    <w:nsid w:val="721CBBE0"/>
    <w:multiLevelType w:val="singleLevel"/>
    <w:tmpl w:val="721CBBE0"/>
    <w:lvl w:ilvl="0" w:tentative="0">
      <w:start w:val="1"/>
      <w:numFmt w:val="decimal"/>
      <w:suff w:val="nothing"/>
      <w:lvlText w:val="%1、"/>
      <w:lvlJc w:val="left"/>
    </w:lvl>
  </w:abstractNum>
  <w:abstractNum w:abstractNumId="13">
    <w:nsid w:val="7A0F6431"/>
    <w:multiLevelType w:val="singleLevel"/>
    <w:tmpl w:val="7A0F6431"/>
    <w:lvl w:ilvl="0" w:tentative="0">
      <w:start w:val="1"/>
      <w:numFmt w:val="decimal"/>
      <w:suff w:val="space"/>
      <w:lvlText w:val="%1."/>
      <w:lvlJc w:val="left"/>
    </w:lvl>
  </w:abstractNum>
  <w:num w:numId="1">
    <w:abstractNumId w:val="4"/>
  </w:num>
  <w:num w:numId="2">
    <w:abstractNumId w:val="0"/>
  </w:num>
  <w:num w:numId="3">
    <w:abstractNumId w:val="12"/>
  </w:num>
  <w:num w:numId="4">
    <w:abstractNumId w:val="1"/>
  </w:num>
  <w:num w:numId="5">
    <w:abstractNumId w:val="11"/>
  </w:num>
  <w:num w:numId="6">
    <w:abstractNumId w:val="13"/>
  </w:num>
  <w:num w:numId="7">
    <w:abstractNumId w:val="3"/>
  </w:num>
  <w:num w:numId="8">
    <w:abstractNumId w:val="8"/>
  </w:num>
  <w:num w:numId="9">
    <w:abstractNumId w:val="6"/>
  </w:num>
  <w:num w:numId="10">
    <w:abstractNumId w:val="5"/>
  </w:num>
  <w:num w:numId="11">
    <w:abstractNumId w:val="2"/>
  </w:num>
  <w:num w:numId="12">
    <w:abstractNumId w:val="7"/>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MDk5MWI1M2ZiZDkzYWFiOTFhMDJiNTBiNDJjNjcifQ=="/>
  </w:docVars>
  <w:rsids>
    <w:rsidRoot w:val="002B296E"/>
    <w:rsid w:val="00005740"/>
    <w:rsid w:val="00005B4D"/>
    <w:rsid w:val="0000723B"/>
    <w:rsid w:val="000102B3"/>
    <w:rsid w:val="00012263"/>
    <w:rsid w:val="00012DCA"/>
    <w:rsid w:val="00015451"/>
    <w:rsid w:val="00015C20"/>
    <w:rsid w:val="000165A0"/>
    <w:rsid w:val="00017ECC"/>
    <w:rsid w:val="000227FD"/>
    <w:rsid w:val="00024DCF"/>
    <w:rsid w:val="00027E40"/>
    <w:rsid w:val="00030B9F"/>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1DC8"/>
    <w:rsid w:val="000722BF"/>
    <w:rsid w:val="00073BE1"/>
    <w:rsid w:val="000762AC"/>
    <w:rsid w:val="00076F24"/>
    <w:rsid w:val="00082568"/>
    <w:rsid w:val="00083BC2"/>
    <w:rsid w:val="00086895"/>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1D1"/>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0F69"/>
    <w:rsid w:val="00353939"/>
    <w:rsid w:val="003553CD"/>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5930"/>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F1DAC"/>
    <w:rsid w:val="00501787"/>
    <w:rsid w:val="00501E4E"/>
    <w:rsid w:val="005038E9"/>
    <w:rsid w:val="00506897"/>
    <w:rsid w:val="00511618"/>
    <w:rsid w:val="0051614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0418"/>
    <w:rsid w:val="00666B5D"/>
    <w:rsid w:val="00666D92"/>
    <w:rsid w:val="006706B4"/>
    <w:rsid w:val="0067242A"/>
    <w:rsid w:val="00673CED"/>
    <w:rsid w:val="00674722"/>
    <w:rsid w:val="006749FE"/>
    <w:rsid w:val="006762D5"/>
    <w:rsid w:val="006801A9"/>
    <w:rsid w:val="0068296E"/>
    <w:rsid w:val="00685EAE"/>
    <w:rsid w:val="006900CE"/>
    <w:rsid w:val="00690C3A"/>
    <w:rsid w:val="00693B11"/>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1E34"/>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6917"/>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59A"/>
    <w:rsid w:val="00914845"/>
    <w:rsid w:val="00921A8A"/>
    <w:rsid w:val="009220BF"/>
    <w:rsid w:val="00922256"/>
    <w:rsid w:val="0092669F"/>
    <w:rsid w:val="00933427"/>
    <w:rsid w:val="009356F2"/>
    <w:rsid w:val="00937148"/>
    <w:rsid w:val="00940369"/>
    <w:rsid w:val="009454F4"/>
    <w:rsid w:val="00946EFC"/>
    <w:rsid w:val="00946F59"/>
    <w:rsid w:val="00950E98"/>
    <w:rsid w:val="0095203B"/>
    <w:rsid w:val="009537E3"/>
    <w:rsid w:val="00957952"/>
    <w:rsid w:val="009612CA"/>
    <w:rsid w:val="00962F8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404"/>
    <w:rsid w:val="00A13C69"/>
    <w:rsid w:val="00A13FD3"/>
    <w:rsid w:val="00A15662"/>
    <w:rsid w:val="00A15B4D"/>
    <w:rsid w:val="00A17A05"/>
    <w:rsid w:val="00A20B5D"/>
    <w:rsid w:val="00A21678"/>
    <w:rsid w:val="00A21934"/>
    <w:rsid w:val="00A249CD"/>
    <w:rsid w:val="00A26BE9"/>
    <w:rsid w:val="00A3093B"/>
    <w:rsid w:val="00A30D3A"/>
    <w:rsid w:val="00A32364"/>
    <w:rsid w:val="00A33CFD"/>
    <w:rsid w:val="00A40BCE"/>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42D3"/>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37D32"/>
    <w:rsid w:val="00B41ECA"/>
    <w:rsid w:val="00B45AD9"/>
    <w:rsid w:val="00B46B50"/>
    <w:rsid w:val="00B51FC7"/>
    <w:rsid w:val="00B532E2"/>
    <w:rsid w:val="00B55775"/>
    <w:rsid w:val="00B600C1"/>
    <w:rsid w:val="00B61F3D"/>
    <w:rsid w:val="00B63142"/>
    <w:rsid w:val="00B63FE9"/>
    <w:rsid w:val="00B66E98"/>
    <w:rsid w:val="00B70040"/>
    <w:rsid w:val="00B70889"/>
    <w:rsid w:val="00B75E35"/>
    <w:rsid w:val="00B762CF"/>
    <w:rsid w:val="00B7694F"/>
    <w:rsid w:val="00B810FB"/>
    <w:rsid w:val="00B822DC"/>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749"/>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0B8"/>
    <w:rsid w:val="00C72488"/>
    <w:rsid w:val="00C741BF"/>
    <w:rsid w:val="00C746A8"/>
    <w:rsid w:val="00C77F0C"/>
    <w:rsid w:val="00C835AC"/>
    <w:rsid w:val="00C85BA9"/>
    <w:rsid w:val="00C867A5"/>
    <w:rsid w:val="00C86A3C"/>
    <w:rsid w:val="00C87A3B"/>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713E"/>
    <w:rsid w:val="00D40D69"/>
    <w:rsid w:val="00D43946"/>
    <w:rsid w:val="00D463F3"/>
    <w:rsid w:val="00D46E2E"/>
    <w:rsid w:val="00D526AB"/>
    <w:rsid w:val="00D54B44"/>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277C"/>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854A1"/>
    <w:rsid w:val="00E93D2E"/>
    <w:rsid w:val="00E9738B"/>
    <w:rsid w:val="00E97895"/>
    <w:rsid w:val="00E97ED5"/>
    <w:rsid w:val="00EA233A"/>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299F"/>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1E92"/>
    <w:rsid w:val="00F238BB"/>
    <w:rsid w:val="00F23BD1"/>
    <w:rsid w:val="00F246C6"/>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40B3"/>
    <w:rsid w:val="00F95BD0"/>
    <w:rsid w:val="00FA593E"/>
    <w:rsid w:val="00FB45E4"/>
    <w:rsid w:val="00FC18D7"/>
    <w:rsid w:val="00FC62F9"/>
    <w:rsid w:val="00FC6BE7"/>
    <w:rsid w:val="00FD2FD3"/>
    <w:rsid w:val="00FD5E8F"/>
    <w:rsid w:val="00FE26CC"/>
    <w:rsid w:val="00FE48A3"/>
    <w:rsid w:val="00FE692E"/>
    <w:rsid w:val="00FE78A2"/>
    <w:rsid w:val="00FF3E28"/>
    <w:rsid w:val="01031527"/>
    <w:rsid w:val="011D50A2"/>
    <w:rsid w:val="0124146F"/>
    <w:rsid w:val="012C1C02"/>
    <w:rsid w:val="014063FE"/>
    <w:rsid w:val="01721FEB"/>
    <w:rsid w:val="01722330"/>
    <w:rsid w:val="018D1303"/>
    <w:rsid w:val="01CA5CC8"/>
    <w:rsid w:val="01CD630E"/>
    <w:rsid w:val="01E70628"/>
    <w:rsid w:val="01F53D45"/>
    <w:rsid w:val="021A1F15"/>
    <w:rsid w:val="02226211"/>
    <w:rsid w:val="02771997"/>
    <w:rsid w:val="0293255D"/>
    <w:rsid w:val="02987B74"/>
    <w:rsid w:val="02E25F12"/>
    <w:rsid w:val="030516AD"/>
    <w:rsid w:val="03207F77"/>
    <w:rsid w:val="038A3F97"/>
    <w:rsid w:val="03993BA4"/>
    <w:rsid w:val="03A66B69"/>
    <w:rsid w:val="03E017D2"/>
    <w:rsid w:val="042C4F6C"/>
    <w:rsid w:val="04446205"/>
    <w:rsid w:val="047255F5"/>
    <w:rsid w:val="048C54B6"/>
    <w:rsid w:val="049A4077"/>
    <w:rsid w:val="04AD1E6D"/>
    <w:rsid w:val="04F637CA"/>
    <w:rsid w:val="05130EC4"/>
    <w:rsid w:val="05452235"/>
    <w:rsid w:val="055A330C"/>
    <w:rsid w:val="05A21435"/>
    <w:rsid w:val="05F52269"/>
    <w:rsid w:val="06127C3D"/>
    <w:rsid w:val="06215480"/>
    <w:rsid w:val="062E1176"/>
    <w:rsid w:val="063E255E"/>
    <w:rsid w:val="065D710A"/>
    <w:rsid w:val="069468A4"/>
    <w:rsid w:val="06A179B5"/>
    <w:rsid w:val="06AB5681"/>
    <w:rsid w:val="06D86E6E"/>
    <w:rsid w:val="06E710CA"/>
    <w:rsid w:val="06E94E42"/>
    <w:rsid w:val="07101435"/>
    <w:rsid w:val="07215F6F"/>
    <w:rsid w:val="072B0FB7"/>
    <w:rsid w:val="07675B13"/>
    <w:rsid w:val="07724E37"/>
    <w:rsid w:val="07B37245"/>
    <w:rsid w:val="07EC1177"/>
    <w:rsid w:val="082546CE"/>
    <w:rsid w:val="08A54D99"/>
    <w:rsid w:val="08D916F2"/>
    <w:rsid w:val="08E27373"/>
    <w:rsid w:val="08E33B14"/>
    <w:rsid w:val="092A4E89"/>
    <w:rsid w:val="09B4074E"/>
    <w:rsid w:val="09B47989"/>
    <w:rsid w:val="09CB6A81"/>
    <w:rsid w:val="0A0106F5"/>
    <w:rsid w:val="0A0F43A2"/>
    <w:rsid w:val="0A522CFE"/>
    <w:rsid w:val="0A537E82"/>
    <w:rsid w:val="0A670558"/>
    <w:rsid w:val="0AD31B13"/>
    <w:rsid w:val="0B1F1512"/>
    <w:rsid w:val="0B5C3158"/>
    <w:rsid w:val="0B6147F1"/>
    <w:rsid w:val="0B76502B"/>
    <w:rsid w:val="0B845139"/>
    <w:rsid w:val="0B913B41"/>
    <w:rsid w:val="0BB023D2"/>
    <w:rsid w:val="0BC027C4"/>
    <w:rsid w:val="0BC750CE"/>
    <w:rsid w:val="0BE16F32"/>
    <w:rsid w:val="0BF20D28"/>
    <w:rsid w:val="0C204376"/>
    <w:rsid w:val="0C254A1B"/>
    <w:rsid w:val="0C455F74"/>
    <w:rsid w:val="0C526FE5"/>
    <w:rsid w:val="0C6875C2"/>
    <w:rsid w:val="0C9866B9"/>
    <w:rsid w:val="0CA77331"/>
    <w:rsid w:val="0CAD7D26"/>
    <w:rsid w:val="0CB16402"/>
    <w:rsid w:val="0CEC0DE7"/>
    <w:rsid w:val="0CF3634C"/>
    <w:rsid w:val="0D0227BA"/>
    <w:rsid w:val="0D5F19BA"/>
    <w:rsid w:val="0D605732"/>
    <w:rsid w:val="0D7F305A"/>
    <w:rsid w:val="0D844388"/>
    <w:rsid w:val="0DEE34CD"/>
    <w:rsid w:val="0E0661A0"/>
    <w:rsid w:val="0E0B7D94"/>
    <w:rsid w:val="0E230C39"/>
    <w:rsid w:val="0E5F4246"/>
    <w:rsid w:val="0E607F86"/>
    <w:rsid w:val="0E8A0CB9"/>
    <w:rsid w:val="0E9C279A"/>
    <w:rsid w:val="0EB421D9"/>
    <w:rsid w:val="0ECF2A4F"/>
    <w:rsid w:val="0F142273"/>
    <w:rsid w:val="0F5B4403"/>
    <w:rsid w:val="0F5D008C"/>
    <w:rsid w:val="0F6541C3"/>
    <w:rsid w:val="0F6627A1"/>
    <w:rsid w:val="0F9A5CF8"/>
    <w:rsid w:val="0FD3114F"/>
    <w:rsid w:val="0FEE5EBF"/>
    <w:rsid w:val="10073DCF"/>
    <w:rsid w:val="108300B5"/>
    <w:rsid w:val="108654B0"/>
    <w:rsid w:val="108C64EF"/>
    <w:rsid w:val="10BE733F"/>
    <w:rsid w:val="10CA1840"/>
    <w:rsid w:val="10CF3F1B"/>
    <w:rsid w:val="10D97CD5"/>
    <w:rsid w:val="10ED1603"/>
    <w:rsid w:val="10FC5772"/>
    <w:rsid w:val="11093651"/>
    <w:rsid w:val="11550E7F"/>
    <w:rsid w:val="115B1F25"/>
    <w:rsid w:val="11662604"/>
    <w:rsid w:val="11796EDC"/>
    <w:rsid w:val="118B0DEE"/>
    <w:rsid w:val="119D5A3B"/>
    <w:rsid w:val="121C00A4"/>
    <w:rsid w:val="12635AA8"/>
    <w:rsid w:val="127840D2"/>
    <w:rsid w:val="12900790"/>
    <w:rsid w:val="12900868"/>
    <w:rsid w:val="13280779"/>
    <w:rsid w:val="134F24D1"/>
    <w:rsid w:val="13982333"/>
    <w:rsid w:val="139D188B"/>
    <w:rsid w:val="13AA7707"/>
    <w:rsid w:val="13B71069"/>
    <w:rsid w:val="13F51C96"/>
    <w:rsid w:val="13F82AB8"/>
    <w:rsid w:val="13FF3EF7"/>
    <w:rsid w:val="144E2788"/>
    <w:rsid w:val="14806439"/>
    <w:rsid w:val="149C1746"/>
    <w:rsid w:val="14E4477F"/>
    <w:rsid w:val="14FE50FD"/>
    <w:rsid w:val="154266D9"/>
    <w:rsid w:val="15BD1BCA"/>
    <w:rsid w:val="15FB113C"/>
    <w:rsid w:val="16105DC5"/>
    <w:rsid w:val="166E7112"/>
    <w:rsid w:val="16730284"/>
    <w:rsid w:val="16753FFC"/>
    <w:rsid w:val="16B965DF"/>
    <w:rsid w:val="170E68D9"/>
    <w:rsid w:val="1741793A"/>
    <w:rsid w:val="1743234C"/>
    <w:rsid w:val="17571954"/>
    <w:rsid w:val="17933E49"/>
    <w:rsid w:val="17966F3F"/>
    <w:rsid w:val="179901BE"/>
    <w:rsid w:val="17C24EE1"/>
    <w:rsid w:val="17C27715"/>
    <w:rsid w:val="17C57205"/>
    <w:rsid w:val="17E4768B"/>
    <w:rsid w:val="17E92EF4"/>
    <w:rsid w:val="17FA7851"/>
    <w:rsid w:val="17FC3BA5"/>
    <w:rsid w:val="182513C0"/>
    <w:rsid w:val="18397E11"/>
    <w:rsid w:val="18434EDA"/>
    <w:rsid w:val="18735E22"/>
    <w:rsid w:val="18E6772B"/>
    <w:rsid w:val="194505FE"/>
    <w:rsid w:val="19687E48"/>
    <w:rsid w:val="196B1CEA"/>
    <w:rsid w:val="19866D56"/>
    <w:rsid w:val="198E1EAE"/>
    <w:rsid w:val="19E05949"/>
    <w:rsid w:val="19E80331"/>
    <w:rsid w:val="19FB3499"/>
    <w:rsid w:val="1A24288D"/>
    <w:rsid w:val="1A6A7039"/>
    <w:rsid w:val="1B1B5294"/>
    <w:rsid w:val="1B356450"/>
    <w:rsid w:val="1B434F04"/>
    <w:rsid w:val="1B712169"/>
    <w:rsid w:val="1B91148A"/>
    <w:rsid w:val="1B9C14FB"/>
    <w:rsid w:val="1BEB4F4B"/>
    <w:rsid w:val="1BEF4851"/>
    <w:rsid w:val="1BFE3C79"/>
    <w:rsid w:val="1C2C01A7"/>
    <w:rsid w:val="1C3154D0"/>
    <w:rsid w:val="1C4F3541"/>
    <w:rsid w:val="1C511779"/>
    <w:rsid w:val="1C584649"/>
    <w:rsid w:val="1C792E22"/>
    <w:rsid w:val="1CB01607"/>
    <w:rsid w:val="1CB57848"/>
    <w:rsid w:val="1CBF2475"/>
    <w:rsid w:val="1CF4323C"/>
    <w:rsid w:val="1D2A0352"/>
    <w:rsid w:val="1D2D5631"/>
    <w:rsid w:val="1D345E0F"/>
    <w:rsid w:val="1D581D92"/>
    <w:rsid w:val="1D880AB9"/>
    <w:rsid w:val="1D8D5C2D"/>
    <w:rsid w:val="1DAE2109"/>
    <w:rsid w:val="1DB9452C"/>
    <w:rsid w:val="1DDE5424"/>
    <w:rsid w:val="1DE33F41"/>
    <w:rsid w:val="1DE71C83"/>
    <w:rsid w:val="1E206809"/>
    <w:rsid w:val="1E5A0F1E"/>
    <w:rsid w:val="1E5A29B0"/>
    <w:rsid w:val="1E71779F"/>
    <w:rsid w:val="1E8A6AB3"/>
    <w:rsid w:val="1EB72F50"/>
    <w:rsid w:val="1EBC700B"/>
    <w:rsid w:val="1ECD1EBE"/>
    <w:rsid w:val="1EFB3211"/>
    <w:rsid w:val="1F103EA9"/>
    <w:rsid w:val="1F1D7927"/>
    <w:rsid w:val="1F784B5D"/>
    <w:rsid w:val="1FB14636"/>
    <w:rsid w:val="1FCA3C17"/>
    <w:rsid w:val="1FDB296A"/>
    <w:rsid w:val="1FE909DC"/>
    <w:rsid w:val="1FF42436"/>
    <w:rsid w:val="204333BD"/>
    <w:rsid w:val="20457135"/>
    <w:rsid w:val="20631369"/>
    <w:rsid w:val="20755F4B"/>
    <w:rsid w:val="208C7916"/>
    <w:rsid w:val="20987C72"/>
    <w:rsid w:val="20AF152F"/>
    <w:rsid w:val="21431371"/>
    <w:rsid w:val="2149055F"/>
    <w:rsid w:val="21513626"/>
    <w:rsid w:val="215C64E4"/>
    <w:rsid w:val="215D225D"/>
    <w:rsid w:val="21707EAF"/>
    <w:rsid w:val="21713403"/>
    <w:rsid w:val="219537A4"/>
    <w:rsid w:val="21C36564"/>
    <w:rsid w:val="21D01C09"/>
    <w:rsid w:val="21DF0EC4"/>
    <w:rsid w:val="221C055F"/>
    <w:rsid w:val="22525E8C"/>
    <w:rsid w:val="228D0920"/>
    <w:rsid w:val="22A14B92"/>
    <w:rsid w:val="230A7A8F"/>
    <w:rsid w:val="23290736"/>
    <w:rsid w:val="23362D65"/>
    <w:rsid w:val="236E5E5F"/>
    <w:rsid w:val="2378337E"/>
    <w:rsid w:val="237D3DBF"/>
    <w:rsid w:val="237E5141"/>
    <w:rsid w:val="239A32F4"/>
    <w:rsid w:val="23A61C99"/>
    <w:rsid w:val="23C5440E"/>
    <w:rsid w:val="23D20EC8"/>
    <w:rsid w:val="23F30C56"/>
    <w:rsid w:val="24266C7C"/>
    <w:rsid w:val="24380937"/>
    <w:rsid w:val="244A2F6C"/>
    <w:rsid w:val="246A64EC"/>
    <w:rsid w:val="248E0882"/>
    <w:rsid w:val="24AB04CD"/>
    <w:rsid w:val="24B85FE4"/>
    <w:rsid w:val="24D67678"/>
    <w:rsid w:val="251417B8"/>
    <w:rsid w:val="2524556B"/>
    <w:rsid w:val="252E63EA"/>
    <w:rsid w:val="25440C67"/>
    <w:rsid w:val="25487995"/>
    <w:rsid w:val="25493224"/>
    <w:rsid w:val="25551BC9"/>
    <w:rsid w:val="256533FF"/>
    <w:rsid w:val="25714E00"/>
    <w:rsid w:val="25A53D6F"/>
    <w:rsid w:val="25E847EB"/>
    <w:rsid w:val="267047E0"/>
    <w:rsid w:val="26793FA2"/>
    <w:rsid w:val="26A1632F"/>
    <w:rsid w:val="270F7B55"/>
    <w:rsid w:val="272532E2"/>
    <w:rsid w:val="273B6B9C"/>
    <w:rsid w:val="27427F2B"/>
    <w:rsid w:val="276C3345"/>
    <w:rsid w:val="276F2332"/>
    <w:rsid w:val="27857F9B"/>
    <w:rsid w:val="2795721C"/>
    <w:rsid w:val="27A641C3"/>
    <w:rsid w:val="27A6670B"/>
    <w:rsid w:val="27AE789D"/>
    <w:rsid w:val="27C546B8"/>
    <w:rsid w:val="27C71968"/>
    <w:rsid w:val="282633A8"/>
    <w:rsid w:val="284461F5"/>
    <w:rsid w:val="2846729E"/>
    <w:rsid w:val="286F1880"/>
    <w:rsid w:val="28A10C81"/>
    <w:rsid w:val="28BD0522"/>
    <w:rsid w:val="28DB6828"/>
    <w:rsid w:val="28EC2844"/>
    <w:rsid w:val="29114058"/>
    <w:rsid w:val="29703508"/>
    <w:rsid w:val="29745A9F"/>
    <w:rsid w:val="29895F6F"/>
    <w:rsid w:val="298E5CC2"/>
    <w:rsid w:val="29995DFC"/>
    <w:rsid w:val="29AC6F9B"/>
    <w:rsid w:val="29B91807"/>
    <w:rsid w:val="29C97866"/>
    <w:rsid w:val="29E44CAF"/>
    <w:rsid w:val="29E821D3"/>
    <w:rsid w:val="29F75268"/>
    <w:rsid w:val="2A840919"/>
    <w:rsid w:val="2A930A9D"/>
    <w:rsid w:val="2A967EB2"/>
    <w:rsid w:val="2AD417E1"/>
    <w:rsid w:val="2B065713"/>
    <w:rsid w:val="2B071B59"/>
    <w:rsid w:val="2B0D2CED"/>
    <w:rsid w:val="2B1E6B98"/>
    <w:rsid w:val="2B2411B6"/>
    <w:rsid w:val="2B2871E7"/>
    <w:rsid w:val="2B6A08CC"/>
    <w:rsid w:val="2B9057FA"/>
    <w:rsid w:val="2BA9299F"/>
    <w:rsid w:val="2BF832AE"/>
    <w:rsid w:val="2BFE65C2"/>
    <w:rsid w:val="2C02412C"/>
    <w:rsid w:val="2C0D7BBA"/>
    <w:rsid w:val="2C1665B8"/>
    <w:rsid w:val="2C295297"/>
    <w:rsid w:val="2C493B09"/>
    <w:rsid w:val="2C6E17C2"/>
    <w:rsid w:val="2C72458A"/>
    <w:rsid w:val="2CD85A8C"/>
    <w:rsid w:val="2D205D35"/>
    <w:rsid w:val="2D7F69DE"/>
    <w:rsid w:val="2DB16F26"/>
    <w:rsid w:val="2DB3388B"/>
    <w:rsid w:val="2DC0604D"/>
    <w:rsid w:val="2DCA6ECC"/>
    <w:rsid w:val="2DD87952"/>
    <w:rsid w:val="2E0A056F"/>
    <w:rsid w:val="2E497D11"/>
    <w:rsid w:val="2E815E80"/>
    <w:rsid w:val="2E954277"/>
    <w:rsid w:val="2ED53A12"/>
    <w:rsid w:val="2EDF69A7"/>
    <w:rsid w:val="2F1A79DF"/>
    <w:rsid w:val="2F2A413F"/>
    <w:rsid w:val="2F363171"/>
    <w:rsid w:val="2F487431"/>
    <w:rsid w:val="2FB32CCE"/>
    <w:rsid w:val="30311375"/>
    <w:rsid w:val="30473F91"/>
    <w:rsid w:val="306058C5"/>
    <w:rsid w:val="30B023A9"/>
    <w:rsid w:val="30C714A1"/>
    <w:rsid w:val="311772A4"/>
    <w:rsid w:val="31186537"/>
    <w:rsid w:val="312A7037"/>
    <w:rsid w:val="313600B5"/>
    <w:rsid w:val="31B92B8B"/>
    <w:rsid w:val="32326CFB"/>
    <w:rsid w:val="324D032D"/>
    <w:rsid w:val="3257574A"/>
    <w:rsid w:val="329E21EF"/>
    <w:rsid w:val="32FB3683"/>
    <w:rsid w:val="32FD564D"/>
    <w:rsid w:val="33083932"/>
    <w:rsid w:val="3328091C"/>
    <w:rsid w:val="338F3097"/>
    <w:rsid w:val="33A51F6D"/>
    <w:rsid w:val="33C06DA7"/>
    <w:rsid w:val="33E7712A"/>
    <w:rsid w:val="342509B8"/>
    <w:rsid w:val="34297F29"/>
    <w:rsid w:val="344A5876"/>
    <w:rsid w:val="348820F0"/>
    <w:rsid w:val="348E47AF"/>
    <w:rsid w:val="34AE6BFF"/>
    <w:rsid w:val="34CA3E45"/>
    <w:rsid w:val="34D34153"/>
    <w:rsid w:val="355E745E"/>
    <w:rsid w:val="358061E8"/>
    <w:rsid w:val="359202CF"/>
    <w:rsid w:val="359758E5"/>
    <w:rsid w:val="359D5EEA"/>
    <w:rsid w:val="35BA1D81"/>
    <w:rsid w:val="35D02BA5"/>
    <w:rsid w:val="35D46B3A"/>
    <w:rsid w:val="35E8637E"/>
    <w:rsid w:val="35FC7E3E"/>
    <w:rsid w:val="361404D3"/>
    <w:rsid w:val="361B0127"/>
    <w:rsid w:val="363C3B17"/>
    <w:rsid w:val="36474247"/>
    <w:rsid w:val="365612FD"/>
    <w:rsid w:val="3677309A"/>
    <w:rsid w:val="36AD2EE7"/>
    <w:rsid w:val="36D629FD"/>
    <w:rsid w:val="36F40B16"/>
    <w:rsid w:val="370C52DF"/>
    <w:rsid w:val="370C5E5F"/>
    <w:rsid w:val="373D1B00"/>
    <w:rsid w:val="374B6987"/>
    <w:rsid w:val="374D6BA3"/>
    <w:rsid w:val="375A306E"/>
    <w:rsid w:val="37AA6440"/>
    <w:rsid w:val="37AF0A14"/>
    <w:rsid w:val="37CE1367"/>
    <w:rsid w:val="37D746BF"/>
    <w:rsid w:val="37E528A4"/>
    <w:rsid w:val="38085F26"/>
    <w:rsid w:val="38426065"/>
    <w:rsid w:val="3893163E"/>
    <w:rsid w:val="38B44595"/>
    <w:rsid w:val="38C84008"/>
    <w:rsid w:val="38CA5FD2"/>
    <w:rsid w:val="38EB0F04"/>
    <w:rsid w:val="39411452"/>
    <w:rsid w:val="397B72CC"/>
    <w:rsid w:val="397C49C3"/>
    <w:rsid w:val="397E43F7"/>
    <w:rsid w:val="39B22FFA"/>
    <w:rsid w:val="39BA7DF4"/>
    <w:rsid w:val="39C15930"/>
    <w:rsid w:val="3A173499"/>
    <w:rsid w:val="3A30022F"/>
    <w:rsid w:val="3A371445"/>
    <w:rsid w:val="3A886145"/>
    <w:rsid w:val="3A8D72B7"/>
    <w:rsid w:val="3AAA34E9"/>
    <w:rsid w:val="3AB900AC"/>
    <w:rsid w:val="3AC52EF5"/>
    <w:rsid w:val="3AC91083"/>
    <w:rsid w:val="3B007A89"/>
    <w:rsid w:val="3B027CA5"/>
    <w:rsid w:val="3B0A5A2B"/>
    <w:rsid w:val="3B2E2848"/>
    <w:rsid w:val="3B5D4EDB"/>
    <w:rsid w:val="3B81506E"/>
    <w:rsid w:val="3BA60D07"/>
    <w:rsid w:val="3BA6272A"/>
    <w:rsid w:val="3BB22833"/>
    <w:rsid w:val="3BC4775F"/>
    <w:rsid w:val="3BE27C97"/>
    <w:rsid w:val="3BE473AB"/>
    <w:rsid w:val="3C9A513B"/>
    <w:rsid w:val="3CC82C16"/>
    <w:rsid w:val="3CCD2793"/>
    <w:rsid w:val="3CFA57E4"/>
    <w:rsid w:val="3D0221DE"/>
    <w:rsid w:val="3D1E60DF"/>
    <w:rsid w:val="3D581D30"/>
    <w:rsid w:val="3DE2791A"/>
    <w:rsid w:val="3DEB74AD"/>
    <w:rsid w:val="3E053B4B"/>
    <w:rsid w:val="3E151A9D"/>
    <w:rsid w:val="3E2174C3"/>
    <w:rsid w:val="3E286B85"/>
    <w:rsid w:val="3E375EB7"/>
    <w:rsid w:val="3E38205E"/>
    <w:rsid w:val="3E9E5F37"/>
    <w:rsid w:val="3EA47C68"/>
    <w:rsid w:val="3ED03C16"/>
    <w:rsid w:val="3EE82DAB"/>
    <w:rsid w:val="3EEB27FE"/>
    <w:rsid w:val="3EF25F54"/>
    <w:rsid w:val="3EFE13C0"/>
    <w:rsid w:val="3F3423F7"/>
    <w:rsid w:val="3F8E1B07"/>
    <w:rsid w:val="40161AFD"/>
    <w:rsid w:val="401D10DD"/>
    <w:rsid w:val="402C75DD"/>
    <w:rsid w:val="403326AF"/>
    <w:rsid w:val="408B6047"/>
    <w:rsid w:val="409A517D"/>
    <w:rsid w:val="40AF442B"/>
    <w:rsid w:val="40E165AE"/>
    <w:rsid w:val="411C75E7"/>
    <w:rsid w:val="41540B2E"/>
    <w:rsid w:val="415E333C"/>
    <w:rsid w:val="416E62DC"/>
    <w:rsid w:val="418F600A"/>
    <w:rsid w:val="419B5FD1"/>
    <w:rsid w:val="419E1DAA"/>
    <w:rsid w:val="420D5851"/>
    <w:rsid w:val="422F7ECB"/>
    <w:rsid w:val="424B3CDF"/>
    <w:rsid w:val="426D19F0"/>
    <w:rsid w:val="42D31F27"/>
    <w:rsid w:val="42D33CD5"/>
    <w:rsid w:val="42DD037E"/>
    <w:rsid w:val="42FC5208"/>
    <w:rsid w:val="43197979"/>
    <w:rsid w:val="43341596"/>
    <w:rsid w:val="43351DD3"/>
    <w:rsid w:val="436F7EA2"/>
    <w:rsid w:val="43860D47"/>
    <w:rsid w:val="43A37C06"/>
    <w:rsid w:val="43D71FBF"/>
    <w:rsid w:val="43ED0DC6"/>
    <w:rsid w:val="43FB4652"/>
    <w:rsid w:val="43FF1225"/>
    <w:rsid w:val="4410457F"/>
    <w:rsid w:val="44265D5C"/>
    <w:rsid w:val="445F4788"/>
    <w:rsid w:val="449633BF"/>
    <w:rsid w:val="44B32884"/>
    <w:rsid w:val="44D94857"/>
    <w:rsid w:val="44E73A68"/>
    <w:rsid w:val="45223845"/>
    <w:rsid w:val="45290298"/>
    <w:rsid w:val="453A1148"/>
    <w:rsid w:val="45B51211"/>
    <w:rsid w:val="45BD6D52"/>
    <w:rsid w:val="45BF5F80"/>
    <w:rsid w:val="45E94130"/>
    <w:rsid w:val="45EF52CA"/>
    <w:rsid w:val="461B0239"/>
    <w:rsid w:val="46276812"/>
    <w:rsid w:val="462A4554"/>
    <w:rsid w:val="46517D32"/>
    <w:rsid w:val="465377A4"/>
    <w:rsid w:val="46753001"/>
    <w:rsid w:val="46821C9A"/>
    <w:rsid w:val="46A94DAC"/>
    <w:rsid w:val="46E51A75"/>
    <w:rsid w:val="46F84891"/>
    <w:rsid w:val="473A07C7"/>
    <w:rsid w:val="47762C36"/>
    <w:rsid w:val="477C0DDF"/>
    <w:rsid w:val="47B5275D"/>
    <w:rsid w:val="47C54DED"/>
    <w:rsid w:val="47F94AD5"/>
    <w:rsid w:val="480212E4"/>
    <w:rsid w:val="482B73A4"/>
    <w:rsid w:val="48C04CFB"/>
    <w:rsid w:val="48C96F89"/>
    <w:rsid w:val="48FF5824"/>
    <w:rsid w:val="49266FC3"/>
    <w:rsid w:val="492B03C7"/>
    <w:rsid w:val="493C6A78"/>
    <w:rsid w:val="49425710"/>
    <w:rsid w:val="494D38A5"/>
    <w:rsid w:val="498E5824"/>
    <w:rsid w:val="49DE053E"/>
    <w:rsid w:val="49E012F6"/>
    <w:rsid w:val="49E928DA"/>
    <w:rsid w:val="49F21972"/>
    <w:rsid w:val="4A103DF2"/>
    <w:rsid w:val="4A201EF6"/>
    <w:rsid w:val="4A49107C"/>
    <w:rsid w:val="4A625D30"/>
    <w:rsid w:val="4A767D68"/>
    <w:rsid w:val="4B475260"/>
    <w:rsid w:val="4B4B65BB"/>
    <w:rsid w:val="4B4C2876"/>
    <w:rsid w:val="4B9E1324"/>
    <w:rsid w:val="4BBF201F"/>
    <w:rsid w:val="4BC045B9"/>
    <w:rsid w:val="4BE17463"/>
    <w:rsid w:val="4C596AD0"/>
    <w:rsid w:val="4CA26BF2"/>
    <w:rsid w:val="4CC73F63"/>
    <w:rsid w:val="4CEE1E37"/>
    <w:rsid w:val="4D145F92"/>
    <w:rsid w:val="4D330192"/>
    <w:rsid w:val="4D461C73"/>
    <w:rsid w:val="4D6A2567"/>
    <w:rsid w:val="4E092CA1"/>
    <w:rsid w:val="4E111A5A"/>
    <w:rsid w:val="4E315A4B"/>
    <w:rsid w:val="4E4156DB"/>
    <w:rsid w:val="4E93713A"/>
    <w:rsid w:val="4EAA72A2"/>
    <w:rsid w:val="4F1456D4"/>
    <w:rsid w:val="4F7179D6"/>
    <w:rsid w:val="4F754A92"/>
    <w:rsid w:val="4F9905AE"/>
    <w:rsid w:val="4FC33F25"/>
    <w:rsid w:val="4FD001C7"/>
    <w:rsid w:val="4FFF6109"/>
    <w:rsid w:val="500B71A4"/>
    <w:rsid w:val="502E60F8"/>
    <w:rsid w:val="50334005"/>
    <w:rsid w:val="503E08FC"/>
    <w:rsid w:val="50572C95"/>
    <w:rsid w:val="505E4B9C"/>
    <w:rsid w:val="50A30487"/>
    <w:rsid w:val="50DD1804"/>
    <w:rsid w:val="51A52CE0"/>
    <w:rsid w:val="51AA605E"/>
    <w:rsid w:val="520D262F"/>
    <w:rsid w:val="52195EFA"/>
    <w:rsid w:val="529674E9"/>
    <w:rsid w:val="5297240A"/>
    <w:rsid w:val="52B1378F"/>
    <w:rsid w:val="532B4880"/>
    <w:rsid w:val="535D3873"/>
    <w:rsid w:val="53876B42"/>
    <w:rsid w:val="54153BAB"/>
    <w:rsid w:val="542C5F9E"/>
    <w:rsid w:val="543E18F6"/>
    <w:rsid w:val="546B1FBF"/>
    <w:rsid w:val="54996B2C"/>
    <w:rsid w:val="54FA7CE1"/>
    <w:rsid w:val="550A7A2A"/>
    <w:rsid w:val="55474B31"/>
    <w:rsid w:val="554A7E27"/>
    <w:rsid w:val="554E4DCA"/>
    <w:rsid w:val="555E1B24"/>
    <w:rsid w:val="556A04C9"/>
    <w:rsid w:val="558F102F"/>
    <w:rsid w:val="559E5653"/>
    <w:rsid w:val="55AB3C2F"/>
    <w:rsid w:val="55EC35D4"/>
    <w:rsid w:val="560E52F8"/>
    <w:rsid w:val="561A4621"/>
    <w:rsid w:val="562E5C62"/>
    <w:rsid w:val="56383CF3"/>
    <w:rsid w:val="56455CD4"/>
    <w:rsid w:val="565C42B5"/>
    <w:rsid w:val="56AE76A6"/>
    <w:rsid w:val="56B15D6B"/>
    <w:rsid w:val="56BA7699"/>
    <w:rsid w:val="56D4209E"/>
    <w:rsid w:val="56DB2C2D"/>
    <w:rsid w:val="56E4418B"/>
    <w:rsid w:val="57064221"/>
    <w:rsid w:val="5773022F"/>
    <w:rsid w:val="57770C7B"/>
    <w:rsid w:val="57771590"/>
    <w:rsid w:val="57BD468E"/>
    <w:rsid w:val="57DF277D"/>
    <w:rsid w:val="57E50495"/>
    <w:rsid w:val="580A1AEF"/>
    <w:rsid w:val="58776655"/>
    <w:rsid w:val="58B74216"/>
    <w:rsid w:val="58C16652"/>
    <w:rsid w:val="590752B6"/>
    <w:rsid w:val="591F15CA"/>
    <w:rsid w:val="592D0FB2"/>
    <w:rsid w:val="596D67DA"/>
    <w:rsid w:val="59760D08"/>
    <w:rsid w:val="598C4B55"/>
    <w:rsid w:val="599E6993"/>
    <w:rsid w:val="59A60DC8"/>
    <w:rsid w:val="59AC5554"/>
    <w:rsid w:val="59E31A85"/>
    <w:rsid w:val="5A564466"/>
    <w:rsid w:val="5A902780"/>
    <w:rsid w:val="5A9F4737"/>
    <w:rsid w:val="5AAE2C06"/>
    <w:rsid w:val="5AE8436A"/>
    <w:rsid w:val="5AEC317D"/>
    <w:rsid w:val="5AF80325"/>
    <w:rsid w:val="5B6339F0"/>
    <w:rsid w:val="5BA20303"/>
    <w:rsid w:val="5BAD4574"/>
    <w:rsid w:val="5BC023FC"/>
    <w:rsid w:val="5BF60441"/>
    <w:rsid w:val="5BF6561B"/>
    <w:rsid w:val="5BFA4C14"/>
    <w:rsid w:val="5C2A6C04"/>
    <w:rsid w:val="5C3543D2"/>
    <w:rsid w:val="5C406532"/>
    <w:rsid w:val="5C4C3210"/>
    <w:rsid w:val="5C4E69BE"/>
    <w:rsid w:val="5CE36031"/>
    <w:rsid w:val="5CFC5838"/>
    <w:rsid w:val="5DB26EB1"/>
    <w:rsid w:val="5DBA559D"/>
    <w:rsid w:val="5DBB20D6"/>
    <w:rsid w:val="5DEB04C6"/>
    <w:rsid w:val="5DFE3EA4"/>
    <w:rsid w:val="5E465887"/>
    <w:rsid w:val="5E473A9D"/>
    <w:rsid w:val="5E5654F1"/>
    <w:rsid w:val="5E616AA4"/>
    <w:rsid w:val="5E804CC0"/>
    <w:rsid w:val="5E8425FB"/>
    <w:rsid w:val="5EE50BC0"/>
    <w:rsid w:val="5F0664A4"/>
    <w:rsid w:val="5F181B76"/>
    <w:rsid w:val="5F463D55"/>
    <w:rsid w:val="5F783B05"/>
    <w:rsid w:val="5FD4389C"/>
    <w:rsid w:val="5FD95EEE"/>
    <w:rsid w:val="5FEC48FC"/>
    <w:rsid w:val="5FEF1133"/>
    <w:rsid w:val="6013374F"/>
    <w:rsid w:val="603668EC"/>
    <w:rsid w:val="60A6194B"/>
    <w:rsid w:val="60B116A2"/>
    <w:rsid w:val="60B371C8"/>
    <w:rsid w:val="60B42F40"/>
    <w:rsid w:val="60B7767B"/>
    <w:rsid w:val="60CC348A"/>
    <w:rsid w:val="611E2C7E"/>
    <w:rsid w:val="61221DAA"/>
    <w:rsid w:val="61696F59"/>
    <w:rsid w:val="61D672CA"/>
    <w:rsid w:val="61E63AF5"/>
    <w:rsid w:val="626A2DAC"/>
    <w:rsid w:val="62784498"/>
    <w:rsid w:val="62A86D6B"/>
    <w:rsid w:val="62AE5E99"/>
    <w:rsid w:val="631119D9"/>
    <w:rsid w:val="631D24DB"/>
    <w:rsid w:val="63293771"/>
    <w:rsid w:val="637C0DF3"/>
    <w:rsid w:val="637C7D45"/>
    <w:rsid w:val="639808F7"/>
    <w:rsid w:val="642C373C"/>
    <w:rsid w:val="64565496"/>
    <w:rsid w:val="645F2960"/>
    <w:rsid w:val="64654C7D"/>
    <w:rsid w:val="646C7950"/>
    <w:rsid w:val="64A27E2A"/>
    <w:rsid w:val="64BD496D"/>
    <w:rsid w:val="64BE25DF"/>
    <w:rsid w:val="64C44758"/>
    <w:rsid w:val="64F93617"/>
    <w:rsid w:val="650E0E71"/>
    <w:rsid w:val="65246D5E"/>
    <w:rsid w:val="6544632F"/>
    <w:rsid w:val="655D3BA6"/>
    <w:rsid w:val="65655387"/>
    <w:rsid w:val="659A6BA8"/>
    <w:rsid w:val="65A50F20"/>
    <w:rsid w:val="65EF58FA"/>
    <w:rsid w:val="65FE7BFD"/>
    <w:rsid w:val="663154AE"/>
    <w:rsid w:val="66397220"/>
    <w:rsid w:val="663C7C5F"/>
    <w:rsid w:val="66AF4C3B"/>
    <w:rsid w:val="66EC6F90"/>
    <w:rsid w:val="66F2031E"/>
    <w:rsid w:val="673646FA"/>
    <w:rsid w:val="677243C5"/>
    <w:rsid w:val="677C3AAE"/>
    <w:rsid w:val="679C6C08"/>
    <w:rsid w:val="679F3F90"/>
    <w:rsid w:val="67AA7E58"/>
    <w:rsid w:val="67AB0BF9"/>
    <w:rsid w:val="67E662B3"/>
    <w:rsid w:val="68077DF9"/>
    <w:rsid w:val="680F6F74"/>
    <w:rsid w:val="68382663"/>
    <w:rsid w:val="686314D3"/>
    <w:rsid w:val="6888718C"/>
    <w:rsid w:val="68E5527F"/>
    <w:rsid w:val="68F0788E"/>
    <w:rsid w:val="69016050"/>
    <w:rsid w:val="6921668A"/>
    <w:rsid w:val="69A578CA"/>
    <w:rsid w:val="6A7343B6"/>
    <w:rsid w:val="6AA656A7"/>
    <w:rsid w:val="6AB029CA"/>
    <w:rsid w:val="6AB40090"/>
    <w:rsid w:val="6ADE7537"/>
    <w:rsid w:val="6AE34B4E"/>
    <w:rsid w:val="6B1F6200"/>
    <w:rsid w:val="6B4A3375"/>
    <w:rsid w:val="6B825FC3"/>
    <w:rsid w:val="6B8359E9"/>
    <w:rsid w:val="6B9D0892"/>
    <w:rsid w:val="6C613F7C"/>
    <w:rsid w:val="6C631880"/>
    <w:rsid w:val="6C636C8C"/>
    <w:rsid w:val="6C6D16B4"/>
    <w:rsid w:val="6C806253"/>
    <w:rsid w:val="6CA915A2"/>
    <w:rsid w:val="6CB542C8"/>
    <w:rsid w:val="6CD74FCF"/>
    <w:rsid w:val="6CF748E0"/>
    <w:rsid w:val="6D1045AC"/>
    <w:rsid w:val="6D15191A"/>
    <w:rsid w:val="6D52620C"/>
    <w:rsid w:val="6D73438C"/>
    <w:rsid w:val="6D7D3037"/>
    <w:rsid w:val="6D8E14DE"/>
    <w:rsid w:val="6D934609"/>
    <w:rsid w:val="6DAE50AD"/>
    <w:rsid w:val="6DD624F7"/>
    <w:rsid w:val="6DDA2238"/>
    <w:rsid w:val="6E0E1EE1"/>
    <w:rsid w:val="6E5A21EA"/>
    <w:rsid w:val="6EB8009F"/>
    <w:rsid w:val="6EC72090"/>
    <w:rsid w:val="6EFD578D"/>
    <w:rsid w:val="6F0A3093"/>
    <w:rsid w:val="6F834B73"/>
    <w:rsid w:val="6F857F81"/>
    <w:rsid w:val="6F883155"/>
    <w:rsid w:val="6F93531A"/>
    <w:rsid w:val="6FC6124D"/>
    <w:rsid w:val="6FC62348"/>
    <w:rsid w:val="6FD045D6"/>
    <w:rsid w:val="6FE10E18"/>
    <w:rsid w:val="6FEC14A9"/>
    <w:rsid w:val="6FEC6252"/>
    <w:rsid w:val="702E23C7"/>
    <w:rsid w:val="70A15EF2"/>
    <w:rsid w:val="70AF08CB"/>
    <w:rsid w:val="70C96037"/>
    <w:rsid w:val="70CB230C"/>
    <w:rsid w:val="70D624AE"/>
    <w:rsid w:val="71B752F6"/>
    <w:rsid w:val="721E46BD"/>
    <w:rsid w:val="72271FEC"/>
    <w:rsid w:val="722E41C4"/>
    <w:rsid w:val="72655E48"/>
    <w:rsid w:val="72671940"/>
    <w:rsid w:val="726E07A1"/>
    <w:rsid w:val="72712F6C"/>
    <w:rsid w:val="72824C4C"/>
    <w:rsid w:val="728A3B01"/>
    <w:rsid w:val="729D4E7D"/>
    <w:rsid w:val="72D93738"/>
    <w:rsid w:val="73434202"/>
    <w:rsid w:val="734819F2"/>
    <w:rsid w:val="735B7378"/>
    <w:rsid w:val="737A608E"/>
    <w:rsid w:val="739433C3"/>
    <w:rsid w:val="73A806E2"/>
    <w:rsid w:val="73BC418E"/>
    <w:rsid w:val="741D2E7E"/>
    <w:rsid w:val="741D495F"/>
    <w:rsid w:val="744B56A6"/>
    <w:rsid w:val="74A16CBA"/>
    <w:rsid w:val="74CB28DA"/>
    <w:rsid w:val="74D53759"/>
    <w:rsid w:val="74F33BDF"/>
    <w:rsid w:val="75033FCB"/>
    <w:rsid w:val="750556C0"/>
    <w:rsid w:val="752B5D11"/>
    <w:rsid w:val="752C70F1"/>
    <w:rsid w:val="75387844"/>
    <w:rsid w:val="753903C8"/>
    <w:rsid w:val="75CC2E8E"/>
    <w:rsid w:val="75DC4AB5"/>
    <w:rsid w:val="75EF406B"/>
    <w:rsid w:val="76391AC6"/>
    <w:rsid w:val="765B7C8E"/>
    <w:rsid w:val="76707B96"/>
    <w:rsid w:val="76726D86"/>
    <w:rsid w:val="768D36C7"/>
    <w:rsid w:val="76C3504D"/>
    <w:rsid w:val="7702703F"/>
    <w:rsid w:val="770422FE"/>
    <w:rsid w:val="7746449A"/>
    <w:rsid w:val="77464AED"/>
    <w:rsid w:val="775546DD"/>
    <w:rsid w:val="778C3E77"/>
    <w:rsid w:val="7796215A"/>
    <w:rsid w:val="77B635DF"/>
    <w:rsid w:val="77E31CE9"/>
    <w:rsid w:val="7800356D"/>
    <w:rsid w:val="78376C25"/>
    <w:rsid w:val="785B7ACE"/>
    <w:rsid w:val="78746DE5"/>
    <w:rsid w:val="789932F4"/>
    <w:rsid w:val="78A72AF0"/>
    <w:rsid w:val="78A8319C"/>
    <w:rsid w:val="79017595"/>
    <w:rsid w:val="790F6B0E"/>
    <w:rsid w:val="79134850"/>
    <w:rsid w:val="79200163"/>
    <w:rsid w:val="79261AEA"/>
    <w:rsid w:val="7956473D"/>
    <w:rsid w:val="798661F3"/>
    <w:rsid w:val="799314ED"/>
    <w:rsid w:val="79DC4F1F"/>
    <w:rsid w:val="79E73382"/>
    <w:rsid w:val="79ED6EBD"/>
    <w:rsid w:val="79EE2C15"/>
    <w:rsid w:val="7A6C7707"/>
    <w:rsid w:val="7A6E5FAD"/>
    <w:rsid w:val="7A7206F1"/>
    <w:rsid w:val="7AA46F38"/>
    <w:rsid w:val="7B467F1D"/>
    <w:rsid w:val="7BA7772C"/>
    <w:rsid w:val="7BB12A63"/>
    <w:rsid w:val="7C0924C9"/>
    <w:rsid w:val="7C507B69"/>
    <w:rsid w:val="7C711A95"/>
    <w:rsid w:val="7C8D4919"/>
    <w:rsid w:val="7CBA4FE2"/>
    <w:rsid w:val="7CD24A22"/>
    <w:rsid w:val="7D011495"/>
    <w:rsid w:val="7D121F1E"/>
    <w:rsid w:val="7D1A156B"/>
    <w:rsid w:val="7D2F777E"/>
    <w:rsid w:val="7D5660EF"/>
    <w:rsid w:val="7D574D28"/>
    <w:rsid w:val="7D5F0561"/>
    <w:rsid w:val="7D60202E"/>
    <w:rsid w:val="7D6458CE"/>
    <w:rsid w:val="7D8555F0"/>
    <w:rsid w:val="7D916095"/>
    <w:rsid w:val="7DB14637"/>
    <w:rsid w:val="7DC51E91"/>
    <w:rsid w:val="7E141A72"/>
    <w:rsid w:val="7E66156B"/>
    <w:rsid w:val="7E703977"/>
    <w:rsid w:val="7E8E4BE9"/>
    <w:rsid w:val="7E963DC6"/>
    <w:rsid w:val="7EF02F3D"/>
    <w:rsid w:val="7F1B1599"/>
    <w:rsid w:val="7F253F27"/>
    <w:rsid w:val="7F5F65D1"/>
    <w:rsid w:val="7F606315"/>
    <w:rsid w:val="7F6210EB"/>
    <w:rsid w:val="7F8B73C1"/>
    <w:rsid w:val="7F925AEA"/>
    <w:rsid w:val="7F961D37"/>
    <w:rsid w:val="7FA52ACC"/>
    <w:rsid w:val="7FAC3308"/>
    <w:rsid w:val="7FBC23C6"/>
    <w:rsid w:val="7FE87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5">
    <w:name w:val="heading 2"/>
    <w:basedOn w:val="6"/>
    <w:next w:val="7"/>
    <w:link w:val="35"/>
    <w:semiHidden/>
    <w:unhideWhenUsed/>
    <w:qFormat/>
    <w:uiPriority w:val="9"/>
    <w:pPr>
      <w:spacing w:line="416" w:lineRule="auto"/>
      <w:outlineLvl w:val="1"/>
    </w:pPr>
    <w:rPr>
      <w:rFonts w:asciiTheme="majorHAnsi" w:hAnsiTheme="majorHAnsi" w:eastAsiaTheme="majorEastAsia" w:cstheme="majorBidi"/>
      <w:sz w:val="32"/>
    </w:rPr>
  </w:style>
  <w:style w:type="paragraph" w:styleId="6">
    <w:name w:val="heading 3"/>
    <w:basedOn w:val="7"/>
    <w:next w:val="1"/>
    <w:qFormat/>
    <w:uiPriority w:val="9"/>
    <w:pPr>
      <w:spacing w:before="260" w:after="260" w:line="240" w:lineRule="auto"/>
      <w:outlineLvl w:val="2"/>
    </w:pPr>
    <w:rPr>
      <w:rFonts w:ascii="宋体" w:hAnsi="宋体" w:eastAsia="宋体"/>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 w:type="paragraph" w:styleId="8">
    <w:name w:val="Normal Indent"/>
    <w:basedOn w:val="1"/>
    <w:qFormat/>
    <w:uiPriority w:val="0"/>
    <w:pPr>
      <w:ind w:firstLine="420"/>
    </w:pPr>
    <w:rPr>
      <w:szCs w:val="20"/>
    </w:rPr>
  </w:style>
  <w:style w:type="paragraph" w:styleId="9">
    <w:name w:val="Document Map"/>
    <w:basedOn w:val="1"/>
    <w:link w:val="34"/>
    <w:semiHidden/>
    <w:unhideWhenUsed/>
    <w:qFormat/>
    <w:uiPriority w:val="99"/>
    <w:rPr>
      <w:rFonts w:ascii="宋体" w:eastAsia="宋体"/>
      <w:sz w:val="18"/>
      <w:szCs w:val="18"/>
    </w:rPr>
  </w:style>
  <w:style w:type="paragraph" w:styleId="10">
    <w:name w:val="annotation text"/>
    <w:basedOn w:val="1"/>
    <w:link w:val="36"/>
    <w:unhideWhenUsed/>
    <w:qFormat/>
    <w:uiPriority w:val="99"/>
    <w:pPr>
      <w:jc w:val="left"/>
    </w:pPr>
  </w:style>
  <w:style w:type="paragraph" w:styleId="11">
    <w:name w:val="Plain Text"/>
    <w:basedOn w:val="1"/>
    <w:qFormat/>
    <w:uiPriority w:val="0"/>
    <w:rPr>
      <w:rFonts w:ascii="宋体" w:hAnsi="Courier New"/>
      <w:szCs w:val="20"/>
    </w:rPr>
  </w:style>
  <w:style w:type="paragraph" w:styleId="12">
    <w:name w:val="Balloon Text"/>
    <w:basedOn w:val="1"/>
    <w:link w:val="30"/>
    <w:semiHidden/>
    <w:unhideWhenUsed/>
    <w:qFormat/>
    <w:uiPriority w:val="99"/>
    <w:rPr>
      <w:sz w:val="18"/>
      <w:szCs w:val="18"/>
    </w:rPr>
  </w:style>
  <w:style w:type="paragraph" w:styleId="13">
    <w:name w:val="footer"/>
    <w:basedOn w:val="1"/>
    <w:link w:val="29"/>
    <w:unhideWhenUsed/>
    <w:qFormat/>
    <w:uiPriority w:val="99"/>
    <w:pPr>
      <w:tabs>
        <w:tab w:val="center" w:pos="4153"/>
        <w:tab w:val="right" w:pos="8306"/>
      </w:tabs>
      <w:snapToGrid w:val="0"/>
      <w:jc w:val="left"/>
    </w:pPr>
    <w:rPr>
      <w:sz w:val="18"/>
      <w:szCs w:val="18"/>
    </w:rPr>
  </w:style>
  <w:style w:type="paragraph" w:styleId="1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link w:val="31"/>
    <w:qFormat/>
    <w:uiPriority w:val="99"/>
    <w:pPr>
      <w:widowControl/>
      <w:spacing w:before="100" w:beforeAutospacing="1" w:afterAutospacing="1"/>
      <w:jc w:val="left"/>
    </w:pPr>
    <w:rPr>
      <w:rFonts w:ascii="宋体" w:hAnsi="宋体"/>
      <w:sz w:val="24"/>
      <w:szCs w:val="24"/>
    </w:rPr>
  </w:style>
  <w:style w:type="paragraph" w:styleId="16">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7">
    <w:name w:val="annotation subject"/>
    <w:basedOn w:val="10"/>
    <w:next w:val="10"/>
    <w:link w:val="38"/>
    <w:semiHidden/>
    <w:unhideWhenUsed/>
    <w:qFormat/>
    <w:uiPriority w:val="99"/>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800080" w:themeColor="followedHyperlink"/>
      <w:u w:val="single"/>
      <w14:textFill>
        <w14:solidFill>
          <w14:schemeClr w14:val="folHlink"/>
        </w14:solidFill>
      </w14:textFill>
    </w:rPr>
  </w:style>
  <w:style w:type="character" w:styleId="24">
    <w:name w:val="Hyperlink"/>
    <w:basedOn w:val="20"/>
    <w:unhideWhenUsed/>
    <w:qFormat/>
    <w:uiPriority w:val="99"/>
    <w:rPr>
      <w:color w:val="0000FF" w:themeColor="hyperlink"/>
      <w:u w:val="single"/>
      <w14:textFill>
        <w14:solidFill>
          <w14:schemeClr w14:val="hlink"/>
        </w14:solidFill>
      </w14:textFill>
    </w:rPr>
  </w:style>
  <w:style w:type="character" w:styleId="25">
    <w:name w:val="annotation reference"/>
    <w:basedOn w:val="20"/>
    <w:semiHidden/>
    <w:unhideWhenUsed/>
    <w:qFormat/>
    <w:uiPriority w:val="99"/>
    <w:rPr>
      <w:sz w:val="21"/>
      <w:szCs w:val="21"/>
    </w:rPr>
  </w:style>
  <w:style w:type="paragraph" w:customStyle="1" w:styleId="26">
    <w:name w:val="正文内容格式"/>
    <w:basedOn w:val="1"/>
    <w:qFormat/>
    <w:uiPriority w:val="0"/>
    <w:pPr>
      <w:widowControl/>
      <w:ind w:firstLine="482"/>
      <w:textAlignment w:val="baseline"/>
    </w:pPr>
    <w:rPr>
      <w:rFonts w:eastAsia="仿宋_GB2312"/>
      <w:kern w:val="0"/>
      <w:sz w:val="28"/>
    </w:rPr>
  </w:style>
  <w:style w:type="paragraph" w:styleId="27">
    <w:name w:val="Quote"/>
    <w:next w:val="1"/>
    <w:qFormat/>
    <w:uiPriority w:val="29"/>
    <w:pPr>
      <w:widowControl w:val="0"/>
      <w:jc w:val="both"/>
    </w:pPr>
    <w:rPr>
      <w:rFonts w:ascii="Calibri" w:hAnsi="Calibri" w:cs="Calibri" w:eastAsiaTheme="minorEastAsia"/>
      <w:i/>
      <w:iCs/>
      <w:color w:val="000000"/>
      <w:kern w:val="2"/>
      <w:sz w:val="22"/>
      <w:szCs w:val="22"/>
      <w:lang w:val="en-US" w:eastAsia="zh-CN" w:bidi="ar-SA"/>
    </w:rPr>
  </w:style>
  <w:style w:type="character" w:customStyle="1" w:styleId="28">
    <w:name w:val="页眉 字符"/>
    <w:basedOn w:val="20"/>
    <w:link w:val="14"/>
    <w:qFormat/>
    <w:uiPriority w:val="99"/>
    <w:rPr>
      <w:sz w:val="18"/>
      <w:szCs w:val="18"/>
    </w:rPr>
  </w:style>
  <w:style w:type="character" w:customStyle="1" w:styleId="29">
    <w:name w:val="页脚 字符"/>
    <w:basedOn w:val="20"/>
    <w:link w:val="13"/>
    <w:qFormat/>
    <w:uiPriority w:val="99"/>
    <w:rPr>
      <w:sz w:val="18"/>
      <w:szCs w:val="18"/>
    </w:rPr>
  </w:style>
  <w:style w:type="character" w:customStyle="1" w:styleId="30">
    <w:name w:val="批注框文本 字符"/>
    <w:basedOn w:val="20"/>
    <w:link w:val="12"/>
    <w:semiHidden/>
    <w:qFormat/>
    <w:uiPriority w:val="99"/>
    <w:rPr>
      <w:sz w:val="18"/>
      <w:szCs w:val="18"/>
    </w:rPr>
  </w:style>
  <w:style w:type="character" w:customStyle="1" w:styleId="31">
    <w:name w:val="普通(网站) 字符"/>
    <w:link w:val="15"/>
    <w:qFormat/>
    <w:uiPriority w:val="99"/>
    <w:rPr>
      <w:rFonts w:ascii="宋体" w:hAnsi="宋体"/>
      <w:sz w:val="24"/>
      <w:szCs w:val="24"/>
    </w:rPr>
  </w:style>
  <w:style w:type="character" w:customStyle="1" w:styleId="32">
    <w:name w:val="标题 1 字符"/>
    <w:basedOn w:val="20"/>
    <w:link w:val="4"/>
    <w:qFormat/>
    <w:uiPriority w:val="0"/>
    <w:rPr>
      <w:rFonts w:ascii="Arial" w:hAnsi="Arial" w:eastAsia="宋体" w:cs="Times New Roman"/>
      <w:b/>
      <w:bCs/>
      <w:kern w:val="44"/>
      <w:sz w:val="44"/>
      <w:szCs w:val="44"/>
    </w:rPr>
  </w:style>
  <w:style w:type="paragraph" w:styleId="33">
    <w:name w:val="List Paragraph"/>
    <w:basedOn w:val="1"/>
    <w:qFormat/>
    <w:uiPriority w:val="34"/>
    <w:pPr>
      <w:ind w:firstLine="420" w:firstLineChars="200"/>
    </w:pPr>
  </w:style>
  <w:style w:type="character" w:customStyle="1" w:styleId="34">
    <w:name w:val="文档结构图 字符"/>
    <w:basedOn w:val="20"/>
    <w:link w:val="9"/>
    <w:semiHidden/>
    <w:qFormat/>
    <w:uiPriority w:val="99"/>
    <w:rPr>
      <w:rFonts w:ascii="宋体" w:eastAsia="宋体"/>
      <w:sz w:val="18"/>
      <w:szCs w:val="18"/>
    </w:rPr>
  </w:style>
  <w:style w:type="character" w:customStyle="1" w:styleId="35">
    <w:name w:val="标题 2 字符"/>
    <w:basedOn w:val="20"/>
    <w:link w:val="5"/>
    <w:semiHidden/>
    <w:qFormat/>
    <w:uiPriority w:val="9"/>
    <w:rPr>
      <w:rFonts w:asciiTheme="majorHAnsi" w:hAnsiTheme="majorHAnsi" w:eastAsiaTheme="majorEastAsia" w:cstheme="majorBidi"/>
      <w:b/>
      <w:bCs/>
      <w:sz w:val="32"/>
      <w:szCs w:val="32"/>
    </w:rPr>
  </w:style>
  <w:style w:type="character" w:customStyle="1" w:styleId="36">
    <w:name w:val="批注文字 字符"/>
    <w:basedOn w:val="20"/>
    <w:link w:val="10"/>
    <w:qFormat/>
    <w:uiPriority w:val="99"/>
  </w:style>
  <w:style w:type="character" w:customStyle="1" w:styleId="37">
    <w:name w:val="标题 3 Char"/>
    <w:qFormat/>
    <w:uiPriority w:val="0"/>
    <w:rPr>
      <w:rFonts w:ascii="黑体" w:eastAsia="黑体"/>
      <w:bCs/>
      <w:sz w:val="30"/>
    </w:rPr>
  </w:style>
  <w:style w:type="character" w:customStyle="1" w:styleId="38">
    <w:name w:val="批注主题 字符"/>
    <w:basedOn w:val="36"/>
    <w:link w:val="17"/>
    <w:semiHidden/>
    <w:qFormat/>
    <w:uiPriority w:val="99"/>
    <w:rPr>
      <w:b/>
      <w:bCs/>
    </w:rPr>
  </w:style>
  <w:style w:type="table" w:customStyle="1" w:styleId="39">
    <w:name w:val="网格型1"/>
    <w:basedOn w:val="18"/>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0">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41">
    <w:name w:val="Normal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3">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4">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5">
    <w:name w:val="font21"/>
    <w:basedOn w:val="20"/>
    <w:qFormat/>
    <w:uiPriority w:val="0"/>
    <w:rPr>
      <w:rFonts w:hint="eastAsia" w:ascii="宋体" w:hAnsi="宋体" w:eastAsia="宋体" w:cs="宋体"/>
      <w:color w:val="000000"/>
      <w:sz w:val="22"/>
      <w:szCs w:val="22"/>
      <w:u w:val="none"/>
    </w:rPr>
  </w:style>
  <w:style w:type="character" w:customStyle="1" w:styleId="46">
    <w:name w:val="font31"/>
    <w:basedOn w:val="20"/>
    <w:qFormat/>
    <w:uiPriority w:val="0"/>
    <w:rPr>
      <w:rFonts w:hint="eastAsia" w:ascii="宋体" w:hAnsi="宋体" w:eastAsia="宋体" w:cs="宋体"/>
      <w:color w:val="000000"/>
      <w:sz w:val="22"/>
      <w:szCs w:val="22"/>
      <w:u w:val="none"/>
    </w:rPr>
  </w:style>
  <w:style w:type="character" w:customStyle="1" w:styleId="47">
    <w:name w:val="font51"/>
    <w:basedOn w:val="20"/>
    <w:qFormat/>
    <w:uiPriority w:val="0"/>
    <w:rPr>
      <w:rFonts w:hint="eastAsia" w:ascii="宋体" w:hAnsi="宋体" w:eastAsia="宋体" w:cs="宋体"/>
      <w:color w:val="000000"/>
      <w:sz w:val="21"/>
      <w:szCs w:val="21"/>
      <w:u w:val="none"/>
    </w:rPr>
  </w:style>
  <w:style w:type="character" w:customStyle="1" w:styleId="48">
    <w:name w:val="font61"/>
    <w:basedOn w:val="20"/>
    <w:qFormat/>
    <w:uiPriority w:val="0"/>
    <w:rPr>
      <w:rFonts w:hint="default" w:ascii="Times New Roman" w:hAnsi="Times New Roman" w:cs="Times New Roman"/>
      <w:color w:val="000000"/>
      <w:sz w:val="21"/>
      <w:szCs w:val="21"/>
      <w:u w:val="none"/>
    </w:rPr>
  </w:style>
  <w:style w:type="paragraph" w:customStyle="1" w:styleId="49">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0">
    <w:name w:val="font41"/>
    <w:qFormat/>
    <w:uiPriority w:val="0"/>
    <w:rPr>
      <w:rFonts w:hint="eastAsia" w:ascii="宋体" w:hAnsi="宋体" w:eastAsia="宋体"/>
      <w:color w:val="000000"/>
      <w:kern w:val="2"/>
      <w:sz w:val="18"/>
      <w:u w:val="none"/>
    </w:rPr>
  </w:style>
  <w:style w:type="paragraph" w:styleId="5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2">
    <w:name w:val="fontstyle01"/>
    <w:basedOn w:val="20"/>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77</Pages>
  <Words>2057</Words>
  <Characters>2080</Characters>
  <Lines>470</Lines>
  <Paragraphs>132</Paragraphs>
  <TotalTime>0</TotalTime>
  <ScaleCrop>false</ScaleCrop>
  <LinksUpToDate>false</LinksUpToDate>
  <CharactersWithSpaces>2083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2024-07-18T08:53:00Z</dcterms:created>
  <dc:creator>win7-1</dc:creator>
  <cp:lastModifiedBy>DELL</cp:lastModifiedBy>
  <cp:lastPrinted>2021-01-15T01:17:00Z</cp:lastPrinted>
  <dcterms:modified xsi:type="dcterms:W3CDTF">2025-07-17T01:22:10Z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6956A0C227A24945881B1AD2A010651A_13</vt:lpwstr>
  </property>
  <property fmtid="{D5CDD505-2E9C-101B-9397-08002B2CF9AE}" pid="4" name="KSOTemplateDocerSaveRecord">
    <vt:lpwstr>eyJoZGlkIjoiMGY2MmJmNThiMzcxMjY3Yzk3ZGE3ZjYyNmIxYzI2MzMiLCJ1c2VySWQiOiI2Mjg1NDE1MTQifQ==</vt:lpwstr>
  </property>
</Properties>
</file>