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9"/>
        <w:tabs>
          <w:tab w:val="left" w:pos="2782"/>
          <w:tab w:val="right" w:pos="8425"/>
        </w:tabs>
        <w:spacing w:line="360" w:lineRule="auto"/>
        <w:ind w:firstLine="0" w:firstLineChars="0"/>
        <w:jc w:val="left"/>
        <w:rPr>
          <w:rFonts w:ascii="宋体" w:hAnsi="宋体" w:eastAsia="宋体"/>
          <w:b/>
          <w:sz w:val="21"/>
          <w:szCs w:val="21"/>
        </w:rPr>
      </w:pPr>
      <w:bookmarkStart w:id="0" w:name="_Toc505689193"/>
      <w:r>
        <w:rPr>
          <w:rFonts w:hint="eastAsia" w:ascii="宋体" w:hAnsi="宋体" w:eastAsia="宋体"/>
          <w:b/>
          <w:sz w:val="21"/>
          <w:szCs w:val="21"/>
          <w:lang w:eastAsia="zh-CN"/>
        </w:rPr>
        <w:tab/>
      </w:r>
      <w:r>
        <w:rPr>
          <w:rFonts w:hint="eastAsia" w:ascii="宋体" w:hAnsi="宋体" w:eastAsia="宋体"/>
          <w:b/>
          <w:sz w:val="21"/>
          <w:szCs w:val="21"/>
          <w:lang w:val="en-US" w:eastAsia="zh-CN"/>
        </w:rPr>
        <w:t xml:space="preserve">                       </w:t>
      </w:r>
      <w:r>
        <w:rPr>
          <w:rFonts w:hint="eastAsia" w:ascii="宋体" w:hAnsi="宋体" w:eastAsia="宋体"/>
          <w:b/>
          <w:sz w:val="21"/>
          <w:szCs w:val="21"/>
        </w:rPr>
        <w:t>甲方合同编号：</w:t>
      </w:r>
    </w:p>
    <w:p>
      <w:pPr>
        <w:pStyle w:val="29"/>
        <w:spacing w:line="360" w:lineRule="auto"/>
        <w:ind w:firstLine="5271" w:firstLineChars="2500"/>
        <w:jc w:val="both"/>
        <w:rPr>
          <w:rFonts w:ascii="宋体" w:hAnsi="宋体" w:eastAsia="宋体"/>
          <w:b/>
          <w:sz w:val="21"/>
          <w:szCs w:val="21"/>
        </w:rPr>
      </w:pPr>
      <w:r>
        <w:rPr>
          <w:rFonts w:hint="eastAsia" w:ascii="宋体" w:hAnsi="宋体" w:eastAsia="宋体"/>
          <w:b/>
          <w:sz w:val="21"/>
          <w:szCs w:val="21"/>
        </w:rPr>
        <w:t>乙方合同编号：</w:t>
      </w:r>
    </w:p>
    <w:p>
      <w:pPr>
        <w:pStyle w:val="29"/>
        <w:spacing w:line="360" w:lineRule="auto"/>
        <w:ind w:firstLine="0" w:firstLineChars="0"/>
        <w:jc w:val="center"/>
        <w:rPr>
          <w:rFonts w:ascii="宋体" w:hAnsi="宋体" w:eastAsia="宋体"/>
          <w:b/>
          <w:sz w:val="40"/>
          <w:szCs w:val="40"/>
        </w:rPr>
      </w:pPr>
      <w:r>
        <w:rPr>
          <w:rFonts w:hint="eastAsia" w:ascii="宋体" w:hAnsi="宋体" w:eastAsia="宋体"/>
          <w:b/>
          <w:sz w:val="40"/>
          <w:szCs w:val="40"/>
          <w:lang w:val="en-US" w:eastAsia="zh-CN"/>
        </w:rPr>
        <w:t>桂林市深能环保有限</w:t>
      </w:r>
      <w:r>
        <w:rPr>
          <w:rFonts w:hint="eastAsia" w:ascii="宋体" w:hAnsi="宋体" w:eastAsia="宋体"/>
          <w:b/>
          <w:sz w:val="40"/>
          <w:szCs w:val="40"/>
        </w:rPr>
        <w:t xml:space="preserve">公司 </w:t>
      </w:r>
    </w:p>
    <w:p>
      <w:pPr>
        <w:pStyle w:val="29"/>
        <w:spacing w:line="360" w:lineRule="auto"/>
        <w:ind w:firstLine="0" w:firstLineChars="0"/>
        <w:jc w:val="center"/>
        <w:rPr>
          <w:rFonts w:ascii="宋体" w:hAnsi="宋体" w:eastAsia="宋体"/>
          <w:b/>
          <w:sz w:val="40"/>
          <w:szCs w:val="40"/>
        </w:rPr>
      </w:pPr>
      <w:r>
        <w:rPr>
          <w:rFonts w:hint="eastAsia" w:ascii="宋体" w:hAnsi="宋体" w:eastAsia="宋体"/>
          <w:b/>
          <w:sz w:val="40"/>
          <w:szCs w:val="40"/>
          <w:lang w:eastAsia="zh-CN"/>
        </w:rPr>
        <w:t>2026年</w:t>
      </w:r>
      <w:r>
        <w:rPr>
          <w:rFonts w:hint="eastAsia" w:ascii="宋体" w:hAnsi="宋体" w:eastAsia="宋体"/>
          <w:b/>
          <w:sz w:val="40"/>
          <w:szCs w:val="40"/>
        </w:rPr>
        <w:t>飞灰稳定化处理</w:t>
      </w:r>
    </w:p>
    <w:p>
      <w:pPr>
        <w:pStyle w:val="29"/>
        <w:spacing w:line="360" w:lineRule="auto"/>
        <w:ind w:firstLine="0" w:firstLineChars="0"/>
        <w:jc w:val="center"/>
        <w:rPr>
          <w:rFonts w:ascii="宋体" w:hAnsi="宋体" w:eastAsia="宋体"/>
          <w:b/>
          <w:sz w:val="40"/>
          <w:szCs w:val="40"/>
        </w:rPr>
      </w:pPr>
      <w:r>
        <w:rPr>
          <w:rFonts w:hint="eastAsia" w:ascii="宋体" w:hAnsi="宋体" w:eastAsia="宋体"/>
          <w:b/>
          <w:sz w:val="40"/>
          <w:szCs w:val="40"/>
        </w:rPr>
        <w:t>承包合同</w:t>
      </w:r>
    </w:p>
    <w:p>
      <w:pPr>
        <w:spacing w:line="360" w:lineRule="auto"/>
        <w:rPr>
          <w:rFonts w:ascii="宋体" w:hAnsi="宋体"/>
          <w:b/>
        </w:rPr>
      </w:pPr>
    </w:p>
    <w:p>
      <w:pPr>
        <w:spacing w:line="360" w:lineRule="auto"/>
        <w:rPr>
          <w:rFonts w:ascii="宋体" w:hAnsi="宋体"/>
        </w:rPr>
      </w:pPr>
    </w:p>
    <w:p>
      <w:pPr>
        <w:spacing w:line="360" w:lineRule="auto"/>
        <w:rPr>
          <w:rFonts w:ascii="宋体" w:hAnsi="宋体"/>
          <w:b/>
          <w:sz w:val="72"/>
        </w:rPr>
      </w:pPr>
      <w:r>
        <w:rPr>
          <w:rFonts w:hint="eastAsia" w:ascii="宋体" w:hAnsi="宋体"/>
        </w:rPr>
        <w:t xml:space="preserve">                  </w:t>
      </w:r>
    </w:p>
    <w:p>
      <w:pPr>
        <w:spacing w:line="360" w:lineRule="auto"/>
        <w:rPr>
          <w:rFonts w:ascii="宋体" w:hAnsi="宋体"/>
          <w:b/>
          <w:sz w:val="32"/>
        </w:rPr>
      </w:pPr>
    </w:p>
    <w:p>
      <w:pPr>
        <w:spacing w:line="360" w:lineRule="auto"/>
        <w:jc w:val="center"/>
        <w:rPr>
          <w:rFonts w:ascii="宋体" w:hAnsi="宋体"/>
          <w:b/>
          <w:sz w:val="44"/>
        </w:rPr>
      </w:pPr>
    </w:p>
    <w:p>
      <w:pPr>
        <w:spacing w:line="360" w:lineRule="auto"/>
        <w:jc w:val="center"/>
        <w:rPr>
          <w:rFonts w:ascii="宋体" w:hAnsi="宋体"/>
          <w:b/>
          <w:sz w:val="44"/>
        </w:rPr>
      </w:pPr>
    </w:p>
    <w:p>
      <w:pPr>
        <w:spacing w:line="360" w:lineRule="auto"/>
        <w:jc w:val="center"/>
        <w:rPr>
          <w:rFonts w:ascii="宋体" w:hAnsi="宋体"/>
          <w:b/>
          <w:sz w:val="44"/>
        </w:rPr>
      </w:pPr>
    </w:p>
    <w:p>
      <w:pPr>
        <w:spacing w:line="360" w:lineRule="auto"/>
        <w:rPr>
          <w:rFonts w:ascii="宋体" w:hAnsi="宋体"/>
          <w:b/>
          <w:sz w:val="44"/>
        </w:rPr>
      </w:pPr>
    </w:p>
    <w:p>
      <w:pPr>
        <w:spacing w:line="360" w:lineRule="auto"/>
        <w:rPr>
          <w:rFonts w:ascii="宋体" w:hAnsi="宋体"/>
          <w:b/>
          <w:sz w:val="44"/>
        </w:rPr>
      </w:pPr>
    </w:p>
    <w:p>
      <w:pPr>
        <w:spacing w:line="360" w:lineRule="auto"/>
        <w:rPr>
          <w:rFonts w:ascii="宋体" w:hAnsi="宋体"/>
          <w:b/>
          <w:sz w:val="44"/>
        </w:rPr>
      </w:pPr>
    </w:p>
    <w:p>
      <w:pPr>
        <w:spacing w:line="360" w:lineRule="auto"/>
        <w:ind w:firstLine="964" w:firstLineChars="300"/>
        <w:rPr>
          <w:rFonts w:ascii="宋体" w:hAnsi="宋体"/>
          <w:b/>
          <w:sz w:val="32"/>
          <w:szCs w:val="32"/>
        </w:rPr>
      </w:pPr>
      <w:r>
        <w:rPr>
          <w:rFonts w:hint="eastAsia" w:ascii="宋体" w:hAnsi="宋体"/>
          <w:b/>
          <w:sz w:val="32"/>
          <w:szCs w:val="32"/>
        </w:rPr>
        <w:t>甲方（发包方）：</w:t>
      </w:r>
      <w:r>
        <w:rPr>
          <w:rFonts w:hint="eastAsia" w:ascii="宋体" w:hAnsi="宋体"/>
          <w:b/>
          <w:sz w:val="32"/>
          <w:szCs w:val="32"/>
          <w:lang w:val="en-US" w:eastAsia="zh-CN"/>
        </w:rPr>
        <w:t>桂林市深能环保有限</w:t>
      </w:r>
      <w:r>
        <w:rPr>
          <w:rFonts w:hint="eastAsia" w:ascii="宋体" w:hAnsi="宋体"/>
          <w:b/>
          <w:sz w:val="32"/>
          <w:szCs w:val="32"/>
        </w:rPr>
        <w:t>公司</w:t>
      </w:r>
    </w:p>
    <w:p>
      <w:pPr>
        <w:spacing w:line="360" w:lineRule="auto"/>
        <w:ind w:firstLine="964" w:firstLineChars="300"/>
        <w:rPr>
          <w:rFonts w:ascii="宋体" w:hAnsi="宋体"/>
          <w:b/>
          <w:sz w:val="32"/>
          <w:szCs w:val="32"/>
        </w:rPr>
      </w:pPr>
      <w:r>
        <w:rPr>
          <w:rFonts w:hint="eastAsia" w:ascii="宋体" w:hAnsi="宋体"/>
          <w:b/>
          <w:sz w:val="32"/>
          <w:szCs w:val="32"/>
        </w:rPr>
        <w:t>乙方（承包方）：深圳市航天新材科技有限公司</w:t>
      </w:r>
    </w:p>
    <w:p>
      <w:pPr>
        <w:spacing w:line="360" w:lineRule="auto"/>
        <w:ind w:firstLine="1928" w:firstLineChars="600"/>
        <w:rPr>
          <w:rFonts w:ascii="宋体" w:hAnsi="宋体"/>
          <w:b/>
          <w:sz w:val="32"/>
          <w:szCs w:val="32"/>
        </w:rPr>
      </w:pPr>
    </w:p>
    <w:p>
      <w:pPr>
        <w:spacing w:line="360" w:lineRule="auto"/>
        <w:jc w:val="center"/>
        <w:rPr>
          <w:rFonts w:ascii="宋体" w:hAnsi="宋体"/>
          <w:b/>
          <w:sz w:val="32"/>
          <w:szCs w:val="32"/>
        </w:rPr>
      </w:pPr>
      <w:r>
        <w:rPr>
          <w:rFonts w:hint="eastAsia" w:ascii="宋体" w:hAnsi="宋体"/>
          <w:b/>
          <w:sz w:val="32"/>
          <w:szCs w:val="32"/>
        </w:rPr>
        <w:t>二○二</w:t>
      </w:r>
      <w:r>
        <w:rPr>
          <w:rFonts w:hint="eastAsia" w:ascii="宋体" w:hAnsi="宋体"/>
          <w:b/>
          <w:sz w:val="32"/>
          <w:szCs w:val="32"/>
          <w:lang w:val="en-US" w:eastAsia="zh-CN"/>
        </w:rPr>
        <w:t>六</w:t>
      </w:r>
      <w:r>
        <w:rPr>
          <w:rFonts w:hint="eastAsia" w:ascii="宋体" w:hAnsi="宋体"/>
          <w:b/>
          <w:color w:val="auto"/>
          <w:sz w:val="32"/>
          <w:szCs w:val="32"/>
          <w:highlight w:val="none"/>
        </w:rPr>
        <w:t>年</w:t>
      </w:r>
      <w:r>
        <w:rPr>
          <w:rFonts w:hint="eastAsia" w:ascii="宋体" w:hAnsi="宋体"/>
          <w:b/>
          <w:color w:val="auto"/>
          <w:sz w:val="32"/>
          <w:szCs w:val="32"/>
          <w:highlight w:val="none"/>
          <w:lang w:val="en-US" w:eastAsia="zh-CN"/>
        </w:rPr>
        <w:t xml:space="preserve"> 七 </w:t>
      </w:r>
      <w:r>
        <w:rPr>
          <w:rFonts w:hint="eastAsia" w:ascii="宋体" w:hAnsi="宋体"/>
          <w:b/>
          <w:color w:val="auto"/>
          <w:sz w:val="32"/>
          <w:szCs w:val="32"/>
          <w:highlight w:val="none"/>
        </w:rPr>
        <w:t>月</w:t>
      </w:r>
    </w:p>
    <w:p>
      <w:pPr>
        <w:pStyle w:val="4"/>
        <w:ind w:firstLine="3935" w:firstLineChars="1400"/>
        <w:rPr>
          <w:rFonts w:hint="eastAsia" w:eastAsia="宋体"/>
          <w:lang w:eastAsia="zh-CN"/>
        </w:rPr>
      </w:pPr>
      <w:r>
        <w:rPr>
          <w:rFonts w:hint="eastAsia" w:hAnsi="宋体"/>
          <w:b/>
          <w:sz w:val="28"/>
          <w:szCs w:val="28"/>
          <w:lang w:val="en-US" w:eastAsia="zh-CN"/>
        </w:rPr>
        <w:t>桂林</w:t>
      </w:r>
    </w:p>
    <w:p>
      <w:pPr>
        <w:pStyle w:val="4"/>
        <w:ind w:firstLine="0" w:firstLineChars="0"/>
      </w:pPr>
    </w:p>
    <w:sdt>
      <w:sdtPr>
        <w:rPr>
          <w:rFonts w:ascii="Times New Roman" w:hAnsi="Times New Roman" w:eastAsia="宋体" w:cs="Times New Roman"/>
          <w:b w:val="0"/>
          <w:bCs w:val="0"/>
          <w:color w:val="auto"/>
          <w:kern w:val="2"/>
          <w:sz w:val="21"/>
          <w:szCs w:val="24"/>
          <w:lang w:val="zh-CN"/>
        </w:rPr>
        <w:id w:val="-1354797911"/>
        <w:docPartObj>
          <w:docPartGallery w:val="Table of Contents"/>
          <w:docPartUnique/>
        </w:docPartObj>
      </w:sdtPr>
      <w:sdtEndPr>
        <w:rPr>
          <w:rFonts w:ascii="宋体" w:hAnsi="宋体" w:eastAsia="宋体" w:cs="Times New Roman"/>
          <w:b w:val="0"/>
          <w:bCs w:val="0"/>
          <w:color w:val="auto"/>
          <w:kern w:val="2"/>
          <w:sz w:val="24"/>
          <w:szCs w:val="24"/>
          <w:lang w:val="zh-CN"/>
        </w:rPr>
      </w:sdtEndPr>
      <w:sdtContent>
        <w:p>
          <w:pPr>
            <w:pStyle w:val="102"/>
            <w:jc w:val="center"/>
            <w:rPr>
              <w:sz w:val="32"/>
              <w:szCs w:val="32"/>
              <w:lang w:val="zh-CN"/>
            </w:rPr>
          </w:pPr>
          <w:r>
            <w:rPr>
              <w:sz w:val="32"/>
              <w:szCs w:val="32"/>
              <w:lang w:val="zh-CN"/>
            </w:rPr>
            <w:t>目录</w:t>
          </w:r>
        </w:p>
        <w:p>
          <w:pPr>
            <w:spacing w:line="360" w:lineRule="auto"/>
            <w:rPr>
              <w:lang w:val="zh-CN"/>
            </w:rPr>
          </w:pPr>
        </w:p>
        <w:p>
          <w:pPr>
            <w:pStyle w:val="30"/>
            <w:rPr>
              <w:rFonts w:asciiTheme="minorHAnsi" w:hAnsiTheme="minorHAnsi" w:eastAsiaTheme="minorEastAsia" w:cstheme="minorBidi"/>
              <w:b w:val="0"/>
              <w:smallCaps w:val="0"/>
              <w:sz w:val="24"/>
              <w:szCs w:val="24"/>
            </w:rPr>
          </w:pPr>
          <w:r>
            <w:rPr>
              <w:b w:val="0"/>
              <w:smallCaps w:val="0"/>
              <w:sz w:val="24"/>
              <w:szCs w:val="24"/>
            </w:rPr>
            <w:fldChar w:fldCharType="begin"/>
          </w:r>
          <w:r>
            <w:rPr>
              <w:sz w:val="24"/>
              <w:szCs w:val="24"/>
            </w:rPr>
            <w:instrText xml:space="preserve"> TOC \o "1-3" \h \z \u </w:instrText>
          </w:r>
          <w:r>
            <w:rPr>
              <w:b w:val="0"/>
              <w:smallCaps w:val="0"/>
              <w:sz w:val="24"/>
              <w:szCs w:val="24"/>
            </w:rPr>
            <w:fldChar w:fldCharType="separate"/>
          </w:r>
          <w:r>
            <w:fldChar w:fldCharType="begin"/>
          </w:r>
          <w:r>
            <w:instrText xml:space="preserve"> HYPERLINK \l "_Toc94196194" </w:instrText>
          </w:r>
          <w:r>
            <w:fldChar w:fldCharType="separate"/>
          </w:r>
          <w:r>
            <w:rPr>
              <w:rStyle w:val="42"/>
              <w:rFonts w:ascii="黑体" w:eastAsia="黑体"/>
              <w:sz w:val="24"/>
              <w:szCs w:val="24"/>
            </w:rPr>
            <w:t>一、</w:t>
          </w:r>
          <w:r>
            <w:rPr>
              <w:rFonts w:asciiTheme="minorHAnsi" w:hAnsiTheme="minorHAnsi" w:eastAsiaTheme="minorEastAsia" w:cstheme="minorBidi"/>
              <w:b w:val="0"/>
              <w:smallCaps w:val="0"/>
              <w:sz w:val="24"/>
              <w:szCs w:val="24"/>
            </w:rPr>
            <w:tab/>
          </w:r>
          <w:r>
            <w:rPr>
              <w:rStyle w:val="42"/>
              <w:rFonts w:ascii="黑体" w:eastAsia="黑体"/>
              <w:sz w:val="24"/>
              <w:szCs w:val="24"/>
            </w:rPr>
            <w:t>承包范围和业务内容</w:t>
          </w:r>
          <w:r>
            <w:rPr>
              <w:sz w:val="24"/>
              <w:szCs w:val="24"/>
            </w:rPr>
            <w:tab/>
          </w:r>
          <w:r>
            <w:rPr>
              <w:sz w:val="24"/>
              <w:szCs w:val="24"/>
            </w:rPr>
            <w:fldChar w:fldCharType="begin"/>
          </w:r>
          <w:r>
            <w:rPr>
              <w:sz w:val="24"/>
              <w:szCs w:val="24"/>
            </w:rPr>
            <w:instrText xml:space="preserve"> PAGEREF _Toc94196194 \h </w:instrText>
          </w:r>
          <w:r>
            <w:rPr>
              <w:sz w:val="24"/>
              <w:szCs w:val="24"/>
            </w:rPr>
            <w:fldChar w:fldCharType="separate"/>
          </w:r>
          <w:r>
            <w:rPr>
              <w:sz w:val="24"/>
              <w:szCs w:val="24"/>
            </w:rPr>
            <w:t>1</w:t>
          </w:r>
          <w:r>
            <w:rPr>
              <w:sz w:val="24"/>
              <w:szCs w:val="24"/>
            </w:rPr>
            <w:fldChar w:fldCharType="end"/>
          </w:r>
          <w:r>
            <w:rPr>
              <w:sz w:val="24"/>
              <w:szCs w:val="24"/>
            </w:rPr>
            <w:fldChar w:fldCharType="end"/>
          </w:r>
        </w:p>
        <w:p>
          <w:pPr>
            <w:pStyle w:val="30"/>
            <w:rPr>
              <w:rFonts w:asciiTheme="minorHAnsi" w:hAnsiTheme="minorHAnsi" w:eastAsiaTheme="minorEastAsia" w:cstheme="minorBidi"/>
              <w:b w:val="0"/>
              <w:smallCaps w:val="0"/>
              <w:sz w:val="24"/>
              <w:szCs w:val="24"/>
            </w:rPr>
          </w:pPr>
          <w:r>
            <w:fldChar w:fldCharType="begin"/>
          </w:r>
          <w:r>
            <w:instrText xml:space="preserve"> HYPERLINK \l "_Toc94196195" </w:instrText>
          </w:r>
          <w:r>
            <w:fldChar w:fldCharType="separate"/>
          </w:r>
          <w:r>
            <w:rPr>
              <w:rStyle w:val="42"/>
              <w:rFonts w:ascii="黑体" w:eastAsia="黑体"/>
              <w:sz w:val="24"/>
              <w:szCs w:val="24"/>
            </w:rPr>
            <w:t>二、</w:t>
          </w:r>
          <w:r>
            <w:rPr>
              <w:rFonts w:asciiTheme="minorHAnsi" w:hAnsiTheme="minorHAnsi" w:eastAsiaTheme="minorEastAsia" w:cstheme="minorBidi"/>
              <w:b w:val="0"/>
              <w:smallCaps w:val="0"/>
              <w:sz w:val="24"/>
              <w:szCs w:val="24"/>
            </w:rPr>
            <w:tab/>
          </w:r>
          <w:r>
            <w:rPr>
              <w:rStyle w:val="42"/>
              <w:rFonts w:ascii="黑体" w:eastAsia="黑体"/>
              <w:sz w:val="24"/>
              <w:szCs w:val="24"/>
            </w:rPr>
            <w:t>承包方式</w:t>
          </w:r>
          <w:r>
            <w:rPr>
              <w:sz w:val="24"/>
              <w:szCs w:val="24"/>
            </w:rPr>
            <w:tab/>
          </w:r>
          <w:r>
            <w:rPr>
              <w:sz w:val="24"/>
              <w:szCs w:val="24"/>
            </w:rPr>
            <w:fldChar w:fldCharType="begin"/>
          </w:r>
          <w:r>
            <w:rPr>
              <w:sz w:val="24"/>
              <w:szCs w:val="24"/>
            </w:rPr>
            <w:instrText xml:space="preserve"> PAGEREF _Toc94196195 \h </w:instrText>
          </w:r>
          <w:r>
            <w:rPr>
              <w:sz w:val="24"/>
              <w:szCs w:val="24"/>
            </w:rPr>
            <w:fldChar w:fldCharType="separate"/>
          </w:r>
          <w:r>
            <w:rPr>
              <w:sz w:val="24"/>
              <w:szCs w:val="24"/>
            </w:rPr>
            <w:t>1</w:t>
          </w:r>
          <w:r>
            <w:rPr>
              <w:sz w:val="24"/>
              <w:szCs w:val="24"/>
            </w:rPr>
            <w:fldChar w:fldCharType="end"/>
          </w:r>
          <w:r>
            <w:rPr>
              <w:sz w:val="24"/>
              <w:szCs w:val="24"/>
            </w:rPr>
            <w:fldChar w:fldCharType="end"/>
          </w:r>
        </w:p>
        <w:p>
          <w:pPr>
            <w:pStyle w:val="30"/>
            <w:rPr>
              <w:rFonts w:asciiTheme="minorHAnsi" w:hAnsiTheme="minorHAnsi" w:eastAsiaTheme="minorEastAsia" w:cstheme="minorBidi"/>
              <w:b w:val="0"/>
              <w:smallCaps w:val="0"/>
              <w:sz w:val="24"/>
              <w:szCs w:val="24"/>
            </w:rPr>
          </w:pPr>
          <w:r>
            <w:fldChar w:fldCharType="begin"/>
          </w:r>
          <w:r>
            <w:instrText xml:space="preserve"> HYPERLINK \l "_Toc94196196" </w:instrText>
          </w:r>
          <w:r>
            <w:fldChar w:fldCharType="separate"/>
          </w:r>
          <w:r>
            <w:rPr>
              <w:rStyle w:val="42"/>
              <w:rFonts w:ascii="黑体" w:eastAsia="黑体"/>
              <w:sz w:val="24"/>
              <w:szCs w:val="24"/>
            </w:rPr>
            <w:t>三、</w:t>
          </w:r>
          <w:r>
            <w:rPr>
              <w:rFonts w:asciiTheme="minorHAnsi" w:hAnsiTheme="minorHAnsi" w:eastAsiaTheme="minorEastAsia" w:cstheme="minorBidi"/>
              <w:b w:val="0"/>
              <w:smallCaps w:val="0"/>
              <w:sz w:val="24"/>
              <w:szCs w:val="24"/>
            </w:rPr>
            <w:tab/>
          </w:r>
          <w:r>
            <w:rPr>
              <w:rStyle w:val="42"/>
              <w:rFonts w:ascii="黑体" w:eastAsia="黑体"/>
              <w:sz w:val="24"/>
              <w:szCs w:val="24"/>
            </w:rPr>
            <w:t>服务期限</w:t>
          </w:r>
          <w:r>
            <w:rPr>
              <w:sz w:val="24"/>
              <w:szCs w:val="24"/>
            </w:rPr>
            <w:tab/>
          </w:r>
          <w:r>
            <w:rPr>
              <w:sz w:val="24"/>
              <w:szCs w:val="24"/>
            </w:rPr>
            <w:fldChar w:fldCharType="begin"/>
          </w:r>
          <w:r>
            <w:rPr>
              <w:sz w:val="24"/>
              <w:szCs w:val="24"/>
            </w:rPr>
            <w:instrText xml:space="preserve"> PAGEREF _Toc94196196 \h </w:instrText>
          </w:r>
          <w:r>
            <w:rPr>
              <w:sz w:val="24"/>
              <w:szCs w:val="24"/>
            </w:rPr>
            <w:fldChar w:fldCharType="separate"/>
          </w:r>
          <w:r>
            <w:rPr>
              <w:sz w:val="24"/>
              <w:szCs w:val="24"/>
            </w:rPr>
            <w:t>1</w:t>
          </w:r>
          <w:r>
            <w:rPr>
              <w:sz w:val="24"/>
              <w:szCs w:val="24"/>
            </w:rPr>
            <w:fldChar w:fldCharType="end"/>
          </w:r>
          <w:r>
            <w:rPr>
              <w:sz w:val="24"/>
              <w:szCs w:val="24"/>
            </w:rPr>
            <w:fldChar w:fldCharType="end"/>
          </w:r>
        </w:p>
        <w:p>
          <w:pPr>
            <w:pStyle w:val="30"/>
            <w:rPr>
              <w:rFonts w:asciiTheme="minorHAnsi" w:hAnsiTheme="minorHAnsi" w:eastAsiaTheme="minorEastAsia" w:cstheme="minorBidi"/>
              <w:b w:val="0"/>
              <w:smallCaps w:val="0"/>
              <w:sz w:val="24"/>
              <w:szCs w:val="24"/>
            </w:rPr>
          </w:pPr>
          <w:r>
            <w:fldChar w:fldCharType="begin"/>
          </w:r>
          <w:r>
            <w:instrText xml:space="preserve"> HYPERLINK \l "_Toc94196197" </w:instrText>
          </w:r>
          <w:r>
            <w:fldChar w:fldCharType="separate"/>
          </w:r>
          <w:r>
            <w:rPr>
              <w:rStyle w:val="42"/>
              <w:rFonts w:ascii="黑体" w:eastAsia="黑体"/>
              <w:sz w:val="24"/>
              <w:szCs w:val="24"/>
            </w:rPr>
            <w:t>四、</w:t>
          </w:r>
          <w:r>
            <w:rPr>
              <w:rFonts w:asciiTheme="minorHAnsi" w:hAnsiTheme="minorHAnsi" w:eastAsiaTheme="minorEastAsia" w:cstheme="minorBidi"/>
              <w:b w:val="0"/>
              <w:smallCaps w:val="0"/>
              <w:sz w:val="24"/>
              <w:szCs w:val="24"/>
            </w:rPr>
            <w:tab/>
          </w:r>
          <w:r>
            <w:rPr>
              <w:rStyle w:val="42"/>
              <w:rFonts w:ascii="黑体" w:eastAsia="黑体"/>
              <w:sz w:val="24"/>
              <w:szCs w:val="24"/>
            </w:rPr>
            <w:t>合同价格</w:t>
          </w:r>
          <w:r>
            <w:rPr>
              <w:sz w:val="24"/>
              <w:szCs w:val="24"/>
            </w:rPr>
            <w:tab/>
          </w:r>
          <w:r>
            <w:rPr>
              <w:sz w:val="24"/>
              <w:szCs w:val="24"/>
            </w:rPr>
            <w:fldChar w:fldCharType="begin"/>
          </w:r>
          <w:r>
            <w:rPr>
              <w:sz w:val="24"/>
              <w:szCs w:val="24"/>
            </w:rPr>
            <w:instrText xml:space="preserve"> PAGEREF _Toc94196197 \h </w:instrText>
          </w:r>
          <w:r>
            <w:rPr>
              <w:sz w:val="24"/>
              <w:szCs w:val="24"/>
            </w:rPr>
            <w:fldChar w:fldCharType="separate"/>
          </w:r>
          <w:r>
            <w:rPr>
              <w:sz w:val="24"/>
              <w:szCs w:val="24"/>
            </w:rPr>
            <w:t>1</w:t>
          </w:r>
          <w:r>
            <w:rPr>
              <w:sz w:val="24"/>
              <w:szCs w:val="24"/>
            </w:rPr>
            <w:fldChar w:fldCharType="end"/>
          </w:r>
          <w:r>
            <w:rPr>
              <w:sz w:val="24"/>
              <w:szCs w:val="24"/>
            </w:rPr>
            <w:fldChar w:fldCharType="end"/>
          </w:r>
        </w:p>
        <w:p>
          <w:pPr>
            <w:pStyle w:val="30"/>
            <w:rPr>
              <w:rFonts w:asciiTheme="minorHAnsi" w:hAnsiTheme="minorHAnsi" w:eastAsiaTheme="minorEastAsia" w:cstheme="minorBidi"/>
              <w:b w:val="0"/>
              <w:smallCaps w:val="0"/>
              <w:sz w:val="24"/>
              <w:szCs w:val="24"/>
            </w:rPr>
          </w:pPr>
          <w:r>
            <w:fldChar w:fldCharType="begin"/>
          </w:r>
          <w:r>
            <w:instrText xml:space="preserve"> HYPERLINK \l "_Toc94196198" </w:instrText>
          </w:r>
          <w:r>
            <w:fldChar w:fldCharType="separate"/>
          </w:r>
          <w:r>
            <w:rPr>
              <w:rStyle w:val="42"/>
              <w:rFonts w:ascii="黑体" w:eastAsia="黑体"/>
              <w:sz w:val="24"/>
              <w:szCs w:val="24"/>
            </w:rPr>
            <w:t>五、</w:t>
          </w:r>
          <w:r>
            <w:rPr>
              <w:rFonts w:asciiTheme="minorHAnsi" w:hAnsiTheme="minorHAnsi" w:eastAsiaTheme="minorEastAsia" w:cstheme="minorBidi"/>
              <w:b w:val="0"/>
              <w:smallCaps w:val="0"/>
              <w:sz w:val="24"/>
              <w:szCs w:val="24"/>
            </w:rPr>
            <w:tab/>
          </w:r>
          <w:r>
            <w:rPr>
              <w:rStyle w:val="42"/>
              <w:rFonts w:ascii="黑体" w:eastAsia="黑体"/>
              <w:sz w:val="24"/>
              <w:szCs w:val="24"/>
            </w:rPr>
            <w:t>付款方式</w:t>
          </w:r>
          <w:r>
            <w:rPr>
              <w:sz w:val="24"/>
              <w:szCs w:val="24"/>
            </w:rPr>
            <w:tab/>
          </w:r>
          <w:r>
            <w:rPr>
              <w:sz w:val="24"/>
              <w:szCs w:val="24"/>
            </w:rPr>
            <w:fldChar w:fldCharType="begin"/>
          </w:r>
          <w:r>
            <w:rPr>
              <w:sz w:val="24"/>
              <w:szCs w:val="24"/>
            </w:rPr>
            <w:instrText xml:space="preserve"> PAGEREF _Toc94196198 \h </w:instrText>
          </w:r>
          <w:r>
            <w:rPr>
              <w:sz w:val="24"/>
              <w:szCs w:val="24"/>
            </w:rPr>
            <w:fldChar w:fldCharType="separate"/>
          </w:r>
          <w:r>
            <w:rPr>
              <w:sz w:val="24"/>
              <w:szCs w:val="24"/>
            </w:rPr>
            <w:t>3</w:t>
          </w:r>
          <w:r>
            <w:rPr>
              <w:sz w:val="24"/>
              <w:szCs w:val="24"/>
            </w:rPr>
            <w:fldChar w:fldCharType="end"/>
          </w:r>
          <w:r>
            <w:rPr>
              <w:sz w:val="24"/>
              <w:szCs w:val="24"/>
            </w:rPr>
            <w:fldChar w:fldCharType="end"/>
          </w:r>
        </w:p>
        <w:p>
          <w:pPr>
            <w:pStyle w:val="30"/>
            <w:rPr>
              <w:rFonts w:asciiTheme="minorHAnsi" w:hAnsiTheme="minorHAnsi" w:eastAsiaTheme="minorEastAsia" w:cstheme="minorBidi"/>
              <w:b w:val="0"/>
              <w:smallCaps w:val="0"/>
              <w:sz w:val="24"/>
              <w:szCs w:val="24"/>
            </w:rPr>
          </w:pPr>
          <w:r>
            <w:fldChar w:fldCharType="begin"/>
          </w:r>
          <w:r>
            <w:instrText xml:space="preserve"> HYPERLINK \l "_Toc94196199" </w:instrText>
          </w:r>
          <w:r>
            <w:fldChar w:fldCharType="separate"/>
          </w:r>
          <w:r>
            <w:rPr>
              <w:rStyle w:val="42"/>
              <w:rFonts w:ascii="黑体" w:eastAsia="黑体"/>
              <w:sz w:val="24"/>
              <w:szCs w:val="24"/>
            </w:rPr>
            <w:t>六、</w:t>
          </w:r>
          <w:r>
            <w:rPr>
              <w:rFonts w:asciiTheme="minorHAnsi" w:hAnsiTheme="minorHAnsi" w:eastAsiaTheme="minorEastAsia" w:cstheme="minorBidi"/>
              <w:b w:val="0"/>
              <w:smallCaps w:val="0"/>
              <w:sz w:val="24"/>
              <w:szCs w:val="24"/>
            </w:rPr>
            <w:tab/>
          </w:r>
          <w:r>
            <w:rPr>
              <w:rStyle w:val="42"/>
              <w:rFonts w:ascii="黑体" w:eastAsia="黑体"/>
              <w:sz w:val="24"/>
              <w:szCs w:val="24"/>
            </w:rPr>
            <w:t>乙方郑重承诺</w:t>
          </w:r>
          <w:r>
            <w:rPr>
              <w:sz w:val="24"/>
              <w:szCs w:val="24"/>
            </w:rPr>
            <w:tab/>
          </w:r>
          <w:r>
            <w:rPr>
              <w:sz w:val="24"/>
              <w:szCs w:val="24"/>
            </w:rPr>
            <w:fldChar w:fldCharType="begin"/>
          </w:r>
          <w:r>
            <w:rPr>
              <w:sz w:val="24"/>
              <w:szCs w:val="24"/>
            </w:rPr>
            <w:instrText xml:space="preserve"> PAGEREF _Toc94196199 \h </w:instrText>
          </w:r>
          <w:r>
            <w:rPr>
              <w:sz w:val="24"/>
              <w:szCs w:val="24"/>
            </w:rPr>
            <w:fldChar w:fldCharType="separate"/>
          </w:r>
          <w:r>
            <w:rPr>
              <w:sz w:val="24"/>
              <w:szCs w:val="24"/>
            </w:rPr>
            <w:t>4</w:t>
          </w:r>
          <w:r>
            <w:rPr>
              <w:sz w:val="24"/>
              <w:szCs w:val="24"/>
            </w:rPr>
            <w:fldChar w:fldCharType="end"/>
          </w:r>
          <w:r>
            <w:rPr>
              <w:sz w:val="24"/>
              <w:szCs w:val="24"/>
            </w:rPr>
            <w:fldChar w:fldCharType="end"/>
          </w:r>
        </w:p>
        <w:p>
          <w:pPr>
            <w:pStyle w:val="30"/>
            <w:rPr>
              <w:rFonts w:asciiTheme="minorHAnsi" w:hAnsiTheme="minorHAnsi" w:eastAsiaTheme="minorEastAsia" w:cstheme="minorBidi"/>
              <w:b w:val="0"/>
              <w:smallCaps w:val="0"/>
              <w:sz w:val="24"/>
              <w:szCs w:val="24"/>
            </w:rPr>
          </w:pPr>
          <w:r>
            <w:fldChar w:fldCharType="begin"/>
          </w:r>
          <w:r>
            <w:instrText xml:space="preserve"> HYPERLINK \l "_Toc94196200" </w:instrText>
          </w:r>
          <w:r>
            <w:fldChar w:fldCharType="separate"/>
          </w:r>
          <w:r>
            <w:rPr>
              <w:rStyle w:val="42"/>
              <w:rFonts w:ascii="黑体" w:eastAsia="黑体"/>
              <w:sz w:val="24"/>
              <w:szCs w:val="24"/>
            </w:rPr>
            <w:t>七、</w:t>
          </w:r>
          <w:r>
            <w:rPr>
              <w:rFonts w:asciiTheme="minorHAnsi" w:hAnsiTheme="minorHAnsi" w:eastAsiaTheme="minorEastAsia" w:cstheme="minorBidi"/>
              <w:b w:val="0"/>
              <w:smallCaps w:val="0"/>
              <w:sz w:val="24"/>
              <w:szCs w:val="24"/>
            </w:rPr>
            <w:tab/>
          </w:r>
          <w:r>
            <w:rPr>
              <w:rStyle w:val="42"/>
              <w:rFonts w:ascii="黑体" w:eastAsia="黑体"/>
              <w:sz w:val="24"/>
              <w:szCs w:val="24"/>
            </w:rPr>
            <w:t>乙方的责任和义务</w:t>
          </w:r>
          <w:r>
            <w:rPr>
              <w:sz w:val="24"/>
              <w:szCs w:val="24"/>
            </w:rPr>
            <w:tab/>
          </w:r>
          <w:r>
            <w:rPr>
              <w:sz w:val="24"/>
              <w:szCs w:val="24"/>
            </w:rPr>
            <w:fldChar w:fldCharType="begin"/>
          </w:r>
          <w:r>
            <w:rPr>
              <w:sz w:val="24"/>
              <w:szCs w:val="24"/>
            </w:rPr>
            <w:instrText xml:space="preserve"> PAGEREF _Toc94196200 \h </w:instrText>
          </w:r>
          <w:r>
            <w:rPr>
              <w:sz w:val="24"/>
              <w:szCs w:val="24"/>
            </w:rPr>
            <w:fldChar w:fldCharType="separate"/>
          </w:r>
          <w:r>
            <w:rPr>
              <w:sz w:val="24"/>
              <w:szCs w:val="24"/>
            </w:rPr>
            <w:t>5</w:t>
          </w:r>
          <w:r>
            <w:rPr>
              <w:sz w:val="24"/>
              <w:szCs w:val="24"/>
            </w:rPr>
            <w:fldChar w:fldCharType="end"/>
          </w:r>
          <w:r>
            <w:rPr>
              <w:sz w:val="24"/>
              <w:szCs w:val="24"/>
            </w:rPr>
            <w:fldChar w:fldCharType="end"/>
          </w:r>
        </w:p>
        <w:p>
          <w:pPr>
            <w:pStyle w:val="30"/>
            <w:rPr>
              <w:rFonts w:asciiTheme="minorHAnsi" w:hAnsiTheme="minorHAnsi" w:eastAsiaTheme="minorEastAsia" w:cstheme="minorBidi"/>
              <w:b w:val="0"/>
              <w:smallCaps w:val="0"/>
              <w:sz w:val="24"/>
              <w:szCs w:val="24"/>
            </w:rPr>
          </w:pPr>
          <w:r>
            <w:fldChar w:fldCharType="begin"/>
          </w:r>
          <w:r>
            <w:instrText xml:space="preserve"> HYPERLINK \l "_Toc94196201" </w:instrText>
          </w:r>
          <w:r>
            <w:fldChar w:fldCharType="separate"/>
          </w:r>
          <w:r>
            <w:rPr>
              <w:rStyle w:val="42"/>
              <w:rFonts w:ascii="黑体" w:eastAsia="黑体"/>
              <w:sz w:val="24"/>
              <w:szCs w:val="24"/>
            </w:rPr>
            <w:t>八、</w:t>
          </w:r>
          <w:r>
            <w:rPr>
              <w:rFonts w:asciiTheme="minorHAnsi" w:hAnsiTheme="minorHAnsi" w:eastAsiaTheme="minorEastAsia" w:cstheme="minorBidi"/>
              <w:b w:val="0"/>
              <w:smallCaps w:val="0"/>
              <w:sz w:val="24"/>
              <w:szCs w:val="24"/>
            </w:rPr>
            <w:tab/>
          </w:r>
          <w:r>
            <w:rPr>
              <w:rStyle w:val="42"/>
              <w:rFonts w:ascii="黑体" w:eastAsia="黑体"/>
              <w:sz w:val="24"/>
              <w:szCs w:val="24"/>
            </w:rPr>
            <w:t>甲方的责任和义务</w:t>
          </w:r>
          <w:r>
            <w:rPr>
              <w:sz w:val="24"/>
              <w:szCs w:val="24"/>
            </w:rPr>
            <w:tab/>
          </w:r>
          <w:r>
            <w:rPr>
              <w:sz w:val="24"/>
              <w:szCs w:val="24"/>
            </w:rPr>
            <w:fldChar w:fldCharType="begin"/>
          </w:r>
          <w:r>
            <w:rPr>
              <w:sz w:val="24"/>
              <w:szCs w:val="24"/>
            </w:rPr>
            <w:instrText xml:space="preserve"> PAGEREF _Toc94196201 \h </w:instrText>
          </w:r>
          <w:r>
            <w:rPr>
              <w:sz w:val="24"/>
              <w:szCs w:val="24"/>
            </w:rPr>
            <w:fldChar w:fldCharType="separate"/>
          </w:r>
          <w:r>
            <w:rPr>
              <w:sz w:val="24"/>
              <w:szCs w:val="24"/>
            </w:rPr>
            <w:t>8</w:t>
          </w:r>
          <w:r>
            <w:rPr>
              <w:sz w:val="24"/>
              <w:szCs w:val="24"/>
            </w:rPr>
            <w:fldChar w:fldCharType="end"/>
          </w:r>
          <w:r>
            <w:rPr>
              <w:sz w:val="24"/>
              <w:szCs w:val="24"/>
            </w:rPr>
            <w:fldChar w:fldCharType="end"/>
          </w:r>
        </w:p>
        <w:p>
          <w:pPr>
            <w:pStyle w:val="30"/>
            <w:rPr>
              <w:rFonts w:asciiTheme="minorHAnsi" w:hAnsiTheme="minorHAnsi" w:eastAsiaTheme="minorEastAsia" w:cstheme="minorBidi"/>
              <w:b w:val="0"/>
              <w:smallCaps w:val="0"/>
              <w:sz w:val="24"/>
              <w:szCs w:val="24"/>
            </w:rPr>
          </w:pPr>
          <w:r>
            <w:fldChar w:fldCharType="begin"/>
          </w:r>
          <w:r>
            <w:instrText xml:space="preserve"> HYPERLINK \l "_Toc94196202" </w:instrText>
          </w:r>
          <w:r>
            <w:fldChar w:fldCharType="separate"/>
          </w:r>
          <w:r>
            <w:rPr>
              <w:rStyle w:val="42"/>
              <w:rFonts w:ascii="黑体" w:eastAsia="黑体"/>
              <w:sz w:val="24"/>
              <w:szCs w:val="24"/>
            </w:rPr>
            <w:t>九、</w:t>
          </w:r>
          <w:r>
            <w:rPr>
              <w:rFonts w:asciiTheme="minorHAnsi" w:hAnsiTheme="minorHAnsi" w:eastAsiaTheme="minorEastAsia" w:cstheme="minorBidi"/>
              <w:b w:val="0"/>
              <w:smallCaps w:val="0"/>
              <w:sz w:val="24"/>
              <w:szCs w:val="24"/>
            </w:rPr>
            <w:tab/>
          </w:r>
          <w:r>
            <w:rPr>
              <w:rStyle w:val="42"/>
              <w:rFonts w:ascii="黑体" w:eastAsia="黑体"/>
              <w:sz w:val="24"/>
              <w:szCs w:val="24"/>
            </w:rPr>
            <w:t>乙方指定的项目经理</w:t>
          </w:r>
          <w:r>
            <w:rPr>
              <w:sz w:val="24"/>
              <w:szCs w:val="24"/>
            </w:rPr>
            <w:tab/>
          </w:r>
          <w:r>
            <w:rPr>
              <w:sz w:val="24"/>
              <w:szCs w:val="24"/>
            </w:rPr>
            <w:fldChar w:fldCharType="begin"/>
          </w:r>
          <w:r>
            <w:rPr>
              <w:sz w:val="24"/>
              <w:szCs w:val="24"/>
            </w:rPr>
            <w:instrText xml:space="preserve"> PAGEREF _Toc94196202 \h </w:instrText>
          </w:r>
          <w:r>
            <w:rPr>
              <w:sz w:val="24"/>
              <w:szCs w:val="24"/>
            </w:rPr>
            <w:fldChar w:fldCharType="separate"/>
          </w:r>
          <w:r>
            <w:rPr>
              <w:sz w:val="24"/>
              <w:szCs w:val="24"/>
            </w:rPr>
            <w:t>9</w:t>
          </w:r>
          <w:r>
            <w:rPr>
              <w:sz w:val="24"/>
              <w:szCs w:val="24"/>
            </w:rPr>
            <w:fldChar w:fldCharType="end"/>
          </w:r>
          <w:r>
            <w:rPr>
              <w:sz w:val="24"/>
              <w:szCs w:val="24"/>
            </w:rPr>
            <w:fldChar w:fldCharType="end"/>
          </w:r>
        </w:p>
        <w:p>
          <w:pPr>
            <w:pStyle w:val="30"/>
            <w:rPr>
              <w:rFonts w:asciiTheme="minorHAnsi" w:hAnsiTheme="minorHAnsi" w:eastAsiaTheme="minorEastAsia" w:cstheme="minorBidi"/>
              <w:b w:val="0"/>
              <w:smallCaps w:val="0"/>
              <w:sz w:val="24"/>
              <w:szCs w:val="24"/>
            </w:rPr>
          </w:pPr>
          <w:r>
            <w:fldChar w:fldCharType="begin"/>
          </w:r>
          <w:r>
            <w:instrText xml:space="preserve"> HYPERLINK \l "_Toc94196203" </w:instrText>
          </w:r>
          <w:r>
            <w:fldChar w:fldCharType="separate"/>
          </w:r>
          <w:r>
            <w:rPr>
              <w:rStyle w:val="42"/>
              <w:rFonts w:ascii="黑体" w:hAnsi="黑体" w:eastAsia="黑体"/>
              <w:sz w:val="24"/>
              <w:szCs w:val="24"/>
            </w:rPr>
            <w:t>十、</w:t>
          </w:r>
          <w:r>
            <w:rPr>
              <w:rFonts w:asciiTheme="minorHAnsi" w:hAnsiTheme="minorHAnsi" w:eastAsiaTheme="minorEastAsia" w:cstheme="minorBidi"/>
              <w:b w:val="0"/>
              <w:smallCaps w:val="0"/>
              <w:sz w:val="24"/>
              <w:szCs w:val="24"/>
            </w:rPr>
            <w:tab/>
          </w:r>
          <w:r>
            <w:rPr>
              <w:rStyle w:val="42"/>
              <w:rFonts w:ascii="黑体" w:hAnsi="黑体" w:eastAsia="黑体"/>
              <w:sz w:val="24"/>
              <w:szCs w:val="24"/>
            </w:rPr>
            <w:t>服务及运营管理要求</w:t>
          </w:r>
          <w:r>
            <w:rPr>
              <w:sz w:val="24"/>
              <w:szCs w:val="24"/>
            </w:rPr>
            <w:tab/>
          </w:r>
          <w:r>
            <w:rPr>
              <w:sz w:val="24"/>
              <w:szCs w:val="24"/>
            </w:rPr>
            <w:fldChar w:fldCharType="begin"/>
          </w:r>
          <w:r>
            <w:rPr>
              <w:sz w:val="24"/>
              <w:szCs w:val="24"/>
            </w:rPr>
            <w:instrText xml:space="preserve"> PAGEREF _Toc94196203 \h </w:instrText>
          </w:r>
          <w:r>
            <w:rPr>
              <w:sz w:val="24"/>
              <w:szCs w:val="24"/>
            </w:rPr>
            <w:fldChar w:fldCharType="separate"/>
          </w:r>
          <w:r>
            <w:rPr>
              <w:sz w:val="24"/>
              <w:szCs w:val="24"/>
            </w:rPr>
            <w:t>9</w:t>
          </w:r>
          <w:r>
            <w:rPr>
              <w:sz w:val="24"/>
              <w:szCs w:val="24"/>
            </w:rPr>
            <w:fldChar w:fldCharType="end"/>
          </w:r>
          <w:r>
            <w:rPr>
              <w:sz w:val="24"/>
              <w:szCs w:val="24"/>
            </w:rPr>
            <w:fldChar w:fldCharType="end"/>
          </w:r>
        </w:p>
        <w:p>
          <w:pPr>
            <w:pStyle w:val="30"/>
            <w:rPr>
              <w:rFonts w:asciiTheme="minorHAnsi" w:hAnsiTheme="minorHAnsi" w:eastAsiaTheme="minorEastAsia" w:cstheme="minorBidi"/>
              <w:b w:val="0"/>
              <w:smallCaps w:val="0"/>
              <w:sz w:val="24"/>
              <w:szCs w:val="24"/>
            </w:rPr>
          </w:pPr>
          <w:r>
            <w:fldChar w:fldCharType="begin"/>
          </w:r>
          <w:r>
            <w:instrText xml:space="preserve"> HYPERLINK \l "_Toc94196204" </w:instrText>
          </w:r>
          <w:r>
            <w:fldChar w:fldCharType="separate"/>
          </w:r>
          <w:r>
            <w:rPr>
              <w:rStyle w:val="42"/>
              <w:rFonts w:ascii="黑体" w:hAnsi="黑体" w:eastAsia="黑体"/>
              <w:sz w:val="24"/>
              <w:szCs w:val="24"/>
            </w:rPr>
            <w:t>十一、</w:t>
          </w:r>
          <w:r>
            <w:rPr>
              <w:rFonts w:asciiTheme="minorHAnsi" w:hAnsiTheme="minorHAnsi" w:eastAsiaTheme="minorEastAsia" w:cstheme="minorBidi"/>
              <w:b w:val="0"/>
              <w:smallCaps w:val="0"/>
              <w:sz w:val="24"/>
              <w:szCs w:val="24"/>
            </w:rPr>
            <w:tab/>
          </w:r>
          <w:r>
            <w:rPr>
              <w:rStyle w:val="42"/>
              <w:rFonts w:ascii="黑体" w:hAnsi="黑体" w:eastAsia="黑体"/>
              <w:sz w:val="24"/>
              <w:szCs w:val="24"/>
            </w:rPr>
            <w:t>质量标准</w:t>
          </w:r>
          <w:r>
            <w:rPr>
              <w:sz w:val="24"/>
              <w:szCs w:val="24"/>
            </w:rPr>
            <w:tab/>
          </w:r>
          <w:r>
            <w:rPr>
              <w:sz w:val="24"/>
              <w:szCs w:val="24"/>
            </w:rPr>
            <w:fldChar w:fldCharType="begin"/>
          </w:r>
          <w:r>
            <w:rPr>
              <w:sz w:val="24"/>
              <w:szCs w:val="24"/>
            </w:rPr>
            <w:instrText xml:space="preserve"> PAGEREF _Toc94196204 \h </w:instrText>
          </w:r>
          <w:r>
            <w:rPr>
              <w:sz w:val="24"/>
              <w:szCs w:val="24"/>
            </w:rPr>
            <w:fldChar w:fldCharType="separate"/>
          </w:r>
          <w:r>
            <w:rPr>
              <w:sz w:val="24"/>
              <w:szCs w:val="24"/>
            </w:rPr>
            <w:t>12</w:t>
          </w:r>
          <w:r>
            <w:rPr>
              <w:sz w:val="24"/>
              <w:szCs w:val="24"/>
            </w:rPr>
            <w:fldChar w:fldCharType="end"/>
          </w:r>
          <w:r>
            <w:rPr>
              <w:sz w:val="24"/>
              <w:szCs w:val="24"/>
            </w:rPr>
            <w:fldChar w:fldCharType="end"/>
          </w:r>
        </w:p>
        <w:p>
          <w:pPr>
            <w:pStyle w:val="30"/>
            <w:rPr>
              <w:rFonts w:asciiTheme="minorHAnsi" w:hAnsiTheme="minorHAnsi" w:eastAsiaTheme="minorEastAsia" w:cstheme="minorBidi"/>
              <w:b w:val="0"/>
              <w:smallCaps w:val="0"/>
              <w:sz w:val="24"/>
              <w:szCs w:val="24"/>
            </w:rPr>
          </w:pPr>
          <w:r>
            <w:fldChar w:fldCharType="begin"/>
          </w:r>
          <w:r>
            <w:instrText xml:space="preserve"> HYPERLINK \l "_Toc94196205" </w:instrText>
          </w:r>
          <w:r>
            <w:fldChar w:fldCharType="separate"/>
          </w:r>
          <w:r>
            <w:rPr>
              <w:rStyle w:val="42"/>
              <w:rFonts w:ascii="黑体" w:eastAsia="黑体"/>
              <w:sz w:val="24"/>
              <w:szCs w:val="24"/>
            </w:rPr>
            <w:t>十二、</w:t>
          </w:r>
          <w:r>
            <w:rPr>
              <w:rFonts w:asciiTheme="minorHAnsi" w:hAnsiTheme="minorHAnsi" w:eastAsiaTheme="minorEastAsia" w:cstheme="minorBidi"/>
              <w:b w:val="0"/>
              <w:smallCaps w:val="0"/>
              <w:sz w:val="24"/>
              <w:szCs w:val="24"/>
            </w:rPr>
            <w:tab/>
          </w:r>
          <w:r>
            <w:rPr>
              <w:rStyle w:val="42"/>
              <w:rFonts w:ascii="黑体" w:eastAsia="黑体"/>
              <w:sz w:val="24"/>
              <w:szCs w:val="24"/>
            </w:rPr>
            <w:t>不可抗力</w:t>
          </w:r>
          <w:r>
            <w:rPr>
              <w:sz w:val="24"/>
              <w:szCs w:val="24"/>
            </w:rPr>
            <w:tab/>
          </w:r>
          <w:r>
            <w:rPr>
              <w:sz w:val="24"/>
              <w:szCs w:val="24"/>
            </w:rPr>
            <w:fldChar w:fldCharType="begin"/>
          </w:r>
          <w:r>
            <w:rPr>
              <w:sz w:val="24"/>
              <w:szCs w:val="24"/>
            </w:rPr>
            <w:instrText xml:space="preserve"> PAGEREF _Toc94196205 \h </w:instrText>
          </w:r>
          <w:r>
            <w:rPr>
              <w:sz w:val="24"/>
              <w:szCs w:val="24"/>
            </w:rPr>
            <w:fldChar w:fldCharType="separate"/>
          </w:r>
          <w:r>
            <w:rPr>
              <w:sz w:val="24"/>
              <w:szCs w:val="24"/>
            </w:rPr>
            <w:t>13</w:t>
          </w:r>
          <w:r>
            <w:rPr>
              <w:sz w:val="24"/>
              <w:szCs w:val="24"/>
            </w:rPr>
            <w:fldChar w:fldCharType="end"/>
          </w:r>
          <w:r>
            <w:rPr>
              <w:sz w:val="24"/>
              <w:szCs w:val="24"/>
            </w:rPr>
            <w:fldChar w:fldCharType="end"/>
          </w:r>
        </w:p>
        <w:p>
          <w:pPr>
            <w:pStyle w:val="30"/>
            <w:rPr>
              <w:rFonts w:asciiTheme="minorHAnsi" w:hAnsiTheme="minorHAnsi" w:eastAsiaTheme="minorEastAsia" w:cstheme="minorBidi"/>
              <w:b w:val="0"/>
              <w:smallCaps w:val="0"/>
              <w:sz w:val="24"/>
              <w:szCs w:val="24"/>
            </w:rPr>
          </w:pPr>
          <w:r>
            <w:fldChar w:fldCharType="begin"/>
          </w:r>
          <w:r>
            <w:instrText xml:space="preserve"> HYPERLINK \l "_Toc94196206" </w:instrText>
          </w:r>
          <w:r>
            <w:fldChar w:fldCharType="separate"/>
          </w:r>
          <w:r>
            <w:rPr>
              <w:rStyle w:val="42"/>
              <w:rFonts w:ascii="黑体" w:eastAsia="黑体"/>
              <w:sz w:val="24"/>
              <w:szCs w:val="24"/>
            </w:rPr>
            <w:t>十三、</w:t>
          </w:r>
          <w:r>
            <w:rPr>
              <w:rFonts w:asciiTheme="minorHAnsi" w:hAnsiTheme="minorHAnsi" w:eastAsiaTheme="minorEastAsia" w:cstheme="minorBidi"/>
              <w:b w:val="0"/>
              <w:smallCaps w:val="0"/>
              <w:sz w:val="24"/>
              <w:szCs w:val="24"/>
            </w:rPr>
            <w:tab/>
          </w:r>
          <w:r>
            <w:rPr>
              <w:rStyle w:val="42"/>
              <w:rFonts w:ascii="黑体" w:eastAsia="黑体"/>
              <w:sz w:val="24"/>
              <w:szCs w:val="24"/>
            </w:rPr>
            <w:t>组成合同的文件及解释顺序</w:t>
          </w:r>
          <w:r>
            <w:rPr>
              <w:sz w:val="24"/>
              <w:szCs w:val="24"/>
            </w:rPr>
            <w:tab/>
          </w:r>
          <w:r>
            <w:rPr>
              <w:sz w:val="24"/>
              <w:szCs w:val="24"/>
            </w:rPr>
            <w:fldChar w:fldCharType="begin"/>
          </w:r>
          <w:r>
            <w:rPr>
              <w:sz w:val="24"/>
              <w:szCs w:val="24"/>
            </w:rPr>
            <w:instrText xml:space="preserve"> PAGEREF _Toc94196206 \h </w:instrText>
          </w:r>
          <w:r>
            <w:rPr>
              <w:sz w:val="24"/>
              <w:szCs w:val="24"/>
            </w:rPr>
            <w:fldChar w:fldCharType="separate"/>
          </w:r>
          <w:r>
            <w:rPr>
              <w:sz w:val="24"/>
              <w:szCs w:val="24"/>
            </w:rPr>
            <w:t>14</w:t>
          </w:r>
          <w:r>
            <w:rPr>
              <w:sz w:val="24"/>
              <w:szCs w:val="24"/>
            </w:rPr>
            <w:fldChar w:fldCharType="end"/>
          </w:r>
          <w:r>
            <w:rPr>
              <w:sz w:val="24"/>
              <w:szCs w:val="24"/>
            </w:rPr>
            <w:fldChar w:fldCharType="end"/>
          </w:r>
        </w:p>
        <w:p>
          <w:pPr>
            <w:pStyle w:val="30"/>
            <w:rPr>
              <w:rFonts w:asciiTheme="minorHAnsi" w:hAnsiTheme="minorHAnsi" w:eastAsiaTheme="minorEastAsia" w:cstheme="minorBidi"/>
              <w:b w:val="0"/>
              <w:smallCaps w:val="0"/>
              <w:sz w:val="24"/>
              <w:szCs w:val="24"/>
            </w:rPr>
          </w:pPr>
          <w:r>
            <w:fldChar w:fldCharType="begin"/>
          </w:r>
          <w:r>
            <w:instrText xml:space="preserve"> HYPERLINK \l "_Toc94196207" </w:instrText>
          </w:r>
          <w:r>
            <w:fldChar w:fldCharType="separate"/>
          </w:r>
          <w:r>
            <w:rPr>
              <w:rStyle w:val="42"/>
              <w:rFonts w:ascii="黑体" w:eastAsia="黑体"/>
              <w:sz w:val="24"/>
              <w:szCs w:val="24"/>
            </w:rPr>
            <w:t>十四、</w:t>
          </w:r>
          <w:r>
            <w:rPr>
              <w:rFonts w:asciiTheme="minorHAnsi" w:hAnsiTheme="minorHAnsi" w:eastAsiaTheme="minorEastAsia" w:cstheme="minorBidi"/>
              <w:b w:val="0"/>
              <w:smallCaps w:val="0"/>
              <w:sz w:val="24"/>
              <w:szCs w:val="24"/>
            </w:rPr>
            <w:tab/>
          </w:r>
          <w:r>
            <w:rPr>
              <w:rStyle w:val="42"/>
              <w:rFonts w:ascii="黑体" w:eastAsia="黑体"/>
              <w:sz w:val="24"/>
              <w:szCs w:val="24"/>
            </w:rPr>
            <w:t>违约责任</w:t>
          </w:r>
          <w:r>
            <w:rPr>
              <w:sz w:val="24"/>
              <w:szCs w:val="24"/>
            </w:rPr>
            <w:tab/>
          </w:r>
          <w:r>
            <w:rPr>
              <w:sz w:val="24"/>
              <w:szCs w:val="24"/>
            </w:rPr>
            <w:fldChar w:fldCharType="begin"/>
          </w:r>
          <w:r>
            <w:rPr>
              <w:sz w:val="24"/>
              <w:szCs w:val="24"/>
            </w:rPr>
            <w:instrText xml:space="preserve"> PAGEREF _Toc94196207 \h </w:instrText>
          </w:r>
          <w:r>
            <w:rPr>
              <w:sz w:val="24"/>
              <w:szCs w:val="24"/>
            </w:rPr>
            <w:fldChar w:fldCharType="separate"/>
          </w:r>
          <w:r>
            <w:rPr>
              <w:sz w:val="24"/>
              <w:szCs w:val="24"/>
            </w:rPr>
            <w:t>14</w:t>
          </w:r>
          <w:r>
            <w:rPr>
              <w:sz w:val="24"/>
              <w:szCs w:val="24"/>
            </w:rPr>
            <w:fldChar w:fldCharType="end"/>
          </w:r>
          <w:r>
            <w:rPr>
              <w:sz w:val="24"/>
              <w:szCs w:val="24"/>
            </w:rPr>
            <w:fldChar w:fldCharType="end"/>
          </w:r>
        </w:p>
        <w:p>
          <w:pPr>
            <w:pStyle w:val="30"/>
            <w:rPr>
              <w:rFonts w:asciiTheme="minorHAnsi" w:hAnsiTheme="minorHAnsi" w:eastAsiaTheme="minorEastAsia" w:cstheme="minorBidi"/>
              <w:b w:val="0"/>
              <w:smallCaps w:val="0"/>
              <w:sz w:val="24"/>
              <w:szCs w:val="24"/>
            </w:rPr>
          </w:pPr>
          <w:r>
            <w:fldChar w:fldCharType="begin"/>
          </w:r>
          <w:r>
            <w:instrText xml:space="preserve"> HYPERLINK \l "_Toc94196208" </w:instrText>
          </w:r>
          <w:r>
            <w:fldChar w:fldCharType="separate"/>
          </w:r>
          <w:r>
            <w:rPr>
              <w:rStyle w:val="42"/>
              <w:rFonts w:ascii="黑体" w:eastAsia="黑体"/>
              <w:sz w:val="24"/>
              <w:szCs w:val="24"/>
            </w:rPr>
            <w:t>十五、</w:t>
          </w:r>
          <w:r>
            <w:rPr>
              <w:rFonts w:asciiTheme="minorHAnsi" w:hAnsiTheme="minorHAnsi" w:eastAsiaTheme="minorEastAsia" w:cstheme="minorBidi"/>
              <w:b w:val="0"/>
              <w:smallCaps w:val="0"/>
              <w:sz w:val="24"/>
              <w:szCs w:val="24"/>
            </w:rPr>
            <w:tab/>
          </w:r>
          <w:r>
            <w:rPr>
              <w:rStyle w:val="42"/>
              <w:rFonts w:ascii="黑体" w:eastAsia="黑体"/>
              <w:sz w:val="24"/>
              <w:szCs w:val="24"/>
            </w:rPr>
            <w:t>争议与索赔</w:t>
          </w:r>
          <w:r>
            <w:rPr>
              <w:sz w:val="24"/>
              <w:szCs w:val="24"/>
            </w:rPr>
            <w:tab/>
          </w:r>
          <w:r>
            <w:rPr>
              <w:sz w:val="24"/>
              <w:szCs w:val="24"/>
            </w:rPr>
            <w:fldChar w:fldCharType="begin"/>
          </w:r>
          <w:r>
            <w:rPr>
              <w:sz w:val="24"/>
              <w:szCs w:val="24"/>
            </w:rPr>
            <w:instrText xml:space="preserve"> PAGEREF _Toc94196208 \h </w:instrText>
          </w:r>
          <w:r>
            <w:rPr>
              <w:sz w:val="24"/>
              <w:szCs w:val="24"/>
            </w:rPr>
            <w:fldChar w:fldCharType="separate"/>
          </w:r>
          <w:r>
            <w:rPr>
              <w:sz w:val="24"/>
              <w:szCs w:val="24"/>
            </w:rPr>
            <w:t>16</w:t>
          </w:r>
          <w:r>
            <w:rPr>
              <w:sz w:val="24"/>
              <w:szCs w:val="24"/>
            </w:rPr>
            <w:fldChar w:fldCharType="end"/>
          </w:r>
          <w:r>
            <w:rPr>
              <w:sz w:val="24"/>
              <w:szCs w:val="24"/>
            </w:rPr>
            <w:fldChar w:fldCharType="end"/>
          </w:r>
        </w:p>
        <w:p>
          <w:pPr>
            <w:pStyle w:val="30"/>
            <w:rPr>
              <w:rFonts w:asciiTheme="minorHAnsi" w:hAnsiTheme="minorHAnsi" w:eastAsiaTheme="minorEastAsia" w:cstheme="minorBidi"/>
              <w:b w:val="0"/>
              <w:smallCaps w:val="0"/>
              <w:sz w:val="24"/>
              <w:szCs w:val="24"/>
            </w:rPr>
          </w:pPr>
          <w:r>
            <w:fldChar w:fldCharType="begin"/>
          </w:r>
          <w:r>
            <w:instrText xml:space="preserve"> HYPERLINK \l "_Toc94196209" </w:instrText>
          </w:r>
          <w:r>
            <w:fldChar w:fldCharType="separate"/>
          </w:r>
          <w:r>
            <w:rPr>
              <w:rStyle w:val="42"/>
              <w:rFonts w:ascii="黑体" w:eastAsia="黑体"/>
              <w:sz w:val="24"/>
              <w:szCs w:val="24"/>
            </w:rPr>
            <w:t>十六、</w:t>
          </w:r>
          <w:r>
            <w:rPr>
              <w:rFonts w:asciiTheme="minorHAnsi" w:hAnsiTheme="minorHAnsi" w:eastAsiaTheme="minorEastAsia" w:cstheme="minorBidi"/>
              <w:b w:val="0"/>
              <w:smallCaps w:val="0"/>
              <w:sz w:val="24"/>
              <w:szCs w:val="24"/>
            </w:rPr>
            <w:tab/>
          </w:r>
          <w:r>
            <w:rPr>
              <w:rStyle w:val="42"/>
              <w:rFonts w:ascii="黑体" w:eastAsia="黑体"/>
              <w:sz w:val="24"/>
              <w:szCs w:val="24"/>
            </w:rPr>
            <w:t>其它</w:t>
          </w:r>
          <w:r>
            <w:rPr>
              <w:sz w:val="24"/>
              <w:szCs w:val="24"/>
            </w:rPr>
            <w:tab/>
          </w:r>
          <w:r>
            <w:rPr>
              <w:sz w:val="24"/>
              <w:szCs w:val="24"/>
            </w:rPr>
            <w:fldChar w:fldCharType="begin"/>
          </w:r>
          <w:r>
            <w:rPr>
              <w:sz w:val="24"/>
              <w:szCs w:val="24"/>
            </w:rPr>
            <w:instrText xml:space="preserve"> PAGEREF _Toc94196209 \h </w:instrText>
          </w:r>
          <w:r>
            <w:rPr>
              <w:sz w:val="24"/>
              <w:szCs w:val="24"/>
            </w:rPr>
            <w:fldChar w:fldCharType="separate"/>
          </w:r>
          <w:r>
            <w:rPr>
              <w:sz w:val="24"/>
              <w:szCs w:val="24"/>
            </w:rPr>
            <w:t>17</w:t>
          </w:r>
          <w:r>
            <w:rPr>
              <w:sz w:val="24"/>
              <w:szCs w:val="24"/>
            </w:rPr>
            <w:fldChar w:fldCharType="end"/>
          </w:r>
          <w:r>
            <w:rPr>
              <w:sz w:val="24"/>
              <w:szCs w:val="24"/>
            </w:rPr>
            <w:fldChar w:fldCharType="end"/>
          </w:r>
        </w:p>
        <w:p>
          <w:pPr>
            <w:pStyle w:val="21"/>
            <w:rPr>
              <w:rFonts w:asciiTheme="minorHAnsi" w:hAnsiTheme="minorHAnsi" w:eastAsiaTheme="minorEastAsia" w:cstheme="minorBidi"/>
              <w:iCs w:val="0"/>
              <w:sz w:val="24"/>
              <w:szCs w:val="24"/>
            </w:rPr>
          </w:pPr>
          <w:r>
            <w:fldChar w:fldCharType="begin"/>
          </w:r>
          <w:r>
            <w:instrText xml:space="preserve"> HYPERLINK \l "_Toc94196210" </w:instrText>
          </w:r>
          <w:r>
            <w:fldChar w:fldCharType="separate"/>
          </w:r>
          <w:r>
            <w:rPr>
              <w:rStyle w:val="42"/>
              <w:sz w:val="24"/>
              <w:szCs w:val="24"/>
            </w:rPr>
            <w:t>附件1.</w:t>
          </w:r>
          <w:r>
            <w:rPr>
              <w:rFonts w:asciiTheme="minorHAnsi" w:hAnsiTheme="minorHAnsi" w:eastAsiaTheme="minorEastAsia" w:cstheme="minorBidi"/>
              <w:iCs w:val="0"/>
              <w:sz w:val="24"/>
              <w:szCs w:val="24"/>
            </w:rPr>
            <w:tab/>
          </w:r>
          <w:r>
            <w:rPr>
              <w:rStyle w:val="42"/>
              <w:sz w:val="24"/>
              <w:szCs w:val="24"/>
            </w:rPr>
            <w:t>技术协议书</w:t>
          </w:r>
          <w:r>
            <w:rPr>
              <w:sz w:val="24"/>
              <w:szCs w:val="24"/>
            </w:rPr>
            <w:tab/>
          </w:r>
          <w:r>
            <w:rPr>
              <w:sz w:val="24"/>
              <w:szCs w:val="24"/>
            </w:rPr>
            <w:fldChar w:fldCharType="begin"/>
          </w:r>
          <w:r>
            <w:rPr>
              <w:sz w:val="24"/>
              <w:szCs w:val="24"/>
            </w:rPr>
            <w:instrText xml:space="preserve"> PAGEREF _Toc94196210 \h </w:instrText>
          </w:r>
          <w:r>
            <w:rPr>
              <w:sz w:val="24"/>
              <w:szCs w:val="24"/>
            </w:rPr>
            <w:fldChar w:fldCharType="separate"/>
          </w:r>
          <w:r>
            <w:rPr>
              <w:sz w:val="24"/>
              <w:szCs w:val="24"/>
            </w:rPr>
            <w:t>19</w:t>
          </w:r>
          <w:r>
            <w:rPr>
              <w:sz w:val="24"/>
              <w:szCs w:val="24"/>
            </w:rPr>
            <w:fldChar w:fldCharType="end"/>
          </w:r>
          <w:r>
            <w:rPr>
              <w:sz w:val="24"/>
              <w:szCs w:val="24"/>
            </w:rPr>
            <w:fldChar w:fldCharType="end"/>
          </w:r>
        </w:p>
        <w:p>
          <w:pPr>
            <w:pStyle w:val="21"/>
            <w:rPr>
              <w:rFonts w:asciiTheme="minorHAnsi" w:hAnsiTheme="minorHAnsi" w:eastAsiaTheme="minorEastAsia" w:cstheme="minorBidi"/>
              <w:iCs w:val="0"/>
              <w:sz w:val="24"/>
              <w:szCs w:val="24"/>
            </w:rPr>
          </w:pPr>
          <w:r>
            <w:fldChar w:fldCharType="begin"/>
          </w:r>
          <w:r>
            <w:instrText xml:space="preserve"> HYPERLINK \l "_Toc94196211" </w:instrText>
          </w:r>
          <w:r>
            <w:fldChar w:fldCharType="separate"/>
          </w:r>
          <w:r>
            <w:rPr>
              <w:rStyle w:val="42"/>
              <w:sz w:val="24"/>
              <w:szCs w:val="24"/>
            </w:rPr>
            <w:t>附件2.</w:t>
          </w:r>
          <w:r>
            <w:rPr>
              <w:rFonts w:asciiTheme="minorHAnsi" w:hAnsiTheme="minorHAnsi" w:eastAsiaTheme="minorEastAsia" w:cstheme="minorBidi"/>
              <w:iCs w:val="0"/>
              <w:sz w:val="24"/>
              <w:szCs w:val="24"/>
            </w:rPr>
            <w:tab/>
          </w:r>
          <w:r>
            <w:rPr>
              <w:rStyle w:val="42"/>
              <w:sz w:val="24"/>
              <w:szCs w:val="24"/>
            </w:rPr>
            <w:t>安健环协议</w:t>
          </w:r>
          <w:r>
            <w:rPr>
              <w:sz w:val="24"/>
              <w:szCs w:val="24"/>
            </w:rPr>
            <w:tab/>
          </w:r>
          <w:r>
            <w:rPr>
              <w:sz w:val="24"/>
              <w:szCs w:val="24"/>
            </w:rPr>
            <w:fldChar w:fldCharType="begin"/>
          </w:r>
          <w:r>
            <w:rPr>
              <w:sz w:val="24"/>
              <w:szCs w:val="24"/>
            </w:rPr>
            <w:instrText xml:space="preserve"> PAGEREF _Toc94196211 \h </w:instrText>
          </w:r>
          <w:r>
            <w:rPr>
              <w:sz w:val="24"/>
              <w:szCs w:val="24"/>
            </w:rPr>
            <w:fldChar w:fldCharType="separate"/>
          </w:r>
          <w:r>
            <w:rPr>
              <w:sz w:val="24"/>
              <w:szCs w:val="24"/>
            </w:rPr>
            <w:t>20</w:t>
          </w:r>
          <w:r>
            <w:rPr>
              <w:sz w:val="24"/>
              <w:szCs w:val="24"/>
            </w:rPr>
            <w:fldChar w:fldCharType="end"/>
          </w:r>
          <w:r>
            <w:rPr>
              <w:sz w:val="24"/>
              <w:szCs w:val="24"/>
            </w:rPr>
            <w:fldChar w:fldCharType="end"/>
          </w:r>
        </w:p>
        <w:p>
          <w:pPr>
            <w:pStyle w:val="21"/>
            <w:rPr>
              <w:rFonts w:asciiTheme="minorHAnsi" w:hAnsiTheme="minorHAnsi" w:eastAsiaTheme="minorEastAsia" w:cstheme="minorBidi"/>
              <w:iCs w:val="0"/>
              <w:sz w:val="24"/>
              <w:szCs w:val="24"/>
            </w:rPr>
          </w:pPr>
          <w:r>
            <w:fldChar w:fldCharType="begin"/>
          </w:r>
          <w:r>
            <w:instrText xml:space="preserve"> HYPERLINK \l "_Toc94196212" </w:instrText>
          </w:r>
          <w:r>
            <w:fldChar w:fldCharType="separate"/>
          </w:r>
          <w:r>
            <w:rPr>
              <w:rStyle w:val="42"/>
              <w:sz w:val="24"/>
              <w:szCs w:val="24"/>
            </w:rPr>
            <w:t>附件3.</w:t>
          </w:r>
          <w:r>
            <w:rPr>
              <w:rFonts w:asciiTheme="minorHAnsi" w:hAnsiTheme="minorHAnsi" w:eastAsiaTheme="minorEastAsia" w:cstheme="minorBidi"/>
              <w:iCs w:val="0"/>
              <w:sz w:val="24"/>
              <w:szCs w:val="24"/>
            </w:rPr>
            <w:tab/>
          </w:r>
          <w:r>
            <w:rPr>
              <w:rStyle w:val="42"/>
              <w:sz w:val="24"/>
              <w:szCs w:val="24"/>
            </w:rPr>
            <w:t>廉政合同</w:t>
          </w:r>
          <w:r>
            <w:rPr>
              <w:sz w:val="24"/>
              <w:szCs w:val="24"/>
            </w:rPr>
            <w:tab/>
          </w:r>
          <w:r>
            <w:rPr>
              <w:sz w:val="24"/>
              <w:szCs w:val="24"/>
            </w:rPr>
            <w:fldChar w:fldCharType="begin"/>
          </w:r>
          <w:r>
            <w:rPr>
              <w:sz w:val="24"/>
              <w:szCs w:val="24"/>
            </w:rPr>
            <w:instrText xml:space="preserve"> PAGEREF _Toc94196212 \h </w:instrText>
          </w:r>
          <w:r>
            <w:rPr>
              <w:sz w:val="24"/>
              <w:szCs w:val="24"/>
            </w:rPr>
            <w:fldChar w:fldCharType="separate"/>
          </w:r>
          <w:r>
            <w:rPr>
              <w:sz w:val="24"/>
              <w:szCs w:val="24"/>
            </w:rPr>
            <w:t>37</w:t>
          </w:r>
          <w:r>
            <w:rPr>
              <w:sz w:val="24"/>
              <w:szCs w:val="24"/>
            </w:rPr>
            <w:fldChar w:fldCharType="end"/>
          </w:r>
          <w:r>
            <w:rPr>
              <w:sz w:val="24"/>
              <w:szCs w:val="24"/>
            </w:rPr>
            <w:fldChar w:fldCharType="end"/>
          </w:r>
        </w:p>
        <w:p>
          <w:pPr>
            <w:pStyle w:val="22"/>
            <w:rPr>
              <w:rFonts w:hAnsi="宋体"/>
              <w:sz w:val="24"/>
              <w:szCs w:val="24"/>
            </w:rPr>
          </w:pPr>
          <w:r>
            <w:rPr>
              <w:rFonts w:hAnsi="宋体"/>
              <w:bCs/>
              <w:sz w:val="24"/>
              <w:szCs w:val="24"/>
              <w:lang w:val="zh-CN"/>
            </w:rPr>
            <w:fldChar w:fldCharType="end"/>
          </w:r>
        </w:p>
      </w:sdtContent>
    </w:sdt>
    <w:p>
      <w:pPr>
        <w:pStyle w:val="4"/>
        <w:ind w:firstLine="0" w:firstLineChars="0"/>
        <w:sectPr>
          <w:headerReference r:id="rId3" w:type="default"/>
          <w:footerReference r:id="rId4" w:type="default"/>
          <w:pgSz w:w="11906" w:h="16838"/>
          <w:pgMar w:top="1440" w:right="1800" w:bottom="1440" w:left="1800" w:header="851" w:footer="992" w:gutter="0"/>
          <w:cols w:space="425" w:num="1"/>
          <w:docGrid w:type="lines" w:linePitch="312" w:charSpace="0"/>
        </w:sectPr>
      </w:pPr>
    </w:p>
    <w:bookmarkEnd w:id="0"/>
    <w:p>
      <w:pPr>
        <w:spacing w:line="360" w:lineRule="auto"/>
        <w:ind w:firstLine="600" w:firstLineChars="250"/>
        <w:rPr>
          <w:rFonts w:ascii="宋体" w:hAnsi="宋体"/>
          <w:sz w:val="24"/>
        </w:rPr>
      </w:pPr>
      <w:r>
        <w:rPr>
          <w:rFonts w:hint="eastAsia" w:ascii="宋体" w:hAnsi="宋体"/>
          <w:sz w:val="24"/>
        </w:rPr>
        <w:t>甲乙双方经友好协商，确定乙方承担</w:t>
      </w:r>
      <w:r>
        <w:rPr>
          <w:rFonts w:hint="eastAsia" w:ascii="宋体" w:hAnsi="宋体"/>
          <w:sz w:val="24"/>
          <w:lang w:val="en-US" w:eastAsia="zh-CN"/>
        </w:rPr>
        <w:t>桂林市深能环保有限</w:t>
      </w:r>
      <w:r>
        <w:rPr>
          <w:rFonts w:hint="eastAsia" w:ascii="宋体" w:hAnsi="宋体"/>
          <w:sz w:val="24"/>
        </w:rPr>
        <w:t xml:space="preserve">公司 </w:t>
      </w:r>
      <w:r>
        <w:rPr>
          <w:rFonts w:hint="eastAsia" w:ascii="宋体" w:hAnsi="宋体"/>
          <w:sz w:val="24"/>
          <w:lang w:eastAsia="zh-CN"/>
        </w:rPr>
        <w:t>2026年</w:t>
      </w:r>
      <w:r>
        <w:rPr>
          <w:rFonts w:hint="eastAsia" w:ascii="宋体" w:hAnsi="宋体"/>
          <w:sz w:val="24"/>
        </w:rPr>
        <w:t>飞灰稳定化处理运营管理项目业务。依照《中华人民共和国民法典》及其他有关法律、法规、规章，并结合项目所在地有关规定及本现场服务的具体情况，遵循平等、自愿、公平和诚实信用的原则，经协商，双方就</w:t>
      </w:r>
      <w:r>
        <w:rPr>
          <w:rFonts w:hint="eastAsia" w:ascii="宋体" w:hAnsi="宋体"/>
          <w:sz w:val="24"/>
          <w:lang w:val="en-US" w:eastAsia="zh-CN"/>
        </w:rPr>
        <w:t>桂林市深能环保有限</w:t>
      </w:r>
      <w:r>
        <w:rPr>
          <w:rFonts w:hint="eastAsia" w:ascii="宋体" w:hAnsi="宋体"/>
          <w:sz w:val="24"/>
        </w:rPr>
        <w:t>公司</w:t>
      </w:r>
      <w:r>
        <w:rPr>
          <w:rFonts w:hint="eastAsia" w:ascii="宋体" w:hAnsi="宋体"/>
          <w:sz w:val="24"/>
          <w:lang w:eastAsia="zh-CN"/>
        </w:rPr>
        <w:t>2026年</w:t>
      </w:r>
      <w:r>
        <w:rPr>
          <w:rFonts w:hint="eastAsia" w:ascii="宋体" w:hAnsi="宋体"/>
          <w:sz w:val="24"/>
        </w:rPr>
        <w:t>飞灰稳定化处理运营管理项目总承包事宜达成一致，同意签订本合同条款，双方共同遵守下列条款：</w:t>
      </w:r>
    </w:p>
    <w:p>
      <w:pPr>
        <w:pStyle w:val="101"/>
        <w:snapToGrid w:val="0"/>
        <w:spacing w:line="360" w:lineRule="auto"/>
        <w:ind w:left="560" w:firstLine="0" w:firstLineChars="0"/>
        <w:outlineLvl w:val="1"/>
        <w:rPr>
          <w:rFonts w:ascii="黑体" w:hAnsi="宋体" w:eastAsia="黑体"/>
          <w:sz w:val="28"/>
          <w:szCs w:val="32"/>
        </w:rPr>
      </w:pPr>
    </w:p>
    <w:p>
      <w:pPr>
        <w:pStyle w:val="101"/>
        <w:numPr>
          <w:ilvl w:val="0"/>
          <w:numId w:val="8"/>
        </w:numPr>
        <w:snapToGrid w:val="0"/>
        <w:spacing w:line="360" w:lineRule="auto"/>
        <w:ind w:left="560" w:hanging="560" w:hangingChars="200"/>
        <w:outlineLvl w:val="1"/>
        <w:rPr>
          <w:rFonts w:ascii="黑体" w:hAnsi="宋体" w:eastAsia="黑体"/>
          <w:sz w:val="28"/>
          <w:szCs w:val="32"/>
        </w:rPr>
      </w:pPr>
      <w:bookmarkStart w:id="1" w:name="_Toc94196194"/>
      <w:r>
        <w:rPr>
          <w:rFonts w:hint="eastAsia" w:ascii="黑体" w:hAnsi="宋体" w:eastAsia="黑体"/>
          <w:sz w:val="28"/>
          <w:szCs w:val="32"/>
        </w:rPr>
        <w:t>承包范围和业务内容</w:t>
      </w:r>
      <w:bookmarkEnd w:id="1"/>
    </w:p>
    <w:p>
      <w:pPr>
        <w:snapToGrid w:val="0"/>
        <w:spacing w:line="360" w:lineRule="auto"/>
        <w:ind w:firstLine="600" w:firstLineChars="250"/>
        <w:rPr>
          <w:rFonts w:ascii="宋体" w:hAnsi="宋体"/>
          <w:sz w:val="24"/>
        </w:rPr>
      </w:pPr>
      <w:r>
        <w:rPr>
          <w:rFonts w:hint="eastAsia" w:ascii="宋体" w:hAnsi="宋体"/>
          <w:sz w:val="24"/>
          <w:lang w:val="en-US" w:eastAsia="zh-CN"/>
        </w:rPr>
        <w:t>桂林市深能环保有限</w:t>
      </w:r>
      <w:r>
        <w:rPr>
          <w:rFonts w:hint="eastAsia" w:ascii="宋体" w:hAnsi="宋体"/>
          <w:sz w:val="24"/>
        </w:rPr>
        <w:t>公司</w:t>
      </w:r>
      <w:r>
        <w:rPr>
          <w:rFonts w:hint="eastAsia" w:ascii="宋体" w:hAnsi="宋体"/>
          <w:sz w:val="24"/>
          <w:lang w:eastAsia="zh-CN"/>
        </w:rPr>
        <w:t>2026年</w:t>
      </w:r>
      <w:r>
        <w:rPr>
          <w:rFonts w:hint="eastAsia" w:ascii="宋体" w:hAnsi="宋体"/>
          <w:sz w:val="24"/>
        </w:rPr>
        <w:t>飞灰稳定化处理运营管理项目属于现场业务总承包项目（即乙方既是项目的用人单位又是用工单位），乙方及其派出人员负责直接完成</w:t>
      </w:r>
      <w:r>
        <w:rPr>
          <w:rFonts w:hint="eastAsia" w:ascii="宋体" w:hAnsi="宋体"/>
          <w:sz w:val="24"/>
          <w:lang w:val="en-US" w:eastAsia="zh-CN"/>
        </w:rPr>
        <w:t>桂林市深能环保有限</w:t>
      </w:r>
      <w:r>
        <w:rPr>
          <w:rFonts w:hint="eastAsia" w:ascii="宋体" w:hAnsi="宋体"/>
          <w:sz w:val="24"/>
        </w:rPr>
        <w:t>公司合同期内的飞灰稳定化处理</w:t>
      </w:r>
      <w:r>
        <w:rPr>
          <w:rFonts w:ascii="宋体" w:hAnsi="宋体"/>
          <w:sz w:val="24"/>
        </w:rPr>
        <w:t>任务</w:t>
      </w:r>
      <w:r>
        <w:rPr>
          <w:rFonts w:hint="eastAsia" w:ascii="宋体" w:hAnsi="宋体"/>
          <w:sz w:val="24"/>
        </w:rPr>
        <w:t>。</w:t>
      </w:r>
      <w:r>
        <w:rPr>
          <w:rFonts w:hint="eastAsia" w:hAnsi="宋体"/>
          <w:color w:val="000000"/>
          <w:sz w:val="24"/>
        </w:rPr>
        <w:t>本</w:t>
      </w:r>
      <w:r>
        <w:rPr>
          <w:rFonts w:hint="eastAsia" w:ascii="宋体" w:hAnsi="宋体"/>
          <w:sz w:val="24"/>
        </w:rPr>
        <w:t>合同工作范围包括所有与合同相关的技术服务及管理</w:t>
      </w:r>
      <w:r>
        <w:rPr>
          <w:rFonts w:hint="eastAsia" w:hAnsi="宋体"/>
          <w:sz w:val="24"/>
        </w:rPr>
        <w:t>，包括但不限于</w:t>
      </w:r>
      <w:r>
        <w:rPr>
          <w:rFonts w:hint="eastAsia"/>
          <w:sz w:val="24"/>
        </w:rPr>
        <w:t>制定飞灰螯合稳定化处理方案、提供稳定化螯合处理药剂、负责飞灰螯合的运行操作、负责厂内螯合药剂的管理、负责飞灰螯合生产数据填报和资料建档、负责如实填写飞灰螯合物标签、负责提供纸质四联单及四联单的初步核对归档报送、负责原灰定期检测和调整运营加药方案、负责场地及设备清扫保洁、负责提供叉车及叉车的操作和日常维护保养、负责飞灰螯合物的包装、飞灰螯合物的养护管理及转移、负责飞灰暂存间的管理、负责指导飞灰螯合系统的维护检修、负责飞灰螯合设施备品备件申报等相关的运营管理服务。具体服务范围</w:t>
      </w:r>
      <w:r>
        <w:rPr>
          <w:rFonts w:hint="eastAsia" w:ascii="宋体" w:hAnsi="宋体"/>
          <w:sz w:val="24"/>
        </w:rPr>
        <w:t>详见附件1技术协议书当中的具体规定。</w:t>
      </w:r>
    </w:p>
    <w:p>
      <w:pPr>
        <w:snapToGrid w:val="0"/>
        <w:spacing w:line="360" w:lineRule="auto"/>
        <w:ind w:firstLine="600" w:firstLineChars="250"/>
        <w:rPr>
          <w:rFonts w:ascii="宋体" w:hAnsi="宋体"/>
          <w:sz w:val="24"/>
        </w:rPr>
      </w:pPr>
    </w:p>
    <w:p>
      <w:pPr>
        <w:pStyle w:val="101"/>
        <w:numPr>
          <w:ilvl w:val="0"/>
          <w:numId w:val="8"/>
        </w:numPr>
        <w:snapToGrid w:val="0"/>
        <w:spacing w:line="360" w:lineRule="auto"/>
        <w:ind w:left="560" w:hanging="560" w:hangingChars="200"/>
        <w:outlineLvl w:val="1"/>
        <w:rPr>
          <w:rFonts w:ascii="黑体" w:hAnsi="宋体" w:eastAsia="黑体"/>
          <w:sz w:val="28"/>
          <w:szCs w:val="32"/>
        </w:rPr>
      </w:pPr>
      <w:bookmarkStart w:id="2" w:name="_Toc94196195"/>
      <w:r>
        <w:rPr>
          <w:rFonts w:hint="eastAsia" w:ascii="黑体" w:hAnsi="宋体" w:eastAsia="黑体"/>
          <w:sz w:val="28"/>
          <w:szCs w:val="32"/>
        </w:rPr>
        <w:t>承包方式</w:t>
      </w:r>
      <w:bookmarkEnd w:id="2"/>
      <w:r>
        <w:rPr>
          <w:rFonts w:hint="eastAsia" w:ascii="黑体" w:hAnsi="宋体" w:eastAsia="黑体"/>
          <w:sz w:val="28"/>
          <w:szCs w:val="32"/>
        </w:rPr>
        <w:t xml:space="preserve"> </w:t>
      </w:r>
    </w:p>
    <w:p>
      <w:pPr>
        <w:spacing w:line="360" w:lineRule="auto"/>
        <w:ind w:firstLine="480" w:firstLineChars="200"/>
        <w:rPr>
          <w:sz w:val="24"/>
        </w:rPr>
      </w:pPr>
      <w:r>
        <w:rPr>
          <w:rFonts w:hint="eastAsia"/>
          <w:sz w:val="24"/>
        </w:rPr>
        <w:t>本合同属于</w:t>
      </w:r>
      <w:r>
        <w:rPr>
          <w:sz w:val="24"/>
        </w:rPr>
        <w:t>全过程</w:t>
      </w:r>
      <w:r>
        <w:rPr>
          <w:rFonts w:hint="eastAsia"/>
          <w:sz w:val="24"/>
        </w:rPr>
        <w:t>总承包项目，采用在本合同运营期限内由乙方包工、包料、包质量、包达标、包安全、包风险的整体承包方式</w:t>
      </w:r>
      <w:r>
        <w:rPr>
          <w:rFonts w:hint="eastAsia" w:ascii="宋体" w:hAnsi="宋体"/>
          <w:sz w:val="24"/>
        </w:rPr>
        <w:t>，</w:t>
      </w:r>
      <w:r>
        <w:rPr>
          <w:rFonts w:hint="eastAsia"/>
          <w:sz w:val="24"/>
        </w:rPr>
        <w:t>乙方</w:t>
      </w:r>
      <w:r>
        <w:rPr>
          <w:rFonts w:hint="eastAsia" w:ascii="宋体" w:hAnsi="宋体"/>
          <w:sz w:val="24"/>
        </w:rPr>
        <w:t>不得擅自再次转包或</w:t>
      </w:r>
      <w:r>
        <w:rPr>
          <w:rFonts w:ascii="宋体" w:hAnsi="宋体"/>
          <w:sz w:val="24"/>
        </w:rPr>
        <w:t>分包</w:t>
      </w:r>
      <w:r>
        <w:rPr>
          <w:rFonts w:hint="eastAsia"/>
          <w:sz w:val="24"/>
        </w:rPr>
        <w:t>。</w:t>
      </w:r>
    </w:p>
    <w:p>
      <w:pPr>
        <w:spacing w:line="360" w:lineRule="auto"/>
        <w:ind w:firstLine="480" w:firstLineChars="200"/>
        <w:rPr>
          <w:sz w:val="24"/>
        </w:rPr>
      </w:pPr>
    </w:p>
    <w:p>
      <w:pPr>
        <w:pStyle w:val="101"/>
        <w:numPr>
          <w:ilvl w:val="0"/>
          <w:numId w:val="8"/>
        </w:numPr>
        <w:snapToGrid w:val="0"/>
        <w:spacing w:line="360" w:lineRule="auto"/>
        <w:ind w:left="560" w:hanging="560" w:hangingChars="200"/>
        <w:outlineLvl w:val="1"/>
        <w:rPr>
          <w:rFonts w:ascii="黑体" w:hAnsi="宋体" w:eastAsia="黑体"/>
          <w:sz w:val="28"/>
          <w:szCs w:val="32"/>
        </w:rPr>
      </w:pPr>
      <w:bookmarkStart w:id="3" w:name="_Toc94196196"/>
      <w:r>
        <w:rPr>
          <w:rFonts w:hint="eastAsia" w:ascii="黑体" w:hAnsi="宋体" w:eastAsia="黑体"/>
          <w:sz w:val="28"/>
          <w:szCs w:val="32"/>
        </w:rPr>
        <w:t>服务期限</w:t>
      </w:r>
      <w:bookmarkEnd w:id="3"/>
    </w:p>
    <w:p>
      <w:pPr>
        <w:numPr>
          <w:ilvl w:val="0"/>
          <w:numId w:val="9"/>
        </w:numPr>
        <w:spacing w:line="360" w:lineRule="auto"/>
        <w:ind w:firstLine="480" w:firstLineChars="200"/>
        <w:rPr>
          <w:rFonts w:hint="default"/>
          <w:sz w:val="24"/>
          <w:lang w:val="en-US" w:eastAsia="zh-CN"/>
        </w:rPr>
      </w:pPr>
      <w:r>
        <w:rPr>
          <w:rFonts w:hint="eastAsia"/>
          <w:sz w:val="24"/>
        </w:rPr>
        <w:t>本合同运营期限：</w:t>
      </w:r>
      <w:r>
        <w:rPr>
          <w:rFonts w:hint="eastAsia"/>
          <w:sz w:val="24"/>
          <w:lang w:val="en-US" w:eastAsia="zh-CN"/>
        </w:rPr>
        <w:t>合同生效且甲方通知开始执行后</w:t>
      </w:r>
      <w:r>
        <w:rPr>
          <w:rFonts w:hint="eastAsia"/>
          <w:sz w:val="24"/>
        </w:rPr>
        <w:t>1年</w:t>
      </w:r>
      <w:r>
        <w:rPr>
          <w:rFonts w:hint="eastAsia"/>
          <w:sz w:val="24"/>
          <w:lang w:eastAsia="zh-CN"/>
        </w:rPr>
        <w:t>（</w:t>
      </w:r>
      <w:r>
        <w:rPr>
          <w:rFonts w:hint="eastAsia"/>
          <w:sz w:val="24"/>
          <w:lang w:val="en-US" w:eastAsia="zh-CN"/>
        </w:rPr>
        <w:t>服务期限为2026年8月1日-2027年7月31日</w:t>
      </w:r>
      <w:r>
        <w:rPr>
          <w:rFonts w:hint="eastAsia"/>
          <w:sz w:val="24"/>
          <w:lang w:eastAsia="zh-CN"/>
        </w:rPr>
        <w:t>）</w:t>
      </w:r>
      <w:r>
        <w:rPr>
          <w:rFonts w:hint="eastAsia"/>
          <w:sz w:val="24"/>
        </w:rPr>
        <w:t>。合同期届满时，甲方将组织对供应商履约评价，履约评价</w:t>
      </w:r>
      <w:r>
        <w:rPr>
          <w:rFonts w:hint="eastAsia"/>
          <w:sz w:val="24"/>
          <w:lang w:val="en-US" w:eastAsia="zh-CN"/>
        </w:rPr>
        <w:t>优秀</w:t>
      </w:r>
      <w:r>
        <w:rPr>
          <w:rFonts w:hint="eastAsia"/>
          <w:sz w:val="24"/>
        </w:rPr>
        <w:t>的供应商可进行合同续期1年。合同续期总共不超过二十四个月且不超过2次。</w:t>
      </w:r>
    </w:p>
    <w:p>
      <w:pPr>
        <w:spacing w:line="360" w:lineRule="auto"/>
        <w:ind w:firstLine="480" w:firstLineChars="200"/>
        <w:rPr>
          <w:sz w:val="24"/>
        </w:rPr>
      </w:pPr>
      <w:r>
        <w:rPr>
          <w:rFonts w:hint="eastAsia"/>
          <w:sz w:val="24"/>
          <w:lang w:val="en-US" w:eastAsia="zh-CN"/>
        </w:rPr>
        <w:t>2</w:t>
      </w:r>
      <w:r>
        <w:rPr>
          <w:rFonts w:hint="eastAsia"/>
          <w:sz w:val="24"/>
        </w:rPr>
        <w:t>、工作地点：</w:t>
      </w:r>
      <w:r>
        <w:rPr>
          <w:rFonts w:hint="eastAsia" w:cs="_x000B__x000C_"/>
          <w:bCs/>
          <w:sz w:val="24"/>
          <w:szCs w:val="21"/>
        </w:rPr>
        <w:t>项目</w:t>
      </w:r>
      <w:r>
        <w:rPr>
          <w:rFonts w:hint="eastAsia"/>
          <w:sz w:val="24"/>
        </w:rPr>
        <w:t>现场指定地点。</w:t>
      </w:r>
    </w:p>
    <w:p>
      <w:pPr>
        <w:spacing w:line="360" w:lineRule="auto"/>
        <w:ind w:firstLine="480" w:firstLineChars="200"/>
        <w:rPr>
          <w:sz w:val="24"/>
        </w:rPr>
      </w:pPr>
    </w:p>
    <w:p>
      <w:pPr>
        <w:pStyle w:val="101"/>
        <w:numPr>
          <w:ilvl w:val="0"/>
          <w:numId w:val="8"/>
        </w:numPr>
        <w:snapToGrid w:val="0"/>
        <w:spacing w:line="360" w:lineRule="auto"/>
        <w:ind w:left="560" w:hanging="560" w:hangingChars="200"/>
        <w:outlineLvl w:val="1"/>
        <w:rPr>
          <w:rFonts w:ascii="黑体" w:hAnsi="宋体" w:eastAsia="黑体"/>
          <w:sz w:val="28"/>
        </w:rPr>
      </w:pPr>
      <w:bookmarkStart w:id="4" w:name="_Toc94196197"/>
      <w:r>
        <w:rPr>
          <w:rFonts w:hint="eastAsia" w:ascii="黑体" w:hAnsi="宋体" w:eastAsia="黑体"/>
          <w:sz w:val="28"/>
        </w:rPr>
        <w:t>合同价格</w:t>
      </w:r>
      <w:bookmarkEnd w:id="4"/>
    </w:p>
    <w:p>
      <w:pPr>
        <w:pStyle w:val="22"/>
        <w:numPr>
          <w:ilvl w:val="0"/>
          <w:numId w:val="10"/>
        </w:numPr>
        <w:spacing w:line="360" w:lineRule="auto"/>
        <w:rPr>
          <w:rFonts w:asciiTheme="minorEastAsia" w:hAnsiTheme="minorEastAsia" w:eastAsiaTheme="minorEastAsia"/>
          <w:sz w:val="24"/>
        </w:rPr>
      </w:pPr>
      <w:r>
        <w:rPr>
          <w:rFonts w:hint="eastAsia" w:asciiTheme="minorEastAsia" w:hAnsiTheme="minorEastAsia" w:eastAsiaTheme="minorEastAsia"/>
          <w:sz w:val="24"/>
        </w:rPr>
        <w:t>合同</w:t>
      </w:r>
      <w:r>
        <w:rPr>
          <w:rFonts w:asciiTheme="minorEastAsia" w:hAnsiTheme="minorEastAsia" w:eastAsiaTheme="minorEastAsia"/>
          <w:sz w:val="24"/>
        </w:rPr>
        <w:t>价格</w:t>
      </w:r>
    </w:p>
    <w:tbl>
      <w:tblPr>
        <w:tblStyle w:val="36"/>
        <w:tblW w:w="90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64"/>
        <w:gridCol w:w="1539"/>
        <w:gridCol w:w="1296"/>
        <w:gridCol w:w="1458"/>
        <w:gridCol w:w="1845"/>
        <w:gridCol w:w="10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864" w:type="dxa"/>
            <w:vAlign w:val="center"/>
          </w:tcPr>
          <w:p>
            <w:pPr>
              <w:spacing w:line="360" w:lineRule="auto"/>
              <w:jc w:val="center"/>
              <w:rPr>
                <w:rFonts w:ascii="宋体" w:hAnsi="宋体"/>
                <w:sz w:val="24"/>
              </w:rPr>
            </w:pPr>
            <w:r>
              <w:rPr>
                <w:rFonts w:hint="eastAsia" w:ascii="宋体" w:hAnsi="宋体"/>
                <w:sz w:val="24"/>
              </w:rPr>
              <w:t>名称</w:t>
            </w:r>
          </w:p>
        </w:tc>
        <w:tc>
          <w:tcPr>
            <w:tcW w:w="1539" w:type="dxa"/>
            <w:vAlign w:val="center"/>
          </w:tcPr>
          <w:p>
            <w:pPr>
              <w:spacing w:line="360" w:lineRule="auto"/>
              <w:jc w:val="center"/>
              <w:rPr>
                <w:rFonts w:ascii="宋体" w:hAnsi="宋体"/>
                <w:sz w:val="24"/>
              </w:rPr>
            </w:pPr>
            <w:r>
              <w:rPr>
                <w:rFonts w:hint="eastAsia" w:ascii="宋体" w:hAnsi="宋体"/>
                <w:sz w:val="24"/>
              </w:rPr>
              <w:t>技术要求</w:t>
            </w:r>
          </w:p>
        </w:tc>
        <w:tc>
          <w:tcPr>
            <w:tcW w:w="1296" w:type="dxa"/>
            <w:vAlign w:val="center"/>
          </w:tcPr>
          <w:p>
            <w:pPr>
              <w:spacing w:line="360" w:lineRule="auto"/>
              <w:jc w:val="center"/>
              <w:rPr>
                <w:rFonts w:ascii="宋体" w:hAnsi="宋体"/>
                <w:sz w:val="24"/>
              </w:rPr>
            </w:pPr>
            <w:r>
              <w:rPr>
                <w:rFonts w:hint="eastAsia" w:ascii="宋体" w:hAnsi="宋体"/>
                <w:sz w:val="24"/>
              </w:rPr>
              <w:t>暂估数量</w:t>
            </w:r>
          </w:p>
          <w:p>
            <w:pPr>
              <w:spacing w:line="360" w:lineRule="auto"/>
              <w:jc w:val="center"/>
              <w:rPr>
                <w:rFonts w:ascii="宋体" w:hAnsi="宋体"/>
                <w:sz w:val="24"/>
              </w:rPr>
            </w:pPr>
            <w:r>
              <w:rPr>
                <w:rFonts w:hint="eastAsia" w:ascii="宋体" w:hAnsi="宋体"/>
                <w:sz w:val="24"/>
              </w:rPr>
              <w:t>（吨）</w:t>
            </w:r>
          </w:p>
        </w:tc>
        <w:tc>
          <w:tcPr>
            <w:tcW w:w="1458" w:type="dxa"/>
            <w:vAlign w:val="center"/>
          </w:tcPr>
          <w:p>
            <w:pPr>
              <w:spacing w:line="360" w:lineRule="auto"/>
              <w:jc w:val="center"/>
              <w:rPr>
                <w:rFonts w:ascii="宋体" w:hAnsi="宋体"/>
                <w:sz w:val="24"/>
              </w:rPr>
            </w:pPr>
            <w:r>
              <w:rPr>
                <w:rFonts w:hint="eastAsia" w:ascii="宋体" w:hAnsi="宋体"/>
                <w:sz w:val="24"/>
              </w:rPr>
              <w:t>综合单价</w:t>
            </w:r>
          </w:p>
          <w:p>
            <w:pPr>
              <w:spacing w:line="360" w:lineRule="auto"/>
              <w:jc w:val="center"/>
              <w:rPr>
                <w:rFonts w:ascii="宋体" w:hAnsi="宋体"/>
                <w:sz w:val="24"/>
              </w:rPr>
            </w:pPr>
            <w:r>
              <w:rPr>
                <w:rFonts w:hint="eastAsia" w:ascii="宋体" w:hAnsi="宋体"/>
                <w:sz w:val="24"/>
              </w:rPr>
              <w:t>（元/吨）</w:t>
            </w:r>
          </w:p>
        </w:tc>
        <w:tc>
          <w:tcPr>
            <w:tcW w:w="1845" w:type="dxa"/>
            <w:vAlign w:val="center"/>
          </w:tcPr>
          <w:p>
            <w:pPr>
              <w:spacing w:line="360" w:lineRule="auto"/>
              <w:jc w:val="center"/>
              <w:rPr>
                <w:rFonts w:ascii="宋体" w:hAnsi="宋体"/>
                <w:sz w:val="24"/>
              </w:rPr>
            </w:pPr>
            <w:r>
              <w:rPr>
                <w:rFonts w:hint="eastAsia" w:ascii="宋体" w:hAnsi="宋体"/>
                <w:sz w:val="24"/>
              </w:rPr>
              <w:t>暂估总价</w:t>
            </w:r>
          </w:p>
          <w:p>
            <w:pPr>
              <w:spacing w:line="360" w:lineRule="auto"/>
              <w:jc w:val="center"/>
              <w:rPr>
                <w:rFonts w:ascii="宋体" w:hAnsi="宋体"/>
                <w:sz w:val="24"/>
              </w:rPr>
            </w:pPr>
            <w:r>
              <w:rPr>
                <w:rFonts w:hint="eastAsia" w:ascii="宋体" w:hAnsi="宋体"/>
                <w:sz w:val="24"/>
              </w:rPr>
              <w:t xml:space="preserve">（元）  </w:t>
            </w:r>
            <w:r>
              <w:rPr>
                <w:rFonts w:ascii="宋体" w:hAnsi="宋体"/>
                <w:sz w:val="24"/>
              </w:rPr>
              <w:t xml:space="preserve">   </w:t>
            </w:r>
          </w:p>
        </w:tc>
        <w:tc>
          <w:tcPr>
            <w:tcW w:w="1091" w:type="dxa"/>
            <w:vAlign w:val="center"/>
          </w:tcPr>
          <w:p>
            <w:pPr>
              <w:spacing w:line="360" w:lineRule="auto"/>
              <w:jc w:val="center"/>
              <w:rPr>
                <w:rFonts w:ascii="宋体" w:hAnsi="宋体"/>
                <w:sz w:val="24"/>
              </w:rPr>
            </w:pPr>
            <w:r>
              <w:rPr>
                <w:rFonts w:hint="eastAsia" w:ascii="宋体" w:hAnsi="宋体"/>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atLeast"/>
          <w:jc w:val="center"/>
        </w:trPr>
        <w:tc>
          <w:tcPr>
            <w:tcW w:w="1864" w:type="dxa"/>
            <w:vAlign w:val="center"/>
          </w:tcPr>
          <w:p>
            <w:pPr>
              <w:spacing w:line="360" w:lineRule="auto"/>
              <w:jc w:val="center"/>
              <w:rPr>
                <w:rFonts w:ascii="宋体" w:hAnsi="宋体"/>
                <w:sz w:val="24"/>
              </w:rPr>
            </w:pPr>
            <w:r>
              <w:rPr>
                <w:rFonts w:hint="eastAsia"/>
                <w:sz w:val="24"/>
              </w:rPr>
              <w:t xml:space="preserve">螯合处理达标的原灰  </w:t>
            </w:r>
          </w:p>
        </w:tc>
        <w:tc>
          <w:tcPr>
            <w:tcW w:w="1539" w:type="dxa"/>
            <w:vAlign w:val="center"/>
          </w:tcPr>
          <w:p>
            <w:pPr>
              <w:spacing w:line="360" w:lineRule="auto"/>
              <w:jc w:val="center"/>
              <w:rPr>
                <w:rFonts w:ascii="宋体" w:hAnsi="宋体"/>
                <w:sz w:val="24"/>
              </w:rPr>
            </w:pPr>
            <w:r>
              <w:rPr>
                <w:rFonts w:hint="eastAsia"/>
                <w:sz w:val="24"/>
              </w:rPr>
              <w:t>详见技术协议书要求</w:t>
            </w:r>
          </w:p>
        </w:tc>
        <w:tc>
          <w:tcPr>
            <w:tcW w:w="1296" w:type="dxa"/>
            <w:vAlign w:val="center"/>
          </w:tcPr>
          <w:p>
            <w:pPr>
              <w:spacing w:line="360" w:lineRule="auto"/>
              <w:jc w:val="center"/>
              <w:rPr>
                <w:rFonts w:ascii="宋体" w:hAnsi="宋体"/>
                <w:sz w:val="24"/>
              </w:rPr>
            </w:pPr>
            <w:r>
              <w:rPr>
                <w:rFonts w:hint="eastAsia" w:ascii="宋体" w:hAnsi="宋体"/>
                <w:sz w:val="24"/>
              </w:rPr>
              <w:t xml:space="preserve"> </w:t>
            </w:r>
            <w:r>
              <w:rPr>
                <w:rFonts w:hint="eastAsia" w:ascii="宋体" w:hAnsi="宋体"/>
                <w:sz w:val="24"/>
                <w:lang w:val="en-US" w:eastAsia="zh-CN"/>
              </w:rPr>
              <w:t>13300</w:t>
            </w:r>
            <w:r>
              <w:rPr>
                <w:rFonts w:ascii="宋体" w:hAnsi="宋体"/>
                <w:sz w:val="24"/>
              </w:rPr>
              <w:t xml:space="preserve"> </w:t>
            </w:r>
          </w:p>
        </w:tc>
        <w:tc>
          <w:tcPr>
            <w:tcW w:w="1458" w:type="dxa"/>
            <w:vAlign w:val="center"/>
          </w:tcPr>
          <w:p>
            <w:pPr>
              <w:spacing w:line="360" w:lineRule="auto"/>
              <w:jc w:val="center"/>
              <w:rPr>
                <w:rFonts w:ascii="宋体" w:hAnsi="宋体"/>
                <w:sz w:val="24"/>
              </w:rPr>
            </w:pPr>
            <w:r>
              <w:rPr>
                <w:rFonts w:ascii="宋体" w:hAnsi="宋体"/>
                <w:sz w:val="24"/>
              </w:rPr>
              <w:t xml:space="preserve"> </w:t>
            </w:r>
            <w:r>
              <w:rPr>
                <w:rFonts w:hint="eastAsia" w:ascii="宋体" w:hAnsi="宋体"/>
                <w:sz w:val="24"/>
              </w:rPr>
              <w:t xml:space="preserve"> </w:t>
            </w:r>
            <w:r>
              <w:rPr>
                <w:rFonts w:hint="eastAsia" w:ascii="宋体" w:hAnsi="宋体"/>
                <w:sz w:val="24"/>
                <w:lang w:val="en-US" w:eastAsia="zh-CN"/>
              </w:rPr>
              <w:t>138</w:t>
            </w:r>
            <w:r>
              <w:rPr>
                <w:rFonts w:ascii="宋体" w:hAnsi="宋体"/>
                <w:sz w:val="24"/>
              </w:rPr>
              <w:t xml:space="preserve"> </w:t>
            </w:r>
          </w:p>
        </w:tc>
        <w:tc>
          <w:tcPr>
            <w:tcW w:w="1845" w:type="dxa"/>
            <w:vAlign w:val="center"/>
          </w:tcPr>
          <w:p>
            <w:pPr>
              <w:spacing w:line="360" w:lineRule="auto"/>
              <w:rPr>
                <w:rFonts w:hint="default" w:ascii="宋体" w:hAnsi="宋体" w:eastAsia=".PingFang-SC-Thin"/>
                <w:color w:val="FF0000"/>
                <w:sz w:val="24"/>
                <w:lang w:val="en-US" w:eastAsia="zh-CN"/>
              </w:rPr>
            </w:pPr>
            <w:r>
              <w:rPr>
                <w:rFonts w:ascii=".PingFang-SC-Thin" w:hAnsi=".PingFang-SC-Thin" w:eastAsia=".PingFang-SC-Thin"/>
                <w:sz w:val="24"/>
              </w:rPr>
              <w:t xml:space="preserve"> </w:t>
            </w:r>
            <w:r>
              <w:rPr>
                <w:rFonts w:hint="eastAsia" w:ascii=".PingFang-SC-Thin" w:hAnsi=".PingFang-SC-Thin" w:eastAsia=".PingFang-SC-Thin"/>
                <w:sz w:val="24"/>
              </w:rPr>
              <w:t xml:space="preserve"> </w:t>
            </w:r>
            <w:r>
              <w:rPr>
                <w:rFonts w:hint="eastAsia" w:ascii=".PingFang-SC-Thin" w:hAnsi=".PingFang-SC-Thin" w:eastAsia=".PingFang-SC-Thin"/>
                <w:sz w:val="24"/>
                <w:lang w:val="en-US" w:eastAsia="zh-CN"/>
              </w:rPr>
              <w:t>1835400</w:t>
            </w:r>
          </w:p>
        </w:tc>
        <w:tc>
          <w:tcPr>
            <w:tcW w:w="1091" w:type="dxa"/>
            <w:vAlign w:val="center"/>
          </w:tcPr>
          <w:p>
            <w:pPr>
              <w:spacing w:line="360" w:lineRule="auto"/>
              <w:rPr>
                <w:rFonts w:ascii="宋体" w:hAnsi="宋体"/>
                <w:color w:val="FF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6" w:hRule="atLeast"/>
          <w:jc w:val="center"/>
        </w:trPr>
        <w:tc>
          <w:tcPr>
            <w:tcW w:w="1864" w:type="dxa"/>
            <w:vAlign w:val="center"/>
          </w:tcPr>
          <w:p>
            <w:pPr>
              <w:spacing w:line="360" w:lineRule="auto"/>
              <w:jc w:val="center"/>
              <w:rPr>
                <w:rFonts w:ascii="宋体" w:hAnsi="宋体"/>
                <w:sz w:val="24"/>
              </w:rPr>
            </w:pPr>
            <w:r>
              <w:rPr>
                <w:rFonts w:hint="eastAsia" w:ascii="宋体" w:hAnsi="宋体"/>
                <w:sz w:val="24"/>
              </w:rPr>
              <w:t>暂估总价</w:t>
            </w:r>
          </w:p>
        </w:tc>
        <w:tc>
          <w:tcPr>
            <w:tcW w:w="7229" w:type="dxa"/>
            <w:gridSpan w:val="5"/>
            <w:vAlign w:val="center"/>
          </w:tcPr>
          <w:p>
            <w:pPr>
              <w:spacing w:line="360" w:lineRule="auto"/>
              <w:jc w:val="left"/>
              <w:rPr>
                <w:rFonts w:hint="default" w:ascii="宋体" w:eastAsia=".PingFang-SC-Thin"/>
                <w:sz w:val="24"/>
                <w:lang w:val="en-US" w:eastAsia="zh-CN"/>
              </w:rPr>
            </w:pPr>
            <w:r>
              <w:rPr>
                <w:rFonts w:hint="eastAsia" w:ascii="宋体"/>
                <w:sz w:val="24"/>
              </w:rPr>
              <w:t xml:space="preserve"> </w:t>
            </w:r>
            <w:r>
              <w:rPr>
                <w:rFonts w:hint="eastAsia" w:ascii=".PingFang-SC-Thin" w:hAnsi=".PingFang-SC-Thin" w:eastAsia=".PingFang-SC-Thin"/>
                <w:sz w:val="24"/>
              </w:rPr>
              <w:t xml:space="preserve"> </w:t>
            </w:r>
            <w:r>
              <w:rPr>
                <w:rFonts w:hint="eastAsia" w:ascii=".PingFang-SC-Thin" w:hAnsi=".PingFang-SC-Thin" w:eastAsia=".PingFang-SC-Thin"/>
                <w:sz w:val="24"/>
                <w:lang w:val="en-US" w:eastAsia="zh-CN"/>
              </w:rPr>
              <w:t>1835400</w:t>
            </w:r>
            <w:r>
              <w:rPr>
                <w:rFonts w:hint="eastAsia" w:ascii=".PingFang-SC-Thin" w:hAnsi=".PingFang-SC-Thin" w:eastAsia=".PingFang-SC-Thin"/>
                <w:sz w:val="24"/>
              </w:rPr>
              <w:t xml:space="preserve">元，大写 </w:t>
            </w:r>
            <w:r>
              <w:rPr>
                <w:rFonts w:hint="eastAsia" w:ascii=".PingFang-SC-Thin" w:hAnsi=".PingFang-SC-Thin" w:eastAsia=".PingFang-SC-Thin"/>
                <w:sz w:val="24"/>
                <w:lang w:val="en-US" w:eastAsia="zh-CN"/>
              </w:rPr>
              <w:t>壹佰捌拾叁万伍仟肆佰元整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1864" w:type="dxa"/>
            <w:vAlign w:val="center"/>
          </w:tcPr>
          <w:p>
            <w:pPr>
              <w:spacing w:line="360" w:lineRule="auto"/>
              <w:jc w:val="center"/>
              <w:rPr>
                <w:rFonts w:ascii="宋体" w:hAnsi="宋体"/>
                <w:sz w:val="24"/>
              </w:rPr>
            </w:pPr>
            <w:r>
              <w:rPr>
                <w:rFonts w:hint="eastAsia" w:ascii="宋体" w:hAnsi="宋体"/>
                <w:sz w:val="24"/>
              </w:rPr>
              <w:t>数量</w:t>
            </w:r>
            <w:r>
              <w:rPr>
                <w:rFonts w:ascii="宋体" w:hAnsi="宋体"/>
                <w:sz w:val="24"/>
              </w:rPr>
              <w:t>及单价说明</w:t>
            </w:r>
          </w:p>
        </w:tc>
        <w:tc>
          <w:tcPr>
            <w:tcW w:w="7229" w:type="dxa"/>
            <w:gridSpan w:val="5"/>
            <w:vAlign w:val="center"/>
          </w:tcPr>
          <w:p>
            <w:pPr>
              <w:spacing w:line="360" w:lineRule="auto"/>
              <w:ind w:firstLine="360" w:firstLineChars="150"/>
              <w:jc w:val="left"/>
              <w:rPr>
                <w:rFonts w:ascii="宋体"/>
                <w:sz w:val="24"/>
              </w:rPr>
            </w:pPr>
            <w:r>
              <w:rPr>
                <w:rFonts w:hint="eastAsia" w:ascii="宋体"/>
                <w:sz w:val="24"/>
              </w:rPr>
              <w:t>上表所列的暂估数量为合同期垃圾处理计划的原</w:t>
            </w:r>
            <w:r>
              <w:rPr>
                <w:rFonts w:ascii="宋体"/>
                <w:sz w:val="24"/>
              </w:rPr>
              <w:t>灰量，</w:t>
            </w:r>
            <w:r>
              <w:rPr>
                <w:rFonts w:hint="eastAsia" w:ascii="宋体"/>
                <w:sz w:val="24"/>
              </w:rPr>
              <w:t>结算时以实际螯合处理达标的原灰为准，超出暂估数量仍按本合同单价执行。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1864" w:type="dxa"/>
            <w:vAlign w:val="center"/>
          </w:tcPr>
          <w:p>
            <w:pPr>
              <w:spacing w:line="360" w:lineRule="auto"/>
              <w:jc w:val="center"/>
              <w:rPr>
                <w:rFonts w:ascii="宋体" w:hAnsi="宋体"/>
                <w:sz w:val="24"/>
              </w:rPr>
            </w:pPr>
            <w:r>
              <w:rPr>
                <w:rFonts w:hint="eastAsia" w:ascii="宋体" w:hAnsi="宋体"/>
                <w:sz w:val="24"/>
              </w:rPr>
              <w:t>计量方式</w:t>
            </w:r>
            <w:r>
              <w:rPr>
                <w:rFonts w:ascii="宋体" w:hAnsi="宋体"/>
                <w:sz w:val="24"/>
              </w:rPr>
              <w:t>说明</w:t>
            </w:r>
          </w:p>
        </w:tc>
        <w:tc>
          <w:tcPr>
            <w:tcW w:w="7229" w:type="dxa"/>
            <w:gridSpan w:val="5"/>
          </w:tcPr>
          <w:p>
            <w:pPr>
              <w:spacing w:line="360" w:lineRule="auto"/>
              <w:jc w:val="left"/>
              <w:rPr>
                <w:sz w:val="24"/>
              </w:rPr>
            </w:pPr>
            <w:r>
              <w:rPr>
                <w:rFonts w:hint="eastAsia"/>
                <w:sz w:val="24"/>
              </w:rPr>
              <w:t>具体计量公式为：A=E-G-H</w:t>
            </w:r>
          </w:p>
          <w:p>
            <w:pPr>
              <w:spacing w:line="360" w:lineRule="auto"/>
              <w:jc w:val="left"/>
              <w:rPr>
                <w:sz w:val="24"/>
              </w:rPr>
            </w:pPr>
            <w:r>
              <w:rPr>
                <w:rFonts w:hint="eastAsia"/>
                <w:sz w:val="24"/>
              </w:rPr>
              <w:t>A：螯合处理达标的原灰量，单位：吨；</w:t>
            </w:r>
          </w:p>
          <w:p>
            <w:pPr>
              <w:spacing w:line="360" w:lineRule="auto"/>
              <w:jc w:val="left"/>
              <w:rPr>
                <w:sz w:val="24"/>
              </w:rPr>
            </w:pPr>
            <w:r>
              <w:rPr>
                <w:rFonts w:hint="eastAsia"/>
                <w:sz w:val="24"/>
              </w:rPr>
              <w:t>E：飞灰螯合物外运填埋过磅量，单位：吨；（以甲方电厂地磅实际计量数为准）</w:t>
            </w:r>
          </w:p>
          <w:p>
            <w:pPr>
              <w:spacing w:line="360" w:lineRule="auto"/>
              <w:jc w:val="left"/>
              <w:rPr>
                <w:sz w:val="24"/>
              </w:rPr>
            </w:pPr>
            <w:r>
              <w:rPr>
                <w:rFonts w:hint="eastAsia"/>
                <w:sz w:val="24"/>
              </w:rPr>
              <w:t>G: 螯合药剂过磅量，单位：吨；（以甲方电厂地磅实际计量数为准）</w:t>
            </w:r>
          </w:p>
          <w:p>
            <w:pPr>
              <w:spacing w:line="360" w:lineRule="auto"/>
              <w:jc w:val="left"/>
              <w:rPr>
                <w:sz w:val="24"/>
              </w:rPr>
            </w:pPr>
            <w:r>
              <w:rPr>
                <w:rFonts w:hint="eastAsia"/>
                <w:sz w:val="24"/>
              </w:rPr>
              <w:t>H：螯合过程中加入的水量，单位：吨。（以螯合剂配制罐入口电子流量计度数为准，甲方负责定期提供电子流量计第三方校验报告）</w:t>
            </w:r>
          </w:p>
          <w:p>
            <w:pPr>
              <w:spacing w:line="360" w:lineRule="auto"/>
              <w:jc w:val="left"/>
              <w:rPr>
                <w:sz w:val="24"/>
              </w:rPr>
            </w:pPr>
            <w:r>
              <w:rPr>
                <w:rFonts w:hint="eastAsia"/>
                <w:sz w:val="24"/>
              </w:rPr>
              <w:t>注：1、甲方地磅系统故障时以双方认可的第三方计量数为准。</w:t>
            </w:r>
          </w:p>
          <w:p>
            <w:pPr>
              <w:spacing w:line="360" w:lineRule="auto"/>
              <w:ind w:firstLine="480" w:firstLineChars="200"/>
              <w:jc w:val="left"/>
              <w:rPr>
                <w:sz w:val="24"/>
              </w:rPr>
            </w:pPr>
            <w:r>
              <w:rPr>
                <w:rFonts w:hint="eastAsia"/>
                <w:sz w:val="24"/>
              </w:rPr>
              <w:t>2、设备、仪表校验要求：由甲方负责按照法律或行业标准定期委托有资质单位对地磅及流量计进行校验，乙方须认同校验结果。</w:t>
            </w:r>
          </w:p>
        </w:tc>
      </w:tr>
    </w:tbl>
    <w:p>
      <w:pPr>
        <w:snapToGrid w:val="0"/>
        <w:spacing w:line="360" w:lineRule="auto"/>
        <w:ind w:firstLine="480" w:firstLineChars="200"/>
        <w:rPr>
          <w:rFonts w:ascii="宋体" w:hAnsi="宋体"/>
          <w:sz w:val="24"/>
        </w:rPr>
      </w:pPr>
      <w:r>
        <w:rPr>
          <w:rFonts w:ascii="宋体" w:hAnsi="宋体"/>
          <w:sz w:val="24"/>
        </w:rPr>
        <w:t>2</w:t>
      </w:r>
      <w:r>
        <w:rPr>
          <w:rFonts w:hint="eastAsia" w:ascii="宋体" w:hAnsi="宋体"/>
          <w:sz w:val="24"/>
        </w:rPr>
        <w:t>、</w:t>
      </w:r>
      <w:r>
        <w:rPr>
          <w:rFonts w:ascii="宋体" w:hAnsi="宋体"/>
          <w:b/>
          <w:sz w:val="24"/>
        </w:rPr>
        <w:t>本合同为</w:t>
      </w:r>
      <w:r>
        <w:rPr>
          <w:rFonts w:hint="eastAsia" w:ascii="宋体" w:hAnsi="宋体"/>
          <w:b/>
          <w:sz w:val="24"/>
        </w:rPr>
        <w:t>固定</w:t>
      </w:r>
      <w:r>
        <w:rPr>
          <w:rFonts w:ascii="宋体" w:hAnsi="宋体"/>
          <w:b/>
          <w:sz w:val="24"/>
        </w:rPr>
        <w:t>单价合同</w:t>
      </w:r>
      <w:r>
        <w:rPr>
          <w:rFonts w:ascii="宋体" w:hAnsi="宋体"/>
          <w:sz w:val="24"/>
        </w:rPr>
        <w:t>，</w:t>
      </w:r>
      <w:r>
        <w:rPr>
          <w:rFonts w:hint="eastAsia" w:ascii="宋体" w:hAnsi="宋体"/>
          <w:sz w:val="24"/>
        </w:rPr>
        <w:t>合同</w:t>
      </w:r>
      <w:r>
        <w:rPr>
          <w:rFonts w:ascii="宋体" w:hAnsi="宋体"/>
          <w:sz w:val="24"/>
        </w:rPr>
        <w:t>单价</w:t>
      </w:r>
      <w:r>
        <w:rPr>
          <w:rFonts w:hint="eastAsia" w:ascii="宋体" w:hAnsi="宋体"/>
          <w:sz w:val="24"/>
        </w:rPr>
        <w:t>不因物价上涨、运输方式变更等任何因素的改变而调整。</w:t>
      </w:r>
      <w:r>
        <w:rPr>
          <w:rFonts w:hint="eastAsia"/>
          <w:sz w:val="24"/>
        </w:rPr>
        <w:t>合同</w:t>
      </w:r>
      <w:r>
        <w:rPr>
          <w:rFonts w:ascii="宋体" w:hAnsi="宋体"/>
          <w:sz w:val="24"/>
        </w:rPr>
        <w:t>具体</w:t>
      </w:r>
      <w:r>
        <w:rPr>
          <w:rFonts w:hint="eastAsia" w:ascii="宋体" w:hAnsi="宋体"/>
          <w:sz w:val="24"/>
        </w:rPr>
        <w:t>支付金额</w:t>
      </w:r>
      <w:r>
        <w:rPr>
          <w:rFonts w:hint="eastAsia"/>
          <w:bCs/>
          <w:sz w:val="24"/>
        </w:rPr>
        <w:t>以乙方按合同要求实际进行</w:t>
      </w:r>
      <w:r>
        <w:rPr>
          <w:rFonts w:hint="eastAsia"/>
          <w:sz w:val="24"/>
        </w:rPr>
        <w:t>螯合处理达标</w:t>
      </w:r>
      <w:r>
        <w:rPr>
          <w:rFonts w:hint="eastAsia"/>
          <w:bCs/>
          <w:sz w:val="24"/>
        </w:rPr>
        <w:t>的原灰数量</w:t>
      </w:r>
      <w:r>
        <w:rPr>
          <w:rFonts w:hint="eastAsia" w:ascii="宋体" w:hAnsi="宋体"/>
          <w:sz w:val="24"/>
        </w:rPr>
        <w:t>和本合同</w:t>
      </w:r>
      <w:r>
        <w:rPr>
          <w:rFonts w:ascii="宋体" w:hAnsi="宋体"/>
          <w:sz w:val="24"/>
        </w:rPr>
        <w:t>单价为</w:t>
      </w:r>
      <w:r>
        <w:rPr>
          <w:rFonts w:hint="eastAsia" w:ascii="宋体" w:hAnsi="宋体"/>
          <w:sz w:val="24"/>
        </w:rPr>
        <w:t>计算</w:t>
      </w:r>
      <w:r>
        <w:rPr>
          <w:rFonts w:ascii="宋体" w:hAnsi="宋体"/>
          <w:sz w:val="24"/>
        </w:rPr>
        <w:t>依据</w:t>
      </w:r>
      <w:r>
        <w:rPr>
          <w:rFonts w:hint="eastAsia" w:ascii="宋体" w:hAnsi="宋体"/>
          <w:sz w:val="24"/>
        </w:rPr>
        <w:t>来办理结算，若国家调整增值税税率，结算金额相应调整。</w:t>
      </w:r>
    </w:p>
    <w:p>
      <w:pPr>
        <w:snapToGrid w:val="0"/>
        <w:spacing w:line="360" w:lineRule="auto"/>
        <w:ind w:firstLine="480" w:firstLineChars="200"/>
        <w:rPr>
          <w:rFonts w:ascii="宋体" w:hAnsi="宋体"/>
          <w:sz w:val="24"/>
        </w:rPr>
      </w:pPr>
      <w:r>
        <w:rPr>
          <w:rFonts w:hint="eastAsia" w:ascii="宋体" w:hAnsi="宋体"/>
          <w:sz w:val="24"/>
        </w:rPr>
        <w:t>3、本合同价格已包含飞灰</w:t>
      </w:r>
      <w:r>
        <w:rPr>
          <w:rFonts w:ascii="宋体" w:hAnsi="宋体"/>
          <w:sz w:val="24"/>
        </w:rPr>
        <w:t>处理药剂</w:t>
      </w:r>
      <w:r>
        <w:rPr>
          <w:rFonts w:hint="eastAsia" w:ascii="宋体" w:hAnsi="宋体"/>
          <w:sz w:val="24"/>
        </w:rPr>
        <w:t>产品的供货、</w:t>
      </w:r>
      <w:r>
        <w:rPr>
          <w:rFonts w:hint="eastAsia" w:hAnsi="宋体"/>
          <w:sz w:val="24"/>
        </w:rPr>
        <w:t>包装、运输、保险、现场装卸</w:t>
      </w:r>
      <w:r>
        <w:rPr>
          <w:rFonts w:hint="eastAsia" w:ascii="宋体" w:hAnsi="宋体"/>
          <w:sz w:val="24"/>
        </w:rPr>
        <w:t>、</w:t>
      </w:r>
      <w:r>
        <w:rPr>
          <w:rFonts w:ascii="宋体" w:hAnsi="宋体"/>
          <w:sz w:val="24"/>
        </w:rPr>
        <w:t>增值</w:t>
      </w:r>
      <w:r>
        <w:rPr>
          <w:rFonts w:hint="eastAsia" w:ascii="宋体" w:hAnsi="宋体"/>
          <w:sz w:val="24"/>
        </w:rPr>
        <w:t>税、</w:t>
      </w:r>
      <w:r>
        <w:rPr>
          <w:rFonts w:ascii="宋体" w:hAnsi="宋体"/>
          <w:sz w:val="24"/>
        </w:rPr>
        <w:t>原灰</w:t>
      </w:r>
      <w:r>
        <w:rPr>
          <w:rFonts w:hint="eastAsia" w:ascii="宋体" w:hAnsi="宋体"/>
          <w:sz w:val="24"/>
        </w:rPr>
        <w:t>和</w:t>
      </w:r>
      <w:r>
        <w:rPr>
          <w:rFonts w:ascii="宋体" w:hAnsi="宋体"/>
          <w:sz w:val="24"/>
        </w:rPr>
        <w:t>螯合物</w:t>
      </w:r>
      <w:r>
        <w:rPr>
          <w:rFonts w:hint="eastAsia" w:ascii="宋体" w:hAnsi="宋体"/>
          <w:sz w:val="24"/>
        </w:rPr>
        <w:t>样品</w:t>
      </w:r>
      <w:r>
        <w:rPr>
          <w:rFonts w:ascii="宋体" w:hAnsi="宋体"/>
          <w:sz w:val="24"/>
        </w:rPr>
        <w:t>检测费</w:t>
      </w:r>
      <w:r>
        <w:rPr>
          <w:rFonts w:hint="eastAsia" w:ascii="宋体" w:hAnsi="宋体"/>
          <w:sz w:val="24"/>
        </w:rPr>
        <w:t>、</w:t>
      </w:r>
      <w:r>
        <w:rPr>
          <w:rFonts w:ascii="宋体" w:hAnsi="宋体" w:cs="Arial"/>
          <w:sz w:val="24"/>
        </w:rPr>
        <w:t>现场</w:t>
      </w:r>
      <w:r>
        <w:rPr>
          <w:rFonts w:hint="eastAsia" w:ascii="宋体" w:hAnsi="宋体" w:cs="Arial"/>
          <w:sz w:val="24"/>
        </w:rPr>
        <w:t>飞灰</w:t>
      </w:r>
      <w:r>
        <w:rPr>
          <w:rFonts w:ascii="宋体" w:hAnsi="宋体" w:cs="Arial"/>
          <w:sz w:val="24"/>
        </w:rPr>
        <w:t>稳定化</w:t>
      </w:r>
      <w:r>
        <w:rPr>
          <w:rFonts w:hint="eastAsia" w:ascii="宋体" w:hAnsi="宋体" w:cs="Arial"/>
          <w:sz w:val="24"/>
        </w:rPr>
        <w:t>螯合相关的运营管理服务</w:t>
      </w:r>
      <w:r>
        <w:rPr>
          <w:rFonts w:hint="eastAsia" w:ascii="宋体" w:hAnsi="宋体"/>
          <w:sz w:val="24"/>
        </w:rPr>
        <w:t>等乙方</w:t>
      </w:r>
      <w:r>
        <w:rPr>
          <w:rFonts w:ascii="宋体" w:hAnsi="宋体"/>
          <w:sz w:val="24"/>
        </w:rPr>
        <w:t>因履行</w:t>
      </w:r>
      <w:r>
        <w:rPr>
          <w:rFonts w:hint="eastAsia" w:ascii="宋体" w:hAnsi="宋体"/>
          <w:sz w:val="24"/>
        </w:rPr>
        <w:t>本合同约定应承担的所有义务和工作的全部费用。</w:t>
      </w:r>
    </w:p>
    <w:p>
      <w:pPr>
        <w:snapToGrid w:val="0"/>
        <w:spacing w:line="360" w:lineRule="auto"/>
        <w:ind w:firstLine="480" w:firstLineChars="200"/>
        <w:rPr>
          <w:rFonts w:ascii="宋体" w:hAnsi="宋体"/>
          <w:color w:val="FF0000"/>
          <w:sz w:val="24"/>
          <w:highlight w:val="yellow"/>
        </w:rPr>
      </w:pPr>
      <w:r>
        <w:rPr>
          <w:rFonts w:ascii="宋体" w:hAnsi="宋体"/>
          <w:color w:val="FF0000"/>
          <w:sz w:val="24"/>
          <w:highlight w:val="yellow"/>
        </w:rPr>
        <w:t>4</w:t>
      </w:r>
      <w:r>
        <w:rPr>
          <w:rFonts w:hint="eastAsia" w:ascii="宋体" w:hAnsi="宋体"/>
          <w:color w:val="FF0000"/>
          <w:sz w:val="24"/>
          <w:highlight w:val="yellow"/>
        </w:rPr>
        <w:t>、监管资金设置要求：a.监管资金金额大小：监管资金金额=月度飞灰稳定化处理预估量</w:t>
      </w:r>
      <w:r>
        <w:rPr>
          <w:rFonts w:hint="eastAsia" w:ascii="宋体" w:hAnsi="宋体"/>
          <w:color w:val="FF0000"/>
          <w:sz w:val="24"/>
          <w:highlight w:val="yellow"/>
          <w:lang w:eastAsia="zh-CN"/>
        </w:rPr>
        <w:t>（</w:t>
      </w:r>
      <w:r>
        <w:rPr>
          <w:rFonts w:hint="eastAsia" w:ascii="宋体" w:hAnsi="宋体"/>
          <w:color w:val="FF0000"/>
          <w:sz w:val="24"/>
          <w:highlight w:val="yellow"/>
          <w:lang w:val="en-US" w:eastAsia="zh-CN"/>
        </w:rPr>
        <w:t>原灰</w:t>
      </w:r>
      <w:r>
        <w:rPr>
          <w:rFonts w:hint="eastAsia" w:ascii="宋体" w:hAnsi="宋体"/>
          <w:color w:val="FF0000"/>
          <w:sz w:val="24"/>
          <w:highlight w:val="yellow"/>
          <w:lang w:eastAsia="zh-CN"/>
        </w:rPr>
        <w:t>）</w:t>
      </w:r>
      <w:r>
        <w:rPr>
          <w:rFonts w:hint="eastAsia" w:ascii="宋体" w:hAnsi="宋体"/>
          <w:color w:val="FF0000"/>
          <w:sz w:val="24"/>
          <w:highlight w:val="yellow"/>
        </w:rPr>
        <w:t>*飞灰稳定化处理单价*2</w:t>
      </w:r>
    </w:p>
    <w:p>
      <w:pPr>
        <w:snapToGrid w:val="0"/>
        <w:spacing w:line="360" w:lineRule="auto"/>
        <w:ind w:firstLine="480" w:firstLineChars="200"/>
        <w:rPr>
          <w:rFonts w:ascii="宋体" w:hAnsi="宋体"/>
          <w:color w:val="FF0000"/>
          <w:sz w:val="24"/>
          <w:highlight w:val="yellow"/>
        </w:rPr>
      </w:pPr>
      <w:r>
        <w:rPr>
          <w:rFonts w:hint="eastAsia" w:ascii="宋体" w:hAnsi="宋体"/>
          <w:color w:val="FF0000"/>
          <w:sz w:val="24"/>
          <w:highlight w:val="yellow"/>
        </w:rPr>
        <w:t xml:space="preserve"> b.监管资金缴纳时间：预中标候选人收到监管资金缴纳通知书10天内缴纳，未在规定期限内缴纳足额监管资金的没收投标保证金，并取消中标资格。</w:t>
      </w:r>
    </w:p>
    <w:p>
      <w:pPr>
        <w:snapToGrid w:val="0"/>
        <w:spacing w:line="360" w:lineRule="auto"/>
        <w:ind w:firstLine="480" w:firstLineChars="200"/>
        <w:rPr>
          <w:rFonts w:ascii="宋体" w:hAnsi="宋体"/>
          <w:color w:val="FF0000"/>
          <w:sz w:val="24"/>
          <w:highlight w:val="yellow"/>
        </w:rPr>
      </w:pPr>
      <w:r>
        <w:rPr>
          <w:rFonts w:hint="eastAsia" w:ascii="宋体" w:hAnsi="宋体"/>
          <w:color w:val="FF0000"/>
          <w:sz w:val="24"/>
          <w:highlight w:val="yellow"/>
        </w:rPr>
        <w:t>注：技术协议书中的运营监管标准有对项目的明确监管内容及考核标准。如</w:t>
      </w:r>
      <w:r>
        <w:rPr>
          <w:rFonts w:ascii="宋体" w:hAnsi="宋体"/>
          <w:color w:val="FF0000"/>
          <w:sz w:val="24"/>
          <w:highlight w:val="yellow"/>
        </w:rPr>
        <w:t>出现本合同及</w:t>
      </w:r>
      <w:r>
        <w:rPr>
          <w:rFonts w:hint="eastAsia" w:ascii="宋体" w:hAnsi="宋体"/>
          <w:color w:val="FF0000"/>
          <w:sz w:val="24"/>
          <w:highlight w:val="yellow"/>
        </w:rPr>
        <w:t>技术协议书中</w:t>
      </w:r>
      <w:r>
        <w:rPr>
          <w:rFonts w:ascii="宋体" w:hAnsi="宋体"/>
          <w:color w:val="FF0000"/>
          <w:sz w:val="24"/>
          <w:highlight w:val="yellow"/>
        </w:rPr>
        <w:t>约定的乙方应承担违约责任的事项，</w:t>
      </w:r>
      <w:r>
        <w:rPr>
          <w:rFonts w:hint="eastAsia" w:ascii="宋体" w:hAnsi="宋体"/>
          <w:color w:val="FF0000"/>
          <w:sz w:val="24"/>
          <w:highlight w:val="yellow"/>
        </w:rPr>
        <w:t>则</w:t>
      </w:r>
      <w:r>
        <w:rPr>
          <w:rFonts w:ascii="宋体" w:hAnsi="宋体"/>
          <w:color w:val="FF0000"/>
          <w:sz w:val="24"/>
          <w:highlight w:val="yellow"/>
        </w:rPr>
        <w:t>甲方</w:t>
      </w:r>
      <w:r>
        <w:rPr>
          <w:rFonts w:hint="eastAsia" w:ascii="宋体" w:hAnsi="宋体"/>
          <w:color w:val="FF0000"/>
          <w:sz w:val="24"/>
          <w:highlight w:val="yellow"/>
        </w:rPr>
        <w:t>有权</w:t>
      </w:r>
      <w:r>
        <w:rPr>
          <w:rFonts w:ascii="宋体" w:hAnsi="宋体"/>
          <w:color w:val="FF0000"/>
          <w:sz w:val="24"/>
          <w:highlight w:val="yellow"/>
        </w:rPr>
        <w:t>在</w:t>
      </w:r>
      <w:r>
        <w:rPr>
          <w:rFonts w:hint="eastAsia" w:ascii="宋体" w:hAnsi="宋体"/>
          <w:color w:val="FF0000"/>
          <w:sz w:val="24"/>
          <w:highlight w:val="yellow"/>
        </w:rPr>
        <w:t>监管资金</w:t>
      </w:r>
      <w:r>
        <w:rPr>
          <w:rFonts w:ascii="宋体" w:hAnsi="宋体"/>
          <w:color w:val="FF0000"/>
          <w:sz w:val="24"/>
          <w:highlight w:val="yellow"/>
        </w:rPr>
        <w:t>中扣除相应的金额</w:t>
      </w:r>
      <w:r>
        <w:rPr>
          <w:rFonts w:hint="eastAsia" w:ascii="宋体" w:hAnsi="宋体"/>
          <w:color w:val="FF0000"/>
          <w:sz w:val="24"/>
          <w:highlight w:val="yellow"/>
        </w:rPr>
        <w:t>，</w:t>
      </w:r>
      <w:r>
        <w:rPr>
          <w:rFonts w:ascii="宋体" w:hAnsi="宋体"/>
          <w:color w:val="FF0000"/>
          <w:sz w:val="24"/>
          <w:highlight w:val="yellow"/>
        </w:rPr>
        <w:t>且</w:t>
      </w:r>
      <w:r>
        <w:rPr>
          <w:rFonts w:hint="eastAsia" w:ascii="宋体" w:hAnsi="宋体"/>
          <w:color w:val="FF0000"/>
          <w:sz w:val="24"/>
          <w:highlight w:val="yellow"/>
        </w:rPr>
        <w:t>乙方</w:t>
      </w:r>
      <w:r>
        <w:rPr>
          <w:rFonts w:ascii="宋体" w:hAnsi="宋体"/>
          <w:color w:val="FF0000"/>
          <w:sz w:val="24"/>
          <w:highlight w:val="yellow"/>
        </w:rPr>
        <w:t>需在</w:t>
      </w:r>
      <w:r>
        <w:rPr>
          <w:rFonts w:hint="eastAsia" w:ascii="宋体" w:hAnsi="宋体"/>
          <w:color w:val="FF0000"/>
          <w:sz w:val="24"/>
          <w:highlight w:val="yellow"/>
        </w:rPr>
        <w:t>10</w:t>
      </w:r>
      <w:r>
        <w:rPr>
          <w:rFonts w:ascii="宋体" w:hAnsi="宋体"/>
          <w:color w:val="FF0000"/>
          <w:sz w:val="24"/>
          <w:highlight w:val="yellow"/>
        </w:rPr>
        <w:t>日内</w:t>
      </w:r>
      <w:r>
        <w:rPr>
          <w:rFonts w:hint="eastAsia" w:ascii="宋体" w:hAnsi="宋体"/>
          <w:color w:val="FF0000"/>
          <w:sz w:val="24"/>
          <w:highlight w:val="yellow"/>
        </w:rPr>
        <w:t>向</w:t>
      </w:r>
      <w:r>
        <w:rPr>
          <w:rFonts w:ascii="宋体" w:hAnsi="宋体"/>
          <w:color w:val="FF0000"/>
          <w:sz w:val="24"/>
          <w:highlight w:val="yellow"/>
        </w:rPr>
        <w:t>甲方重新提交相应金额的</w:t>
      </w:r>
      <w:r>
        <w:rPr>
          <w:rFonts w:hint="eastAsia" w:ascii="宋体" w:hAnsi="宋体"/>
          <w:color w:val="FF0000"/>
          <w:sz w:val="24"/>
          <w:highlight w:val="yellow"/>
        </w:rPr>
        <w:t>监管资金</w:t>
      </w:r>
      <w:r>
        <w:rPr>
          <w:rFonts w:ascii="宋体" w:hAnsi="宋体"/>
          <w:color w:val="FF0000"/>
          <w:sz w:val="24"/>
          <w:highlight w:val="yellow"/>
        </w:rPr>
        <w:t>。</w:t>
      </w:r>
      <w:r>
        <w:rPr>
          <w:rFonts w:hint="eastAsia" w:ascii="宋体" w:hAnsi="宋体"/>
          <w:color w:val="FF0000"/>
          <w:sz w:val="24"/>
          <w:highlight w:val="yellow"/>
        </w:rPr>
        <w:t>在</w:t>
      </w:r>
      <w:r>
        <w:rPr>
          <w:rFonts w:ascii="宋体" w:hAnsi="宋体"/>
          <w:color w:val="FF0000"/>
          <w:sz w:val="24"/>
          <w:highlight w:val="yellow"/>
        </w:rPr>
        <w:t>本合同履行完毕后</w:t>
      </w:r>
      <w:r>
        <w:rPr>
          <w:rFonts w:hint="eastAsia" w:ascii="宋体" w:hAnsi="宋体"/>
          <w:color w:val="FF0000"/>
          <w:sz w:val="24"/>
          <w:highlight w:val="yellow"/>
        </w:rPr>
        <w:t>且乙方</w:t>
      </w:r>
      <w:r>
        <w:rPr>
          <w:rFonts w:ascii="宋体" w:hAnsi="宋体"/>
          <w:color w:val="FF0000"/>
          <w:sz w:val="24"/>
          <w:highlight w:val="yellow"/>
        </w:rPr>
        <w:t>无任何</w:t>
      </w:r>
      <w:r>
        <w:rPr>
          <w:rFonts w:hint="eastAsia" w:ascii="宋体" w:hAnsi="宋体"/>
          <w:color w:val="FF0000"/>
          <w:sz w:val="24"/>
          <w:highlight w:val="yellow"/>
        </w:rPr>
        <w:t>应</w:t>
      </w:r>
      <w:r>
        <w:rPr>
          <w:rFonts w:ascii="宋体" w:hAnsi="宋体"/>
          <w:color w:val="FF0000"/>
          <w:sz w:val="24"/>
          <w:highlight w:val="yellow"/>
        </w:rPr>
        <w:t>承担的违约责任，甲方</w:t>
      </w:r>
      <w:r>
        <w:rPr>
          <w:rFonts w:hint="eastAsia" w:ascii="宋体" w:hAnsi="宋体"/>
          <w:color w:val="FF0000"/>
          <w:sz w:val="24"/>
          <w:highlight w:val="yellow"/>
        </w:rPr>
        <w:t>则</w:t>
      </w:r>
      <w:r>
        <w:rPr>
          <w:rFonts w:ascii="宋体" w:hAnsi="宋体"/>
          <w:color w:val="FF0000"/>
          <w:sz w:val="24"/>
          <w:highlight w:val="yellow"/>
        </w:rPr>
        <w:t>将</w:t>
      </w:r>
      <w:r>
        <w:rPr>
          <w:rFonts w:hint="eastAsia" w:ascii="宋体" w:hAnsi="宋体"/>
          <w:color w:val="FF0000"/>
          <w:sz w:val="24"/>
          <w:highlight w:val="yellow"/>
        </w:rPr>
        <w:t>监管资金退还</w:t>
      </w:r>
      <w:r>
        <w:rPr>
          <w:rFonts w:ascii="宋体" w:hAnsi="宋体"/>
          <w:color w:val="FF0000"/>
          <w:sz w:val="24"/>
          <w:highlight w:val="yellow"/>
        </w:rPr>
        <w:t>给乙方。如</w:t>
      </w:r>
      <w:r>
        <w:rPr>
          <w:rFonts w:hint="eastAsia" w:ascii="宋体" w:hAnsi="宋体"/>
          <w:color w:val="FF0000"/>
          <w:sz w:val="24"/>
          <w:highlight w:val="yellow"/>
        </w:rPr>
        <w:t>监管资金金额</w:t>
      </w:r>
      <w:r>
        <w:rPr>
          <w:rFonts w:ascii="宋体" w:hAnsi="宋体"/>
          <w:color w:val="FF0000"/>
          <w:sz w:val="24"/>
          <w:highlight w:val="yellow"/>
        </w:rPr>
        <w:t>不足以弥补乙方应承担的违约责任，则甲方有权从应支付给乙方的合同</w:t>
      </w:r>
      <w:r>
        <w:rPr>
          <w:rFonts w:hint="eastAsia" w:ascii="宋体" w:hAnsi="宋体"/>
          <w:color w:val="FF0000"/>
          <w:sz w:val="24"/>
          <w:highlight w:val="yellow"/>
        </w:rPr>
        <w:t>款项</w:t>
      </w:r>
      <w:r>
        <w:rPr>
          <w:rFonts w:ascii="宋体" w:hAnsi="宋体"/>
          <w:color w:val="FF0000"/>
          <w:sz w:val="24"/>
          <w:highlight w:val="yellow"/>
        </w:rPr>
        <w:t>中</w:t>
      </w:r>
      <w:r>
        <w:rPr>
          <w:rFonts w:hint="eastAsia" w:ascii="宋体" w:hAnsi="宋体"/>
          <w:color w:val="FF0000"/>
          <w:sz w:val="24"/>
          <w:highlight w:val="yellow"/>
        </w:rPr>
        <w:t>直接</w:t>
      </w:r>
      <w:r>
        <w:rPr>
          <w:rFonts w:ascii="宋体" w:hAnsi="宋体"/>
          <w:color w:val="FF0000"/>
          <w:sz w:val="24"/>
          <w:highlight w:val="yellow"/>
        </w:rPr>
        <w:t>扣除，仍不足部分继续向乙方追偿。</w:t>
      </w:r>
    </w:p>
    <w:p>
      <w:pPr>
        <w:pStyle w:val="101"/>
        <w:numPr>
          <w:ilvl w:val="0"/>
          <w:numId w:val="8"/>
        </w:numPr>
        <w:snapToGrid w:val="0"/>
        <w:spacing w:line="360" w:lineRule="auto"/>
        <w:ind w:left="560" w:hanging="560" w:hangingChars="200"/>
        <w:outlineLvl w:val="1"/>
        <w:rPr>
          <w:rFonts w:ascii="黑体" w:hAnsi="宋体" w:eastAsia="黑体"/>
          <w:sz w:val="28"/>
          <w:szCs w:val="32"/>
        </w:rPr>
      </w:pPr>
      <w:bookmarkStart w:id="5" w:name="_Toc94196198"/>
      <w:r>
        <w:rPr>
          <w:rFonts w:hint="eastAsia" w:ascii="黑体" w:hAnsi="宋体" w:eastAsia="黑体"/>
          <w:sz w:val="28"/>
          <w:szCs w:val="32"/>
        </w:rPr>
        <w:t>付款方式</w:t>
      </w:r>
      <w:bookmarkEnd w:id="5"/>
    </w:p>
    <w:p>
      <w:pPr>
        <w:snapToGrid w:val="0"/>
        <w:spacing w:line="360" w:lineRule="auto"/>
        <w:ind w:firstLine="420" w:firstLineChars="175"/>
        <w:rPr>
          <w:rFonts w:ascii="宋体" w:hAnsi="宋体"/>
          <w:sz w:val="24"/>
        </w:rPr>
      </w:pPr>
      <w:r>
        <w:rPr>
          <w:rFonts w:hint="eastAsia" w:ascii="宋体" w:hAnsi="宋体"/>
          <w:sz w:val="24"/>
        </w:rPr>
        <w:t>1、货币种类：人民币。</w:t>
      </w:r>
    </w:p>
    <w:p>
      <w:pPr>
        <w:snapToGrid w:val="0"/>
        <w:spacing w:line="360" w:lineRule="auto"/>
        <w:ind w:firstLine="424" w:firstLineChars="177"/>
        <w:rPr>
          <w:rFonts w:ascii="宋体" w:hAnsi="宋体"/>
          <w:sz w:val="24"/>
        </w:rPr>
      </w:pPr>
      <w:r>
        <w:rPr>
          <w:rFonts w:hint="eastAsia" w:ascii="宋体" w:hAnsi="宋体"/>
          <w:sz w:val="24"/>
        </w:rPr>
        <w:t>2、付款方式：银行转帐。</w:t>
      </w:r>
    </w:p>
    <w:p>
      <w:pPr>
        <w:snapToGrid w:val="0"/>
        <w:spacing w:line="360" w:lineRule="auto"/>
        <w:ind w:firstLine="424" w:firstLineChars="177"/>
        <w:rPr>
          <w:rFonts w:ascii="宋体" w:hAnsi="宋体"/>
          <w:sz w:val="24"/>
        </w:rPr>
      </w:pPr>
      <w:r>
        <w:rPr>
          <w:rFonts w:hint="eastAsia" w:ascii="宋体" w:hAnsi="宋体"/>
          <w:sz w:val="24"/>
        </w:rPr>
        <w:t>3、合同</w:t>
      </w:r>
      <w:r>
        <w:rPr>
          <w:rFonts w:ascii="宋体" w:hAnsi="宋体"/>
          <w:sz w:val="24"/>
        </w:rPr>
        <w:t>款项的支付：</w:t>
      </w:r>
    </w:p>
    <w:p>
      <w:pPr>
        <w:snapToGrid w:val="0"/>
        <w:spacing w:line="360" w:lineRule="auto"/>
        <w:ind w:firstLine="424" w:firstLineChars="177"/>
        <w:rPr>
          <w:bCs/>
          <w:sz w:val="24"/>
        </w:rPr>
      </w:pPr>
      <w:r>
        <w:rPr>
          <w:rFonts w:hint="eastAsia" w:ascii="宋体" w:hAnsi="宋体"/>
          <w:sz w:val="24"/>
        </w:rPr>
        <w:t>3.1</w:t>
      </w:r>
      <w:r>
        <w:rPr>
          <w:rFonts w:hint="eastAsia"/>
          <w:b/>
          <w:bCs/>
          <w:sz w:val="24"/>
        </w:rPr>
        <w:t>每期结算进度款=</w:t>
      </w:r>
      <w:r>
        <w:rPr>
          <w:b/>
          <w:bCs/>
          <w:sz w:val="24"/>
        </w:rPr>
        <w:t xml:space="preserve"> </w:t>
      </w:r>
      <w:r>
        <w:rPr>
          <w:rFonts w:hint="eastAsia"/>
          <w:b/>
          <w:bCs/>
          <w:sz w:val="24"/>
        </w:rPr>
        <w:t>合同综合</w:t>
      </w:r>
      <w:r>
        <w:rPr>
          <w:b/>
          <w:bCs/>
          <w:sz w:val="24"/>
        </w:rPr>
        <w:t>单价</w:t>
      </w:r>
      <w:r>
        <w:rPr>
          <w:rFonts w:hint="eastAsia"/>
          <w:b/>
          <w:bCs/>
          <w:sz w:val="24"/>
        </w:rPr>
        <w:t>×结算周期内乙方按合同要求处置达标的原灰重量（吨）</w:t>
      </w:r>
    </w:p>
    <w:p>
      <w:pPr>
        <w:snapToGrid w:val="0"/>
        <w:spacing w:line="360" w:lineRule="auto"/>
        <w:ind w:firstLine="424" w:firstLineChars="177"/>
        <w:rPr>
          <w:rFonts w:ascii="宋体" w:hAnsi="宋体"/>
          <w:sz w:val="24"/>
        </w:rPr>
      </w:pPr>
      <w:r>
        <w:rPr>
          <w:rFonts w:hint="eastAsia" w:ascii="宋体" w:hAnsi="宋体"/>
          <w:sz w:val="24"/>
        </w:rPr>
        <w:t>3.2本</w:t>
      </w:r>
      <w:r>
        <w:rPr>
          <w:rFonts w:ascii="宋体" w:hAnsi="宋体"/>
          <w:sz w:val="24"/>
        </w:rPr>
        <w:t>合同款项按照月结方式每月</w:t>
      </w:r>
      <w:r>
        <w:rPr>
          <w:rFonts w:hint="eastAsia" w:ascii="宋体" w:hAnsi="宋体"/>
          <w:sz w:val="24"/>
        </w:rPr>
        <w:t>结算</w:t>
      </w:r>
      <w:r>
        <w:rPr>
          <w:rFonts w:ascii="宋体" w:hAnsi="宋体"/>
          <w:sz w:val="24"/>
        </w:rPr>
        <w:t>一次</w:t>
      </w:r>
      <w:r>
        <w:rPr>
          <w:rFonts w:hint="eastAsia" w:ascii="宋体" w:hAnsi="宋体"/>
          <w:sz w:val="24"/>
        </w:rPr>
        <w:t>。乙方每月</w:t>
      </w:r>
      <w:r>
        <w:rPr>
          <w:rFonts w:ascii="宋体" w:hAnsi="宋体"/>
          <w:sz w:val="24"/>
        </w:rPr>
        <w:t>10</w:t>
      </w:r>
      <w:r>
        <w:rPr>
          <w:rFonts w:hint="eastAsia" w:ascii="宋体" w:hAnsi="宋体"/>
          <w:sz w:val="24"/>
        </w:rPr>
        <w:t>号前</w:t>
      </w:r>
      <w:r>
        <w:rPr>
          <w:rFonts w:ascii="宋体" w:hAnsi="宋体"/>
          <w:sz w:val="24"/>
        </w:rPr>
        <w:t>将</w:t>
      </w:r>
      <w:r>
        <w:rPr>
          <w:rFonts w:hint="eastAsia" w:ascii="宋体" w:hAnsi="宋体"/>
          <w:sz w:val="24"/>
        </w:rPr>
        <w:t>上月实际按合同要求处置达标的原灰数量</w:t>
      </w:r>
      <w:r>
        <w:rPr>
          <w:rFonts w:ascii="宋体" w:hAnsi="宋体"/>
          <w:sz w:val="24"/>
        </w:rPr>
        <w:t>汇总</w:t>
      </w:r>
      <w:r>
        <w:rPr>
          <w:rFonts w:hint="eastAsia" w:ascii="宋体" w:hAnsi="宋体"/>
          <w:sz w:val="24"/>
        </w:rPr>
        <w:t>后，</w:t>
      </w:r>
      <w:r>
        <w:rPr>
          <w:rFonts w:ascii="宋体" w:hAnsi="宋体"/>
          <w:sz w:val="24"/>
        </w:rPr>
        <w:t>根据</w:t>
      </w:r>
      <w:r>
        <w:rPr>
          <w:rFonts w:hint="eastAsia" w:ascii="宋体" w:hAnsi="宋体"/>
          <w:sz w:val="24"/>
        </w:rPr>
        <w:t>本</w:t>
      </w:r>
      <w:r>
        <w:rPr>
          <w:rFonts w:ascii="宋体" w:hAnsi="宋体"/>
          <w:sz w:val="24"/>
        </w:rPr>
        <w:t>合同单价</w:t>
      </w:r>
      <w:r>
        <w:rPr>
          <w:rFonts w:hint="eastAsia" w:ascii="宋体" w:hAnsi="宋体"/>
          <w:sz w:val="24"/>
        </w:rPr>
        <w:t>计算本期</w:t>
      </w:r>
      <w:r>
        <w:rPr>
          <w:rFonts w:ascii="宋体" w:hAnsi="宋体"/>
          <w:sz w:val="24"/>
        </w:rPr>
        <w:t>应支付</w:t>
      </w:r>
      <w:r>
        <w:rPr>
          <w:rFonts w:hint="eastAsia" w:ascii="宋体" w:hAnsi="宋体"/>
          <w:sz w:val="24"/>
        </w:rPr>
        <w:t>的结算</w:t>
      </w:r>
      <w:r>
        <w:rPr>
          <w:rFonts w:ascii="宋体" w:hAnsi="宋体"/>
          <w:sz w:val="24"/>
        </w:rPr>
        <w:t>金额，</w:t>
      </w:r>
      <w:r>
        <w:rPr>
          <w:rFonts w:hint="eastAsia" w:ascii="宋体" w:hAnsi="宋体"/>
          <w:sz w:val="24"/>
        </w:rPr>
        <w:t>并</w:t>
      </w:r>
      <w:r>
        <w:rPr>
          <w:rFonts w:ascii="宋体" w:hAnsi="宋体"/>
          <w:sz w:val="24"/>
        </w:rPr>
        <w:t>以</w:t>
      </w:r>
      <w:r>
        <w:rPr>
          <w:rFonts w:hint="eastAsia" w:ascii="宋体" w:hAnsi="宋体"/>
          <w:sz w:val="24"/>
        </w:rPr>
        <w:t>对账单</w:t>
      </w:r>
      <w:r>
        <w:rPr>
          <w:rFonts w:ascii="宋体" w:hAnsi="宋体"/>
          <w:sz w:val="24"/>
        </w:rPr>
        <w:t>的形式提交给甲方，</w:t>
      </w:r>
      <w:r>
        <w:rPr>
          <w:rFonts w:hint="eastAsia" w:ascii="宋体" w:hAnsi="宋体"/>
          <w:sz w:val="24"/>
        </w:rPr>
        <w:t>甲方根据电厂现场的计量</w:t>
      </w:r>
      <w:r>
        <w:rPr>
          <w:rFonts w:ascii="宋体" w:hAnsi="宋体"/>
          <w:sz w:val="24"/>
        </w:rPr>
        <w:t>清单</w:t>
      </w:r>
      <w:r>
        <w:rPr>
          <w:rFonts w:hint="eastAsia" w:ascii="宋体" w:hAnsi="宋体"/>
          <w:sz w:val="24"/>
        </w:rPr>
        <w:t>、</w:t>
      </w:r>
      <w:r>
        <w:rPr>
          <w:rFonts w:ascii="宋体" w:hAnsi="宋体"/>
          <w:sz w:val="24"/>
        </w:rPr>
        <w:t>处理凭证和</w:t>
      </w:r>
      <w:r>
        <w:rPr>
          <w:rFonts w:hint="eastAsia" w:ascii="宋体" w:hAnsi="宋体"/>
          <w:sz w:val="24"/>
        </w:rPr>
        <w:t>乙方提供的对账</w:t>
      </w:r>
      <w:r>
        <w:rPr>
          <w:rFonts w:ascii="宋体" w:hAnsi="宋体"/>
          <w:sz w:val="24"/>
        </w:rPr>
        <w:t>单</w:t>
      </w:r>
      <w:r>
        <w:rPr>
          <w:rFonts w:hint="eastAsia" w:ascii="宋体" w:hAnsi="宋体"/>
          <w:sz w:val="24"/>
        </w:rPr>
        <w:t>经</w:t>
      </w:r>
      <w:r>
        <w:rPr>
          <w:rFonts w:ascii="宋体" w:hAnsi="宋体"/>
          <w:sz w:val="24"/>
        </w:rPr>
        <w:t>审核无误后</w:t>
      </w:r>
      <w:r>
        <w:rPr>
          <w:rFonts w:hint="eastAsia" w:ascii="宋体" w:hAnsi="宋体"/>
          <w:sz w:val="24"/>
        </w:rPr>
        <w:t>办理</w:t>
      </w:r>
      <w:r>
        <w:rPr>
          <w:rFonts w:ascii="宋体" w:hAnsi="宋体"/>
          <w:sz w:val="24"/>
        </w:rPr>
        <w:t>结算</w:t>
      </w:r>
      <w:r>
        <w:rPr>
          <w:rFonts w:hint="eastAsia" w:ascii="宋体" w:hAnsi="宋体"/>
          <w:sz w:val="24"/>
        </w:rPr>
        <w:t>。对账单</w:t>
      </w:r>
      <w:r>
        <w:rPr>
          <w:rFonts w:ascii="宋体" w:hAnsi="宋体"/>
          <w:sz w:val="24"/>
        </w:rPr>
        <w:t>须包含</w:t>
      </w:r>
      <w:r>
        <w:rPr>
          <w:rFonts w:hint="eastAsia" w:ascii="宋体" w:hAnsi="宋体"/>
          <w:sz w:val="24"/>
        </w:rPr>
        <w:t>飞灰螯合物外运填埋过磅量、螯合药剂过磅量</w:t>
      </w:r>
      <w:r>
        <w:rPr>
          <w:rFonts w:ascii="宋体" w:hAnsi="宋体"/>
          <w:sz w:val="24"/>
        </w:rPr>
        <w:t>、</w:t>
      </w:r>
      <w:r>
        <w:rPr>
          <w:rFonts w:hint="eastAsia" w:ascii="宋体" w:hAnsi="宋体"/>
          <w:sz w:val="24"/>
        </w:rPr>
        <w:t>螯合过程中加入水量、处置</w:t>
      </w:r>
      <w:r>
        <w:rPr>
          <w:rFonts w:ascii="宋体" w:hAnsi="宋体"/>
          <w:sz w:val="24"/>
        </w:rPr>
        <w:t>达标的原灰数量和</w:t>
      </w:r>
      <w:r>
        <w:rPr>
          <w:rFonts w:hint="eastAsia" w:ascii="宋体" w:hAnsi="宋体"/>
          <w:sz w:val="24"/>
        </w:rPr>
        <w:t>汇总金额，</w:t>
      </w:r>
      <w:r>
        <w:rPr>
          <w:rFonts w:hint="eastAsia" w:ascii="宋体" w:hAnsi="宋体"/>
          <w:b/>
          <w:sz w:val="24"/>
        </w:rPr>
        <w:t>每次</w:t>
      </w:r>
      <w:r>
        <w:rPr>
          <w:rFonts w:ascii="宋体" w:hAnsi="宋体"/>
          <w:b/>
          <w:sz w:val="24"/>
        </w:rPr>
        <w:t>付款前</w:t>
      </w:r>
      <w:r>
        <w:rPr>
          <w:rFonts w:hint="eastAsia" w:ascii="宋体" w:hAnsi="宋体"/>
          <w:b/>
          <w:sz w:val="24"/>
        </w:rPr>
        <w:t>乙方</w:t>
      </w:r>
      <w:r>
        <w:rPr>
          <w:rFonts w:ascii="宋体" w:hAnsi="宋体"/>
          <w:b/>
          <w:sz w:val="24"/>
        </w:rPr>
        <w:t>须</w:t>
      </w:r>
      <w:r>
        <w:rPr>
          <w:rFonts w:hint="eastAsia" w:ascii="宋体" w:hAnsi="宋体"/>
          <w:b/>
          <w:sz w:val="24"/>
        </w:rPr>
        <w:t>提交对应结算</w:t>
      </w:r>
      <w:r>
        <w:rPr>
          <w:rFonts w:ascii="宋体" w:hAnsi="宋体"/>
          <w:b/>
          <w:sz w:val="24"/>
        </w:rPr>
        <w:t>金额的</w:t>
      </w:r>
      <w:r>
        <w:rPr>
          <w:rFonts w:hint="eastAsia" w:ascii="宋体" w:hAnsi="宋体"/>
          <w:b/>
          <w:sz w:val="24"/>
        </w:rPr>
        <w:t>增值税专用发票、申请周期内本项目乙方自有员工工资付讫凭证以及经</w:t>
      </w:r>
      <w:r>
        <w:rPr>
          <w:rFonts w:ascii="宋体" w:hAnsi="宋体"/>
          <w:b/>
          <w:sz w:val="24"/>
        </w:rPr>
        <w:t>甲乙双方确认的月度评分表</w:t>
      </w:r>
      <w:r>
        <w:rPr>
          <w:rFonts w:ascii="宋体" w:hAnsi="宋体"/>
          <w:sz w:val="24"/>
        </w:rPr>
        <w:t>，并按月度评分表的</w:t>
      </w:r>
      <w:r>
        <w:rPr>
          <w:rFonts w:hint="eastAsia" w:ascii="宋体" w:hAnsi="宋体"/>
          <w:sz w:val="24"/>
        </w:rPr>
        <w:t>考评结果</w:t>
      </w:r>
      <w:r>
        <w:rPr>
          <w:rFonts w:ascii="宋体" w:hAnsi="宋体"/>
          <w:sz w:val="24"/>
        </w:rPr>
        <w:t>执行</w:t>
      </w:r>
      <w:r>
        <w:rPr>
          <w:rFonts w:hint="eastAsia" w:ascii="宋体" w:hAnsi="宋体"/>
          <w:sz w:val="24"/>
        </w:rPr>
        <w:t xml:space="preserve">。 </w:t>
      </w:r>
    </w:p>
    <w:p>
      <w:pPr>
        <w:snapToGrid w:val="0"/>
        <w:spacing w:line="360" w:lineRule="auto"/>
        <w:ind w:firstLine="424" w:firstLineChars="177"/>
        <w:rPr>
          <w:rFonts w:ascii="宋体" w:hAnsi="宋体"/>
          <w:sz w:val="24"/>
        </w:rPr>
      </w:pPr>
      <w:r>
        <w:rPr>
          <w:rFonts w:hint="eastAsia" w:ascii="宋体" w:hAnsi="宋体"/>
          <w:sz w:val="24"/>
        </w:rPr>
        <w:t>3.3增值税发票的开具</w:t>
      </w:r>
    </w:p>
    <w:p>
      <w:pPr>
        <w:snapToGrid w:val="0"/>
        <w:spacing w:line="360" w:lineRule="auto"/>
        <w:ind w:firstLine="424" w:firstLineChars="177"/>
        <w:rPr>
          <w:bCs/>
          <w:sz w:val="24"/>
        </w:rPr>
      </w:pPr>
      <w:r>
        <w:rPr>
          <w:rFonts w:hint="eastAsia" w:ascii="宋体" w:hAnsi="宋体"/>
          <w:sz w:val="24"/>
        </w:rPr>
        <w:t>3.3.1结算周期内药剂金额=结算周期内实际使用飞灰螯合剂重量（吨）</w:t>
      </w:r>
      <w:r>
        <w:rPr>
          <w:rFonts w:hint="eastAsia"/>
          <w:bCs/>
          <w:sz w:val="24"/>
        </w:rPr>
        <w:t>×合同约定飞灰螯合剂单价，该部分开具13%增值税发票。</w:t>
      </w:r>
    </w:p>
    <w:p>
      <w:pPr>
        <w:snapToGrid w:val="0"/>
        <w:spacing w:line="360" w:lineRule="auto"/>
        <w:ind w:firstLine="424" w:firstLineChars="177"/>
        <w:rPr>
          <w:bCs/>
          <w:sz w:val="24"/>
        </w:rPr>
      </w:pPr>
      <w:r>
        <w:rPr>
          <w:rFonts w:hint="eastAsia"/>
          <w:bCs/>
          <w:sz w:val="24"/>
        </w:rPr>
        <w:t>本合同飞灰螯合剂单价为：</w:t>
      </w:r>
      <w:r>
        <w:rPr>
          <w:rFonts w:hint="eastAsia"/>
          <w:bCs/>
          <w:sz w:val="24"/>
          <w:highlight w:val="yellow"/>
        </w:rPr>
        <w:t xml:space="preserve">    </w:t>
      </w:r>
      <w:r>
        <w:rPr>
          <w:rFonts w:hint="eastAsia"/>
          <w:bCs/>
          <w:sz w:val="24"/>
          <w:highlight w:val="yellow"/>
          <w:lang w:val="en-US" w:eastAsia="zh-CN"/>
        </w:rPr>
        <w:t>1400</w:t>
      </w:r>
      <w:r>
        <w:rPr>
          <w:rFonts w:hint="eastAsia"/>
          <w:bCs/>
          <w:sz w:val="24"/>
          <w:highlight w:val="yellow"/>
        </w:rPr>
        <w:t xml:space="preserve">  </w:t>
      </w:r>
      <w:r>
        <w:rPr>
          <w:rFonts w:hint="eastAsia"/>
          <w:bCs/>
          <w:sz w:val="24"/>
        </w:rPr>
        <w:t>元/吨。</w:t>
      </w:r>
    </w:p>
    <w:p>
      <w:pPr>
        <w:snapToGrid w:val="0"/>
        <w:spacing w:line="360" w:lineRule="auto"/>
        <w:ind w:firstLine="424" w:firstLineChars="177"/>
        <w:rPr>
          <w:rFonts w:ascii="宋体" w:hAnsi="宋体"/>
          <w:sz w:val="24"/>
        </w:rPr>
      </w:pPr>
      <w:r>
        <w:rPr>
          <w:rFonts w:hint="eastAsia" w:ascii="宋体" w:hAnsi="宋体"/>
          <w:sz w:val="24"/>
        </w:rPr>
        <w:t>3.3.2结算周期内运营金额=</w:t>
      </w:r>
      <w:r>
        <w:rPr>
          <w:rFonts w:hint="eastAsia"/>
          <w:bCs/>
          <w:sz w:val="24"/>
        </w:rPr>
        <w:t>每期结算进度款—</w:t>
      </w:r>
      <w:r>
        <w:rPr>
          <w:rFonts w:hint="eastAsia" w:ascii="宋体" w:hAnsi="宋体"/>
          <w:sz w:val="24"/>
        </w:rPr>
        <w:t>结算周期内药剂金额，该部分开具6%增值税发票。</w:t>
      </w:r>
    </w:p>
    <w:p>
      <w:pPr>
        <w:snapToGrid w:val="0"/>
        <w:spacing w:line="360" w:lineRule="auto"/>
        <w:ind w:firstLine="424" w:firstLineChars="177"/>
        <w:rPr>
          <w:rFonts w:ascii="宋体" w:hAnsi="宋体"/>
          <w:sz w:val="24"/>
        </w:rPr>
      </w:pPr>
      <w:r>
        <w:rPr>
          <w:rFonts w:hint="eastAsia" w:ascii="宋体" w:hAnsi="宋体"/>
          <w:sz w:val="24"/>
        </w:rPr>
        <w:t>3.3.3若国家调整增值税税率，结算金额相应调整。</w:t>
      </w:r>
    </w:p>
    <w:p>
      <w:pPr>
        <w:snapToGrid w:val="0"/>
        <w:spacing w:line="360" w:lineRule="auto"/>
        <w:ind w:firstLine="424" w:firstLineChars="177"/>
        <w:rPr>
          <w:rFonts w:ascii="宋体" w:hAnsi="宋体"/>
          <w:sz w:val="24"/>
          <w:highlight w:val="yellow"/>
        </w:rPr>
      </w:pPr>
      <w:r>
        <w:rPr>
          <w:rFonts w:hint="eastAsia" w:ascii="宋体" w:hAnsi="宋体"/>
          <w:sz w:val="24"/>
          <w:highlight w:val="yellow"/>
        </w:rPr>
        <w:t>3.3.4甲方开票</w:t>
      </w:r>
      <w:r>
        <w:rPr>
          <w:rFonts w:ascii="宋体" w:hAnsi="宋体"/>
          <w:sz w:val="24"/>
          <w:highlight w:val="yellow"/>
        </w:rPr>
        <w:t>信息如下：</w:t>
      </w:r>
    </w:p>
    <w:p>
      <w:pPr>
        <w:snapToGrid w:val="0"/>
        <w:spacing w:after="156" w:afterLines="50" w:line="360" w:lineRule="auto"/>
        <w:ind w:firstLine="420" w:firstLineChars="175"/>
        <w:rPr>
          <w:rFonts w:hint="eastAsia" w:ascii="宋体" w:hAnsi="宋体"/>
          <w:sz w:val="24"/>
        </w:rPr>
      </w:pPr>
      <w:r>
        <w:rPr>
          <w:rFonts w:hint="eastAsia" w:ascii="宋体" w:hAnsi="宋体"/>
          <w:sz w:val="24"/>
        </w:rPr>
        <w:t>公司名称：</w:t>
      </w:r>
      <w:r>
        <w:rPr>
          <w:rFonts w:hint="eastAsia" w:ascii="宋体" w:hAnsi="宋体"/>
          <w:sz w:val="24"/>
          <w:lang w:val="en-US" w:eastAsia="zh-CN"/>
        </w:rPr>
        <w:t>桂林市深能环保有限</w:t>
      </w:r>
      <w:r>
        <w:rPr>
          <w:rFonts w:hint="eastAsia" w:ascii="宋体" w:hAnsi="宋体"/>
          <w:sz w:val="24"/>
        </w:rPr>
        <w:t>公司</w:t>
      </w:r>
    </w:p>
    <w:p>
      <w:pPr>
        <w:snapToGrid w:val="0"/>
        <w:spacing w:after="156" w:afterLines="50" w:line="360" w:lineRule="auto"/>
        <w:ind w:firstLine="420" w:firstLineChars="175"/>
        <w:rPr>
          <w:rFonts w:hint="eastAsia" w:ascii="宋体" w:hAnsi="宋体"/>
          <w:sz w:val="24"/>
        </w:rPr>
      </w:pPr>
      <w:r>
        <w:rPr>
          <w:rFonts w:hint="eastAsia" w:ascii="宋体" w:hAnsi="宋体"/>
          <w:sz w:val="24"/>
        </w:rPr>
        <w:t>纳税人识别号：914503003307417412</w:t>
      </w:r>
    </w:p>
    <w:p>
      <w:pPr>
        <w:snapToGrid w:val="0"/>
        <w:spacing w:after="156" w:afterLines="50" w:line="360" w:lineRule="auto"/>
        <w:ind w:firstLine="420" w:firstLineChars="175"/>
        <w:rPr>
          <w:rFonts w:hint="eastAsia" w:ascii="宋体" w:hAnsi="宋体"/>
          <w:sz w:val="24"/>
        </w:rPr>
      </w:pPr>
      <w:r>
        <w:rPr>
          <w:rFonts w:hint="eastAsia" w:ascii="宋体" w:hAnsi="宋体"/>
          <w:sz w:val="24"/>
        </w:rPr>
        <w:t>地址：桂林市临桂区临桂镇水口村山口生活垃圾卫生填埋场</w:t>
      </w:r>
    </w:p>
    <w:p>
      <w:pPr>
        <w:snapToGrid w:val="0"/>
        <w:spacing w:after="156" w:afterLines="50" w:line="360" w:lineRule="auto"/>
        <w:ind w:firstLine="420" w:firstLineChars="175"/>
        <w:rPr>
          <w:rFonts w:hint="eastAsia" w:ascii="宋体" w:hAnsi="宋体"/>
          <w:sz w:val="24"/>
        </w:rPr>
      </w:pPr>
      <w:r>
        <w:rPr>
          <w:rFonts w:hint="eastAsia" w:ascii="宋体" w:hAnsi="宋体"/>
          <w:sz w:val="24"/>
        </w:rPr>
        <w:t>电话：0773-6776622</w:t>
      </w:r>
    </w:p>
    <w:p>
      <w:pPr>
        <w:snapToGrid w:val="0"/>
        <w:spacing w:after="156" w:afterLines="50" w:line="360" w:lineRule="auto"/>
        <w:ind w:firstLine="420" w:firstLineChars="175"/>
        <w:rPr>
          <w:rFonts w:hint="eastAsia" w:ascii="宋体" w:hAnsi="宋体"/>
          <w:sz w:val="24"/>
        </w:rPr>
      </w:pPr>
      <w:r>
        <w:rPr>
          <w:rFonts w:hint="eastAsia" w:ascii="宋体" w:hAnsi="宋体"/>
          <w:sz w:val="24"/>
        </w:rPr>
        <w:t xml:space="preserve">开户银行：中国建设银行桂林城中支行  </w:t>
      </w:r>
    </w:p>
    <w:p>
      <w:pPr>
        <w:snapToGrid w:val="0"/>
        <w:spacing w:after="156" w:afterLines="50" w:line="360" w:lineRule="auto"/>
        <w:ind w:firstLine="420" w:firstLineChars="175"/>
        <w:rPr>
          <w:rFonts w:hint="eastAsia" w:ascii="宋体" w:hAnsi="宋体"/>
          <w:sz w:val="24"/>
        </w:rPr>
      </w:pPr>
      <w:r>
        <w:rPr>
          <w:rFonts w:hint="eastAsia" w:ascii="宋体" w:hAnsi="宋体"/>
          <w:sz w:val="24"/>
        </w:rPr>
        <w:t>帐号：45001635506059888666</w:t>
      </w:r>
    </w:p>
    <w:p>
      <w:pPr>
        <w:snapToGrid w:val="0"/>
        <w:spacing w:after="156" w:afterLines="50" w:line="360" w:lineRule="auto"/>
        <w:ind w:firstLine="420" w:firstLineChars="175"/>
        <w:rPr>
          <w:rFonts w:ascii="宋体" w:hAnsi="宋体"/>
          <w:sz w:val="24"/>
        </w:rPr>
      </w:pPr>
      <w:r>
        <w:rPr>
          <w:rFonts w:hint="eastAsia" w:ascii="宋体" w:hAnsi="宋体"/>
          <w:sz w:val="24"/>
        </w:rPr>
        <w:t xml:space="preserve"> 5、甲方与银行发生的与执行合同有关的银行费用由甲方负担，乙方与银行发生的与执行合同有关的银行费用由乙方负担。</w:t>
      </w:r>
    </w:p>
    <w:p>
      <w:pPr>
        <w:pStyle w:val="101"/>
        <w:numPr>
          <w:ilvl w:val="0"/>
          <w:numId w:val="8"/>
        </w:numPr>
        <w:snapToGrid w:val="0"/>
        <w:spacing w:line="360" w:lineRule="auto"/>
        <w:ind w:left="560" w:hanging="560" w:hangingChars="200"/>
        <w:outlineLvl w:val="1"/>
        <w:rPr>
          <w:rFonts w:ascii="黑体" w:hAnsi="宋体" w:eastAsia="黑体"/>
          <w:sz w:val="28"/>
          <w:szCs w:val="32"/>
        </w:rPr>
      </w:pPr>
      <w:bookmarkStart w:id="6" w:name="_Toc94196199"/>
      <w:r>
        <w:rPr>
          <w:rFonts w:hint="eastAsia" w:ascii="黑体" w:hAnsi="宋体" w:eastAsia="黑体"/>
          <w:sz w:val="28"/>
          <w:szCs w:val="32"/>
        </w:rPr>
        <w:t>乙方郑重承诺</w:t>
      </w:r>
      <w:bookmarkEnd w:id="6"/>
    </w:p>
    <w:p>
      <w:pPr>
        <w:widowControl/>
        <w:spacing w:line="360" w:lineRule="auto"/>
        <w:ind w:firstLine="482"/>
        <w:jc w:val="left"/>
        <w:rPr>
          <w:rFonts w:ascii="宋体" w:hAnsi="宋体"/>
          <w:sz w:val="24"/>
        </w:rPr>
      </w:pPr>
      <w:r>
        <w:rPr>
          <w:rFonts w:hint="eastAsia" w:ascii="宋体" w:hAnsi="宋体"/>
          <w:sz w:val="24"/>
        </w:rPr>
        <w:t>1、乙方及其派出人员将通过办理《</w:t>
      </w:r>
      <w:r>
        <w:rPr>
          <w:rFonts w:hint="eastAsia"/>
          <w:sz w:val="24"/>
        </w:rPr>
        <w:t>依照合同委派现场服务人员入场确认单</w:t>
      </w:r>
      <w:r>
        <w:rPr>
          <w:rFonts w:hint="eastAsia" w:ascii="宋体" w:hAnsi="宋体"/>
          <w:sz w:val="24"/>
        </w:rPr>
        <w:t>》和《</w:t>
      </w:r>
      <w:r>
        <w:rPr>
          <w:rFonts w:hint="eastAsia"/>
          <w:sz w:val="24"/>
        </w:rPr>
        <w:t>依照合同委派现场服务人员</w:t>
      </w:r>
      <w:r>
        <w:rPr>
          <w:rFonts w:hint="eastAsia" w:ascii="宋体" w:hAnsi="宋体"/>
          <w:sz w:val="24"/>
        </w:rPr>
        <w:t>劳动关系确认承诺书》的方式书面确认委托派出</w:t>
      </w:r>
      <w:r>
        <w:rPr>
          <w:rFonts w:hint="eastAsia"/>
          <w:sz w:val="24"/>
        </w:rPr>
        <w:t>本合同的现场服务人员</w:t>
      </w:r>
      <w:r>
        <w:rPr>
          <w:rFonts w:hint="eastAsia" w:ascii="宋体" w:hAnsi="宋体"/>
          <w:sz w:val="24"/>
        </w:rPr>
        <w:t>，尽职尽责地向甲方提供飞灰稳定化处理服务，维护甲方及垃圾发电厂的良好形象；尽力做好相关的教育、培训、预防和管理，尽最大努力避免对被服务方制造任何纠纷事故麻烦。</w:t>
      </w:r>
    </w:p>
    <w:p>
      <w:pPr>
        <w:widowControl/>
        <w:spacing w:line="360" w:lineRule="auto"/>
        <w:ind w:firstLine="482"/>
        <w:jc w:val="left"/>
        <w:rPr>
          <w:rFonts w:ascii="宋体" w:hAnsi="宋体"/>
          <w:sz w:val="24"/>
        </w:rPr>
      </w:pPr>
      <w:r>
        <w:rPr>
          <w:rFonts w:hint="eastAsia" w:ascii="宋体" w:hAnsi="宋体"/>
          <w:sz w:val="24"/>
        </w:rPr>
        <w:t>2、为确保依法有效地执行好本合同，乙方保证依法用工，坚持合法化和人性化管理，将根据国家和项目所在省、市所颁布最新的法律、法规及规定的要求，上岗之日前已与所有派进甲方现场工作的人员书面签订劳动合同，建立合法合规的完善的劳动法律关系（包括但不限于劳动合同关系、工资保险关系和劳动用工手续等）。作为用人及用工单位将全力保障被派进甲方现场工作人员的合法权益，若乙方与被派进甲方现场工作的人员发生任何纠纷，或者乙方派进甲方现场工作的人员</w:t>
      </w:r>
      <w:r>
        <w:rPr>
          <w:rFonts w:ascii="宋体" w:hAnsi="宋体"/>
          <w:sz w:val="24"/>
        </w:rPr>
        <w:t>发生事故伤害</w:t>
      </w:r>
      <w:r>
        <w:rPr>
          <w:rFonts w:hint="eastAsia" w:ascii="宋体" w:hAnsi="宋体"/>
          <w:sz w:val="24"/>
        </w:rPr>
        <w:t>和死亡</w:t>
      </w:r>
      <w:r>
        <w:rPr>
          <w:rFonts w:ascii="宋体" w:hAnsi="宋体"/>
          <w:sz w:val="24"/>
        </w:rPr>
        <w:t>或者按照职业病防治法规定被诊断、鉴定为职业病</w:t>
      </w:r>
      <w:r>
        <w:rPr>
          <w:rFonts w:hint="eastAsia" w:ascii="宋体" w:hAnsi="宋体"/>
          <w:sz w:val="24"/>
        </w:rPr>
        <w:t>等任何事件或事故时，均完全属于乙方公司内部的纠纷或事件关系，且均由乙方与当事人（即乙方职工）之间自始至终全程（包括但不限于</w:t>
      </w:r>
      <w:r>
        <w:rPr>
          <w:rFonts w:ascii="宋体" w:hAnsi="宋体"/>
          <w:sz w:val="24"/>
        </w:rPr>
        <w:t>受理</w:t>
      </w:r>
      <w:r>
        <w:rPr>
          <w:rFonts w:hint="eastAsia" w:ascii="宋体" w:hAnsi="宋体"/>
          <w:sz w:val="24"/>
        </w:rPr>
        <w:t>、</w:t>
      </w:r>
      <w:r>
        <w:rPr>
          <w:rFonts w:ascii="宋体" w:hAnsi="宋体"/>
          <w:sz w:val="24"/>
        </w:rPr>
        <w:t>调查核实</w:t>
      </w:r>
      <w:r>
        <w:rPr>
          <w:rFonts w:hint="eastAsia" w:ascii="宋体" w:hAnsi="宋体"/>
          <w:sz w:val="24"/>
        </w:rPr>
        <w:t>、</w:t>
      </w:r>
      <w:r>
        <w:rPr>
          <w:rFonts w:ascii="宋体" w:hAnsi="宋体"/>
          <w:sz w:val="24"/>
        </w:rPr>
        <w:t>提</w:t>
      </w:r>
      <w:r>
        <w:rPr>
          <w:rFonts w:hint="eastAsia" w:ascii="宋体" w:hAnsi="宋体"/>
          <w:sz w:val="24"/>
        </w:rPr>
        <w:t>交报告、配合认定、安抚谈判、承担责任、支付赔偿等）独立自行处理，并作为用人和用工的单位最终承担全部责任及赔偿，且概与作为被服务方的甲方或垃圾发电厂等任何第三者无关。乙方及其派出人员均严格遵守和执行的法律、法规和规章包括但不限于下列范围：</w:t>
      </w:r>
    </w:p>
    <w:p>
      <w:pPr>
        <w:widowControl/>
        <w:spacing w:line="360" w:lineRule="auto"/>
        <w:ind w:firstLine="482"/>
        <w:jc w:val="left"/>
        <w:rPr>
          <w:rFonts w:ascii="宋体" w:hAnsi="宋体"/>
          <w:sz w:val="24"/>
        </w:rPr>
      </w:pPr>
      <w:r>
        <w:rPr>
          <w:rFonts w:hint="eastAsia" w:ascii="宋体" w:hAnsi="宋体"/>
          <w:sz w:val="24"/>
        </w:rPr>
        <w:t>（1）《中华人民共和国劳动法》；</w:t>
      </w:r>
    </w:p>
    <w:p>
      <w:pPr>
        <w:widowControl/>
        <w:spacing w:line="360" w:lineRule="auto"/>
        <w:ind w:firstLine="482"/>
        <w:jc w:val="left"/>
        <w:rPr>
          <w:rFonts w:ascii="宋体" w:hAnsi="宋体"/>
          <w:sz w:val="24"/>
        </w:rPr>
      </w:pPr>
      <w:r>
        <w:rPr>
          <w:rFonts w:hint="eastAsia" w:ascii="宋体" w:hAnsi="宋体"/>
          <w:sz w:val="24"/>
        </w:rPr>
        <w:t>（2）《中华人民共和国劳动合同法》；</w:t>
      </w:r>
    </w:p>
    <w:p>
      <w:pPr>
        <w:widowControl/>
        <w:spacing w:line="360" w:lineRule="auto"/>
        <w:ind w:firstLine="482"/>
        <w:jc w:val="left"/>
        <w:rPr>
          <w:rFonts w:ascii="宋体" w:hAnsi="宋体"/>
          <w:sz w:val="24"/>
        </w:rPr>
      </w:pPr>
      <w:r>
        <w:rPr>
          <w:rFonts w:hint="eastAsia" w:ascii="宋体" w:hAnsi="宋体"/>
          <w:sz w:val="24"/>
        </w:rPr>
        <w:t>（3）《中华人民共和国劳动合同法实施条例》；</w:t>
      </w:r>
    </w:p>
    <w:p>
      <w:pPr>
        <w:widowControl/>
        <w:spacing w:line="360" w:lineRule="auto"/>
        <w:ind w:firstLine="482"/>
        <w:jc w:val="left"/>
        <w:rPr>
          <w:rFonts w:ascii="宋体" w:hAnsi="宋体"/>
          <w:sz w:val="24"/>
        </w:rPr>
      </w:pPr>
      <w:r>
        <w:rPr>
          <w:rFonts w:hint="eastAsia" w:ascii="宋体" w:hAnsi="宋体"/>
          <w:sz w:val="24"/>
        </w:rPr>
        <w:t>（4）《中华人民共和国社会保险法》；</w:t>
      </w:r>
    </w:p>
    <w:p>
      <w:pPr>
        <w:widowControl/>
        <w:spacing w:line="360" w:lineRule="auto"/>
        <w:ind w:firstLine="482"/>
        <w:jc w:val="left"/>
        <w:rPr>
          <w:rFonts w:ascii="宋体" w:hAnsi="宋体"/>
          <w:sz w:val="24"/>
        </w:rPr>
      </w:pPr>
      <w:r>
        <w:rPr>
          <w:rFonts w:hint="eastAsia" w:ascii="宋体" w:hAnsi="宋体"/>
          <w:sz w:val="24"/>
        </w:rPr>
        <w:t>（5）《中华人民共和国职业病防治法》；</w:t>
      </w:r>
    </w:p>
    <w:p>
      <w:pPr>
        <w:widowControl/>
        <w:spacing w:line="360" w:lineRule="auto"/>
        <w:ind w:firstLine="482"/>
        <w:jc w:val="left"/>
        <w:rPr>
          <w:rFonts w:ascii="宋体" w:hAnsi="宋体"/>
          <w:sz w:val="24"/>
        </w:rPr>
      </w:pPr>
      <w:r>
        <w:rPr>
          <w:rFonts w:hint="eastAsia" w:ascii="宋体" w:hAnsi="宋体"/>
          <w:sz w:val="24"/>
        </w:rPr>
        <w:t>（6）《中华人民共和国安全生产法》；</w:t>
      </w:r>
    </w:p>
    <w:p>
      <w:pPr>
        <w:widowControl/>
        <w:spacing w:line="360" w:lineRule="auto"/>
        <w:ind w:firstLine="482"/>
        <w:jc w:val="left"/>
        <w:rPr>
          <w:rFonts w:ascii="宋体" w:hAnsi="宋体"/>
          <w:sz w:val="24"/>
        </w:rPr>
      </w:pPr>
      <w:r>
        <w:rPr>
          <w:rFonts w:hint="eastAsia" w:ascii="宋体" w:hAnsi="宋体"/>
          <w:sz w:val="24"/>
        </w:rPr>
        <w:t xml:space="preserve">（7）《中华人民共和国劳动争议调解仲裁法》； </w:t>
      </w:r>
    </w:p>
    <w:p>
      <w:pPr>
        <w:widowControl/>
        <w:spacing w:line="360" w:lineRule="auto"/>
        <w:ind w:firstLine="482"/>
        <w:jc w:val="left"/>
        <w:rPr>
          <w:rFonts w:ascii="宋体" w:hAnsi="宋体"/>
          <w:sz w:val="24"/>
        </w:rPr>
      </w:pPr>
      <w:r>
        <w:rPr>
          <w:rFonts w:hint="eastAsia" w:ascii="宋体" w:hAnsi="宋体"/>
          <w:sz w:val="24"/>
        </w:rPr>
        <w:t>（8）《中华人民共和国企业劳动争议处理条例》；</w:t>
      </w:r>
    </w:p>
    <w:p>
      <w:pPr>
        <w:widowControl/>
        <w:spacing w:line="360" w:lineRule="auto"/>
        <w:ind w:firstLine="482"/>
        <w:jc w:val="left"/>
        <w:rPr>
          <w:rFonts w:ascii="宋体" w:hAnsi="宋体"/>
          <w:sz w:val="24"/>
        </w:rPr>
      </w:pPr>
      <w:r>
        <w:rPr>
          <w:rFonts w:hint="eastAsia" w:ascii="宋体" w:hAnsi="宋体"/>
          <w:sz w:val="24"/>
        </w:rPr>
        <w:t>（9）《中华人民共和国个人所得税法》；</w:t>
      </w:r>
    </w:p>
    <w:p>
      <w:pPr>
        <w:widowControl/>
        <w:spacing w:line="360" w:lineRule="auto"/>
        <w:ind w:firstLine="482"/>
        <w:jc w:val="left"/>
        <w:rPr>
          <w:rFonts w:ascii="宋体" w:hAnsi="宋体"/>
          <w:sz w:val="24"/>
        </w:rPr>
      </w:pPr>
      <w:r>
        <w:rPr>
          <w:rFonts w:hint="eastAsia" w:ascii="宋体" w:hAnsi="宋体"/>
          <w:sz w:val="24"/>
        </w:rPr>
        <w:t>（10）《中华人民共和国工会法》；</w:t>
      </w:r>
    </w:p>
    <w:p>
      <w:pPr>
        <w:widowControl/>
        <w:spacing w:line="360" w:lineRule="auto"/>
        <w:ind w:firstLine="482"/>
        <w:jc w:val="left"/>
        <w:rPr>
          <w:rFonts w:ascii="宋体" w:hAnsi="宋体"/>
          <w:sz w:val="24"/>
        </w:rPr>
      </w:pPr>
      <w:r>
        <w:rPr>
          <w:rFonts w:hint="eastAsia" w:ascii="宋体" w:hAnsi="宋体"/>
          <w:sz w:val="24"/>
        </w:rPr>
        <w:t>（11）《中华人民共和国未成年人保护法》；</w:t>
      </w:r>
    </w:p>
    <w:p>
      <w:pPr>
        <w:widowControl/>
        <w:spacing w:line="360" w:lineRule="auto"/>
        <w:ind w:firstLine="482"/>
        <w:jc w:val="left"/>
        <w:rPr>
          <w:rFonts w:ascii="宋体" w:hAnsi="宋体"/>
          <w:sz w:val="24"/>
        </w:rPr>
      </w:pPr>
      <w:r>
        <w:rPr>
          <w:rFonts w:hint="eastAsia" w:ascii="宋体" w:hAnsi="宋体"/>
          <w:sz w:val="24"/>
        </w:rPr>
        <w:t>（12）《中华人民共和国妇女权益保障法》；</w:t>
      </w:r>
    </w:p>
    <w:p>
      <w:pPr>
        <w:widowControl/>
        <w:spacing w:line="360" w:lineRule="auto"/>
        <w:ind w:firstLine="482"/>
        <w:jc w:val="left"/>
        <w:rPr>
          <w:rFonts w:ascii="宋体" w:hAnsi="宋体"/>
          <w:sz w:val="24"/>
        </w:rPr>
      </w:pPr>
      <w:r>
        <w:rPr>
          <w:rFonts w:hint="eastAsia" w:ascii="宋体" w:hAnsi="宋体"/>
          <w:sz w:val="24"/>
        </w:rPr>
        <w:t>（13）《职工带薪年休假条例》；</w:t>
      </w:r>
    </w:p>
    <w:p>
      <w:pPr>
        <w:widowControl/>
        <w:spacing w:line="360" w:lineRule="auto"/>
        <w:ind w:firstLine="482"/>
        <w:jc w:val="left"/>
        <w:rPr>
          <w:rFonts w:ascii="宋体" w:hAnsi="宋体"/>
          <w:sz w:val="24"/>
        </w:rPr>
      </w:pPr>
      <w:r>
        <w:rPr>
          <w:rFonts w:hint="eastAsia" w:ascii="宋体" w:hAnsi="宋体"/>
          <w:sz w:val="24"/>
        </w:rPr>
        <w:t>（14）《最低工资规定》；</w:t>
      </w:r>
    </w:p>
    <w:p>
      <w:pPr>
        <w:widowControl/>
        <w:spacing w:line="360" w:lineRule="auto"/>
        <w:ind w:firstLine="482"/>
        <w:jc w:val="left"/>
        <w:rPr>
          <w:rFonts w:ascii="宋体" w:hAnsi="宋体"/>
          <w:sz w:val="24"/>
        </w:rPr>
      </w:pPr>
      <w:r>
        <w:rPr>
          <w:rFonts w:hint="eastAsia" w:ascii="宋体" w:hAnsi="宋体"/>
          <w:sz w:val="24"/>
        </w:rPr>
        <w:t>（15）《工伤保险条例》；</w:t>
      </w:r>
    </w:p>
    <w:p>
      <w:pPr>
        <w:widowControl/>
        <w:spacing w:line="360" w:lineRule="auto"/>
        <w:ind w:firstLine="482"/>
        <w:jc w:val="left"/>
        <w:rPr>
          <w:rFonts w:ascii="宋体" w:hAnsi="宋体"/>
          <w:sz w:val="24"/>
        </w:rPr>
      </w:pPr>
      <w:r>
        <w:rPr>
          <w:rFonts w:hint="eastAsia" w:ascii="宋体" w:hAnsi="宋体"/>
          <w:sz w:val="24"/>
        </w:rPr>
        <w:t>（16）《工伤认定办法》；</w:t>
      </w:r>
    </w:p>
    <w:p>
      <w:pPr>
        <w:widowControl/>
        <w:spacing w:line="360" w:lineRule="auto"/>
        <w:ind w:firstLine="482"/>
        <w:jc w:val="left"/>
        <w:rPr>
          <w:rFonts w:ascii="宋体" w:hAnsi="宋体"/>
          <w:sz w:val="24"/>
        </w:rPr>
      </w:pPr>
      <w:r>
        <w:rPr>
          <w:rFonts w:hint="eastAsia" w:ascii="宋体" w:hAnsi="宋体"/>
          <w:sz w:val="24"/>
        </w:rPr>
        <w:t>（17）《社会保险稽核办法》；</w:t>
      </w:r>
    </w:p>
    <w:p>
      <w:pPr>
        <w:widowControl/>
        <w:spacing w:line="360" w:lineRule="auto"/>
        <w:ind w:firstLine="482"/>
        <w:jc w:val="left"/>
        <w:rPr>
          <w:rFonts w:ascii="宋体" w:hAnsi="宋体"/>
          <w:sz w:val="24"/>
        </w:rPr>
      </w:pPr>
      <w:r>
        <w:rPr>
          <w:rFonts w:hint="eastAsia" w:ascii="宋体" w:hAnsi="宋体"/>
          <w:sz w:val="24"/>
        </w:rPr>
        <w:t>（18）《禁止使用童工规定》；</w:t>
      </w:r>
    </w:p>
    <w:p>
      <w:pPr>
        <w:widowControl/>
        <w:spacing w:line="360" w:lineRule="auto"/>
        <w:ind w:firstLine="482"/>
        <w:jc w:val="left"/>
        <w:rPr>
          <w:rFonts w:ascii="宋体" w:hAnsi="宋体"/>
          <w:sz w:val="24"/>
        </w:rPr>
      </w:pPr>
      <w:r>
        <w:rPr>
          <w:rFonts w:hint="eastAsia" w:ascii="宋体" w:hAnsi="宋体"/>
          <w:sz w:val="24"/>
        </w:rPr>
        <w:t>（19）《失业保险条例》；</w:t>
      </w:r>
    </w:p>
    <w:p>
      <w:pPr>
        <w:widowControl/>
        <w:spacing w:line="360" w:lineRule="auto"/>
        <w:ind w:firstLine="482"/>
        <w:jc w:val="left"/>
        <w:rPr>
          <w:rFonts w:ascii="宋体" w:hAnsi="宋体" w:cs="宋体"/>
          <w:sz w:val="24"/>
        </w:rPr>
      </w:pPr>
      <w:r>
        <w:rPr>
          <w:rFonts w:hint="eastAsia" w:ascii="宋体" w:hAnsi="宋体" w:cs="宋体"/>
          <w:sz w:val="24"/>
        </w:rPr>
        <w:t>（20）其他国家及地区所更新或最新颁布的相关的法律、法规、规定；</w:t>
      </w:r>
    </w:p>
    <w:p>
      <w:pPr>
        <w:widowControl/>
        <w:spacing w:line="360" w:lineRule="auto"/>
        <w:ind w:firstLine="482"/>
        <w:jc w:val="left"/>
        <w:rPr>
          <w:rFonts w:ascii="宋体" w:hAnsi="宋体"/>
          <w:sz w:val="24"/>
        </w:rPr>
      </w:pPr>
      <w:r>
        <w:rPr>
          <w:rFonts w:hint="eastAsia" w:ascii="宋体" w:hAnsi="宋体" w:cs="宋体"/>
          <w:sz w:val="24"/>
        </w:rPr>
        <w:t>（21）甲方及甲方电厂制定发布的规章制度。</w:t>
      </w:r>
    </w:p>
    <w:p>
      <w:pPr>
        <w:pStyle w:val="101"/>
        <w:numPr>
          <w:ilvl w:val="0"/>
          <w:numId w:val="8"/>
        </w:numPr>
        <w:snapToGrid w:val="0"/>
        <w:spacing w:line="360" w:lineRule="auto"/>
        <w:ind w:left="560" w:hanging="560" w:hangingChars="200"/>
        <w:outlineLvl w:val="1"/>
        <w:rPr>
          <w:rFonts w:ascii="黑体" w:hAnsi="宋体" w:eastAsia="黑体"/>
          <w:sz w:val="28"/>
          <w:szCs w:val="30"/>
        </w:rPr>
      </w:pPr>
      <w:bookmarkStart w:id="7" w:name="_Toc94196200"/>
      <w:r>
        <w:rPr>
          <w:rFonts w:hint="eastAsia" w:ascii="黑体" w:hAnsi="宋体" w:eastAsia="黑体"/>
          <w:sz w:val="28"/>
          <w:szCs w:val="30"/>
        </w:rPr>
        <w:t>乙方的责任和义务</w:t>
      </w:r>
      <w:bookmarkEnd w:id="7"/>
    </w:p>
    <w:p>
      <w:pPr>
        <w:widowControl/>
        <w:spacing w:line="360" w:lineRule="auto"/>
        <w:ind w:firstLine="482"/>
        <w:jc w:val="left"/>
        <w:rPr>
          <w:rFonts w:ascii="宋体" w:hAnsi="宋体"/>
          <w:sz w:val="24"/>
        </w:rPr>
      </w:pPr>
      <w:r>
        <w:rPr>
          <w:rFonts w:hint="eastAsia" w:ascii="宋体" w:hAnsi="宋体"/>
          <w:sz w:val="24"/>
        </w:rPr>
        <w:t>1、乙方及其现场派进人员必须严格遵守和执行国家和项目所在省、市的有关法律、法规及规定，乙方与其派到甲方电厂现场提供飞灰稳定化处理服务的员工（包括临时聘用员工和外来临时工作人员等）建立完善的劳动法律关系（包括但不限于劳动合同关系、工资保险关系和劳动用工手续等），所派出者均属乙方的员工或人员。乙方负责依法依规办理其与派进甲方现场工作的人员之间的劳动人事、工作安排、薪酬保险及安全保障等劳务或劳资方面相关的手续和独立承担全部责任及赔偿。若乙方与被派进甲方现场工作的人员发生任何纠纷，或者乙方派进甲方现场工作的人员</w:t>
      </w:r>
      <w:r>
        <w:rPr>
          <w:rFonts w:ascii="宋体" w:hAnsi="宋体"/>
          <w:sz w:val="24"/>
        </w:rPr>
        <w:t>发生事故伤害</w:t>
      </w:r>
      <w:r>
        <w:rPr>
          <w:rFonts w:hint="eastAsia" w:ascii="宋体" w:hAnsi="宋体"/>
          <w:sz w:val="24"/>
        </w:rPr>
        <w:t>和死亡</w:t>
      </w:r>
      <w:r>
        <w:rPr>
          <w:rFonts w:ascii="宋体" w:hAnsi="宋体"/>
          <w:sz w:val="24"/>
        </w:rPr>
        <w:t>或者按照职业病防治法规定被诊断、鉴定为职业病</w:t>
      </w:r>
      <w:r>
        <w:rPr>
          <w:rFonts w:hint="eastAsia" w:ascii="宋体" w:hAnsi="宋体"/>
          <w:sz w:val="24"/>
        </w:rPr>
        <w:t>等任何事件或事故时，均完全属于乙方公司内部的纠纷或事件关系，且均由乙方与当事人（即乙方职工）之间自始至终全程（包括但不限于</w:t>
      </w:r>
      <w:r>
        <w:rPr>
          <w:rFonts w:ascii="宋体" w:hAnsi="宋体"/>
          <w:sz w:val="24"/>
        </w:rPr>
        <w:t>受理</w:t>
      </w:r>
      <w:r>
        <w:rPr>
          <w:rFonts w:hint="eastAsia" w:ascii="宋体" w:hAnsi="宋体"/>
          <w:sz w:val="24"/>
        </w:rPr>
        <w:t>、</w:t>
      </w:r>
      <w:r>
        <w:rPr>
          <w:rFonts w:ascii="宋体" w:hAnsi="宋体"/>
          <w:sz w:val="24"/>
        </w:rPr>
        <w:t>调查核实</w:t>
      </w:r>
      <w:r>
        <w:rPr>
          <w:rFonts w:hint="eastAsia" w:ascii="宋体" w:hAnsi="宋体"/>
          <w:sz w:val="24"/>
        </w:rPr>
        <w:t>、</w:t>
      </w:r>
      <w:r>
        <w:rPr>
          <w:rFonts w:ascii="宋体" w:hAnsi="宋体"/>
          <w:sz w:val="24"/>
        </w:rPr>
        <w:t>提</w:t>
      </w:r>
      <w:r>
        <w:rPr>
          <w:rFonts w:hint="eastAsia" w:ascii="宋体" w:hAnsi="宋体"/>
          <w:sz w:val="24"/>
        </w:rPr>
        <w:t>交报告、配合认定、安抚谈判、承担责任、支付赔偿等）独立自行处理，并作为用人和用工的单位最终承担全部责任及赔偿，且概与作为被服务方的甲方或垃圾发电厂等任何第三者无关。若由此所造成或导致甲方或垃圾发电厂等任何第三者的罚款或赔偿等任何经济损失，均由乙方自行独立承担。</w:t>
      </w:r>
    </w:p>
    <w:p>
      <w:pPr>
        <w:adjustRightInd w:val="0"/>
        <w:snapToGrid w:val="0"/>
        <w:spacing w:line="360" w:lineRule="auto"/>
        <w:ind w:firstLine="480" w:firstLineChars="200"/>
        <w:rPr>
          <w:rFonts w:ascii="宋体" w:hAnsi="宋体"/>
          <w:sz w:val="24"/>
        </w:rPr>
      </w:pPr>
      <w:r>
        <w:rPr>
          <w:rFonts w:hint="eastAsia" w:ascii="宋体" w:hAnsi="宋体"/>
          <w:sz w:val="24"/>
        </w:rPr>
        <w:t>2、为确保服务水平和质量，乙方须严格按本合同的规定派进人员，乙方应对派进人员进行为期不少于一周的岗前培训工作，并在上岗前参加甲方的面试。</w:t>
      </w:r>
    </w:p>
    <w:p>
      <w:pPr>
        <w:spacing w:line="360" w:lineRule="auto"/>
        <w:ind w:firstLine="480" w:firstLineChars="200"/>
        <w:rPr>
          <w:rFonts w:ascii="宋体" w:hAnsi="宋体"/>
          <w:sz w:val="24"/>
        </w:rPr>
      </w:pPr>
      <w:r>
        <w:rPr>
          <w:rFonts w:hint="eastAsia" w:ascii="宋体" w:hAnsi="宋体"/>
          <w:sz w:val="24"/>
        </w:rPr>
        <w:t>3、乙方所派出的项目经理，</w:t>
      </w:r>
      <w:r>
        <w:rPr>
          <w:rFonts w:ascii="宋体" w:hAnsi="宋体"/>
          <w:sz w:val="24"/>
        </w:rPr>
        <w:t>对</w:t>
      </w:r>
      <w:r>
        <w:rPr>
          <w:rFonts w:hint="eastAsia" w:ascii="宋体" w:hAnsi="宋体"/>
          <w:sz w:val="24"/>
        </w:rPr>
        <w:t>乙方</w:t>
      </w:r>
      <w:r>
        <w:rPr>
          <w:rFonts w:hint="eastAsia"/>
          <w:sz w:val="24"/>
        </w:rPr>
        <w:t>派进现场</w:t>
      </w:r>
      <w:r>
        <w:rPr>
          <w:rFonts w:hint="eastAsia" w:ascii="宋体" w:hAnsi="宋体"/>
          <w:sz w:val="24"/>
        </w:rPr>
        <w:t>服务人员</w:t>
      </w:r>
      <w:r>
        <w:rPr>
          <w:rFonts w:ascii="宋体" w:hAnsi="宋体"/>
          <w:sz w:val="24"/>
        </w:rPr>
        <w:t>的安全</w:t>
      </w:r>
      <w:r>
        <w:rPr>
          <w:rFonts w:hint="eastAsia" w:ascii="宋体" w:hAnsi="宋体"/>
          <w:sz w:val="24"/>
        </w:rPr>
        <w:t>生产、维护等服务</w:t>
      </w:r>
      <w:r>
        <w:rPr>
          <w:rFonts w:ascii="宋体" w:hAnsi="宋体"/>
          <w:sz w:val="24"/>
        </w:rPr>
        <w:t>工作负全面责任</w:t>
      </w:r>
      <w:r>
        <w:rPr>
          <w:rFonts w:hint="eastAsia"/>
          <w:sz w:val="24"/>
        </w:rPr>
        <w:t>；全面督导及巡检现场服务情况；即时处理甲方现场投诉，并做好与甲方负责人的联系工作</w:t>
      </w:r>
      <w:r>
        <w:rPr>
          <w:rFonts w:hint="eastAsia" w:ascii="宋体" w:hAnsi="宋体"/>
          <w:sz w:val="24"/>
        </w:rPr>
        <w:t>。</w:t>
      </w:r>
      <w:r>
        <w:rPr>
          <w:rFonts w:hint="eastAsia"/>
          <w:color w:val="000000"/>
          <w:sz w:val="24"/>
        </w:rPr>
        <w:t>项目经理不合格，不能很好地协调管理现场服务、质量和安全的，甲方有权要求更换项目经理，乙方须无条件接受。乙方未履行和遵守招标书、投标书（如有）和合同书及技术要求中所规定的职责，甲方有权解除承包合同。</w:t>
      </w:r>
    </w:p>
    <w:p>
      <w:pPr>
        <w:widowControl/>
        <w:spacing w:line="360" w:lineRule="auto"/>
        <w:ind w:firstLine="482"/>
        <w:jc w:val="left"/>
        <w:rPr>
          <w:rFonts w:ascii="宋体" w:hAnsi="宋体"/>
          <w:sz w:val="24"/>
        </w:rPr>
      </w:pPr>
      <w:r>
        <w:rPr>
          <w:rFonts w:hint="eastAsia" w:ascii="宋体" w:hAnsi="宋体"/>
          <w:sz w:val="24"/>
        </w:rPr>
        <w:t>4、乙方</w:t>
      </w:r>
      <w:r>
        <w:rPr>
          <w:rFonts w:hint="eastAsia"/>
          <w:sz w:val="24"/>
        </w:rPr>
        <w:t>派出</w:t>
      </w:r>
      <w:r>
        <w:rPr>
          <w:rFonts w:hint="eastAsia" w:ascii="宋体" w:hAnsi="宋体"/>
          <w:sz w:val="24"/>
        </w:rPr>
        <w:t>的现场服务</w:t>
      </w:r>
      <w:r>
        <w:rPr>
          <w:rFonts w:hint="eastAsia"/>
          <w:sz w:val="24"/>
        </w:rPr>
        <w:t>人</w:t>
      </w:r>
      <w:r>
        <w:rPr>
          <w:rFonts w:hint="eastAsia" w:ascii="宋体" w:hAnsi="宋体"/>
          <w:sz w:val="24"/>
        </w:rPr>
        <w:t>员应由乙方的项目经理统一调配使用，项目经理应按期、按质组织完成和解决甲方安排的计划、工作。</w:t>
      </w:r>
      <w:r>
        <w:rPr>
          <w:rFonts w:hint="eastAsia"/>
          <w:sz w:val="24"/>
        </w:rPr>
        <w:t>乙方须确保本合同执行有效，爱护甲方的财物，注意言行举止以维护甲方的良好形象。</w:t>
      </w:r>
    </w:p>
    <w:p>
      <w:pPr>
        <w:adjustRightInd w:val="0"/>
        <w:snapToGrid w:val="0"/>
        <w:spacing w:line="360" w:lineRule="auto"/>
        <w:ind w:firstLine="480" w:firstLineChars="200"/>
        <w:rPr>
          <w:rFonts w:ascii="宋体" w:hAnsi="宋体"/>
          <w:sz w:val="24"/>
        </w:rPr>
      </w:pPr>
      <w:r>
        <w:rPr>
          <w:rFonts w:hint="eastAsia" w:ascii="宋体" w:hAnsi="宋体"/>
          <w:sz w:val="24"/>
        </w:rPr>
        <w:t>5、乙方所派出的各专业技术负责人（班长），</w:t>
      </w:r>
      <w:r>
        <w:rPr>
          <w:rFonts w:ascii="宋体" w:hAnsi="宋体"/>
          <w:sz w:val="24"/>
        </w:rPr>
        <w:t>在</w:t>
      </w:r>
      <w:r>
        <w:rPr>
          <w:rFonts w:hint="eastAsia" w:ascii="宋体" w:hAnsi="宋体"/>
          <w:sz w:val="24"/>
        </w:rPr>
        <w:t>项目经理</w:t>
      </w:r>
      <w:r>
        <w:rPr>
          <w:rFonts w:ascii="宋体" w:hAnsi="宋体"/>
          <w:sz w:val="24"/>
        </w:rPr>
        <w:t>的领导下</w:t>
      </w:r>
      <w:r>
        <w:rPr>
          <w:rFonts w:hint="eastAsia" w:ascii="宋体" w:hAnsi="宋体"/>
          <w:sz w:val="24"/>
        </w:rPr>
        <w:t>，督促</w:t>
      </w:r>
      <w:r>
        <w:rPr>
          <w:rFonts w:ascii="宋体" w:hAnsi="宋体"/>
          <w:sz w:val="24"/>
        </w:rPr>
        <w:t>并配合</w:t>
      </w:r>
      <w:r>
        <w:rPr>
          <w:rFonts w:hint="eastAsia" w:ascii="宋体" w:hAnsi="宋体"/>
          <w:sz w:val="24"/>
        </w:rPr>
        <w:t>乙方现场所负责的生产、维护等工作，并</w:t>
      </w:r>
      <w:r>
        <w:rPr>
          <w:rFonts w:ascii="宋体" w:hAnsi="宋体"/>
          <w:sz w:val="24"/>
        </w:rPr>
        <w:t>在</w:t>
      </w:r>
      <w:r>
        <w:rPr>
          <w:rFonts w:hint="eastAsia" w:ascii="宋体" w:hAnsi="宋体"/>
          <w:sz w:val="24"/>
        </w:rPr>
        <w:t>项目经理</w:t>
      </w:r>
      <w:r>
        <w:rPr>
          <w:rFonts w:ascii="宋体" w:hAnsi="宋体"/>
          <w:sz w:val="24"/>
        </w:rPr>
        <w:t>的领导下，组织解决</w:t>
      </w:r>
      <w:r>
        <w:rPr>
          <w:rFonts w:hint="eastAsia" w:ascii="宋体" w:hAnsi="宋体"/>
          <w:sz w:val="24"/>
        </w:rPr>
        <w:t>生产、检修、维护</w:t>
      </w:r>
      <w:r>
        <w:rPr>
          <w:rFonts w:ascii="宋体" w:hAnsi="宋体"/>
          <w:sz w:val="24"/>
        </w:rPr>
        <w:t>中出现的重大技术问题</w:t>
      </w:r>
      <w:r>
        <w:rPr>
          <w:rFonts w:hint="eastAsia" w:ascii="宋体" w:hAnsi="宋体"/>
          <w:sz w:val="24"/>
        </w:rPr>
        <w:t>。</w:t>
      </w:r>
    </w:p>
    <w:p>
      <w:pPr>
        <w:adjustRightInd w:val="0"/>
        <w:snapToGrid w:val="0"/>
        <w:spacing w:line="360" w:lineRule="auto"/>
        <w:ind w:firstLine="480" w:firstLineChars="200"/>
        <w:rPr>
          <w:rFonts w:ascii="宋体" w:hAnsi="宋体"/>
          <w:sz w:val="24"/>
        </w:rPr>
      </w:pPr>
      <w:r>
        <w:rPr>
          <w:rFonts w:hint="eastAsia" w:ascii="宋体" w:hAnsi="宋体"/>
          <w:sz w:val="24"/>
        </w:rPr>
        <w:t>6、乙方全面负责派进现场服务人员的生产运营及安全管理工作，负责运营方案的制定及执行。</w:t>
      </w:r>
    </w:p>
    <w:p>
      <w:pPr>
        <w:adjustRightInd w:val="0"/>
        <w:snapToGrid w:val="0"/>
        <w:spacing w:line="360" w:lineRule="auto"/>
        <w:ind w:firstLine="480" w:firstLineChars="200"/>
        <w:rPr>
          <w:rFonts w:ascii="宋体" w:hAnsi="宋体"/>
          <w:sz w:val="24"/>
        </w:rPr>
      </w:pPr>
      <w:r>
        <w:rPr>
          <w:rFonts w:hint="eastAsia" w:ascii="宋体" w:hAnsi="宋体"/>
          <w:sz w:val="24"/>
        </w:rPr>
        <w:t>7、乙方派出的现场服务人员应严格遵守电力行业法律、法规、规程、标准以及甲方各项规章制度、安全/环境管理等的规定。对于违反电厂管理规定、工作安排的情况，乙方及其现场服务人员应接受电厂根据有关规定所做出的处理。</w:t>
      </w:r>
    </w:p>
    <w:p>
      <w:pPr>
        <w:adjustRightInd w:val="0"/>
        <w:snapToGrid w:val="0"/>
        <w:spacing w:line="360" w:lineRule="auto"/>
        <w:ind w:firstLine="480" w:firstLineChars="200"/>
        <w:rPr>
          <w:rFonts w:ascii="宋体" w:hAnsi="宋体"/>
          <w:sz w:val="24"/>
        </w:rPr>
      </w:pPr>
      <w:r>
        <w:rPr>
          <w:rFonts w:hint="eastAsia" w:ascii="宋体" w:hAnsi="宋体"/>
          <w:sz w:val="24"/>
        </w:rPr>
        <w:t>8、乙方负责按照标准发放的乙方现场服务人员工资部分应在次月15日前及时支付至乙方现场服务人员个人账户，并应在发放工资后14个工作日内向甲方电厂提交工资发放证明备案。若乙方向甲方电厂提交工资发放证明备案时间超过了5个工作日，则甲方可按照每人每次2000元收取违约金，并从乙方</w:t>
      </w:r>
      <w:r>
        <w:rPr>
          <w:rFonts w:hint="eastAsia"/>
          <w:bCs/>
          <w:sz w:val="24"/>
          <w:lang w:val="en-US" w:eastAsia="zh-CN"/>
        </w:rPr>
        <w:t>监管资金</w:t>
      </w:r>
      <w:r>
        <w:rPr>
          <w:rFonts w:hint="eastAsia"/>
          <w:bCs/>
          <w:sz w:val="24"/>
        </w:rPr>
        <w:t>或当期的结算款</w:t>
      </w:r>
      <w:r>
        <w:rPr>
          <w:rFonts w:hint="eastAsia" w:ascii="宋体" w:hAnsi="宋体"/>
          <w:sz w:val="24"/>
        </w:rPr>
        <w:t>中直接扣除。</w:t>
      </w:r>
    </w:p>
    <w:p>
      <w:pPr>
        <w:adjustRightInd w:val="0"/>
        <w:snapToGrid w:val="0"/>
        <w:spacing w:line="360" w:lineRule="auto"/>
        <w:ind w:firstLine="480" w:firstLineChars="200"/>
        <w:rPr>
          <w:rFonts w:ascii="宋体" w:hAnsi="宋体"/>
          <w:sz w:val="24"/>
        </w:rPr>
      </w:pPr>
      <w:r>
        <w:rPr>
          <w:rFonts w:hint="eastAsia" w:ascii="宋体" w:hAnsi="宋体"/>
          <w:sz w:val="24"/>
        </w:rPr>
        <w:t>9、乙方有权要求甲方及时按合同规定支付合同费用，除非本合同另有约定，否则因甲方原因导致合同费用拖延支付，乙方保留要求给予赔偿的权利。</w:t>
      </w:r>
    </w:p>
    <w:p>
      <w:pPr>
        <w:adjustRightInd w:val="0"/>
        <w:snapToGrid w:val="0"/>
        <w:spacing w:line="360" w:lineRule="auto"/>
        <w:ind w:firstLine="480" w:firstLineChars="200"/>
        <w:rPr>
          <w:rFonts w:ascii="宋体" w:hAnsi="宋体"/>
          <w:sz w:val="24"/>
        </w:rPr>
      </w:pPr>
      <w:r>
        <w:rPr>
          <w:rFonts w:hint="eastAsia" w:ascii="宋体" w:hAnsi="宋体"/>
          <w:sz w:val="24"/>
        </w:rPr>
        <w:t>10、乙方应按政策法规及有关规定，为其派进现场服务人员在项目所在地期间提供必要的养老、医疗、工伤等保险。为保障派到甲方现场服务人员的健康和安全，乙方在甲方现场现有的健康和安全等防护条件基础上，根据服务的实际需要自行增加配备足够的健康和安全等方面的防护措施及防护用品，自行加强日常培训、预防和管理工作，以千方百计防止健康和安全等事件或事故的发生。乙方应按政策法规及有关规定做好派进现场服务人员在项目所在地期间的职业病预防工作，负责定期安排其派出人员进行身体检查，并承担派到现场提供日常清洁服务人员的健康、人身安全赔偿等相关责任。</w:t>
      </w:r>
    </w:p>
    <w:p>
      <w:pPr>
        <w:adjustRightInd w:val="0"/>
        <w:snapToGrid w:val="0"/>
        <w:spacing w:line="360" w:lineRule="auto"/>
        <w:ind w:firstLine="480" w:firstLineChars="200"/>
        <w:rPr>
          <w:rFonts w:ascii="宋体" w:hAnsi="宋体"/>
          <w:sz w:val="24"/>
        </w:rPr>
      </w:pPr>
      <w:r>
        <w:rPr>
          <w:rFonts w:hint="eastAsia" w:ascii="宋体" w:hAnsi="宋体"/>
          <w:sz w:val="24"/>
        </w:rPr>
        <w:t>11、乙方承担其派进现场服务人员在项目所在地期间发生的一切意外、疾病、工伤及其他事件的全部责任，同时处理和支付由此发生的一切费用。</w:t>
      </w:r>
    </w:p>
    <w:p>
      <w:pPr>
        <w:adjustRightInd w:val="0"/>
        <w:snapToGrid w:val="0"/>
        <w:spacing w:line="360" w:lineRule="auto"/>
        <w:ind w:firstLine="480" w:firstLineChars="200"/>
        <w:rPr>
          <w:rFonts w:ascii="宋体" w:hAnsi="宋体"/>
          <w:sz w:val="24"/>
        </w:rPr>
      </w:pPr>
      <w:r>
        <w:rPr>
          <w:rFonts w:hint="eastAsia" w:ascii="宋体" w:hAnsi="宋体"/>
          <w:sz w:val="24"/>
        </w:rPr>
        <w:t>12、乙方派进现场服务人员必须经过安全/环境管理技术培训，经有关部门考试合格并持上岗；所有派进现场服务的作业人员中不得有未成年人和不适应现场安全工作的各类人员。从事甲方特殊工种工作时，需持有效证件，并经甲方考核合格后上岗。</w:t>
      </w:r>
    </w:p>
    <w:p>
      <w:pPr>
        <w:adjustRightInd w:val="0"/>
        <w:snapToGrid w:val="0"/>
        <w:spacing w:line="360" w:lineRule="auto"/>
        <w:ind w:firstLine="480" w:firstLineChars="200"/>
        <w:rPr>
          <w:rFonts w:ascii="宋体" w:hAnsi="宋体"/>
          <w:sz w:val="24"/>
        </w:rPr>
      </w:pPr>
      <w:r>
        <w:rPr>
          <w:rFonts w:hint="eastAsia" w:ascii="宋体" w:hAnsi="宋体"/>
          <w:sz w:val="24"/>
        </w:rPr>
        <w:t>13、乙方应按甲方要求及时更换不称职的派进现场服务人员（任一方提出辞退意见，双方协商决定后，两周内办完更换手续），并承担人员聘用和辞退的一切费用。乙方派进现场服务人员被甲方退回，而乙方未能及时更换或处理不当，给甲方或他人造成经济损失或伤害时乙方全部负责承担赔偿责任，甲方有权从乙方本合同的承包服务费支付中直接扣除。</w:t>
      </w:r>
    </w:p>
    <w:p>
      <w:pPr>
        <w:adjustRightInd w:val="0"/>
        <w:snapToGrid w:val="0"/>
        <w:spacing w:line="360" w:lineRule="auto"/>
        <w:ind w:firstLine="480" w:firstLineChars="200"/>
        <w:rPr>
          <w:rFonts w:ascii="宋体" w:hAnsi="宋体"/>
          <w:sz w:val="24"/>
        </w:rPr>
      </w:pPr>
      <w:r>
        <w:rPr>
          <w:rFonts w:hint="eastAsia" w:ascii="宋体" w:hAnsi="宋体"/>
          <w:sz w:val="24"/>
        </w:rPr>
        <w:t>14、乙方承诺严格按照本合同所规定的人员名单派出人员到现场提供服务，乙方已确定派出人员的任何换派变更或暂时离开项目所在地等均须事前经过甲方电厂的书面批准同意。除了因甲方要求或本合同中所规定的意外特殊情况之外，乙方已确定派出人员任何甲方之外原因而发生换派变更或暂时离开项目所在地时，乙方均须提前15天书面提出申请并经过甲方电厂书面同意。</w:t>
      </w:r>
    </w:p>
    <w:p>
      <w:pPr>
        <w:adjustRightInd w:val="0"/>
        <w:snapToGrid w:val="0"/>
        <w:spacing w:line="360" w:lineRule="auto"/>
        <w:ind w:firstLine="480" w:firstLineChars="200"/>
        <w:rPr>
          <w:rFonts w:ascii="宋体" w:hAnsi="宋体"/>
          <w:sz w:val="24"/>
        </w:rPr>
      </w:pPr>
      <w:r>
        <w:rPr>
          <w:rFonts w:hint="eastAsia" w:ascii="宋体" w:hAnsi="宋体"/>
          <w:sz w:val="24"/>
        </w:rPr>
        <w:t>15、乙方到岗的派进现场服务人员由于疾病、意外伤害（须提供正规医院出具的体检报告等相关证明材料）或其他不可抗力原因导致本人已无法继续胜任现场岗位工作之时，按照甲方要求填写《人员变更申请审批单》提出书面申请并经过甲方电厂书面同意之后的，则属于本合同规定的意外特殊情况，乙方因此而执行换派变更不属于合同违约行为。</w:t>
      </w:r>
    </w:p>
    <w:p>
      <w:pPr>
        <w:adjustRightInd w:val="0"/>
        <w:snapToGrid w:val="0"/>
        <w:spacing w:line="360" w:lineRule="auto"/>
        <w:ind w:firstLine="480" w:firstLineChars="200"/>
        <w:rPr>
          <w:rFonts w:ascii="宋体" w:hAnsi="宋体"/>
          <w:sz w:val="24"/>
        </w:rPr>
      </w:pPr>
      <w:r>
        <w:rPr>
          <w:rFonts w:hint="eastAsia" w:ascii="宋体" w:hAnsi="宋体"/>
          <w:sz w:val="24"/>
        </w:rPr>
        <w:t>16、乙方须在所有派进现场服务人员上岗前向甲方电厂提交正规医院出具的体检报告，证明员工身体健康并可以胜任相关岗位的服务工作。</w:t>
      </w:r>
    </w:p>
    <w:p>
      <w:pPr>
        <w:adjustRightInd w:val="0"/>
        <w:snapToGrid w:val="0"/>
        <w:spacing w:line="360" w:lineRule="auto"/>
        <w:ind w:firstLine="480" w:firstLineChars="200"/>
        <w:rPr>
          <w:rFonts w:ascii="宋体" w:hAnsi="宋体"/>
          <w:sz w:val="24"/>
        </w:rPr>
      </w:pPr>
      <w:r>
        <w:rPr>
          <w:rFonts w:hint="eastAsia" w:ascii="宋体" w:hAnsi="宋体"/>
          <w:sz w:val="24"/>
        </w:rPr>
        <w:t>17、由于乙方派进现场服务人员</w:t>
      </w:r>
      <w:r>
        <w:rPr>
          <w:rFonts w:hint="eastAsia"/>
          <w:sz w:val="24"/>
        </w:rPr>
        <w:t>违法违规及违章作业导致损坏财物及发生人员伤害事故，一切法律责任和经济赔偿均由乙方独自承担，</w:t>
      </w:r>
      <w:r>
        <w:rPr>
          <w:rFonts w:hint="eastAsia" w:ascii="宋体" w:hAnsi="宋体"/>
          <w:sz w:val="24"/>
        </w:rPr>
        <w:t>而由此所造成的一切损失，甲方有权从乙方</w:t>
      </w:r>
      <w:r>
        <w:rPr>
          <w:rFonts w:hint="eastAsia"/>
          <w:bCs/>
          <w:sz w:val="24"/>
          <w:lang w:val="en-US" w:eastAsia="zh-CN"/>
        </w:rPr>
        <w:t>监管资金</w:t>
      </w:r>
      <w:r>
        <w:rPr>
          <w:rFonts w:hint="eastAsia"/>
          <w:bCs/>
          <w:sz w:val="24"/>
        </w:rPr>
        <w:t>或当期的结算款</w:t>
      </w:r>
      <w:r>
        <w:rPr>
          <w:rFonts w:hint="eastAsia" w:ascii="宋体" w:hAnsi="宋体"/>
          <w:sz w:val="24"/>
        </w:rPr>
        <w:t>中直接扣除。</w:t>
      </w:r>
    </w:p>
    <w:p>
      <w:pPr>
        <w:adjustRightInd w:val="0"/>
        <w:snapToGrid w:val="0"/>
        <w:spacing w:line="360" w:lineRule="auto"/>
        <w:ind w:firstLine="480" w:firstLineChars="200"/>
        <w:rPr>
          <w:rFonts w:ascii="宋体" w:hAnsi="宋体"/>
          <w:sz w:val="24"/>
        </w:rPr>
      </w:pPr>
      <w:r>
        <w:rPr>
          <w:rFonts w:hint="eastAsia" w:ascii="宋体" w:hAnsi="宋体"/>
          <w:sz w:val="24"/>
        </w:rPr>
        <w:t>18、乙方负责妥善保管甲方给乙方派进现场服务人员所配备的个人工具，出现损坏和遗失的由乙方负责补齐。否则，甲方有权从乙方</w:t>
      </w:r>
      <w:r>
        <w:rPr>
          <w:rFonts w:hint="eastAsia"/>
          <w:bCs/>
          <w:sz w:val="24"/>
          <w:lang w:val="en-US" w:eastAsia="zh-CN"/>
        </w:rPr>
        <w:t>监管资金</w:t>
      </w:r>
      <w:r>
        <w:rPr>
          <w:rFonts w:hint="eastAsia"/>
          <w:bCs/>
          <w:sz w:val="24"/>
        </w:rPr>
        <w:t>或当期的结算款</w:t>
      </w:r>
      <w:r>
        <w:rPr>
          <w:rFonts w:hint="eastAsia" w:ascii="宋体" w:hAnsi="宋体"/>
          <w:sz w:val="24"/>
        </w:rPr>
        <w:t>中直接扣除该损坏和遗失工具的相关费用。</w:t>
      </w:r>
    </w:p>
    <w:p>
      <w:pPr>
        <w:adjustRightInd w:val="0"/>
        <w:snapToGrid w:val="0"/>
        <w:spacing w:line="360" w:lineRule="auto"/>
        <w:ind w:firstLine="480" w:firstLineChars="200"/>
        <w:rPr>
          <w:rFonts w:ascii="宋体" w:hAnsi="宋体"/>
          <w:sz w:val="24"/>
        </w:rPr>
      </w:pPr>
      <w:r>
        <w:rPr>
          <w:rFonts w:hint="eastAsia" w:ascii="宋体" w:hAnsi="宋体"/>
          <w:sz w:val="24"/>
        </w:rPr>
        <w:t>19、乙方既是用人单位又是用工单位，乙方派出人员的劳动关系属于乙方，为乙方的员工或人员，以乙方名义为甲方提供本合同所约定的现场服务。乙方派出人员在到甲方现场服务上岗之日前，均应依法合规与其所派出的人员正式签订劳动合同，以建立完善的劳动法律关系（包括但不限于劳动合同关系、工资保险关系和劳动用工手续等）。所签订生效的劳动合同等用工合同文件，必须在该派出人员在到甲方现场服务上岗日提交壹份给甲方存档备查；且劳动合同等用工合同文件必须符合国家相关法律、法规的规定，且不得与本合同的有关条款或内容相抵触或相冲突或不一致，否则相抵触或冲突或不一致部分的条款或内容无效，且由此所造成或导致的任何一方的责任和损失赔偿等全部由乙方自行独立承担。</w:t>
      </w:r>
    </w:p>
    <w:p>
      <w:pPr>
        <w:pStyle w:val="101"/>
        <w:numPr>
          <w:ilvl w:val="0"/>
          <w:numId w:val="8"/>
        </w:numPr>
        <w:snapToGrid w:val="0"/>
        <w:spacing w:line="360" w:lineRule="auto"/>
        <w:ind w:left="600" w:hanging="600" w:hangingChars="200"/>
        <w:outlineLvl w:val="1"/>
        <w:rPr>
          <w:rFonts w:ascii="黑体" w:hAnsi="宋体" w:eastAsia="黑体"/>
          <w:sz w:val="30"/>
          <w:szCs w:val="30"/>
        </w:rPr>
      </w:pPr>
      <w:bookmarkStart w:id="8" w:name="_Toc94196201"/>
      <w:r>
        <w:rPr>
          <w:rFonts w:hint="eastAsia" w:ascii="黑体" w:hAnsi="宋体" w:eastAsia="黑体"/>
          <w:sz w:val="30"/>
          <w:szCs w:val="30"/>
        </w:rPr>
        <w:t>甲方的责任和义务</w:t>
      </w:r>
      <w:bookmarkEnd w:id="8"/>
    </w:p>
    <w:p>
      <w:pPr>
        <w:adjustRightInd w:val="0"/>
        <w:snapToGrid w:val="0"/>
        <w:spacing w:line="360" w:lineRule="auto"/>
        <w:ind w:firstLine="480"/>
        <w:rPr>
          <w:rFonts w:ascii="宋体" w:hAnsi="宋体"/>
          <w:sz w:val="24"/>
        </w:rPr>
      </w:pPr>
      <w:r>
        <w:rPr>
          <w:rFonts w:hint="eastAsia" w:ascii="宋体" w:hAnsi="宋体"/>
          <w:sz w:val="24"/>
        </w:rPr>
        <w:t>1、严格遵守和执行国家和项目所在省、市的有关法律、法规及规定。甲方负责对本项目飞灰稳定化处理服务管理制度的制订和宣传，有权制定相应的管理措施，以确保乙方按照合同及其它双方议定的标准执行。</w:t>
      </w:r>
    </w:p>
    <w:p>
      <w:pPr>
        <w:adjustRightInd w:val="0"/>
        <w:snapToGrid w:val="0"/>
        <w:spacing w:line="360" w:lineRule="auto"/>
        <w:ind w:firstLine="480" w:firstLineChars="200"/>
        <w:rPr>
          <w:rFonts w:ascii="宋体" w:hAnsi="宋体"/>
          <w:sz w:val="24"/>
        </w:rPr>
      </w:pPr>
      <w:r>
        <w:rPr>
          <w:rFonts w:hint="eastAsia" w:ascii="宋体" w:hAnsi="宋体"/>
          <w:sz w:val="24"/>
        </w:rPr>
        <w:t>2、甲方根据本合同规定和电厂生产需要对乙方派进现场服务人员的合法聘用和派进人员到岗等情况拥有资格核查监督权。包括但不限于核查乙方派出人员符合合同规定条件，特殊工种持证上岗，完成岗前安全/环境管理培训等情况。若乙方及其派进现场服务人员</w:t>
      </w:r>
      <w:r>
        <w:rPr>
          <w:rFonts w:hint="eastAsia" w:ascii="宋体"/>
          <w:color w:val="000000"/>
          <w:sz w:val="24"/>
        </w:rPr>
        <w:t>的服务工作达不到合同要求或</w:t>
      </w:r>
      <w:r>
        <w:rPr>
          <w:rFonts w:hint="eastAsia" w:ascii="宋体" w:hAnsi="宋体"/>
          <w:sz w:val="24"/>
        </w:rPr>
        <w:t>违反本合同的规定，甲方有权进行监管处罚。</w:t>
      </w:r>
    </w:p>
    <w:p>
      <w:pPr>
        <w:adjustRightInd w:val="0"/>
        <w:snapToGrid w:val="0"/>
        <w:spacing w:line="360" w:lineRule="auto"/>
        <w:ind w:firstLine="480" w:firstLineChars="200"/>
        <w:rPr>
          <w:rFonts w:ascii="宋体" w:hAnsi="宋体"/>
          <w:sz w:val="24"/>
        </w:rPr>
      </w:pPr>
      <w:r>
        <w:rPr>
          <w:rFonts w:hint="eastAsia" w:ascii="宋体" w:hAnsi="宋体"/>
          <w:sz w:val="24"/>
        </w:rPr>
        <w:t>3、甲方有权根据乙方派进现场服务人员表现和技术业务能力或因乙方派进现场服务人员有不服从甲方的监督和调度、工作失职、违反甲方电厂管理规定、或有其他违法的行为等情况，书面提出要求乙方对现场服务人员进行调整或换派变更，因乙方未能及时进行调整或换派变更现场服务人员给甲方造成的直接经济损失，甲方有权暂停或停止本合同的承包服务费的支付并从中或乙方</w:t>
      </w:r>
      <w:r>
        <w:rPr>
          <w:rFonts w:hint="eastAsia"/>
          <w:bCs/>
          <w:sz w:val="24"/>
          <w:lang w:val="en-US" w:eastAsia="zh-CN"/>
        </w:rPr>
        <w:t>监管资金</w:t>
      </w:r>
      <w:r>
        <w:rPr>
          <w:rFonts w:hint="eastAsia"/>
          <w:bCs/>
          <w:sz w:val="24"/>
        </w:rPr>
        <w:t>金或当期的结算款</w:t>
      </w:r>
      <w:r>
        <w:rPr>
          <w:rFonts w:hint="eastAsia" w:ascii="宋体" w:hAnsi="宋体"/>
          <w:sz w:val="24"/>
        </w:rPr>
        <w:t>中直接扣除该直接经济损失的相关费用，或者乙方另行向甲方负责赔偿支付。</w:t>
      </w:r>
    </w:p>
    <w:p>
      <w:pPr>
        <w:adjustRightInd w:val="0"/>
        <w:snapToGrid w:val="0"/>
        <w:spacing w:line="360" w:lineRule="auto"/>
        <w:ind w:firstLine="480" w:firstLineChars="200"/>
        <w:rPr>
          <w:rFonts w:ascii="宋体" w:hAnsi="宋体"/>
          <w:sz w:val="24"/>
        </w:rPr>
      </w:pPr>
      <w:r>
        <w:rPr>
          <w:rFonts w:hint="eastAsia" w:ascii="宋体" w:hAnsi="宋体"/>
          <w:sz w:val="24"/>
        </w:rPr>
        <w:t>4、当乙方未按规定为乙方派进现场服务人员购买医疗、工伤、伤亡商业保险时，甲方保留暂代乙方为上类人员购买各种必要的医疗、工伤、伤亡商业保险等的权利，并有权对由此发生的相关费用从应支付乙方</w:t>
      </w:r>
      <w:r>
        <w:rPr>
          <w:rFonts w:hint="eastAsia"/>
          <w:bCs/>
          <w:sz w:val="24"/>
          <w:lang w:eastAsia="zh-CN"/>
        </w:rPr>
        <w:t>监管资金</w:t>
      </w:r>
      <w:r>
        <w:rPr>
          <w:rFonts w:hint="eastAsia"/>
          <w:bCs/>
          <w:sz w:val="24"/>
        </w:rPr>
        <w:t>或当期的结算款</w:t>
      </w:r>
      <w:r>
        <w:rPr>
          <w:rFonts w:hint="eastAsia" w:ascii="宋体" w:hAnsi="宋体"/>
          <w:sz w:val="24"/>
        </w:rPr>
        <w:t>中直接扣除。</w:t>
      </w:r>
    </w:p>
    <w:p>
      <w:pPr>
        <w:adjustRightInd w:val="0"/>
        <w:snapToGrid w:val="0"/>
        <w:spacing w:line="360" w:lineRule="auto"/>
        <w:ind w:firstLine="480" w:firstLineChars="200"/>
        <w:rPr>
          <w:rFonts w:ascii="宋体" w:hAnsi="宋体"/>
          <w:sz w:val="24"/>
        </w:rPr>
      </w:pPr>
      <w:r>
        <w:rPr>
          <w:rFonts w:hint="eastAsia" w:ascii="宋体" w:hAnsi="宋体"/>
          <w:sz w:val="24"/>
        </w:rPr>
        <w:t>5、乙方派进现场服务员人工在合同服务期内不得离开项目所在地，如因病、因私需要书面请假的，并由乙方安排适当人员予以暂时替代。</w:t>
      </w:r>
    </w:p>
    <w:p>
      <w:pPr>
        <w:adjustRightInd w:val="0"/>
        <w:snapToGrid w:val="0"/>
        <w:spacing w:line="360" w:lineRule="auto"/>
        <w:ind w:firstLine="480" w:firstLineChars="200"/>
        <w:rPr>
          <w:rFonts w:ascii="宋体" w:hAnsi="宋体"/>
          <w:sz w:val="24"/>
        </w:rPr>
      </w:pPr>
      <w:r>
        <w:rPr>
          <w:rFonts w:hint="eastAsia" w:ascii="宋体" w:hAnsi="宋体"/>
          <w:sz w:val="24"/>
        </w:rPr>
        <w:t>6、甲方对乙方派出的在指定岗位工作的人员，将按甲方《员工劳动防护用品管理办法》和按甲方现场员工的标准及时提供除工作服和工作鞋以外相应的生产性劳保用品。但甲方该相应生产性劳保用品的提供，并不导致乙方其自身应独立根据服务的实际需要而增加配备足够的健康和安全等方面的防护措施及防护用品的任何责任和义务等发生转移、变更、减少、减轻、终止等任何形式的改变，即乙方派进现场服务员人的健康和安全等全部的责任和赔偿仍然由乙方全部独自承担。</w:t>
      </w:r>
    </w:p>
    <w:p>
      <w:pPr>
        <w:adjustRightInd w:val="0"/>
        <w:snapToGrid w:val="0"/>
        <w:spacing w:line="360" w:lineRule="auto"/>
        <w:ind w:firstLine="480" w:firstLineChars="200"/>
        <w:rPr>
          <w:rFonts w:ascii="宋体" w:hAnsi="宋体"/>
          <w:sz w:val="24"/>
        </w:rPr>
      </w:pPr>
      <w:r>
        <w:rPr>
          <w:rFonts w:hint="eastAsia" w:ascii="宋体" w:hAnsi="宋体"/>
          <w:sz w:val="24"/>
        </w:rPr>
        <w:t>7、甲方为乙方派进现场服务的员工组织必要的文体、娱乐等活动，并经乙方书面同意可以代为购买各项文体、娱乐设备和设施，费用由乙方负担。</w:t>
      </w:r>
    </w:p>
    <w:p>
      <w:pPr>
        <w:adjustRightInd w:val="0"/>
        <w:snapToGrid w:val="0"/>
        <w:spacing w:line="360" w:lineRule="auto"/>
        <w:ind w:firstLine="480" w:firstLineChars="200"/>
        <w:rPr>
          <w:rFonts w:ascii="宋体" w:hAnsi="宋体"/>
          <w:sz w:val="24"/>
        </w:rPr>
      </w:pPr>
      <w:r>
        <w:rPr>
          <w:rFonts w:hint="eastAsia" w:ascii="宋体" w:hAnsi="宋体"/>
          <w:sz w:val="24"/>
        </w:rPr>
        <w:t>8、甲方应按本合同约定及时支付乙方服务费。</w:t>
      </w:r>
    </w:p>
    <w:p>
      <w:pPr>
        <w:adjustRightInd w:val="0"/>
        <w:snapToGrid w:val="0"/>
        <w:spacing w:line="360" w:lineRule="auto"/>
        <w:ind w:firstLine="480" w:firstLineChars="200"/>
        <w:rPr>
          <w:rFonts w:ascii="宋体" w:hAnsi="宋体"/>
          <w:sz w:val="24"/>
        </w:rPr>
      </w:pPr>
      <w:r>
        <w:rPr>
          <w:rFonts w:hint="eastAsia" w:ascii="宋体" w:hAnsi="宋体"/>
          <w:sz w:val="24"/>
        </w:rPr>
        <w:t>9、对于</w:t>
      </w:r>
      <w:r>
        <w:rPr>
          <w:rFonts w:hint="eastAsia" w:ascii="宋体"/>
          <w:color w:val="000000"/>
          <w:sz w:val="24"/>
        </w:rPr>
        <w:t>作为用人和用工单位的</w:t>
      </w:r>
      <w:r>
        <w:rPr>
          <w:rFonts w:hint="eastAsia" w:ascii="宋体" w:hAnsi="宋体"/>
          <w:sz w:val="24"/>
        </w:rPr>
        <w:t>乙方其自身本应独立主动地负责依法依规进行处理的任何纠纷或者事件，当因乙方拖延慢作为或回避不作为而</w:t>
      </w:r>
      <w:r>
        <w:rPr>
          <w:rFonts w:ascii="宋体" w:hAnsi="宋体"/>
          <w:sz w:val="24"/>
        </w:rPr>
        <w:t>扩散</w:t>
      </w:r>
      <w:r>
        <w:rPr>
          <w:rFonts w:hint="eastAsia" w:ascii="宋体" w:hAnsi="宋体"/>
          <w:sz w:val="24"/>
        </w:rPr>
        <w:t>漫延影响到或者损害到甲方的声誉形象等任何权益之时，甲方基于保护本身的权益免受伤害，有权选择主动参与到乙方该纠纷或者事件的合情合理调解和依法依规处理。但甲方对乙方该纠纷或者事件任何形式的参与和处理，并不导致乙方其自身本应独立承担的任何责任和义务等发生转移、变更、减少、减轻、终止等任何形式的改变，即乙方自身本应独立承担的任何责任和义务仍然由其全部承担。</w:t>
      </w:r>
    </w:p>
    <w:p>
      <w:pPr>
        <w:pStyle w:val="101"/>
        <w:numPr>
          <w:ilvl w:val="0"/>
          <w:numId w:val="8"/>
        </w:numPr>
        <w:snapToGrid w:val="0"/>
        <w:spacing w:line="360" w:lineRule="auto"/>
        <w:ind w:left="600" w:hanging="600" w:hangingChars="200"/>
        <w:outlineLvl w:val="1"/>
        <w:rPr>
          <w:rFonts w:ascii="黑体" w:hAnsi="宋体" w:eastAsia="黑体"/>
          <w:sz w:val="30"/>
          <w:szCs w:val="30"/>
        </w:rPr>
      </w:pPr>
      <w:bookmarkStart w:id="9" w:name="_Toc94196202"/>
      <w:r>
        <w:rPr>
          <w:rFonts w:hint="eastAsia" w:ascii="黑体" w:hAnsi="宋体" w:eastAsia="黑体"/>
          <w:sz w:val="30"/>
          <w:szCs w:val="30"/>
        </w:rPr>
        <w:t>乙方指定的项目经理</w:t>
      </w:r>
      <w:bookmarkEnd w:id="9"/>
    </w:p>
    <w:p>
      <w:pPr>
        <w:spacing w:line="360" w:lineRule="auto"/>
        <w:ind w:firstLine="480" w:firstLineChars="200"/>
        <w:rPr>
          <w:rFonts w:ascii="宋体" w:hAnsi="宋体"/>
          <w:kern w:val="0"/>
          <w:sz w:val="24"/>
        </w:rPr>
      </w:pPr>
      <w:r>
        <w:rPr>
          <w:rFonts w:hint="eastAsia" w:ascii="宋体" w:hAnsi="宋体"/>
          <w:kern w:val="0"/>
          <w:sz w:val="24"/>
        </w:rPr>
        <w:t>1、乙方应按要求指定项目经理，授权其代表乙方现场履行本合同约定的权力和义务。乙方指定的项目经理及其联系方式如下：</w:t>
      </w:r>
    </w:p>
    <w:p>
      <w:pPr>
        <w:spacing w:line="360" w:lineRule="auto"/>
        <w:ind w:firstLine="480" w:firstLineChars="200"/>
        <w:rPr>
          <w:rFonts w:ascii="宋体" w:hAnsi="宋体"/>
          <w:kern w:val="0"/>
          <w:sz w:val="24"/>
        </w:rPr>
      </w:pPr>
      <w:r>
        <w:rPr>
          <w:rFonts w:hint="eastAsia" w:ascii="宋体" w:hAnsi="宋体"/>
          <w:kern w:val="0"/>
          <w:sz w:val="24"/>
        </w:rPr>
        <w:t>乙方：</w:t>
      </w:r>
      <w:r>
        <w:rPr>
          <w:rFonts w:hint="eastAsia"/>
          <w:sz w:val="24"/>
          <w:u w:val="single"/>
        </w:rPr>
        <w:t xml:space="preserve"> 深圳市航天新材科技有限公司   </w:t>
      </w:r>
      <w:r>
        <w:rPr>
          <w:rFonts w:hint="eastAsia" w:ascii="宋体" w:hAnsi="宋体"/>
          <w:kern w:val="0"/>
          <w:sz w:val="24"/>
          <w:u w:val="single"/>
        </w:rPr>
        <w:t xml:space="preserve"> </w:t>
      </w:r>
      <w:r>
        <w:rPr>
          <w:rFonts w:hint="eastAsia" w:ascii="宋体" w:hAnsi="宋体"/>
          <w:kern w:val="0"/>
          <w:sz w:val="24"/>
        </w:rPr>
        <w:t xml:space="preserve"> </w:t>
      </w:r>
    </w:p>
    <w:p>
      <w:pPr>
        <w:spacing w:line="360" w:lineRule="auto"/>
        <w:ind w:firstLine="480" w:firstLineChars="200"/>
        <w:rPr>
          <w:rFonts w:ascii="宋体" w:hAnsi="宋体"/>
          <w:kern w:val="0"/>
          <w:sz w:val="24"/>
          <w:highlight w:val="yellow"/>
          <w:u w:val="single"/>
        </w:rPr>
      </w:pPr>
      <w:r>
        <w:rPr>
          <w:rFonts w:hint="eastAsia" w:ascii="宋体" w:hAnsi="宋体"/>
          <w:kern w:val="0"/>
          <w:sz w:val="24"/>
          <w:highlight w:val="yellow"/>
        </w:rPr>
        <w:t>项目现场负责人：</w:t>
      </w:r>
      <w:r>
        <w:rPr>
          <w:rFonts w:hint="eastAsia" w:ascii="宋体" w:hAnsi="宋体"/>
          <w:kern w:val="0"/>
          <w:sz w:val="24"/>
          <w:highlight w:val="yellow"/>
          <w:u w:val="single"/>
        </w:rPr>
        <w:t xml:space="preserve">    陈培都               </w:t>
      </w:r>
    </w:p>
    <w:p>
      <w:pPr>
        <w:spacing w:line="360" w:lineRule="auto"/>
        <w:ind w:firstLine="480" w:firstLineChars="200"/>
        <w:rPr>
          <w:rFonts w:ascii="宋体" w:hAnsi="宋体"/>
          <w:kern w:val="0"/>
          <w:sz w:val="24"/>
          <w:highlight w:val="yellow"/>
        </w:rPr>
      </w:pPr>
      <w:r>
        <w:rPr>
          <w:rFonts w:hint="eastAsia" w:ascii="宋体" w:hAnsi="宋体"/>
          <w:kern w:val="0"/>
          <w:sz w:val="24"/>
          <w:highlight w:val="yellow"/>
        </w:rPr>
        <w:t>联系电话：</w:t>
      </w:r>
      <w:r>
        <w:rPr>
          <w:rFonts w:hint="eastAsia" w:ascii="宋体" w:hAnsi="宋体"/>
          <w:kern w:val="0"/>
          <w:sz w:val="24"/>
          <w:highlight w:val="yellow"/>
          <w:u w:val="single"/>
        </w:rPr>
        <w:t xml:space="preserve">     13662260309                  </w:t>
      </w:r>
    </w:p>
    <w:p>
      <w:pPr>
        <w:spacing w:line="360" w:lineRule="auto"/>
        <w:ind w:firstLine="480" w:firstLineChars="200"/>
        <w:rPr>
          <w:rFonts w:ascii="宋体" w:hAnsi="宋体"/>
          <w:kern w:val="0"/>
          <w:sz w:val="24"/>
        </w:rPr>
      </w:pPr>
      <w:r>
        <w:rPr>
          <w:rFonts w:hint="eastAsia" w:ascii="宋体" w:hAnsi="宋体"/>
          <w:kern w:val="0"/>
          <w:sz w:val="24"/>
        </w:rPr>
        <w:t>2、乙方根据合同发出的一切文件(包括致甲方或甲方电厂的通知)，均应以书面形式由项目经理签字后发出。</w:t>
      </w:r>
    </w:p>
    <w:p>
      <w:pPr>
        <w:spacing w:line="360" w:lineRule="auto"/>
        <w:ind w:firstLine="480" w:firstLineChars="200"/>
        <w:rPr>
          <w:rFonts w:ascii="宋体" w:hAnsi="宋体"/>
          <w:kern w:val="0"/>
          <w:sz w:val="24"/>
        </w:rPr>
      </w:pPr>
      <w:r>
        <w:rPr>
          <w:rFonts w:hint="eastAsia" w:ascii="宋体" w:hAnsi="宋体"/>
          <w:kern w:val="0"/>
          <w:sz w:val="24"/>
        </w:rPr>
        <w:t>3、乙方应保证项目经理及时到位，保证现场服务过程中项目管理班子的稳定。若任命的项目经理未及时到位，甲方可按照合同条款中的约定对乙方进行相应处罚。如需更换项目经理，应至少提前7天以书面形式通知甲方，并经甲方书面同意。未经甲方书面同意，乙方不得更换项目经理。</w:t>
      </w:r>
    </w:p>
    <w:p>
      <w:pPr>
        <w:spacing w:line="360" w:lineRule="auto"/>
        <w:ind w:firstLine="480" w:firstLineChars="200"/>
        <w:rPr>
          <w:rFonts w:ascii="黑体" w:eastAsia="黑体"/>
          <w:sz w:val="28"/>
          <w:szCs w:val="28"/>
        </w:rPr>
      </w:pPr>
      <w:r>
        <w:rPr>
          <w:rFonts w:hint="eastAsia" w:ascii="宋体" w:hAnsi="宋体"/>
          <w:kern w:val="0"/>
          <w:sz w:val="24"/>
        </w:rPr>
        <w:t>4、项目经理按合同规定代表乙方负责现场服务管理和进度计划的组织施工。在发生危及人身、财产安全和立即影响项目安危的紧急情况且无法与甲方取得联系时，项目经理应采取保证人身和财产安全的紧急措施，并在采取措施后马上向甲方报告。</w:t>
      </w:r>
    </w:p>
    <w:p>
      <w:pPr>
        <w:pStyle w:val="101"/>
        <w:numPr>
          <w:ilvl w:val="0"/>
          <w:numId w:val="8"/>
        </w:numPr>
        <w:snapToGrid w:val="0"/>
        <w:spacing w:line="360" w:lineRule="auto"/>
        <w:ind w:left="600" w:hanging="600" w:hangingChars="200"/>
        <w:outlineLvl w:val="1"/>
        <w:rPr>
          <w:rFonts w:ascii="黑体" w:hAnsi="黑体" w:eastAsia="黑体"/>
          <w:sz w:val="30"/>
          <w:szCs w:val="30"/>
        </w:rPr>
      </w:pPr>
      <w:bookmarkStart w:id="10" w:name="_Toc94196203"/>
      <w:r>
        <w:rPr>
          <w:rFonts w:hint="eastAsia" w:ascii="黑体" w:hAnsi="黑体" w:eastAsia="黑体"/>
          <w:sz w:val="30"/>
          <w:szCs w:val="30"/>
        </w:rPr>
        <w:t>服务及运营管理要求</w:t>
      </w:r>
      <w:bookmarkEnd w:id="10"/>
      <w:r>
        <w:rPr>
          <w:rFonts w:ascii="宋体" w:hAnsi="宋体"/>
          <w:sz w:val="30"/>
          <w:szCs w:val="30"/>
        </w:rPr>
        <w:t xml:space="preserve"> </w:t>
      </w:r>
    </w:p>
    <w:p>
      <w:pPr>
        <w:adjustRightInd w:val="0"/>
        <w:snapToGrid w:val="0"/>
        <w:spacing w:line="360" w:lineRule="auto"/>
        <w:ind w:firstLine="480"/>
        <w:rPr>
          <w:rFonts w:ascii="宋体" w:hAnsi="宋体"/>
          <w:sz w:val="24"/>
        </w:rPr>
      </w:pPr>
      <w:bookmarkStart w:id="11" w:name="_Toc509846363"/>
      <w:r>
        <w:rPr>
          <w:rFonts w:ascii="宋体" w:hAnsi="宋体"/>
          <w:sz w:val="24"/>
        </w:rPr>
        <w:t>1</w:t>
      </w:r>
      <w:r>
        <w:rPr>
          <w:rFonts w:hint="eastAsia" w:ascii="宋体" w:hAnsi="宋体"/>
          <w:sz w:val="24"/>
        </w:rPr>
        <w:t>、乙方</w:t>
      </w:r>
      <w:r>
        <w:rPr>
          <w:rFonts w:ascii="宋体" w:hAnsi="宋体"/>
          <w:sz w:val="24"/>
        </w:rPr>
        <w:t>须</w:t>
      </w:r>
      <w:r>
        <w:rPr>
          <w:rFonts w:hint="eastAsia" w:ascii="宋体" w:hAnsi="宋体"/>
          <w:sz w:val="24"/>
        </w:rPr>
        <w:t>在合同期内无休连续性服务，</w:t>
      </w:r>
      <w:r>
        <w:rPr>
          <w:rFonts w:ascii="宋体" w:hAnsi="宋体"/>
          <w:sz w:val="24"/>
        </w:rPr>
        <w:t>须保证</w:t>
      </w:r>
      <w:r>
        <w:rPr>
          <w:rFonts w:hint="eastAsia" w:ascii="宋体" w:hAnsi="宋体"/>
          <w:sz w:val="24"/>
        </w:rPr>
        <w:t>可</w:t>
      </w:r>
      <w:r>
        <w:rPr>
          <w:rFonts w:ascii="宋体" w:hAnsi="宋体"/>
          <w:sz w:val="24"/>
        </w:rPr>
        <w:t>连续</w:t>
      </w:r>
      <w:r>
        <w:rPr>
          <w:rFonts w:hint="eastAsia" w:ascii="宋体" w:hAnsi="宋体"/>
          <w:sz w:val="24"/>
        </w:rPr>
        <w:t>提供</w:t>
      </w:r>
      <w:r>
        <w:rPr>
          <w:rFonts w:ascii="宋体" w:hAnsi="宋体"/>
          <w:sz w:val="24"/>
        </w:rPr>
        <w:t>质量合格、数量</w:t>
      </w:r>
      <w:r>
        <w:rPr>
          <w:rFonts w:hint="eastAsia" w:ascii="宋体" w:hAnsi="宋体"/>
          <w:sz w:val="24"/>
        </w:rPr>
        <w:t>足够</w:t>
      </w:r>
      <w:r>
        <w:rPr>
          <w:rFonts w:ascii="宋体" w:hAnsi="宋体"/>
          <w:sz w:val="24"/>
        </w:rPr>
        <w:t>的飞灰处理药品</w:t>
      </w:r>
      <w:r>
        <w:rPr>
          <w:rFonts w:hint="eastAsia" w:ascii="宋体" w:hAnsi="宋体"/>
          <w:sz w:val="24"/>
        </w:rPr>
        <w:t>（</w:t>
      </w:r>
      <w:r>
        <w:rPr>
          <w:rFonts w:ascii="宋体" w:hAnsi="宋体"/>
          <w:sz w:val="24"/>
        </w:rPr>
        <w:t>包括但不限于：飞灰螯合药剂等</w:t>
      </w:r>
      <w:r>
        <w:rPr>
          <w:rFonts w:hint="eastAsia" w:ascii="宋体" w:hAnsi="宋体"/>
          <w:sz w:val="24"/>
        </w:rPr>
        <w:t>确保</w:t>
      </w:r>
      <w:r>
        <w:rPr>
          <w:rFonts w:ascii="宋体" w:hAnsi="宋体"/>
          <w:sz w:val="24"/>
        </w:rPr>
        <w:t>飞灰螯合稳定化处置达标</w:t>
      </w:r>
      <w:r>
        <w:rPr>
          <w:rFonts w:hint="eastAsia" w:ascii="宋体" w:hAnsi="宋体"/>
          <w:sz w:val="24"/>
        </w:rPr>
        <w:t>所</w:t>
      </w:r>
      <w:r>
        <w:rPr>
          <w:rFonts w:ascii="宋体" w:hAnsi="宋体"/>
          <w:sz w:val="24"/>
        </w:rPr>
        <w:t>使用的一切药剂</w:t>
      </w:r>
      <w:r>
        <w:rPr>
          <w:rFonts w:hint="eastAsia" w:ascii="宋体" w:hAnsi="宋体"/>
          <w:sz w:val="24"/>
        </w:rPr>
        <w:t>）</w:t>
      </w:r>
      <w:r>
        <w:rPr>
          <w:rFonts w:ascii="宋体" w:hAnsi="宋体"/>
          <w:sz w:val="24"/>
        </w:rPr>
        <w:t>，以保证</w:t>
      </w:r>
      <w:r>
        <w:rPr>
          <w:rFonts w:hint="eastAsia" w:ascii="宋体" w:hAnsi="宋体"/>
          <w:sz w:val="24"/>
        </w:rPr>
        <w:t>甲方</w:t>
      </w:r>
      <w:r>
        <w:rPr>
          <w:rFonts w:ascii="宋体" w:hAnsi="宋体"/>
          <w:sz w:val="24"/>
        </w:rPr>
        <w:t>电厂正常生产</w:t>
      </w:r>
      <w:r>
        <w:rPr>
          <w:rFonts w:hint="eastAsia" w:ascii="宋体" w:hAnsi="宋体"/>
          <w:sz w:val="24"/>
        </w:rPr>
        <w:t>需求。若因乙方供货不及时、中断或药品质量问题引起的影响机组安全运行、环保运行的责任，则均由乙方承担。飞灰稳定化药剂的装卸工作由乙方自行负责。</w:t>
      </w:r>
    </w:p>
    <w:p>
      <w:pPr>
        <w:adjustRightInd w:val="0"/>
        <w:snapToGrid w:val="0"/>
        <w:spacing w:line="360" w:lineRule="auto"/>
        <w:ind w:firstLine="480"/>
        <w:rPr>
          <w:rFonts w:ascii="宋体" w:hAnsi="宋体"/>
          <w:sz w:val="24"/>
        </w:rPr>
      </w:pPr>
      <w:r>
        <w:rPr>
          <w:rFonts w:hint="eastAsia" w:ascii="宋体" w:hAnsi="宋体"/>
          <w:sz w:val="24"/>
        </w:rPr>
        <w:t>2、乙方</w:t>
      </w:r>
      <w:r>
        <w:rPr>
          <w:rFonts w:ascii="宋体" w:hAnsi="宋体"/>
          <w:sz w:val="24"/>
        </w:rPr>
        <w:t>须</w:t>
      </w:r>
      <w:r>
        <w:rPr>
          <w:rFonts w:hint="eastAsia" w:ascii="宋体" w:hAnsi="宋体"/>
          <w:sz w:val="24"/>
        </w:rPr>
        <w:t>制定飞灰螯合稳定化运行维护管理规定，编制巡检记录表并执行，每日飞灰螯合运营开始前和结束后，全面检查飞灰螯合设备是否正常，及时向甲方反馈。</w:t>
      </w:r>
    </w:p>
    <w:p>
      <w:pPr>
        <w:adjustRightInd w:val="0"/>
        <w:snapToGrid w:val="0"/>
        <w:spacing w:line="360" w:lineRule="auto"/>
        <w:ind w:firstLine="480"/>
        <w:rPr>
          <w:rFonts w:ascii="宋体" w:hAnsi="宋体"/>
          <w:sz w:val="24"/>
        </w:rPr>
      </w:pPr>
      <w:r>
        <w:rPr>
          <w:rFonts w:hint="eastAsia" w:ascii="宋体" w:hAnsi="宋体"/>
          <w:sz w:val="24"/>
        </w:rPr>
        <w:t>3、乙方</w:t>
      </w:r>
      <w:r>
        <w:rPr>
          <w:rFonts w:ascii="宋体" w:hAnsi="宋体"/>
          <w:sz w:val="24"/>
        </w:rPr>
        <w:t>须</w:t>
      </w:r>
      <w:r>
        <w:rPr>
          <w:rFonts w:hint="eastAsia" w:ascii="宋体" w:hAnsi="宋体"/>
          <w:sz w:val="24"/>
        </w:rPr>
        <w:t>保证飞灰螯合设施区域的安全文明生产，做好区域文明卫生工作，包括设备夹层、螯合稳定化车间、控制室及周边道路等。负责外运合规处置废弃或损坏的托盘、螯合药剂桶及吨袋等。</w:t>
      </w:r>
    </w:p>
    <w:p>
      <w:pPr>
        <w:adjustRightInd w:val="0"/>
        <w:snapToGrid w:val="0"/>
        <w:spacing w:line="360" w:lineRule="auto"/>
        <w:ind w:firstLine="480"/>
        <w:rPr>
          <w:rFonts w:ascii="宋体" w:hAnsi="宋体"/>
          <w:sz w:val="24"/>
        </w:rPr>
      </w:pPr>
      <w:r>
        <w:rPr>
          <w:rFonts w:hint="eastAsia" w:ascii="宋体" w:hAnsi="宋体"/>
          <w:sz w:val="24"/>
        </w:rPr>
        <w:t>4、乙方负责提供精通螯合药剂使用性能及飞灰螯合系统生产的技术人员常驻甲方，负责现场飞灰螯合生产运营。乙方负责提供操作工（其中含叉车司机），保证现场飞灰螯合药剂卸货、转运以及飞灰螯合物包装、转运等。</w:t>
      </w:r>
      <w:r>
        <w:rPr>
          <w:rFonts w:hint="eastAsia"/>
          <w:bCs/>
          <w:sz w:val="24"/>
        </w:rPr>
        <w:t>等。以上人员须</w:t>
      </w:r>
      <w:r>
        <w:rPr>
          <w:rFonts w:hint="eastAsia" w:ascii="宋体" w:hAnsi="宋体"/>
          <w:sz w:val="24"/>
        </w:rPr>
        <w:t>常驻甲方电厂，负责现场飞灰螯合生产运营等服务。乙方</w:t>
      </w:r>
      <w:r>
        <w:rPr>
          <w:sz w:val="24"/>
          <w:lang w:bidi="ar"/>
        </w:rPr>
        <w:t>负责提供满足需求的叉车。叉车操作人员须持有叉车操作证，叉车需办理使用许可证并向当地质量监督管理部门进行特种设备备案。</w:t>
      </w:r>
      <w:r>
        <w:rPr>
          <w:rFonts w:hint="eastAsia"/>
          <w:sz w:val="24"/>
          <w:lang w:bidi="ar"/>
        </w:rPr>
        <w:t>具体人员数量详见技术要求。</w:t>
      </w:r>
    </w:p>
    <w:p>
      <w:pPr>
        <w:adjustRightInd w:val="0"/>
        <w:snapToGrid w:val="0"/>
        <w:spacing w:line="360" w:lineRule="auto"/>
        <w:ind w:firstLine="480"/>
        <w:rPr>
          <w:rFonts w:ascii="宋体" w:hAnsi="宋体"/>
          <w:sz w:val="24"/>
        </w:rPr>
      </w:pPr>
      <w:r>
        <w:rPr>
          <w:rFonts w:hint="eastAsia" w:ascii="宋体" w:hAnsi="宋体"/>
          <w:sz w:val="24"/>
        </w:rPr>
        <w:t>以上常驻甲方人员不得轻易更换（除甲方要求），如有人员流动，乙方需提前两周向甲方提出书面申请，经甲方同意后，新入厂人员需在原岗位人员指导下进行运营工作至少两周，由甲方考核通过后方可上岗，需流动人员才可离厂。乙方驻厂技术人员必须遵守甲方电厂相关管理制度，乙方驻厂人员的主要职责和工作范围具体详见本合同附件技术协议书的相关规定，乙方驻厂技术人员的相关费用均由乙方自行承担。</w:t>
      </w:r>
    </w:p>
    <w:p>
      <w:pPr>
        <w:adjustRightInd w:val="0"/>
        <w:snapToGrid w:val="0"/>
        <w:spacing w:line="360" w:lineRule="auto"/>
        <w:ind w:firstLine="480"/>
        <w:rPr>
          <w:rFonts w:ascii="宋体" w:hAnsi="宋体"/>
          <w:sz w:val="24"/>
        </w:rPr>
      </w:pPr>
      <w:r>
        <w:rPr>
          <w:rFonts w:hint="eastAsia" w:ascii="宋体" w:hAnsi="宋体"/>
          <w:sz w:val="24"/>
        </w:rPr>
        <w:t>5、乙方的驻厂技术人员主要职责为：组织飞灰螯合生产运行及负责安全环保管理；合理进行原灰定期分析，依据原灰成份变化及时调整螯合药剂成份或添加比例，确保飞灰螯合物达标；依据甲方现场工况变化，及时调整螯合药剂添加比例，确保飞灰螯合物达标；确保螯合药剂足量、及时地供应；及时申报飞灰螯合稳定化系统的必要备件；负责飞灰螯合生产数据填报和资料建档；负责四联单初步核对归档报送；接受甲方、生活垃圾填埋场及上级主管部门的监督管理；负责落实甲方合理安排的工作及其他合同要求工作（包括但不限于飞灰螯合系统的运行操作、飞灰螯合物的质量）。</w:t>
      </w:r>
    </w:p>
    <w:p>
      <w:pPr>
        <w:adjustRightInd w:val="0"/>
        <w:snapToGrid w:val="0"/>
        <w:spacing w:line="360" w:lineRule="auto"/>
        <w:ind w:firstLine="480"/>
        <w:rPr>
          <w:rFonts w:ascii="宋体" w:hAnsi="宋体"/>
          <w:sz w:val="24"/>
        </w:rPr>
      </w:pPr>
      <w:r>
        <w:rPr>
          <w:rFonts w:hint="eastAsia" w:ascii="宋体" w:hAnsi="宋体"/>
          <w:sz w:val="24"/>
        </w:rPr>
        <w:t>6、乙方配备专人对每天养护后螯合物进行含水率检测、浸出液制备，实验仪器使用甲方厂内设备，甲方电厂不定期进行样品抽检。</w:t>
      </w:r>
    </w:p>
    <w:p>
      <w:pPr>
        <w:adjustRightInd w:val="0"/>
        <w:snapToGrid w:val="0"/>
        <w:spacing w:line="360" w:lineRule="auto"/>
        <w:ind w:firstLine="480"/>
        <w:rPr>
          <w:rFonts w:ascii="宋体" w:hAnsi="宋体"/>
          <w:sz w:val="24"/>
        </w:rPr>
      </w:pPr>
      <w:r>
        <w:rPr>
          <w:rFonts w:ascii="宋体" w:hAnsi="宋体"/>
          <w:sz w:val="24"/>
        </w:rPr>
        <w:t>7、乙方需根据设备实际运行情况，每月20日前向甲方提出合理的备件申报计划，备件采购工作及费用由甲方负责，甲方的备件采购周期为3个月。</w:t>
      </w:r>
    </w:p>
    <w:p>
      <w:pPr>
        <w:adjustRightInd w:val="0"/>
        <w:snapToGrid w:val="0"/>
        <w:spacing w:line="360" w:lineRule="auto"/>
        <w:ind w:firstLine="480"/>
        <w:rPr>
          <w:rFonts w:ascii="宋体" w:hAnsi="宋体"/>
          <w:sz w:val="24"/>
        </w:rPr>
      </w:pPr>
      <w:r>
        <w:rPr>
          <w:rFonts w:hint="eastAsia" w:ascii="宋体" w:hAnsi="宋体"/>
          <w:sz w:val="24"/>
        </w:rPr>
        <w:t>8、飞灰螯合设备出现故障和异常时，由甲方负责组织相应专业检修人员进行维护检修并验收，乙方需提供维护检修指导。如遇到短时间不能解决的技术难题，涉及到需要与设备原生产厂家沟通的工作，由甲方协助沟通，但乙方应有应急处置手段，以保证飞灰螯合生产顺利进行。</w:t>
      </w:r>
    </w:p>
    <w:p>
      <w:pPr>
        <w:adjustRightInd w:val="0"/>
        <w:snapToGrid w:val="0"/>
        <w:spacing w:line="360" w:lineRule="auto"/>
        <w:ind w:firstLine="480"/>
        <w:rPr>
          <w:rFonts w:ascii="宋体" w:hAnsi="宋体"/>
          <w:sz w:val="24"/>
        </w:rPr>
      </w:pPr>
      <w:r>
        <w:rPr>
          <w:rFonts w:hint="eastAsia" w:ascii="宋体" w:hAnsi="宋体"/>
          <w:sz w:val="24"/>
        </w:rPr>
        <w:t>9、乙方应及时进行飞灰螯合，</w:t>
      </w:r>
      <w:r>
        <w:rPr>
          <w:rFonts w:hint="eastAsia"/>
          <w:bCs/>
          <w:sz w:val="24"/>
        </w:rPr>
        <w:t>应保持飞灰仓低料位运行，</w:t>
      </w:r>
      <w:r>
        <w:rPr>
          <w:rFonts w:hint="eastAsia" w:ascii="宋体" w:hAnsi="宋体"/>
          <w:sz w:val="24"/>
        </w:rPr>
        <w:t>不得以任何借口影响甲方的安全、稳定、经济运行。如由于甲方原因（断水、断电及其他甲方无法通过努力克服的问题）造成系统无法运行，则由甲方负责委托有资质单位进行飞灰外运处置，乙方负责卸干灰工作。如由于乙方原因造成的系统无法运行，则由甲方委托有资质单位进行飞灰外运处置，所发生的委托处置费用由乙方负责。</w:t>
      </w:r>
    </w:p>
    <w:p>
      <w:pPr>
        <w:adjustRightInd w:val="0"/>
        <w:snapToGrid w:val="0"/>
        <w:spacing w:line="360" w:lineRule="auto"/>
        <w:ind w:firstLine="480"/>
        <w:rPr>
          <w:rFonts w:ascii="宋体" w:hAnsi="宋体"/>
          <w:sz w:val="24"/>
        </w:rPr>
      </w:pPr>
      <w:r>
        <w:rPr>
          <w:rFonts w:hint="eastAsia" w:ascii="宋体" w:hAnsi="宋体"/>
          <w:sz w:val="24"/>
        </w:rPr>
        <w:t>10、甲方电厂飞灰成分随垃圾来源、季节变化较大，乙方应采取相应措施预先调整螯合药剂投加量，确保飞灰稳定化处理达标，甲方不对垃圾及原灰成分变化导致的稳定化处理效果负责。</w:t>
      </w:r>
    </w:p>
    <w:p>
      <w:pPr>
        <w:adjustRightInd w:val="0"/>
        <w:snapToGrid w:val="0"/>
        <w:spacing w:line="360" w:lineRule="auto"/>
        <w:ind w:firstLine="480"/>
        <w:rPr>
          <w:rFonts w:ascii="宋体" w:hAnsi="宋体"/>
          <w:sz w:val="24"/>
        </w:rPr>
      </w:pPr>
      <w:r>
        <w:rPr>
          <w:rFonts w:hint="eastAsia" w:ascii="宋体" w:hAnsi="宋体"/>
          <w:sz w:val="24"/>
        </w:rPr>
        <w:t>11、如遇不可预见因素，例如焚烧余热锅炉受热面爆管、焚烧炉其它故障进行压火或者停炉检修、导致进入灰仓的飞灰结块甚至带水等情况，乙方需提前制定处理方案，落实应对措施，在保证飞灰螯合物达标的前提下，将灰仓内飞灰及时生产完毕，确保飞灰仓不存灰。</w:t>
      </w:r>
    </w:p>
    <w:p>
      <w:pPr>
        <w:adjustRightInd w:val="0"/>
        <w:snapToGrid w:val="0"/>
        <w:spacing w:line="360" w:lineRule="auto"/>
        <w:ind w:firstLine="480"/>
        <w:rPr>
          <w:rFonts w:ascii="宋体" w:hAnsi="宋体"/>
          <w:sz w:val="24"/>
        </w:rPr>
      </w:pPr>
      <w:r>
        <w:rPr>
          <w:rFonts w:ascii="宋体" w:hAnsi="宋体"/>
          <w:sz w:val="24"/>
        </w:rPr>
        <w:t>1</w:t>
      </w:r>
      <w:r>
        <w:rPr>
          <w:rFonts w:hint="eastAsia" w:ascii="宋体" w:hAnsi="宋体"/>
          <w:sz w:val="24"/>
        </w:rPr>
        <w:t>2、乙方</w:t>
      </w:r>
      <w:r>
        <w:rPr>
          <w:rFonts w:ascii="宋体" w:hAnsi="宋体"/>
          <w:sz w:val="24"/>
        </w:rPr>
        <w:t>负责</w:t>
      </w:r>
      <w:r>
        <w:rPr>
          <w:rFonts w:hint="eastAsia" w:ascii="宋体" w:hAnsi="宋体"/>
          <w:sz w:val="24"/>
        </w:rPr>
        <w:t>办理本合同</w:t>
      </w:r>
      <w:r>
        <w:rPr>
          <w:rFonts w:ascii="宋体" w:hAnsi="宋体"/>
          <w:sz w:val="24"/>
        </w:rPr>
        <w:t>下飞灰处理药剂的</w:t>
      </w:r>
      <w:r>
        <w:rPr>
          <w:rFonts w:hint="eastAsia" w:ascii="宋体" w:hAnsi="宋体"/>
          <w:sz w:val="24"/>
        </w:rPr>
        <w:t>运输</w:t>
      </w:r>
      <w:r>
        <w:rPr>
          <w:rFonts w:ascii="宋体" w:hAnsi="宋体"/>
          <w:sz w:val="24"/>
        </w:rPr>
        <w:t>保险并承担费用，还应为其派驻甲方现场的服务人员购买</w:t>
      </w:r>
      <w:r>
        <w:rPr>
          <w:rFonts w:hint="eastAsia" w:ascii="宋体" w:hAnsi="宋体"/>
          <w:sz w:val="24"/>
        </w:rPr>
        <w:t>社会保险及意外伤害险</w:t>
      </w:r>
      <w:r>
        <w:rPr>
          <w:rFonts w:ascii="宋体" w:hAnsi="宋体"/>
          <w:sz w:val="24"/>
        </w:rPr>
        <w:t>并承担相关费用。</w:t>
      </w:r>
    </w:p>
    <w:p>
      <w:pPr>
        <w:adjustRightInd w:val="0"/>
        <w:snapToGrid w:val="0"/>
        <w:spacing w:line="360" w:lineRule="auto"/>
        <w:ind w:firstLine="480"/>
        <w:rPr>
          <w:rFonts w:ascii="宋体" w:hAnsi="宋体"/>
          <w:sz w:val="24"/>
        </w:rPr>
      </w:pPr>
      <w:r>
        <w:rPr>
          <w:rFonts w:ascii="宋体" w:hAnsi="宋体"/>
          <w:sz w:val="24"/>
        </w:rPr>
        <w:t>1</w:t>
      </w:r>
      <w:r>
        <w:rPr>
          <w:rFonts w:hint="eastAsia" w:ascii="宋体" w:hAnsi="宋体"/>
          <w:sz w:val="24"/>
        </w:rPr>
        <w:t>3、乙方须按照技术协议书7.4条例行工作报告要求定期对飞灰螯合物进行分析确保满足甲方飞灰螯合要求，每天向甲方提供生产日报表，定期召开运营周例会以及及时参加飞灰螯合相关主题会议等。</w:t>
      </w:r>
    </w:p>
    <w:p>
      <w:pPr>
        <w:adjustRightInd w:val="0"/>
        <w:snapToGrid w:val="0"/>
        <w:spacing w:line="360" w:lineRule="auto"/>
        <w:ind w:firstLine="480"/>
        <w:rPr>
          <w:rFonts w:ascii="宋体" w:hAnsi="宋体"/>
          <w:sz w:val="24"/>
        </w:rPr>
      </w:pPr>
      <w:r>
        <w:rPr>
          <w:rFonts w:hint="eastAsia" w:ascii="宋体" w:hAnsi="宋体"/>
          <w:sz w:val="24"/>
        </w:rPr>
        <w:t>14、每批次飞灰螯合中，飞灰、螯合剂、用水量均会记录入上位机中进行累计，乙方每日记录其累计值，管理所对每日数值进行监督抽查。乙方需按照甲方要求，填写飞灰螯合运行日报表、取样记录表、分析记录表、飞灰螯合物进入填埋场合格证等记录表。</w:t>
      </w:r>
    </w:p>
    <w:p>
      <w:pPr>
        <w:adjustRightInd w:val="0"/>
        <w:snapToGrid w:val="0"/>
        <w:spacing w:line="360" w:lineRule="auto"/>
        <w:ind w:firstLine="480"/>
        <w:rPr>
          <w:rFonts w:ascii="宋体" w:hAnsi="宋体"/>
          <w:sz w:val="24"/>
        </w:rPr>
      </w:pPr>
      <w:r>
        <w:rPr>
          <w:rFonts w:ascii="宋体" w:hAnsi="宋体"/>
          <w:sz w:val="24"/>
        </w:rPr>
        <w:t>1</w:t>
      </w:r>
      <w:r>
        <w:rPr>
          <w:rFonts w:hint="eastAsia" w:ascii="宋体" w:hAnsi="宋体"/>
          <w:sz w:val="24"/>
        </w:rPr>
        <w:t>5、乙方须承担本项目环境污染责任，包括但不限于行政罚款、第三方追责、甲方品牌损失</w:t>
      </w:r>
      <w:r>
        <w:rPr>
          <w:rFonts w:ascii="宋体" w:hAnsi="宋体"/>
          <w:sz w:val="24"/>
        </w:rPr>
        <w:t>。</w:t>
      </w:r>
    </w:p>
    <w:p>
      <w:pPr>
        <w:pStyle w:val="101"/>
        <w:numPr>
          <w:ilvl w:val="0"/>
          <w:numId w:val="8"/>
        </w:numPr>
        <w:snapToGrid w:val="0"/>
        <w:spacing w:line="360" w:lineRule="auto"/>
        <w:ind w:left="600" w:hanging="600" w:hangingChars="200"/>
        <w:outlineLvl w:val="1"/>
        <w:rPr>
          <w:rFonts w:ascii="黑体" w:hAnsi="黑体" w:eastAsia="黑体"/>
          <w:sz w:val="30"/>
          <w:szCs w:val="30"/>
        </w:rPr>
      </w:pPr>
      <w:bookmarkStart w:id="12" w:name="_Toc94196204"/>
      <w:r>
        <w:rPr>
          <w:rFonts w:hint="eastAsia" w:ascii="黑体" w:hAnsi="黑体" w:eastAsia="黑体"/>
          <w:sz w:val="30"/>
          <w:szCs w:val="30"/>
        </w:rPr>
        <w:t>质量标准</w:t>
      </w:r>
      <w:bookmarkEnd w:id="11"/>
      <w:bookmarkEnd w:id="12"/>
    </w:p>
    <w:p>
      <w:pPr>
        <w:adjustRightInd w:val="0"/>
        <w:snapToGrid w:val="0"/>
        <w:spacing w:line="360" w:lineRule="auto"/>
        <w:ind w:firstLine="480"/>
        <w:rPr>
          <w:rFonts w:ascii="宋体" w:hAnsi="宋体"/>
          <w:sz w:val="24"/>
        </w:rPr>
      </w:pPr>
      <w:r>
        <w:rPr>
          <w:rFonts w:hint="eastAsia" w:ascii="宋体" w:hAnsi="宋体"/>
          <w:sz w:val="24"/>
        </w:rPr>
        <w:t>1、质量标准: 本工程执行国家、电力、化工行业有关标准、规范、规程及规定，具体执行标准及要求详见技术协议书相关约定，各标准之间有冲突的，以其中最高标准为依据。</w:t>
      </w:r>
    </w:p>
    <w:p>
      <w:pPr>
        <w:adjustRightInd w:val="0"/>
        <w:snapToGrid w:val="0"/>
        <w:spacing w:line="360" w:lineRule="auto"/>
        <w:ind w:firstLine="480"/>
        <w:rPr>
          <w:rFonts w:ascii="宋体" w:hAnsi="宋体"/>
          <w:sz w:val="24"/>
        </w:rPr>
      </w:pPr>
      <w:r>
        <w:rPr>
          <w:rFonts w:hint="eastAsia" w:ascii="宋体" w:hAnsi="宋体"/>
          <w:sz w:val="24"/>
        </w:rPr>
        <w:t>2、乙方</w:t>
      </w:r>
      <w:r>
        <w:rPr>
          <w:rFonts w:ascii="宋体" w:hAnsi="宋体"/>
          <w:sz w:val="24"/>
        </w:rPr>
        <w:t>应</w:t>
      </w:r>
      <w:r>
        <w:rPr>
          <w:rFonts w:hint="eastAsia" w:ascii="宋体" w:hAnsi="宋体"/>
          <w:sz w:val="24"/>
        </w:rPr>
        <w:t>制定飞灰螯合稳定化方案，并有针对性的</w:t>
      </w:r>
      <w:r>
        <w:rPr>
          <w:rFonts w:ascii="宋体" w:hAnsi="宋体"/>
          <w:sz w:val="24"/>
        </w:rPr>
        <w:t>开展</w:t>
      </w:r>
      <w:r>
        <w:rPr>
          <w:rFonts w:hint="eastAsia" w:ascii="宋体" w:hAnsi="宋体"/>
          <w:sz w:val="24"/>
        </w:rPr>
        <w:t>原灰及飞灰螯合物</w:t>
      </w:r>
      <w:r>
        <w:rPr>
          <w:rFonts w:ascii="宋体" w:hAnsi="宋体"/>
          <w:sz w:val="24"/>
        </w:rPr>
        <w:t>的自检，</w:t>
      </w:r>
      <w:r>
        <w:rPr>
          <w:rFonts w:hint="eastAsia" w:ascii="宋体" w:hAnsi="宋体"/>
          <w:sz w:val="24"/>
        </w:rPr>
        <w:t>依据原灰的检测结果及时调整螯合剂的投加量，</w:t>
      </w:r>
      <w:r>
        <w:rPr>
          <w:rFonts w:ascii="宋体" w:hAnsi="宋体"/>
          <w:sz w:val="24"/>
        </w:rPr>
        <w:t>以保证飞灰处理结果达标</w:t>
      </w:r>
      <w:r>
        <w:rPr>
          <w:rFonts w:hint="eastAsia" w:ascii="宋体" w:hAnsi="宋体"/>
          <w:sz w:val="24"/>
        </w:rPr>
        <w:t>，</w:t>
      </w:r>
      <w:r>
        <w:rPr>
          <w:rFonts w:ascii="宋体" w:hAnsi="宋体"/>
          <w:sz w:val="24"/>
        </w:rPr>
        <w:t>检测结果应无条件提供给</w:t>
      </w:r>
      <w:r>
        <w:rPr>
          <w:rFonts w:hint="eastAsia" w:ascii="宋体" w:hAnsi="宋体"/>
          <w:sz w:val="24"/>
        </w:rPr>
        <w:t>甲方，自检</w:t>
      </w:r>
      <w:r>
        <w:rPr>
          <w:rFonts w:ascii="宋体" w:hAnsi="宋体"/>
          <w:sz w:val="24"/>
        </w:rPr>
        <w:t>及取样</w:t>
      </w:r>
      <w:r>
        <w:rPr>
          <w:rFonts w:hint="eastAsia" w:ascii="宋体" w:hAnsi="宋体"/>
          <w:sz w:val="24"/>
        </w:rPr>
        <w:t>的</w:t>
      </w:r>
      <w:r>
        <w:rPr>
          <w:rFonts w:ascii="宋体" w:hAnsi="宋体"/>
          <w:sz w:val="24"/>
        </w:rPr>
        <w:t>具体</w:t>
      </w:r>
      <w:r>
        <w:rPr>
          <w:rFonts w:hint="eastAsia" w:ascii="宋体" w:hAnsi="宋体"/>
          <w:sz w:val="24"/>
        </w:rPr>
        <w:t>内容和</w:t>
      </w:r>
      <w:r>
        <w:rPr>
          <w:rFonts w:ascii="宋体" w:hAnsi="宋体"/>
          <w:sz w:val="24"/>
        </w:rPr>
        <w:t>要求</w:t>
      </w:r>
      <w:r>
        <w:rPr>
          <w:rFonts w:hint="eastAsia" w:ascii="宋体" w:hAnsi="宋体"/>
          <w:sz w:val="24"/>
        </w:rPr>
        <w:t>详见技术协议书。</w:t>
      </w:r>
    </w:p>
    <w:p>
      <w:pPr>
        <w:adjustRightInd w:val="0"/>
        <w:snapToGrid w:val="0"/>
        <w:spacing w:line="360" w:lineRule="auto"/>
        <w:ind w:firstLine="480"/>
        <w:rPr>
          <w:rFonts w:ascii="宋体" w:hAnsi="宋体"/>
          <w:sz w:val="24"/>
        </w:rPr>
      </w:pPr>
      <w:r>
        <w:rPr>
          <w:rFonts w:hint="eastAsia" w:ascii="宋体" w:hAnsi="宋体"/>
          <w:sz w:val="24"/>
        </w:rPr>
        <w:t>3、乙方</w:t>
      </w:r>
      <w:r>
        <w:rPr>
          <w:rFonts w:ascii="宋体" w:hAnsi="宋体"/>
          <w:sz w:val="24"/>
        </w:rPr>
        <w:t>应保证所供</w:t>
      </w:r>
      <w:r>
        <w:rPr>
          <w:rFonts w:hint="eastAsia" w:ascii="宋体" w:hAnsi="宋体"/>
          <w:sz w:val="24"/>
        </w:rPr>
        <w:t>药剂</w:t>
      </w:r>
      <w:r>
        <w:rPr>
          <w:rFonts w:ascii="宋体" w:hAnsi="宋体"/>
          <w:sz w:val="24"/>
        </w:rPr>
        <w:t>产品满足电厂安全、可靠运行的要求，并对产品的制造、供货、</w:t>
      </w:r>
      <w:r>
        <w:rPr>
          <w:rFonts w:hint="eastAsia" w:ascii="宋体" w:hAnsi="宋体"/>
          <w:sz w:val="24"/>
        </w:rPr>
        <w:t>运输</w:t>
      </w:r>
      <w:r>
        <w:rPr>
          <w:rFonts w:ascii="宋体" w:hAnsi="宋体"/>
          <w:sz w:val="24"/>
        </w:rPr>
        <w:t>、</w:t>
      </w:r>
      <w:r>
        <w:rPr>
          <w:rFonts w:hint="eastAsia" w:ascii="宋体" w:hAnsi="宋体"/>
          <w:sz w:val="24"/>
        </w:rPr>
        <w:t>包装</w:t>
      </w:r>
      <w:r>
        <w:rPr>
          <w:rFonts w:ascii="宋体" w:hAnsi="宋体"/>
          <w:sz w:val="24"/>
        </w:rPr>
        <w:t>、现场</w:t>
      </w:r>
      <w:r>
        <w:rPr>
          <w:rFonts w:hint="eastAsia" w:ascii="宋体" w:hAnsi="宋体"/>
          <w:sz w:val="24"/>
        </w:rPr>
        <w:t>卸货</w:t>
      </w:r>
      <w:r>
        <w:rPr>
          <w:rFonts w:ascii="宋体" w:hAnsi="宋体"/>
          <w:sz w:val="24"/>
        </w:rPr>
        <w:t>、</w:t>
      </w:r>
      <w:r>
        <w:rPr>
          <w:rFonts w:hint="eastAsia" w:ascii="宋体" w:hAnsi="宋体"/>
          <w:sz w:val="24"/>
        </w:rPr>
        <w:t>取样</w:t>
      </w:r>
      <w:r>
        <w:rPr>
          <w:rFonts w:ascii="宋体" w:hAnsi="宋体"/>
          <w:sz w:val="24"/>
        </w:rPr>
        <w:t>、加药</w:t>
      </w:r>
      <w:r>
        <w:rPr>
          <w:rFonts w:hint="eastAsia" w:ascii="宋体" w:hAnsi="宋体"/>
          <w:sz w:val="24"/>
        </w:rPr>
        <w:t>及螯合运营</w:t>
      </w:r>
      <w:r>
        <w:rPr>
          <w:rFonts w:ascii="宋体" w:hAnsi="宋体"/>
          <w:sz w:val="24"/>
        </w:rPr>
        <w:t>服务等过程全面负责</w:t>
      </w:r>
      <w:r>
        <w:rPr>
          <w:rFonts w:hint="eastAsia" w:ascii="宋体" w:hAnsi="宋体"/>
          <w:sz w:val="24"/>
        </w:rPr>
        <w:t>。</w:t>
      </w:r>
    </w:p>
    <w:p>
      <w:pPr>
        <w:adjustRightInd w:val="0"/>
        <w:snapToGrid w:val="0"/>
        <w:spacing w:line="360" w:lineRule="auto"/>
        <w:ind w:firstLine="480"/>
        <w:rPr>
          <w:rFonts w:ascii="宋体" w:hAnsi="宋体"/>
          <w:sz w:val="24"/>
        </w:rPr>
      </w:pPr>
      <w:r>
        <w:rPr>
          <w:rFonts w:hint="eastAsia" w:ascii="宋体" w:hAnsi="宋体"/>
          <w:sz w:val="24"/>
        </w:rPr>
        <w:t>4、</w:t>
      </w:r>
      <w:r>
        <w:rPr>
          <w:rFonts w:hint="eastAsia" w:ascii="宋体" w:hAnsi="宋体"/>
          <w:sz w:val="24"/>
          <w:lang w:val="en-US" w:eastAsia="zh-CN"/>
        </w:rPr>
        <w:t>乙</w:t>
      </w:r>
      <w:r>
        <w:rPr>
          <w:rFonts w:hint="eastAsia" w:ascii="宋体" w:hAnsi="宋体"/>
          <w:sz w:val="24"/>
        </w:rPr>
        <w:t>方供应到厂的飞灰稳定化处理药剂必须包装良好、标识清晰，并提供出厂合格证和出厂质量验收报告以及药剂主要成分、固液比，严禁螯合剂纯药剂作假，招标方不定期对药剂进行抽检，一经发现纯药剂浓度作假，</w:t>
      </w:r>
      <w:r>
        <w:rPr>
          <w:rFonts w:hint="eastAsia" w:ascii="宋体" w:hAnsi="宋体"/>
          <w:sz w:val="24"/>
          <w:lang w:val="en-US" w:eastAsia="zh-CN"/>
        </w:rPr>
        <w:t>甲</w:t>
      </w:r>
      <w:r>
        <w:rPr>
          <w:rFonts w:hint="eastAsia" w:ascii="宋体" w:hAnsi="宋体"/>
          <w:sz w:val="24"/>
        </w:rPr>
        <w:t>方将扣除全部监管资金，并立即终止合同，</w:t>
      </w:r>
      <w:r>
        <w:rPr>
          <w:rFonts w:hint="eastAsia" w:ascii="宋体" w:hAnsi="宋体"/>
          <w:sz w:val="24"/>
          <w:lang w:val="en-US" w:eastAsia="zh-CN"/>
        </w:rPr>
        <w:t>并把乙方</w:t>
      </w:r>
      <w:r>
        <w:rPr>
          <w:rFonts w:hint="eastAsia" w:ascii="宋体" w:hAnsi="宋体"/>
          <w:sz w:val="24"/>
        </w:rPr>
        <w:t>拉入黑名单。</w:t>
      </w:r>
    </w:p>
    <w:p>
      <w:pPr>
        <w:adjustRightInd w:val="0"/>
        <w:snapToGrid w:val="0"/>
        <w:spacing w:line="360" w:lineRule="auto"/>
        <w:ind w:firstLine="480"/>
        <w:rPr>
          <w:rFonts w:ascii="宋体" w:hAnsi="宋体"/>
          <w:sz w:val="24"/>
        </w:rPr>
      </w:pPr>
      <w:r>
        <w:rPr>
          <w:rFonts w:hint="eastAsia" w:ascii="宋体" w:hAnsi="宋体"/>
          <w:sz w:val="24"/>
        </w:rPr>
        <w:t>5、乙方</w:t>
      </w:r>
      <w:r>
        <w:rPr>
          <w:rFonts w:ascii="宋体" w:hAnsi="宋体"/>
          <w:sz w:val="24"/>
        </w:rPr>
        <w:t>送货到现场时，必须经过电厂相关部门</w:t>
      </w:r>
      <w:r>
        <w:rPr>
          <w:rFonts w:hint="eastAsia" w:ascii="宋体" w:hAnsi="宋体"/>
          <w:sz w:val="24"/>
        </w:rPr>
        <w:t>的</w:t>
      </w:r>
      <w:r>
        <w:rPr>
          <w:rFonts w:ascii="宋体" w:hAnsi="宋体"/>
          <w:sz w:val="24"/>
        </w:rPr>
        <w:t>质量验收，验收合格后才能</w:t>
      </w:r>
      <w:r>
        <w:rPr>
          <w:rFonts w:hint="eastAsia" w:ascii="宋体" w:hAnsi="宋体"/>
          <w:sz w:val="24"/>
        </w:rPr>
        <w:t>过磅接收。到厂的药剂如出现包装损坏、药剂泄漏等可能影响药剂质量、安全的情况下甲方将禁止过磅、接收。</w:t>
      </w:r>
    </w:p>
    <w:p>
      <w:pPr>
        <w:adjustRightInd w:val="0"/>
        <w:snapToGrid w:val="0"/>
        <w:spacing w:line="360" w:lineRule="auto"/>
        <w:ind w:firstLine="480"/>
        <w:rPr>
          <w:rFonts w:ascii="宋体" w:hAnsi="宋体"/>
          <w:sz w:val="24"/>
        </w:rPr>
      </w:pPr>
      <w:r>
        <w:rPr>
          <w:rFonts w:hint="eastAsia" w:ascii="宋体" w:hAnsi="宋体"/>
          <w:sz w:val="24"/>
        </w:rPr>
        <w:t>6、乙方负责将每批次螯合药剂运抵甲方电厂内过磅，并提供该批次产品的出厂化验报告，过磅后到甲方指定地点在双方见证下卸货。卸货后乙方须再次到甲方地磅过空磅，双方签字确认并拿取过磅单后方可离厂。乙方应保留完好过磅单原件，过磅单复印件交至甲方保存。</w:t>
      </w:r>
    </w:p>
    <w:p>
      <w:pPr>
        <w:adjustRightInd w:val="0"/>
        <w:snapToGrid w:val="0"/>
        <w:spacing w:line="360" w:lineRule="auto"/>
        <w:ind w:firstLine="480"/>
        <w:rPr>
          <w:rFonts w:ascii="宋体" w:hAnsi="宋体"/>
          <w:sz w:val="24"/>
        </w:rPr>
      </w:pPr>
      <w:r>
        <w:rPr>
          <w:rFonts w:hint="eastAsia" w:ascii="宋体" w:hAnsi="宋体"/>
          <w:sz w:val="24"/>
        </w:rPr>
        <w:t>7、</w:t>
      </w:r>
      <w:r>
        <w:rPr>
          <w:rFonts w:ascii="宋体" w:hAnsi="宋体"/>
          <w:sz w:val="24"/>
        </w:rPr>
        <w:t>在使用贮存的化学药品过程中，</w:t>
      </w:r>
      <w:r>
        <w:rPr>
          <w:rFonts w:hint="eastAsia" w:ascii="宋体" w:hAnsi="宋体"/>
          <w:sz w:val="24"/>
        </w:rPr>
        <w:t>如出现</w:t>
      </w:r>
      <w:r>
        <w:rPr>
          <w:rFonts w:ascii="宋体" w:hAnsi="宋体"/>
          <w:sz w:val="24"/>
        </w:rPr>
        <w:t>质量问题或化学成分变化等问题，由此产生的所有责任</w:t>
      </w:r>
      <w:r>
        <w:rPr>
          <w:rFonts w:hint="eastAsia" w:ascii="宋体" w:hAnsi="宋体"/>
          <w:sz w:val="24"/>
        </w:rPr>
        <w:t>及</w:t>
      </w:r>
      <w:r>
        <w:rPr>
          <w:rFonts w:ascii="宋体" w:hAnsi="宋体"/>
          <w:sz w:val="24"/>
        </w:rPr>
        <w:t>费用均由</w:t>
      </w:r>
      <w:r>
        <w:rPr>
          <w:rFonts w:hint="eastAsia" w:ascii="宋体" w:hAnsi="宋体"/>
          <w:sz w:val="24"/>
        </w:rPr>
        <w:t>乙方</w:t>
      </w:r>
      <w:r>
        <w:rPr>
          <w:rFonts w:ascii="宋体" w:hAnsi="宋体"/>
          <w:sz w:val="24"/>
        </w:rPr>
        <w:t>承担。</w:t>
      </w:r>
    </w:p>
    <w:p>
      <w:pPr>
        <w:adjustRightInd w:val="0"/>
        <w:snapToGrid w:val="0"/>
        <w:spacing w:line="360" w:lineRule="auto"/>
        <w:ind w:firstLine="480"/>
        <w:rPr>
          <w:rFonts w:ascii="宋体" w:hAnsi="宋体"/>
          <w:sz w:val="24"/>
        </w:rPr>
      </w:pPr>
      <w:r>
        <w:rPr>
          <w:rFonts w:hint="eastAsia" w:ascii="宋体" w:hAnsi="宋体"/>
          <w:sz w:val="24"/>
        </w:rPr>
        <w:t>8、乙方</w:t>
      </w:r>
      <w:r>
        <w:rPr>
          <w:rFonts w:ascii="宋体" w:hAnsi="宋体"/>
          <w:sz w:val="24"/>
        </w:rPr>
        <w:t>送货到</w:t>
      </w:r>
      <w:r>
        <w:rPr>
          <w:rFonts w:hint="eastAsia" w:ascii="宋体" w:hAnsi="宋体"/>
          <w:sz w:val="24"/>
        </w:rPr>
        <w:t>甲方</w:t>
      </w:r>
      <w:r>
        <w:rPr>
          <w:rFonts w:ascii="宋体" w:hAnsi="宋体"/>
          <w:sz w:val="24"/>
        </w:rPr>
        <w:t>指定</w:t>
      </w:r>
      <w:r>
        <w:rPr>
          <w:rFonts w:hint="eastAsia" w:ascii="宋体" w:hAnsi="宋体"/>
          <w:sz w:val="24"/>
        </w:rPr>
        <w:t>卸货</w:t>
      </w:r>
      <w:r>
        <w:rPr>
          <w:rFonts w:ascii="宋体" w:hAnsi="宋体"/>
          <w:sz w:val="24"/>
        </w:rPr>
        <w:t>现场，须按照厂区内规定</w:t>
      </w:r>
      <w:r>
        <w:rPr>
          <w:rFonts w:hint="eastAsia" w:ascii="宋体" w:hAnsi="宋体"/>
          <w:sz w:val="24"/>
        </w:rPr>
        <w:t>的</w:t>
      </w:r>
      <w:r>
        <w:rPr>
          <w:rFonts w:ascii="宋体" w:hAnsi="宋体"/>
          <w:sz w:val="24"/>
        </w:rPr>
        <w:t>路线送货，</w:t>
      </w:r>
      <w:r>
        <w:rPr>
          <w:rFonts w:hint="eastAsia" w:ascii="宋体" w:hAnsi="宋体"/>
          <w:sz w:val="24"/>
        </w:rPr>
        <w:t>并</w:t>
      </w:r>
      <w:r>
        <w:rPr>
          <w:rFonts w:ascii="宋体" w:hAnsi="宋体"/>
          <w:sz w:val="24"/>
        </w:rPr>
        <w:t>遵守</w:t>
      </w:r>
      <w:r>
        <w:rPr>
          <w:rFonts w:hint="eastAsia" w:ascii="宋体" w:hAnsi="宋体"/>
          <w:sz w:val="24"/>
        </w:rPr>
        <w:t>甲方电</w:t>
      </w:r>
      <w:r>
        <w:rPr>
          <w:rFonts w:ascii="宋体" w:hAnsi="宋体"/>
          <w:sz w:val="24"/>
        </w:rPr>
        <w:t>厂现场管理</w:t>
      </w:r>
      <w:r>
        <w:rPr>
          <w:rFonts w:hint="eastAsia" w:ascii="宋体" w:hAnsi="宋体"/>
          <w:sz w:val="24"/>
        </w:rPr>
        <w:t>的</w:t>
      </w:r>
      <w:r>
        <w:rPr>
          <w:rFonts w:ascii="宋体" w:hAnsi="宋体"/>
          <w:sz w:val="24"/>
        </w:rPr>
        <w:t>有关制度</w:t>
      </w:r>
      <w:r>
        <w:rPr>
          <w:rFonts w:hint="eastAsia" w:ascii="宋体" w:hAnsi="宋体"/>
          <w:sz w:val="24"/>
        </w:rPr>
        <w:t>和本合同附件《</w:t>
      </w:r>
      <w:r>
        <w:rPr>
          <w:rFonts w:ascii="宋体" w:hAnsi="宋体"/>
          <w:sz w:val="24"/>
        </w:rPr>
        <w:t>安健环协议</w:t>
      </w:r>
      <w:r>
        <w:rPr>
          <w:rFonts w:hint="eastAsia" w:ascii="宋体" w:hAnsi="宋体"/>
          <w:sz w:val="24"/>
        </w:rPr>
        <w:t>》中的相关</w:t>
      </w:r>
      <w:r>
        <w:rPr>
          <w:rFonts w:ascii="宋体" w:hAnsi="宋体"/>
          <w:sz w:val="24"/>
        </w:rPr>
        <w:t>规定。</w:t>
      </w:r>
    </w:p>
    <w:p>
      <w:pPr>
        <w:adjustRightInd w:val="0"/>
        <w:snapToGrid w:val="0"/>
        <w:spacing w:line="360" w:lineRule="auto"/>
        <w:ind w:firstLine="480"/>
        <w:rPr>
          <w:rFonts w:ascii="宋体" w:hAnsi="宋体"/>
          <w:sz w:val="24"/>
        </w:rPr>
      </w:pPr>
      <w:r>
        <w:rPr>
          <w:rFonts w:hint="eastAsia" w:ascii="宋体" w:hAnsi="宋体"/>
          <w:sz w:val="24"/>
        </w:rPr>
        <w:t>9、螯合后飞灰采样过程由甲乙双方共同见证，甲方负责采样，乙方协助。</w:t>
      </w:r>
      <w:r>
        <w:rPr>
          <w:rFonts w:ascii="宋体" w:hAnsi="宋体"/>
          <w:sz w:val="24"/>
        </w:rPr>
        <w:t>具体</w:t>
      </w:r>
      <w:r>
        <w:rPr>
          <w:rFonts w:hint="eastAsia" w:ascii="宋体" w:hAnsi="宋体"/>
          <w:sz w:val="24"/>
        </w:rPr>
        <w:t>内容和</w:t>
      </w:r>
      <w:r>
        <w:rPr>
          <w:rFonts w:ascii="宋体" w:hAnsi="宋体"/>
          <w:sz w:val="24"/>
        </w:rPr>
        <w:t>要求</w:t>
      </w:r>
      <w:r>
        <w:rPr>
          <w:rFonts w:hint="eastAsia" w:ascii="宋体" w:hAnsi="宋体"/>
          <w:sz w:val="24"/>
        </w:rPr>
        <w:t>详见技术协议书7.2.3条</w:t>
      </w:r>
      <w:r>
        <w:rPr>
          <w:rFonts w:ascii="宋体" w:hAnsi="宋体"/>
          <w:sz w:val="24"/>
        </w:rPr>
        <w:t>约定。</w:t>
      </w:r>
    </w:p>
    <w:p>
      <w:pPr>
        <w:adjustRightInd w:val="0"/>
        <w:snapToGrid w:val="0"/>
        <w:spacing w:line="360" w:lineRule="auto"/>
        <w:ind w:firstLine="480"/>
        <w:rPr>
          <w:rFonts w:ascii="宋体" w:hAnsi="宋体"/>
          <w:sz w:val="24"/>
        </w:rPr>
      </w:pPr>
      <w:r>
        <w:rPr>
          <w:rFonts w:hint="eastAsia" w:ascii="宋体" w:hAnsi="宋体"/>
          <w:sz w:val="24"/>
        </w:rPr>
        <w:t>10、乙方须</w:t>
      </w:r>
      <w:r>
        <w:rPr>
          <w:rFonts w:ascii="宋体" w:hAnsi="宋体"/>
          <w:sz w:val="24"/>
        </w:rPr>
        <w:t>认同</w:t>
      </w:r>
      <w:r>
        <w:rPr>
          <w:rFonts w:hint="eastAsia" w:ascii="宋体" w:hAnsi="宋体"/>
          <w:sz w:val="24"/>
        </w:rPr>
        <w:t>甲方电厂、各级监管部门（国家、省、市、区等环保、环卫、监测主管部门）、生活垃圾填埋场、合法的个体、团体或任何其他民间群体，对甲方厂内和生活垃圾填埋场飞灰螯合物专区的飞灰螯合物取样监测或委托具备资质的第三方检测单位检测的飞灰螯合物样品含水率、12项重金属、二噁英的检测结果。如乙方对甲方委托第三方进行的飞灰螯合物浸出液样品的检测结果有异议，乙方可以以甲方名义使用同批次的平行样委托有资质第三方进行检测，最终评判飞灰螯合效果以该份报告为准，每个取样批次仅允许重新检测一次，由此发生的检测费用由乙方承担。</w:t>
      </w:r>
    </w:p>
    <w:p>
      <w:pPr>
        <w:adjustRightInd w:val="0"/>
        <w:snapToGrid w:val="0"/>
        <w:spacing w:line="360" w:lineRule="auto"/>
        <w:ind w:firstLine="480"/>
        <w:rPr>
          <w:rFonts w:ascii="宋体" w:hAnsi="宋体"/>
          <w:sz w:val="24"/>
        </w:rPr>
      </w:pPr>
      <w:r>
        <w:rPr>
          <w:rFonts w:hint="eastAsia" w:ascii="宋体" w:hAnsi="宋体"/>
          <w:sz w:val="24"/>
        </w:rPr>
        <w:t>11、乙方须针对性的检测原灰中的有关项目，并以此调整螯合方案，确保螯合飞灰处理达标，甲乙双方检测情况及频次应满足技术协议书7.2.10条要求。经处理后的飞灰螯合物合格标准</w:t>
      </w:r>
      <w:r>
        <w:rPr>
          <w:rFonts w:ascii="宋体" w:hAnsi="宋体"/>
          <w:sz w:val="24"/>
        </w:rPr>
        <w:t>详见</w:t>
      </w:r>
      <w:r>
        <w:rPr>
          <w:rFonts w:hint="eastAsia" w:ascii="宋体" w:hAnsi="宋体"/>
          <w:sz w:val="24"/>
        </w:rPr>
        <w:t>技术协议书7.2.8条及7.2.9条</w:t>
      </w:r>
      <w:r>
        <w:rPr>
          <w:rFonts w:ascii="宋体" w:hAnsi="宋体"/>
          <w:sz w:val="24"/>
        </w:rPr>
        <w:t>。</w:t>
      </w:r>
    </w:p>
    <w:p>
      <w:pPr>
        <w:adjustRightInd w:val="0"/>
        <w:snapToGrid w:val="0"/>
        <w:spacing w:line="360" w:lineRule="auto"/>
        <w:ind w:firstLine="480"/>
        <w:rPr>
          <w:rFonts w:ascii="宋体" w:hAnsi="宋体"/>
          <w:sz w:val="24"/>
        </w:rPr>
      </w:pPr>
      <w:r>
        <w:rPr>
          <w:rFonts w:hint="eastAsia" w:ascii="宋体" w:hAnsi="宋体"/>
          <w:sz w:val="24"/>
        </w:rPr>
        <w:t>12、合同执行期间，对于螯合处理不达标的飞灰，甲方将</w:t>
      </w:r>
      <w:r>
        <w:rPr>
          <w:rFonts w:ascii="宋体" w:hAnsi="宋体"/>
          <w:sz w:val="24"/>
        </w:rPr>
        <w:t>按照相关标准、法规</w:t>
      </w:r>
      <w:r>
        <w:rPr>
          <w:rFonts w:hint="eastAsia" w:ascii="宋体" w:hAnsi="宋体"/>
          <w:sz w:val="24"/>
        </w:rPr>
        <w:t>的</w:t>
      </w:r>
      <w:r>
        <w:rPr>
          <w:rFonts w:ascii="宋体" w:hAnsi="宋体"/>
          <w:sz w:val="24"/>
        </w:rPr>
        <w:t>要求</w:t>
      </w:r>
      <w:r>
        <w:rPr>
          <w:rFonts w:hint="eastAsia" w:ascii="宋体" w:hAnsi="宋体"/>
          <w:sz w:val="24"/>
        </w:rPr>
        <w:t>委托有资质的第三方单位进行</w:t>
      </w:r>
      <w:r>
        <w:rPr>
          <w:rFonts w:ascii="宋体" w:hAnsi="宋体"/>
          <w:sz w:val="24"/>
        </w:rPr>
        <w:t>合法处置，</w:t>
      </w:r>
      <w:r>
        <w:rPr>
          <w:rFonts w:hint="eastAsia" w:ascii="宋体" w:hAnsi="宋体"/>
          <w:sz w:val="24"/>
        </w:rPr>
        <w:t>并由乙方</w:t>
      </w:r>
      <w:r>
        <w:rPr>
          <w:rFonts w:ascii="宋体" w:hAnsi="宋体"/>
          <w:sz w:val="24"/>
        </w:rPr>
        <w:t>承担</w:t>
      </w:r>
      <w:r>
        <w:rPr>
          <w:rFonts w:hint="eastAsia" w:ascii="宋体" w:hAnsi="宋体"/>
          <w:sz w:val="24"/>
        </w:rPr>
        <w:t>相应处置的</w:t>
      </w:r>
      <w:r>
        <w:rPr>
          <w:rFonts w:ascii="宋体" w:hAnsi="宋体"/>
          <w:sz w:val="24"/>
        </w:rPr>
        <w:t>一切费用（含处置费</w:t>
      </w:r>
      <w:r>
        <w:rPr>
          <w:rFonts w:hint="eastAsia" w:ascii="宋体" w:hAnsi="宋体"/>
          <w:sz w:val="24"/>
        </w:rPr>
        <w:t>、</w:t>
      </w:r>
      <w:r>
        <w:rPr>
          <w:rFonts w:ascii="宋体" w:hAnsi="宋体"/>
          <w:sz w:val="24"/>
        </w:rPr>
        <w:t>运输费</w:t>
      </w:r>
      <w:r>
        <w:rPr>
          <w:rFonts w:hint="eastAsia" w:ascii="宋体" w:hAnsi="宋体"/>
          <w:sz w:val="24"/>
        </w:rPr>
        <w:t>、</w:t>
      </w:r>
      <w:r>
        <w:rPr>
          <w:rFonts w:ascii="宋体" w:hAnsi="宋体"/>
          <w:sz w:val="24"/>
        </w:rPr>
        <w:t>人工费</w:t>
      </w:r>
      <w:r>
        <w:rPr>
          <w:rFonts w:hint="eastAsia" w:ascii="宋体" w:hAnsi="宋体"/>
          <w:sz w:val="24"/>
        </w:rPr>
        <w:t>以及</w:t>
      </w:r>
      <w:r>
        <w:rPr>
          <w:rFonts w:ascii="宋体" w:hAnsi="宋体"/>
          <w:sz w:val="24"/>
        </w:rPr>
        <w:t>已填埋至填埋场飞灰的挖掘费用等）。</w:t>
      </w:r>
    </w:p>
    <w:p>
      <w:pPr>
        <w:adjustRightInd w:val="0"/>
        <w:snapToGrid w:val="0"/>
        <w:spacing w:line="360" w:lineRule="auto"/>
        <w:ind w:firstLine="480"/>
        <w:rPr>
          <w:rFonts w:ascii="宋体" w:hAnsi="宋体"/>
          <w:sz w:val="24"/>
        </w:rPr>
      </w:pPr>
      <w:r>
        <w:rPr>
          <w:rFonts w:hint="eastAsia" w:ascii="宋体" w:hAnsi="宋体"/>
          <w:sz w:val="24"/>
        </w:rPr>
        <w:t>不达标飞灰螯合物的定义：甲方、各级监管部门（国家、省、市、区等环保、环卫、监测主管部门）、生活垃圾填埋场、合法的个体、团体或任何其他民间群体，对甲方厂内和生活垃圾填埋场飞灰螯合物专区的飞灰螯合物取样监测或委托有资质的第三方检测单位定期及不定期检测的12项重金属、含水率、二噁英等指标未达到GB16889-2008标准相关要求的自具有法律效力的上次合格检测报告的取样时间至下次合格检测报告的取样时间段内全部飞灰螯合物（含厂内暂存及已填埋到生活垃圾填埋场的飞灰螯合物）。</w:t>
      </w:r>
    </w:p>
    <w:p>
      <w:pPr>
        <w:adjustRightInd w:val="0"/>
        <w:snapToGrid w:val="0"/>
        <w:spacing w:line="360" w:lineRule="auto"/>
        <w:ind w:firstLine="480"/>
        <w:rPr>
          <w:rFonts w:ascii="宋体" w:hAnsi="宋体"/>
          <w:sz w:val="24"/>
        </w:rPr>
      </w:pPr>
      <w:r>
        <w:rPr>
          <w:rFonts w:hint="eastAsia" w:ascii="宋体" w:hAnsi="宋体"/>
          <w:sz w:val="24"/>
        </w:rPr>
        <w:t>监督性监测定义：各级监管部门（国家、省、市、区等环保、环卫、监测主管部门）、生活垃圾填埋场、合法的个体、团体或任何其他民间群体，定期或不定期对甲方厂内和生活垃圾填埋场飞灰螯合物专区的飞灰螯合物进行取样监测或委托有资质的第三方检测单位检测12项重金属、含水率、二噁英等。</w:t>
      </w:r>
    </w:p>
    <w:p>
      <w:pPr>
        <w:adjustRightInd w:val="0"/>
        <w:snapToGrid w:val="0"/>
        <w:spacing w:line="360" w:lineRule="auto"/>
        <w:ind w:firstLine="480"/>
        <w:rPr>
          <w:rFonts w:ascii="宋体" w:hAnsi="宋体"/>
          <w:sz w:val="24"/>
        </w:rPr>
      </w:pPr>
      <w:r>
        <w:rPr>
          <w:rFonts w:hint="eastAsia" w:ascii="宋体" w:hAnsi="宋体"/>
          <w:sz w:val="24"/>
        </w:rPr>
        <w:t>13、甲方厂内安排专人监督飞灰螯合运营、加螯合药剂比例、飞灰螯合效果、样品取样、转运及填埋全过程，乙方需积极配合相关工作，不得在正常飞灰螯合稳定化过程中不通过螯合稳定工艺私自放原灰至吨袋中，不得故意隐瞒生产及加螯合药剂台账，不得遮掩或私自不合规处理螯合成效差的飞灰螯合物等。</w:t>
      </w:r>
    </w:p>
    <w:p>
      <w:pPr>
        <w:pStyle w:val="101"/>
        <w:spacing w:line="360" w:lineRule="auto"/>
        <w:ind w:left="420" w:firstLine="0" w:firstLineChars="0"/>
        <w:rPr>
          <w:rFonts w:ascii="宋体" w:hAnsi="宋体"/>
          <w:sz w:val="24"/>
        </w:rPr>
      </w:pPr>
    </w:p>
    <w:p>
      <w:pPr>
        <w:pStyle w:val="101"/>
        <w:numPr>
          <w:ilvl w:val="0"/>
          <w:numId w:val="8"/>
        </w:numPr>
        <w:snapToGrid w:val="0"/>
        <w:spacing w:line="360" w:lineRule="auto"/>
        <w:ind w:left="600" w:hanging="600" w:hangingChars="200"/>
        <w:outlineLvl w:val="1"/>
        <w:rPr>
          <w:rFonts w:ascii="黑体" w:hAnsi="宋体" w:eastAsia="黑体"/>
          <w:sz w:val="30"/>
          <w:szCs w:val="30"/>
        </w:rPr>
      </w:pPr>
      <w:bookmarkStart w:id="13" w:name="_Toc94196205"/>
      <w:r>
        <w:rPr>
          <w:rFonts w:hint="eastAsia" w:ascii="黑体" w:hAnsi="宋体" w:eastAsia="黑体"/>
          <w:sz w:val="30"/>
          <w:szCs w:val="30"/>
        </w:rPr>
        <w:t>不可抗力</w:t>
      </w:r>
      <w:bookmarkEnd w:id="13"/>
    </w:p>
    <w:p>
      <w:pPr>
        <w:spacing w:line="360" w:lineRule="auto"/>
        <w:ind w:firstLine="480"/>
        <w:rPr>
          <w:rFonts w:ascii="宋体" w:hAnsi="宋体"/>
          <w:sz w:val="24"/>
        </w:rPr>
      </w:pPr>
      <w:r>
        <w:rPr>
          <w:rFonts w:hint="eastAsia" w:ascii="宋体" w:hAnsi="宋体"/>
          <w:sz w:val="24"/>
        </w:rPr>
        <w:t>甲、乙双方的任何一方由于不可抗力的原因不能履行合同时，应及时向对方通报不能履行或不能完全履行合同的理由，在取得主管部门的证明后，允许延期履行、部分履行或者不履行合同，并根据情况可部分或全部免予违约责任，但乙方未履行部分的合同款额甲方不予支付。</w:t>
      </w:r>
    </w:p>
    <w:p>
      <w:pPr>
        <w:pStyle w:val="101"/>
        <w:numPr>
          <w:ilvl w:val="0"/>
          <w:numId w:val="8"/>
        </w:numPr>
        <w:snapToGrid w:val="0"/>
        <w:spacing w:line="360" w:lineRule="auto"/>
        <w:ind w:left="600" w:hanging="600" w:hangingChars="200"/>
        <w:outlineLvl w:val="1"/>
        <w:rPr>
          <w:rFonts w:ascii="黑体" w:hAnsi="宋体" w:eastAsia="黑体"/>
          <w:sz w:val="30"/>
          <w:szCs w:val="30"/>
        </w:rPr>
      </w:pPr>
      <w:bookmarkStart w:id="14" w:name="_Toc94196206"/>
      <w:bookmarkStart w:id="15" w:name="_Toc11847879"/>
      <w:bookmarkStart w:id="16" w:name="_Toc11813316"/>
      <w:r>
        <w:rPr>
          <w:rFonts w:hint="eastAsia" w:ascii="黑体" w:hAnsi="宋体" w:eastAsia="黑体"/>
          <w:sz w:val="30"/>
          <w:szCs w:val="30"/>
        </w:rPr>
        <w:t>组成合同的文件及解释顺序</w:t>
      </w:r>
      <w:bookmarkEnd w:id="14"/>
      <w:bookmarkEnd w:id="15"/>
      <w:bookmarkEnd w:id="16"/>
    </w:p>
    <w:p>
      <w:pPr>
        <w:spacing w:line="360" w:lineRule="auto"/>
        <w:ind w:firstLine="600" w:firstLineChars="200"/>
        <w:rPr>
          <w:rFonts w:ascii="宋体" w:hAnsi="宋体"/>
          <w:sz w:val="24"/>
        </w:rPr>
      </w:pPr>
      <w:r>
        <w:rPr>
          <w:rFonts w:ascii="黑体" w:hAnsi="宋体" w:eastAsia="黑体"/>
          <w:sz w:val="30"/>
          <w:szCs w:val="30"/>
        </w:rPr>
        <w:t>1</w:t>
      </w:r>
      <w:r>
        <w:rPr>
          <w:rFonts w:hint="eastAsia" w:ascii="黑体" w:hAnsi="宋体" w:eastAsia="黑体"/>
          <w:sz w:val="30"/>
          <w:szCs w:val="30"/>
        </w:rPr>
        <w:t>、</w:t>
      </w:r>
      <w:r>
        <w:rPr>
          <w:rFonts w:ascii="宋体" w:hAnsi="宋体"/>
          <w:sz w:val="24"/>
        </w:rPr>
        <w:t xml:space="preserve"> 双方对有关维护服务事项的洽商、变更等书面协议或文件。</w:t>
      </w:r>
    </w:p>
    <w:p>
      <w:pPr>
        <w:pStyle w:val="101"/>
        <w:numPr>
          <w:ilvl w:val="0"/>
          <w:numId w:val="0"/>
        </w:numPr>
        <w:snapToGrid w:val="0"/>
        <w:spacing w:line="360" w:lineRule="auto"/>
        <w:ind w:left="600" w:firstLine="0" w:firstLineChars="0"/>
        <w:outlineLvl w:val="1"/>
        <w:rPr>
          <w:rFonts w:hint="eastAsia" w:ascii="黑体" w:hAnsi="宋体" w:eastAsia="黑体"/>
          <w:sz w:val="30"/>
          <w:szCs w:val="30"/>
        </w:rPr>
      </w:pPr>
    </w:p>
    <w:p>
      <w:pPr>
        <w:spacing w:line="360" w:lineRule="auto"/>
        <w:ind w:firstLine="480" w:firstLineChars="200"/>
        <w:rPr>
          <w:rFonts w:ascii="宋体" w:hAnsi="宋体"/>
          <w:sz w:val="24"/>
        </w:rPr>
      </w:pPr>
      <w:r>
        <w:rPr>
          <w:rFonts w:ascii="宋体" w:hAnsi="宋体"/>
          <w:sz w:val="24"/>
        </w:rPr>
        <w:t>2</w:t>
      </w:r>
      <w:r>
        <w:rPr>
          <w:rFonts w:hint="eastAsia" w:ascii="宋体" w:hAnsi="宋体"/>
          <w:sz w:val="24"/>
        </w:rPr>
        <w:t>、本合同条款及附件；</w:t>
      </w:r>
    </w:p>
    <w:p>
      <w:pPr>
        <w:spacing w:line="360" w:lineRule="auto"/>
        <w:ind w:firstLine="480" w:firstLineChars="200"/>
        <w:rPr>
          <w:rFonts w:ascii="宋体" w:hAnsi="宋体"/>
          <w:sz w:val="24"/>
        </w:rPr>
      </w:pPr>
      <w:r>
        <w:rPr>
          <w:rFonts w:ascii="宋体" w:hAnsi="宋体"/>
          <w:sz w:val="24"/>
        </w:rPr>
        <w:t>3</w:t>
      </w:r>
      <w:r>
        <w:rPr>
          <w:rFonts w:hint="eastAsia" w:ascii="宋体" w:hAnsi="宋体"/>
          <w:sz w:val="24"/>
        </w:rPr>
        <w:t xml:space="preserve">、本项目招标书及澄清文件（如有）； </w:t>
      </w:r>
    </w:p>
    <w:p>
      <w:pPr>
        <w:spacing w:line="360" w:lineRule="auto"/>
        <w:ind w:firstLine="480" w:firstLineChars="200"/>
        <w:rPr>
          <w:rFonts w:ascii="宋体" w:hAnsi="宋体"/>
          <w:sz w:val="24"/>
        </w:rPr>
      </w:pPr>
      <w:r>
        <w:rPr>
          <w:rFonts w:ascii="宋体" w:hAnsi="宋体"/>
          <w:sz w:val="24"/>
        </w:rPr>
        <w:t>4</w:t>
      </w:r>
      <w:r>
        <w:rPr>
          <w:rFonts w:hint="eastAsia" w:ascii="宋体" w:hAnsi="宋体"/>
          <w:sz w:val="24"/>
        </w:rPr>
        <w:t>、本项目投标书及其附件（如有）；</w:t>
      </w:r>
    </w:p>
    <w:p>
      <w:pPr>
        <w:pStyle w:val="101"/>
        <w:numPr>
          <w:ilvl w:val="0"/>
          <w:numId w:val="8"/>
        </w:numPr>
        <w:snapToGrid w:val="0"/>
        <w:ind w:left="600" w:hanging="600" w:hangingChars="200"/>
        <w:outlineLvl w:val="1"/>
        <w:rPr>
          <w:rFonts w:ascii="黑体" w:hAnsi="宋体" w:eastAsia="黑体"/>
          <w:sz w:val="30"/>
          <w:szCs w:val="30"/>
        </w:rPr>
      </w:pPr>
      <w:bookmarkStart w:id="17" w:name="_Toc94196207"/>
      <w:r>
        <w:rPr>
          <w:rFonts w:hint="eastAsia" w:ascii="黑体" w:hAnsi="宋体" w:eastAsia="黑体"/>
          <w:sz w:val="30"/>
          <w:szCs w:val="30"/>
        </w:rPr>
        <w:t>违约责任</w:t>
      </w:r>
      <w:bookmarkEnd w:id="17"/>
    </w:p>
    <w:p>
      <w:pPr>
        <w:adjustRightInd w:val="0"/>
        <w:snapToGrid w:val="0"/>
        <w:spacing w:line="360" w:lineRule="auto"/>
        <w:ind w:firstLine="480"/>
        <w:rPr>
          <w:rFonts w:ascii="宋体" w:hAnsi="宋体"/>
          <w:sz w:val="24"/>
        </w:rPr>
      </w:pPr>
      <w:r>
        <w:rPr>
          <w:rFonts w:hint="eastAsia" w:ascii="宋体" w:hAnsi="宋体"/>
          <w:sz w:val="24"/>
        </w:rPr>
        <w:t>1、乙方向</w:t>
      </w:r>
      <w:r>
        <w:rPr>
          <w:rFonts w:ascii="宋体" w:hAnsi="宋体"/>
          <w:sz w:val="24"/>
        </w:rPr>
        <w:t>甲方提供的产品</w:t>
      </w:r>
      <w:r>
        <w:rPr>
          <w:rFonts w:hint="eastAsia" w:ascii="宋体" w:hAnsi="宋体"/>
          <w:sz w:val="24"/>
        </w:rPr>
        <w:t>必须符合行业或国家相关标准，</w:t>
      </w:r>
      <w:r>
        <w:rPr>
          <w:rFonts w:ascii="宋体" w:hAnsi="宋体"/>
          <w:sz w:val="24"/>
        </w:rPr>
        <w:t>如</w:t>
      </w:r>
      <w:r>
        <w:rPr>
          <w:rFonts w:hint="eastAsia" w:ascii="宋体" w:hAnsi="宋体"/>
          <w:sz w:val="24"/>
        </w:rPr>
        <w:t>因乙方产品质量问题（经国家权威机构鉴定）造成人身伤亡或设备事故由乙方承担全部责任。</w:t>
      </w:r>
    </w:p>
    <w:p>
      <w:pPr>
        <w:adjustRightInd w:val="0"/>
        <w:snapToGrid w:val="0"/>
        <w:spacing w:line="360" w:lineRule="auto"/>
        <w:ind w:firstLine="480"/>
        <w:rPr>
          <w:rFonts w:ascii="宋体" w:hAnsi="宋体"/>
          <w:sz w:val="24"/>
        </w:rPr>
      </w:pPr>
      <w:r>
        <w:rPr>
          <w:rFonts w:hint="eastAsia" w:ascii="宋体" w:hAnsi="宋体"/>
          <w:sz w:val="24"/>
        </w:rPr>
        <w:t>2、在产品使用过程中，因产品质量问题给甲方造成经济损失，经国家法定检验机构对其检验后，确属产品质量问题时，乙方将承担一切经济损失和法律责任，包括但不限于包括为维护权利支付的律师费、担保费、保全费、甲方因此向第三人承担的责任。</w:t>
      </w:r>
    </w:p>
    <w:p>
      <w:pPr>
        <w:snapToGrid w:val="0"/>
        <w:spacing w:line="360" w:lineRule="auto"/>
        <w:ind w:firstLine="480" w:firstLineChars="200"/>
        <w:rPr>
          <w:rFonts w:ascii="宋体" w:hAnsi="宋体"/>
          <w:sz w:val="24"/>
        </w:rPr>
      </w:pPr>
      <w:r>
        <w:rPr>
          <w:rFonts w:hint="eastAsia" w:ascii="宋体" w:hAnsi="宋体"/>
          <w:sz w:val="24"/>
        </w:rPr>
        <w:t>3、乙方不得在未通知甲方的情况下，更换螯合药剂品种和类型，否则甲方有权单方面终止合同并追究乙方的违约责任，由此给甲方造成损失的乙方应承担全部经济损失及法律责任。</w:t>
      </w:r>
    </w:p>
    <w:p>
      <w:pPr>
        <w:snapToGrid w:val="0"/>
        <w:spacing w:line="360" w:lineRule="auto"/>
        <w:ind w:firstLine="480" w:firstLineChars="200"/>
        <w:rPr>
          <w:rFonts w:ascii="宋体" w:hAnsi="宋体"/>
          <w:sz w:val="24"/>
        </w:rPr>
      </w:pPr>
      <w:r>
        <w:rPr>
          <w:rFonts w:hint="eastAsia" w:ascii="宋体" w:hAnsi="宋体"/>
          <w:sz w:val="24"/>
        </w:rPr>
        <w:t>4、如因乙方责任</w:t>
      </w:r>
      <w:r>
        <w:rPr>
          <w:rFonts w:ascii="宋体" w:hAnsi="宋体"/>
          <w:sz w:val="24"/>
        </w:rPr>
        <w:t>飞灰螯合物</w:t>
      </w:r>
      <w:r>
        <w:rPr>
          <w:rFonts w:hint="eastAsia" w:ascii="宋体" w:hAnsi="宋体"/>
          <w:sz w:val="24"/>
        </w:rPr>
        <w:t>检测不达标，乙方在接到甲方通知24小时内必须及时响应，否则甲方有权单方委托第三方对不合格飞灰螯合物进行处置，所发生费用直接从监管资金或当期结算</w:t>
      </w:r>
      <w:r>
        <w:rPr>
          <w:rFonts w:ascii="宋体" w:hAnsi="宋体"/>
          <w:sz w:val="24"/>
        </w:rPr>
        <w:t>款</w:t>
      </w:r>
      <w:r>
        <w:rPr>
          <w:rFonts w:hint="eastAsia" w:ascii="宋体" w:hAnsi="宋体"/>
          <w:sz w:val="24"/>
        </w:rPr>
        <w:t>中扣除。</w:t>
      </w:r>
    </w:p>
    <w:p>
      <w:pPr>
        <w:snapToGrid w:val="0"/>
        <w:spacing w:line="360" w:lineRule="auto"/>
        <w:ind w:firstLine="480" w:firstLineChars="200"/>
        <w:rPr>
          <w:rFonts w:ascii="宋体" w:hAnsi="宋体"/>
          <w:sz w:val="24"/>
        </w:rPr>
      </w:pPr>
      <w:r>
        <w:rPr>
          <w:rFonts w:hint="eastAsia" w:ascii="宋体" w:hAnsi="宋体"/>
          <w:sz w:val="24"/>
        </w:rPr>
        <w:t>5、甲方委托有资质的第三方检测单位进行飞灰螯合物浸出液样品检测</w:t>
      </w:r>
      <w:r>
        <w:rPr>
          <w:b/>
          <w:bCs/>
          <w:color w:val="000000"/>
          <w:sz w:val="24"/>
        </w:rPr>
        <w:t>（Pb、Ni、Cu、Zn、Cd指标）</w:t>
      </w:r>
      <w:r>
        <w:rPr>
          <w:rFonts w:hint="eastAsia" w:ascii="宋体" w:hAnsi="宋体"/>
          <w:sz w:val="24"/>
        </w:rPr>
        <w:t>，第一次不达标扣款20000元，第二次不达标扣款40000元，第三次不达标扣款60000元，累计四次不达标则甲方有权单方面终结合同，同时本期进度款将不予结算；甲方委托有资质的第三方检测单位进行12项重金属和含水率检测，第一次不达标扣款50000元，第二次不达标则甲方有权单方面终止合同，同时本期进度款将不予结算；甲方委托有资质的第三方检测单位进行二噁英检测，一次不达标则甲方有权单方面终止合同，同时本期进度款将不予结算。</w:t>
      </w:r>
    </w:p>
    <w:p>
      <w:pPr>
        <w:snapToGrid w:val="0"/>
        <w:spacing w:line="360" w:lineRule="auto"/>
        <w:ind w:firstLine="480" w:firstLineChars="200"/>
        <w:rPr>
          <w:rFonts w:ascii="宋体" w:hAnsi="宋体"/>
          <w:sz w:val="24"/>
        </w:rPr>
      </w:pPr>
      <w:r>
        <w:rPr>
          <w:rFonts w:hint="eastAsia" w:ascii="宋体" w:hAnsi="宋体"/>
          <w:sz w:val="24"/>
        </w:rPr>
        <w:t>监督性监测若出现 1次不达标事件，甲方有权单方面终止合同，本期进度款将不予结算。另外甲方有权向乙方追溯由于乙方过失造成甲方承担的法律责任、行政处罚、形象受损等一切经济损失。</w:t>
      </w:r>
    </w:p>
    <w:p>
      <w:pPr>
        <w:snapToGrid w:val="0"/>
        <w:spacing w:line="360" w:lineRule="auto"/>
        <w:ind w:firstLine="480" w:firstLineChars="200"/>
        <w:rPr>
          <w:rFonts w:ascii="宋体" w:hAnsi="宋体"/>
          <w:sz w:val="24"/>
        </w:rPr>
      </w:pPr>
      <w:r>
        <w:rPr>
          <w:rFonts w:hint="eastAsia" w:ascii="宋体" w:hAnsi="宋体"/>
          <w:sz w:val="24"/>
        </w:rPr>
        <w:t>6、飞灰螯合服务期合格率及</w:t>
      </w:r>
      <w:r>
        <w:rPr>
          <w:rFonts w:ascii="宋体" w:hAnsi="宋体"/>
          <w:sz w:val="24"/>
        </w:rPr>
        <w:t>罚则</w:t>
      </w:r>
    </w:p>
    <w:p>
      <w:pPr>
        <w:snapToGrid w:val="0"/>
        <w:spacing w:line="360" w:lineRule="auto"/>
        <w:ind w:firstLine="480" w:firstLineChars="200"/>
        <w:rPr>
          <w:rFonts w:ascii="宋体" w:hAnsi="宋体"/>
          <w:sz w:val="24"/>
        </w:rPr>
      </w:pPr>
      <w:r>
        <w:rPr>
          <w:rFonts w:hint="eastAsia" w:ascii="宋体" w:hAnsi="宋体"/>
          <w:sz w:val="24"/>
        </w:rPr>
        <w:t>6.1乙方飞灰螯合服务期合格率小于99%，甲方有权取消乙方下一年度投标资格。合同执行期间，产生的所有螯合不达标的飞灰螯合物，由甲方委托有资质的第三方单位外运处置，所产生的全部费用由乙方承担。如乙方需对不达标飞灰螯合物样品进行复检或者增加抽检，所产生的全部费用均由乙方承担。</w:t>
      </w:r>
    </w:p>
    <w:p>
      <w:pPr>
        <w:snapToGrid w:val="0"/>
        <w:spacing w:line="360" w:lineRule="auto"/>
        <w:ind w:firstLine="480" w:firstLineChars="200"/>
        <w:rPr>
          <w:rFonts w:ascii="宋体" w:hAnsi="宋体"/>
          <w:sz w:val="24"/>
        </w:rPr>
      </w:pPr>
      <w:r>
        <w:rPr>
          <w:rFonts w:hint="eastAsia" w:ascii="宋体" w:hAnsi="宋体"/>
          <w:sz w:val="24"/>
        </w:rPr>
        <w:t>飞灰螯合累计合格率是指从乙方履行合同开始至统计日的时间区间内，螯合稳定化处理达标的飞灰重量占总处理飞灰重量的比例（按照原灰重量计算）。</w:t>
      </w:r>
    </w:p>
    <w:p>
      <w:pPr>
        <w:snapToGrid w:val="0"/>
        <w:spacing w:line="360" w:lineRule="auto"/>
        <w:ind w:firstLine="480" w:firstLineChars="200"/>
        <w:rPr>
          <w:bCs/>
          <w:sz w:val="24"/>
        </w:rPr>
      </w:pPr>
      <w:r>
        <w:rPr>
          <w:rFonts w:hint="eastAsia" w:ascii="宋体" w:hAnsi="宋体"/>
          <w:sz w:val="24"/>
        </w:rPr>
        <w:t>6.2乙方飞灰螯合合同执行期合格率不得低于99%（按照原灰重量计算），且不合格原灰合同执行期总重量不得超过</w:t>
      </w:r>
      <w:r>
        <w:rPr>
          <w:rFonts w:hint="eastAsia"/>
          <w:b/>
          <w:bCs/>
          <w:sz w:val="24"/>
          <w:highlight w:val="yellow"/>
        </w:rPr>
        <w:t xml:space="preserve"> （详见技术规范书）吨</w:t>
      </w:r>
      <w:r>
        <w:rPr>
          <w:rFonts w:hint="eastAsia" w:ascii="宋体" w:hAnsi="宋体"/>
          <w:sz w:val="24"/>
        </w:rPr>
        <w:t>。不满足要求除需承担不达标飞灰螯合物合规处置的全部费用外，乙方还需按照</w:t>
      </w:r>
      <w:r>
        <w:rPr>
          <w:rFonts w:ascii="宋体" w:hAnsi="宋体"/>
          <w:sz w:val="24"/>
        </w:rPr>
        <w:t>以下方式</w:t>
      </w:r>
      <w:r>
        <w:rPr>
          <w:rFonts w:hint="eastAsia" w:ascii="宋体" w:hAnsi="宋体"/>
          <w:sz w:val="24"/>
        </w:rPr>
        <w:t>支付</w:t>
      </w:r>
      <w:r>
        <w:rPr>
          <w:rFonts w:ascii="宋体" w:hAnsi="宋体"/>
          <w:sz w:val="24"/>
        </w:rPr>
        <w:t>违约金</w:t>
      </w:r>
      <w:r>
        <w:rPr>
          <w:rFonts w:hint="eastAsia" w:ascii="宋体" w:hAnsi="宋体"/>
          <w:sz w:val="24"/>
        </w:rPr>
        <w:t>并</w:t>
      </w:r>
      <w:r>
        <w:rPr>
          <w:rFonts w:ascii="宋体" w:hAnsi="宋体"/>
          <w:sz w:val="24"/>
        </w:rPr>
        <w:t>由甲方</w:t>
      </w:r>
      <w:r>
        <w:rPr>
          <w:rFonts w:hint="eastAsia" w:ascii="宋体" w:hAnsi="宋体"/>
          <w:sz w:val="24"/>
        </w:rPr>
        <w:t>从其</w:t>
      </w:r>
      <w:r>
        <w:rPr>
          <w:rFonts w:hint="eastAsia" w:ascii="宋体" w:hAnsi="宋体"/>
          <w:sz w:val="24"/>
          <w:lang w:eastAsia="zh-CN"/>
        </w:rPr>
        <w:t>监管资金</w:t>
      </w:r>
      <w:r>
        <w:rPr>
          <w:rFonts w:hint="eastAsia" w:ascii="宋体" w:hAnsi="宋体"/>
          <w:sz w:val="24"/>
        </w:rPr>
        <w:t>或当期结算款中扣除。</w:t>
      </w:r>
    </w:p>
    <w:tbl>
      <w:tblPr>
        <w:tblStyle w:val="3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2552"/>
        <w:gridCol w:w="3432"/>
        <w:gridCol w:w="20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shd w:val="clear" w:color="auto" w:fill="auto"/>
            <w:vAlign w:val="center"/>
          </w:tcPr>
          <w:p>
            <w:pPr>
              <w:tabs>
                <w:tab w:val="left" w:pos="360"/>
                <w:tab w:val="left" w:pos="540"/>
              </w:tabs>
              <w:spacing w:line="360" w:lineRule="auto"/>
              <w:jc w:val="center"/>
              <w:rPr>
                <w:bCs/>
                <w:sz w:val="24"/>
              </w:rPr>
            </w:pPr>
            <w:r>
              <w:rPr>
                <w:rFonts w:hint="eastAsia"/>
                <w:bCs/>
                <w:sz w:val="24"/>
              </w:rPr>
              <w:t>序号</w:t>
            </w:r>
          </w:p>
        </w:tc>
        <w:tc>
          <w:tcPr>
            <w:tcW w:w="2552" w:type="dxa"/>
            <w:shd w:val="clear" w:color="auto" w:fill="auto"/>
            <w:vAlign w:val="center"/>
          </w:tcPr>
          <w:p>
            <w:pPr>
              <w:tabs>
                <w:tab w:val="left" w:pos="360"/>
                <w:tab w:val="left" w:pos="540"/>
              </w:tabs>
              <w:spacing w:line="360" w:lineRule="auto"/>
              <w:ind w:firstLine="360" w:firstLineChars="150"/>
              <w:jc w:val="center"/>
              <w:rPr>
                <w:bCs/>
                <w:sz w:val="24"/>
              </w:rPr>
            </w:pPr>
            <w:r>
              <w:rPr>
                <w:rFonts w:hint="eastAsia"/>
                <w:bCs/>
                <w:sz w:val="24"/>
              </w:rPr>
              <w:t>合格率P</w:t>
            </w:r>
          </w:p>
        </w:tc>
        <w:tc>
          <w:tcPr>
            <w:tcW w:w="3432" w:type="dxa"/>
            <w:shd w:val="clear" w:color="auto" w:fill="auto"/>
            <w:vAlign w:val="center"/>
          </w:tcPr>
          <w:p>
            <w:pPr>
              <w:tabs>
                <w:tab w:val="left" w:pos="360"/>
                <w:tab w:val="left" w:pos="540"/>
              </w:tabs>
              <w:spacing w:line="360" w:lineRule="auto"/>
              <w:ind w:firstLine="360" w:firstLineChars="150"/>
              <w:jc w:val="center"/>
              <w:rPr>
                <w:bCs/>
                <w:sz w:val="24"/>
              </w:rPr>
            </w:pPr>
            <w:r>
              <w:rPr>
                <w:rFonts w:hint="eastAsia"/>
                <w:bCs/>
                <w:sz w:val="24"/>
              </w:rPr>
              <w:t>不合格飞灰量G（吨）</w:t>
            </w:r>
          </w:p>
        </w:tc>
        <w:tc>
          <w:tcPr>
            <w:tcW w:w="2096" w:type="dxa"/>
            <w:shd w:val="clear" w:color="auto" w:fill="auto"/>
            <w:vAlign w:val="center"/>
          </w:tcPr>
          <w:p>
            <w:pPr>
              <w:tabs>
                <w:tab w:val="left" w:pos="360"/>
                <w:tab w:val="left" w:pos="540"/>
              </w:tabs>
              <w:spacing w:line="360" w:lineRule="auto"/>
              <w:jc w:val="center"/>
              <w:rPr>
                <w:bCs/>
                <w:sz w:val="24"/>
              </w:rPr>
            </w:pPr>
            <w:r>
              <w:rPr>
                <w:rFonts w:hint="eastAsia"/>
                <w:bCs/>
                <w:sz w:val="24"/>
              </w:rPr>
              <w:t>违约金金额（万元）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shd w:val="clear" w:color="auto" w:fill="auto"/>
            <w:vAlign w:val="center"/>
          </w:tcPr>
          <w:p>
            <w:pPr>
              <w:tabs>
                <w:tab w:val="left" w:pos="360"/>
                <w:tab w:val="left" w:pos="540"/>
              </w:tabs>
              <w:spacing w:line="360" w:lineRule="auto"/>
              <w:ind w:firstLine="360" w:firstLineChars="150"/>
              <w:jc w:val="center"/>
              <w:rPr>
                <w:bCs/>
                <w:sz w:val="24"/>
              </w:rPr>
            </w:pPr>
            <w:r>
              <w:rPr>
                <w:rFonts w:hint="eastAsia"/>
                <w:bCs/>
                <w:sz w:val="24"/>
              </w:rPr>
              <w:t>1</w:t>
            </w:r>
          </w:p>
        </w:tc>
        <w:tc>
          <w:tcPr>
            <w:tcW w:w="2552" w:type="dxa"/>
            <w:shd w:val="clear" w:color="auto" w:fill="auto"/>
            <w:vAlign w:val="center"/>
          </w:tcPr>
          <w:p>
            <w:pPr>
              <w:tabs>
                <w:tab w:val="left" w:pos="360"/>
                <w:tab w:val="left" w:pos="540"/>
              </w:tabs>
              <w:spacing w:line="360" w:lineRule="auto"/>
              <w:ind w:firstLine="360" w:firstLineChars="150"/>
              <w:jc w:val="center"/>
              <w:rPr>
                <w:bCs/>
                <w:sz w:val="24"/>
              </w:rPr>
            </w:pPr>
            <w:r>
              <w:rPr>
                <w:rFonts w:hint="eastAsia"/>
                <w:bCs/>
                <w:sz w:val="24"/>
              </w:rPr>
              <w:t>P≥99%</w:t>
            </w:r>
          </w:p>
        </w:tc>
        <w:tc>
          <w:tcPr>
            <w:tcW w:w="3432" w:type="dxa"/>
            <w:shd w:val="clear" w:color="auto" w:fill="auto"/>
            <w:vAlign w:val="center"/>
          </w:tcPr>
          <w:p>
            <w:pPr>
              <w:tabs>
                <w:tab w:val="left" w:pos="360"/>
                <w:tab w:val="left" w:pos="540"/>
              </w:tabs>
              <w:spacing w:line="360" w:lineRule="auto"/>
              <w:jc w:val="center"/>
              <w:rPr>
                <w:bCs/>
                <w:sz w:val="24"/>
                <w:highlight w:val="yellow"/>
              </w:rPr>
            </w:pPr>
            <w:r>
              <w:rPr>
                <w:szCs w:val="21"/>
                <w:highlight w:val="yellow"/>
              </w:rPr>
              <w:t>G≤</w:t>
            </w:r>
            <w:r>
              <w:rPr>
                <w:rFonts w:hint="eastAsia"/>
                <w:b/>
                <w:bCs/>
                <w:sz w:val="24"/>
                <w:highlight w:val="yellow"/>
              </w:rPr>
              <w:t>（详见技术规范书）</w:t>
            </w:r>
            <w:r>
              <w:rPr>
                <w:rFonts w:hint="eastAsia"/>
                <w:szCs w:val="21"/>
                <w:highlight w:val="yellow"/>
              </w:rPr>
              <w:t xml:space="preserve"> </w:t>
            </w:r>
            <w:r>
              <w:rPr>
                <w:szCs w:val="21"/>
                <w:highlight w:val="yellow"/>
              </w:rPr>
              <w:t>吨</w:t>
            </w:r>
          </w:p>
        </w:tc>
        <w:tc>
          <w:tcPr>
            <w:tcW w:w="2096" w:type="dxa"/>
            <w:shd w:val="clear" w:color="auto" w:fill="auto"/>
            <w:vAlign w:val="center"/>
          </w:tcPr>
          <w:p>
            <w:pPr>
              <w:tabs>
                <w:tab w:val="left" w:pos="360"/>
                <w:tab w:val="left" w:pos="540"/>
              </w:tabs>
              <w:spacing w:line="360" w:lineRule="auto"/>
              <w:jc w:val="center"/>
              <w:rPr>
                <w:bCs/>
                <w:sz w:val="24"/>
              </w:rPr>
            </w:pPr>
            <w:r>
              <w:rPr>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shd w:val="clear" w:color="auto" w:fill="auto"/>
            <w:vAlign w:val="center"/>
          </w:tcPr>
          <w:p>
            <w:pPr>
              <w:tabs>
                <w:tab w:val="left" w:pos="360"/>
                <w:tab w:val="left" w:pos="540"/>
              </w:tabs>
              <w:spacing w:line="360" w:lineRule="auto"/>
              <w:ind w:firstLine="360" w:firstLineChars="150"/>
              <w:jc w:val="center"/>
              <w:rPr>
                <w:bCs/>
                <w:sz w:val="24"/>
              </w:rPr>
            </w:pPr>
            <w:r>
              <w:rPr>
                <w:rFonts w:hint="eastAsia"/>
                <w:bCs/>
                <w:sz w:val="24"/>
              </w:rPr>
              <w:t>2</w:t>
            </w:r>
          </w:p>
        </w:tc>
        <w:tc>
          <w:tcPr>
            <w:tcW w:w="2552" w:type="dxa"/>
            <w:shd w:val="clear" w:color="auto" w:fill="auto"/>
            <w:vAlign w:val="center"/>
          </w:tcPr>
          <w:p>
            <w:pPr>
              <w:tabs>
                <w:tab w:val="left" w:pos="360"/>
                <w:tab w:val="left" w:pos="540"/>
              </w:tabs>
              <w:spacing w:line="360" w:lineRule="auto"/>
              <w:ind w:firstLine="360" w:firstLineChars="150"/>
              <w:jc w:val="center"/>
              <w:rPr>
                <w:bCs/>
                <w:sz w:val="24"/>
              </w:rPr>
            </w:pPr>
            <w:r>
              <w:rPr>
                <w:rFonts w:hint="eastAsia"/>
                <w:bCs/>
                <w:sz w:val="24"/>
              </w:rPr>
              <w:t>99%＞P≥98%</w:t>
            </w:r>
          </w:p>
        </w:tc>
        <w:tc>
          <w:tcPr>
            <w:tcW w:w="3432" w:type="dxa"/>
            <w:shd w:val="clear" w:color="auto" w:fill="auto"/>
            <w:vAlign w:val="center"/>
          </w:tcPr>
          <w:p>
            <w:pPr>
              <w:tabs>
                <w:tab w:val="left" w:pos="360"/>
                <w:tab w:val="left" w:pos="540"/>
              </w:tabs>
              <w:spacing w:line="360" w:lineRule="auto"/>
              <w:jc w:val="center"/>
              <w:rPr>
                <w:bCs/>
                <w:sz w:val="24"/>
                <w:highlight w:val="yellow"/>
              </w:rPr>
            </w:pPr>
            <w:r>
              <w:rPr>
                <w:rFonts w:hint="eastAsia"/>
                <w:szCs w:val="21"/>
                <w:highlight w:val="yellow"/>
              </w:rPr>
              <w:t xml:space="preserve">  </w:t>
            </w:r>
            <w:r>
              <w:rPr>
                <w:szCs w:val="21"/>
                <w:highlight w:val="yellow"/>
              </w:rPr>
              <w:t>吨＜G≤</w:t>
            </w:r>
            <w:r>
              <w:rPr>
                <w:rFonts w:hint="eastAsia"/>
                <w:b/>
                <w:bCs/>
                <w:sz w:val="24"/>
                <w:highlight w:val="yellow"/>
              </w:rPr>
              <w:t>（详见技术规范书）</w:t>
            </w:r>
            <w:r>
              <w:rPr>
                <w:szCs w:val="21"/>
                <w:highlight w:val="yellow"/>
              </w:rPr>
              <w:t>吨</w:t>
            </w:r>
          </w:p>
        </w:tc>
        <w:tc>
          <w:tcPr>
            <w:tcW w:w="2096" w:type="dxa"/>
            <w:shd w:val="clear" w:color="auto" w:fill="auto"/>
            <w:vAlign w:val="center"/>
          </w:tcPr>
          <w:p>
            <w:pPr>
              <w:tabs>
                <w:tab w:val="left" w:pos="360"/>
                <w:tab w:val="left" w:pos="540"/>
              </w:tabs>
              <w:spacing w:line="360" w:lineRule="auto"/>
              <w:jc w:val="center"/>
              <w:rPr>
                <w:bCs/>
                <w:sz w:val="24"/>
              </w:rPr>
            </w:pPr>
            <w:r>
              <w:rPr>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shd w:val="clear" w:color="auto" w:fill="auto"/>
            <w:vAlign w:val="center"/>
          </w:tcPr>
          <w:p>
            <w:pPr>
              <w:tabs>
                <w:tab w:val="left" w:pos="360"/>
                <w:tab w:val="left" w:pos="540"/>
              </w:tabs>
              <w:spacing w:line="360" w:lineRule="auto"/>
              <w:ind w:firstLine="360" w:firstLineChars="150"/>
              <w:jc w:val="center"/>
              <w:rPr>
                <w:bCs/>
                <w:sz w:val="24"/>
              </w:rPr>
            </w:pPr>
            <w:r>
              <w:rPr>
                <w:rFonts w:hint="eastAsia"/>
                <w:bCs/>
                <w:sz w:val="24"/>
              </w:rPr>
              <w:t>3</w:t>
            </w:r>
          </w:p>
        </w:tc>
        <w:tc>
          <w:tcPr>
            <w:tcW w:w="2552" w:type="dxa"/>
            <w:shd w:val="clear" w:color="auto" w:fill="auto"/>
            <w:vAlign w:val="center"/>
          </w:tcPr>
          <w:p>
            <w:pPr>
              <w:tabs>
                <w:tab w:val="left" w:pos="360"/>
                <w:tab w:val="left" w:pos="540"/>
              </w:tabs>
              <w:spacing w:line="360" w:lineRule="auto"/>
              <w:ind w:firstLine="360" w:firstLineChars="150"/>
              <w:jc w:val="center"/>
              <w:rPr>
                <w:bCs/>
                <w:sz w:val="24"/>
              </w:rPr>
            </w:pPr>
            <w:r>
              <w:rPr>
                <w:rFonts w:hint="eastAsia"/>
                <w:bCs/>
                <w:sz w:val="24"/>
              </w:rPr>
              <w:t>P＜98%</w:t>
            </w:r>
          </w:p>
        </w:tc>
        <w:tc>
          <w:tcPr>
            <w:tcW w:w="3432" w:type="dxa"/>
            <w:shd w:val="clear" w:color="auto" w:fill="auto"/>
            <w:vAlign w:val="center"/>
          </w:tcPr>
          <w:p>
            <w:pPr>
              <w:tabs>
                <w:tab w:val="left" w:pos="360"/>
                <w:tab w:val="left" w:pos="540"/>
              </w:tabs>
              <w:spacing w:line="360" w:lineRule="auto"/>
              <w:jc w:val="center"/>
              <w:rPr>
                <w:bCs/>
                <w:sz w:val="24"/>
                <w:highlight w:val="yellow"/>
              </w:rPr>
            </w:pPr>
            <w:r>
              <w:rPr>
                <w:szCs w:val="21"/>
                <w:highlight w:val="yellow"/>
              </w:rPr>
              <w:t>G＞</w:t>
            </w:r>
            <w:r>
              <w:rPr>
                <w:rFonts w:hint="eastAsia"/>
                <w:b/>
                <w:bCs/>
                <w:sz w:val="24"/>
                <w:highlight w:val="yellow"/>
              </w:rPr>
              <w:t>（详见技术规范书）</w:t>
            </w:r>
            <w:r>
              <w:rPr>
                <w:szCs w:val="21"/>
                <w:highlight w:val="yellow"/>
              </w:rPr>
              <w:t>吨</w:t>
            </w:r>
          </w:p>
        </w:tc>
        <w:tc>
          <w:tcPr>
            <w:tcW w:w="2096" w:type="dxa"/>
            <w:shd w:val="clear" w:color="auto" w:fill="auto"/>
            <w:vAlign w:val="center"/>
          </w:tcPr>
          <w:p>
            <w:pPr>
              <w:tabs>
                <w:tab w:val="left" w:pos="360"/>
                <w:tab w:val="left" w:pos="540"/>
              </w:tabs>
              <w:spacing w:line="360" w:lineRule="auto"/>
              <w:jc w:val="center"/>
              <w:rPr>
                <w:bCs/>
                <w:sz w:val="24"/>
              </w:rPr>
            </w:pPr>
            <w:r>
              <w:rPr>
                <w:szCs w:val="21"/>
              </w:rPr>
              <w:t>40</w:t>
            </w:r>
          </w:p>
        </w:tc>
      </w:tr>
    </w:tbl>
    <w:p>
      <w:pPr>
        <w:snapToGrid w:val="0"/>
        <w:spacing w:line="360" w:lineRule="auto"/>
        <w:ind w:firstLine="480" w:firstLineChars="200"/>
        <w:rPr>
          <w:rFonts w:ascii="宋体" w:hAnsi="宋体"/>
          <w:sz w:val="24"/>
        </w:rPr>
      </w:pPr>
      <w:r>
        <w:rPr>
          <w:rFonts w:hint="eastAsia" w:ascii="宋体" w:hAnsi="宋体"/>
          <w:sz w:val="24"/>
        </w:rPr>
        <w:t>7、发生乙方服务不到位、影响甲方形象等情形，经三次书面警告后，整改还不合格，甲方有权对当期的结算款不予支付，且有权单方面终止本合同。</w:t>
      </w:r>
    </w:p>
    <w:p>
      <w:pPr>
        <w:snapToGrid w:val="0"/>
        <w:spacing w:line="360" w:lineRule="auto"/>
        <w:ind w:firstLine="480" w:firstLineChars="200"/>
        <w:rPr>
          <w:rFonts w:ascii="宋体" w:hAnsi="宋体"/>
          <w:sz w:val="24"/>
        </w:rPr>
      </w:pPr>
      <w:r>
        <w:rPr>
          <w:rFonts w:hint="eastAsia" w:ascii="宋体" w:hAnsi="宋体"/>
          <w:sz w:val="24"/>
        </w:rPr>
        <w:t>8、因乙方或其派出的相关人员违反国家和项目所在省、市的有关法律、法规及规定，或在现场违规操作、违章作业等，导致甲方电厂及相关方包括但不限于其正常的生产运行、声誉形象和财产物资、人身安全等造成损失时，一切法律责任和经济赔偿均由乙方独自承担。甲方有权暂停或停止本合同的承包服务费的支付并从</w:t>
      </w:r>
      <w:r>
        <w:rPr>
          <w:rFonts w:hint="eastAsia" w:ascii="宋体" w:hAnsi="宋体"/>
          <w:sz w:val="24"/>
          <w:lang w:eastAsia="zh-CN"/>
        </w:rPr>
        <w:t>监管资金</w:t>
      </w:r>
      <w:r>
        <w:rPr>
          <w:rFonts w:hint="eastAsia" w:ascii="宋体" w:hAnsi="宋体"/>
          <w:sz w:val="24"/>
        </w:rPr>
        <w:t>或当期的结算款中直接给予扣除上述的损失赔偿金额；对于不足扣除部分的金额，则由乙方于发生的一个月内另行向甲方一次性付清，否则每日按逾期未付款金额1%的标准向甲方计算支付滞纳金，直至付清全部欠款（含本金和滞纳金）。</w:t>
      </w:r>
    </w:p>
    <w:p>
      <w:pPr>
        <w:snapToGrid w:val="0"/>
        <w:spacing w:line="360" w:lineRule="auto"/>
        <w:ind w:firstLine="480" w:firstLineChars="200"/>
        <w:rPr>
          <w:rFonts w:ascii="宋体" w:hAnsi="宋体"/>
          <w:sz w:val="24"/>
        </w:rPr>
      </w:pPr>
      <w:r>
        <w:rPr>
          <w:rFonts w:hint="eastAsia" w:ascii="宋体" w:hAnsi="宋体"/>
          <w:sz w:val="24"/>
        </w:rPr>
        <w:t>9、因乙方与被派进甲方现场工作的人员发生任何纠纷事件，或因乙方派进甲方现场工作的人员</w:t>
      </w:r>
      <w:r>
        <w:rPr>
          <w:rFonts w:ascii="宋体" w:hAnsi="宋体"/>
          <w:sz w:val="24"/>
        </w:rPr>
        <w:t>发生伤害</w:t>
      </w:r>
      <w:r>
        <w:rPr>
          <w:rFonts w:hint="eastAsia" w:ascii="宋体" w:hAnsi="宋体"/>
          <w:sz w:val="24"/>
        </w:rPr>
        <w:t>和死亡</w:t>
      </w:r>
      <w:r>
        <w:rPr>
          <w:rFonts w:ascii="宋体" w:hAnsi="宋体"/>
          <w:sz w:val="24"/>
        </w:rPr>
        <w:t>事故</w:t>
      </w:r>
      <w:r>
        <w:rPr>
          <w:rFonts w:hint="eastAsia" w:ascii="宋体" w:hAnsi="宋体"/>
          <w:sz w:val="24"/>
        </w:rPr>
        <w:t>，</w:t>
      </w:r>
      <w:r>
        <w:rPr>
          <w:rFonts w:ascii="宋体" w:hAnsi="宋体"/>
          <w:sz w:val="24"/>
        </w:rPr>
        <w:t>或</w:t>
      </w:r>
      <w:r>
        <w:rPr>
          <w:rFonts w:hint="eastAsia" w:ascii="宋体" w:hAnsi="宋体"/>
          <w:sz w:val="24"/>
        </w:rPr>
        <w:t>因</w:t>
      </w:r>
      <w:r>
        <w:rPr>
          <w:rFonts w:ascii="宋体" w:hAnsi="宋体"/>
          <w:sz w:val="24"/>
        </w:rPr>
        <w:t>按照职业病防治法规定被诊断、鉴定为职业病</w:t>
      </w:r>
      <w:r>
        <w:rPr>
          <w:rFonts w:hint="eastAsia" w:ascii="宋体" w:hAnsi="宋体"/>
          <w:sz w:val="24"/>
        </w:rPr>
        <w:t>等任何事件或事故造成相关方发生损失，且作为该事件或事故的责任承担及依法处理方（即乙方），其又违反本合同的承诺未依法独立全程进行处理和最终全部独立承担责任及赔偿时，则甲方有权暂停或停止本合同的承包服务费的支付并从</w:t>
      </w:r>
      <w:r>
        <w:rPr>
          <w:rFonts w:hint="eastAsia" w:ascii="宋体" w:hAnsi="宋体"/>
          <w:sz w:val="24"/>
          <w:lang w:eastAsia="zh-CN"/>
        </w:rPr>
        <w:t>监管资金</w:t>
      </w:r>
      <w:r>
        <w:rPr>
          <w:rFonts w:hint="eastAsia" w:ascii="宋体" w:hAnsi="宋体"/>
          <w:sz w:val="24"/>
        </w:rPr>
        <w:t>或当期的结算款中直接给予扣除上述的责任赔偿金额且代为支付；对于不足扣除部分的金额，则由乙方于发生的一个月内另行向甲方一次性付清，否则每日按逾期未付款金额1%的标准向甲方计算支付滞纳金，直至付清全部欠款（含本金和滞纳金）。</w:t>
      </w:r>
    </w:p>
    <w:p>
      <w:pPr>
        <w:snapToGrid w:val="0"/>
        <w:spacing w:line="360" w:lineRule="auto"/>
        <w:ind w:firstLine="480" w:firstLineChars="200"/>
        <w:rPr>
          <w:rFonts w:ascii="宋体" w:hAnsi="宋体"/>
          <w:sz w:val="24"/>
        </w:rPr>
      </w:pPr>
      <w:r>
        <w:rPr>
          <w:rFonts w:hint="eastAsia" w:ascii="宋体" w:hAnsi="宋体"/>
          <w:sz w:val="24"/>
        </w:rPr>
        <w:t>10、因乙方未经甲方事先指定或事先书面同意而以任何方式擅自分包或转包的，当其未对甲方和电厂造成损失或发生不良影响之时，甲方有权对乙方擅自再分包或转包部分费用进行扣除或拒付；当乙方的擅自分包或转包对甲方和电厂造成损失或导致发生劳动、劳务纠纷等任何不良影响之时，则甲方有权暂停或停止本合同的承包服务费的支付并从</w:t>
      </w:r>
      <w:r>
        <w:rPr>
          <w:rFonts w:hint="eastAsia" w:ascii="宋体" w:hAnsi="宋体"/>
          <w:sz w:val="24"/>
          <w:lang w:eastAsia="zh-CN"/>
        </w:rPr>
        <w:t>监管资金</w:t>
      </w:r>
      <w:r>
        <w:rPr>
          <w:rFonts w:hint="eastAsia" w:ascii="宋体" w:hAnsi="宋体"/>
          <w:sz w:val="24"/>
        </w:rPr>
        <w:t>或当期的结算款中直接扣除相关费用，乙方还须即时全额退还（或支付）甲方本合同此前已经支付的相关费用（但发票不作退还）作为违约金并赔偿甲方因此所造成的全部损失。</w:t>
      </w:r>
    </w:p>
    <w:p>
      <w:pPr>
        <w:pStyle w:val="101"/>
        <w:numPr>
          <w:ilvl w:val="0"/>
          <w:numId w:val="8"/>
        </w:numPr>
        <w:snapToGrid w:val="0"/>
        <w:spacing w:line="360" w:lineRule="auto"/>
        <w:ind w:left="600" w:hanging="600" w:hangingChars="200"/>
        <w:outlineLvl w:val="1"/>
        <w:rPr>
          <w:rFonts w:ascii="黑体" w:hAnsi="宋体" w:eastAsia="黑体"/>
          <w:sz w:val="30"/>
          <w:szCs w:val="30"/>
        </w:rPr>
      </w:pPr>
      <w:bookmarkStart w:id="18" w:name="_Toc94196208"/>
      <w:r>
        <w:rPr>
          <w:rFonts w:hint="eastAsia" w:ascii="黑体" w:hAnsi="宋体" w:eastAsia="黑体"/>
          <w:sz w:val="30"/>
          <w:szCs w:val="30"/>
        </w:rPr>
        <w:t>争议与索赔</w:t>
      </w:r>
      <w:bookmarkEnd w:id="18"/>
    </w:p>
    <w:p>
      <w:pPr>
        <w:spacing w:line="360" w:lineRule="auto"/>
        <w:ind w:firstLine="480"/>
        <w:rPr>
          <w:rFonts w:ascii="宋体" w:hAnsi="宋体"/>
          <w:b/>
          <w:sz w:val="24"/>
        </w:rPr>
      </w:pPr>
      <w:r>
        <w:rPr>
          <w:rFonts w:hint="eastAsia" w:ascii="宋体" w:hAnsi="宋体"/>
          <w:b/>
          <w:sz w:val="24"/>
        </w:rPr>
        <w:t>1 争议：</w:t>
      </w:r>
    </w:p>
    <w:p>
      <w:pPr>
        <w:spacing w:line="360" w:lineRule="auto"/>
        <w:ind w:firstLine="480"/>
        <w:rPr>
          <w:rFonts w:ascii="宋体" w:hAnsi="宋体"/>
          <w:sz w:val="24"/>
        </w:rPr>
      </w:pPr>
      <w:r>
        <w:rPr>
          <w:rFonts w:hint="eastAsia" w:ascii="宋体" w:hAnsi="宋体"/>
          <w:sz w:val="24"/>
        </w:rPr>
        <w:t>1</w:t>
      </w:r>
      <w:r>
        <w:rPr>
          <w:rFonts w:ascii="宋体" w:hAnsi="宋体"/>
          <w:sz w:val="24"/>
        </w:rPr>
        <w:t>.1</w:t>
      </w:r>
      <w:r>
        <w:rPr>
          <w:rFonts w:hint="eastAsia" w:ascii="宋体" w:hAnsi="宋体"/>
          <w:sz w:val="24"/>
        </w:rPr>
        <w:t>合同双方发生与本合同有关的一切争议，应通过友好协商解决。如果友好协商不成，任意一方可向项目所在地有管辖权的人民法院起诉。</w:t>
      </w:r>
    </w:p>
    <w:p>
      <w:pPr>
        <w:spacing w:line="360" w:lineRule="auto"/>
        <w:ind w:firstLine="480"/>
        <w:rPr>
          <w:rFonts w:ascii="宋体" w:hAnsi="宋体"/>
          <w:sz w:val="24"/>
        </w:rPr>
      </w:pPr>
      <w:r>
        <w:rPr>
          <w:rFonts w:hint="eastAsia" w:ascii="宋体" w:hAnsi="宋体"/>
          <w:sz w:val="24"/>
        </w:rPr>
        <w:t>1.2诉讼结果对双方都有约束力。</w:t>
      </w:r>
    </w:p>
    <w:p>
      <w:pPr>
        <w:spacing w:line="360" w:lineRule="auto"/>
        <w:ind w:firstLine="480"/>
        <w:rPr>
          <w:rFonts w:ascii="宋体" w:hAnsi="宋体"/>
          <w:sz w:val="24"/>
        </w:rPr>
      </w:pPr>
      <w:r>
        <w:rPr>
          <w:rFonts w:hint="eastAsia" w:ascii="宋体" w:hAnsi="宋体"/>
          <w:sz w:val="24"/>
        </w:rPr>
        <w:t>1.3由上述过程发生的费用除诉讼结果另有规定外，应由败诉方承担。</w:t>
      </w:r>
    </w:p>
    <w:p>
      <w:pPr>
        <w:spacing w:line="360" w:lineRule="auto"/>
        <w:ind w:firstLine="480"/>
        <w:rPr>
          <w:rFonts w:ascii="宋体" w:hAnsi="宋体"/>
          <w:sz w:val="24"/>
        </w:rPr>
      </w:pPr>
      <w:r>
        <w:rPr>
          <w:rFonts w:hint="eastAsia" w:ascii="宋体" w:hAnsi="宋体"/>
          <w:sz w:val="24"/>
        </w:rPr>
        <w:t>1.4在进行审理期间，除审理的部分事项外，合同其余部分仍应继续履行。</w:t>
      </w:r>
    </w:p>
    <w:p>
      <w:pPr>
        <w:spacing w:line="360" w:lineRule="auto"/>
        <w:ind w:firstLine="480"/>
        <w:rPr>
          <w:rFonts w:ascii="宋体" w:hAnsi="宋体"/>
          <w:b/>
          <w:sz w:val="24"/>
        </w:rPr>
      </w:pPr>
      <w:r>
        <w:rPr>
          <w:rFonts w:hint="eastAsia" w:ascii="宋体" w:hAnsi="宋体"/>
          <w:b/>
          <w:sz w:val="24"/>
        </w:rPr>
        <w:t>2索赔：</w:t>
      </w:r>
    </w:p>
    <w:p>
      <w:pPr>
        <w:pStyle w:val="22"/>
        <w:spacing w:line="360" w:lineRule="auto"/>
        <w:ind w:firstLine="480" w:firstLineChars="200"/>
        <w:rPr>
          <w:rFonts w:hAnsi="宋体"/>
          <w:i/>
          <w:sz w:val="24"/>
          <w:szCs w:val="24"/>
        </w:rPr>
      </w:pPr>
      <w:r>
        <w:rPr>
          <w:rFonts w:hint="eastAsia" w:hAnsi="宋体"/>
          <w:sz w:val="24"/>
          <w:szCs w:val="24"/>
        </w:rPr>
        <w:t>2.1乙方可按以下规定向甲方索赔；</w:t>
      </w:r>
    </w:p>
    <w:p>
      <w:pPr>
        <w:pStyle w:val="22"/>
        <w:spacing w:line="360" w:lineRule="auto"/>
        <w:ind w:firstLine="480" w:firstLineChars="200"/>
        <w:rPr>
          <w:rFonts w:hAnsi="宋体"/>
          <w:i/>
          <w:sz w:val="24"/>
          <w:szCs w:val="24"/>
        </w:rPr>
      </w:pPr>
      <w:r>
        <w:rPr>
          <w:rFonts w:hint="eastAsia" w:hAnsi="宋体"/>
          <w:sz w:val="24"/>
          <w:szCs w:val="24"/>
        </w:rPr>
        <w:t>2.1.1有正当索赔理由，且有索赔事件发生时的有关证据；</w:t>
      </w:r>
    </w:p>
    <w:p>
      <w:pPr>
        <w:pStyle w:val="22"/>
        <w:spacing w:line="360" w:lineRule="auto"/>
        <w:ind w:firstLine="480" w:firstLineChars="200"/>
        <w:rPr>
          <w:rFonts w:hAnsi="宋体"/>
          <w:i/>
          <w:sz w:val="24"/>
          <w:szCs w:val="24"/>
        </w:rPr>
      </w:pPr>
      <w:r>
        <w:rPr>
          <w:rFonts w:hint="eastAsia" w:hAnsi="宋体"/>
          <w:sz w:val="24"/>
          <w:szCs w:val="24"/>
        </w:rPr>
        <w:t>2.1.2索赔事件发生后20天内，向甲方发出要求索赔的通知；</w:t>
      </w:r>
    </w:p>
    <w:p>
      <w:pPr>
        <w:pStyle w:val="22"/>
        <w:spacing w:line="360" w:lineRule="auto"/>
        <w:ind w:firstLine="480" w:firstLineChars="200"/>
        <w:rPr>
          <w:rFonts w:hAnsi="宋体"/>
          <w:i/>
          <w:sz w:val="24"/>
          <w:szCs w:val="24"/>
        </w:rPr>
      </w:pPr>
      <w:r>
        <w:rPr>
          <w:rFonts w:hint="eastAsia" w:hAnsi="宋体"/>
          <w:sz w:val="24"/>
          <w:szCs w:val="24"/>
        </w:rPr>
        <w:t>2.1.3甲方在接到索赔通知后28天内给予响应，或要求乙方进一步补充索赔理由和证据，甲方在28天内未予书面答复，应视为该项索赔已经认可；</w:t>
      </w:r>
    </w:p>
    <w:p>
      <w:pPr>
        <w:pStyle w:val="22"/>
        <w:spacing w:line="360" w:lineRule="auto"/>
        <w:ind w:firstLine="480" w:firstLineChars="200"/>
        <w:rPr>
          <w:rFonts w:hAnsi="宋体"/>
          <w:i/>
          <w:sz w:val="24"/>
          <w:szCs w:val="24"/>
        </w:rPr>
      </w:pPr>
      <w:r>
        <w:rPr>
          <w:rFonts w:hint="eastAsia" w:hAnsi="宋体"/>
          <w:sz w:val="24"/>
          <w:szCs w:val="24"/>
        </w:rPr>
        <w:t>2.2甲方可按以下规定向乙方索赔：</w:t>
      </w:r>
    </w:p>
    <w:p>
      <w:pPr>
        <w:pStyle w:val="22"/>
        <w:spacing w:line="360" w:lineRule="auto"/>
        <w:ind w:firstLine="480" w:firstLineChars="200"/>
        <w:rPr>
          <w:rFonts w:hAnsi="宋体"/>
          <w:i/>
          <w:sz w:val="24"/>
          <w:szCs w:val="24"/>
        </w:rPr>
      </w:pPr>
      <w:r>
        <w:rPr>
          <w:rFonts w:hint="eastAsia" w:hAnsi="宋体"/>
          <w:sz w:val="24"/>
          <w:szCs w:val="24"/>
        </w:rPr>
        <w:t>2.2.1有正当索赔理由，且有索赔事件发生时的有关证据；</w:t>
      </w:r>
    </w:p>
    <w:p>
      <w:pPr>
        <w:pStyle w:val="22"/>
        <w:spacing w:line="360" w:lineRule="auto"/>
        <w:ind w:firstLine="480" w:firstLineChars="200"/>
        <w:rPr>
          <w:rFonts w:hAnsi="宋体"/>
          <w:i/>
          <w:sz w:val="24"/>
          <w:szCs w:val="24"/>
        </w:rPr>
      </w:pPr>
      <w:r>
        <w:rPr>
          <w:rFonts w:hint="eastAsia" w:hAnsi="宋体"/>
          <w:sz w:val="24"/>
          <w:szCs w:val="24"/>
        </w:rPr>
        <w:t>2.2.2索赔事件发生后20天内，向乙方发出要求索赔的通知；</w:t>
      </w:r>
    </w:p>
    <w:p>
      <w:pPr>
        <w:pStyle w:val="22"/>
        <w:spacing w:line="360" w:lineRule="auto"/>
        <w:ind w:firstLine="480" w:firstLineChars="200"/>
        <w:rPr>
          <w:rFonts w:hAnsi="宋体"/>
          <w:sz w:val="24"/>
          <w:szCs w:val="24"/>
        </w:rPr>
      </w:pPr>
      <w:r>
        <w:rPr>
          <w:rFonts w:hint="eastAsia" w:hAnsi="宋体"/>
          <w:sz w:val="24"/>
          <w:szCs w:val="24"/>
        </w:rPr>
        <w:t>2.2.3乙方在接到索赔通知后28天内给予响应，或要求甲方进一步补充索赔理由或证据，乙方在28天内未予书面答复，应视为该项索赔已经认可。</w:t>
      </w:r>
    </w:p>
    <w:p>
      <w:pPr>
        <w:spacing w:line="360" w:lineRule="auto"/>
        <w:ind w:firstLine="510"/>
        <w:rPr>
          <w:rFonts w:ascii="宋体" w:hAnsi="宋体"/>
          <w:sz w:val="24"/>
        </w:rPr>
      </w:pPr>
    </w:p>
    <w:p>
      <w:pPr>
        <w:pStyle w:val="101"/>
        <w:numPr>
          <w:ilvl w:val="0"/>
          <w:numId w:val="8"/>
        </w:numPr>
        <w:snapToGrid w:val="0"/>
        <w:spacing w:line="360" w:lineRule="auto"/>
        <w:ind w:left="600" w:hanging="600" w:hangingChars="200"/>
        <w:outlineLvl w:val="1"/>
        <w:rPr>
          <w:rFonts w:ascii="黑体" w:hAnsi="宋体" w:eastAsia="黑体"/>
          <w:sz w:val="30"/>
          <w:szCs w:val="30"/>
        </w:rPr>
      </w:pPr>
      <w:bookmarkStart w:id="19" w:name="_Toc94196209"/>
      <w:r>
        <w:rPr>
          <w:rFonts w:hint="eastAsia" w:ascii="黑体" w:hAnsi="宋体" w:eastAsia="黑体"/>
          <w:sz w:val="30"/>
          <w:szCs w:val="30"/>
        </w:rPr>
        <w:t>其它</w:t>
      </w:r>
      <w:bookmarkEnd w:id="19"/>
    </w:p>
    <w:p>
      <w:pPr>
        <w:snapToGrid w:val="0"/>
        <w:spacing w:line="360" w:lineRule="auto"/>
        <w:ind w:right="11" w:firstLine="420" w:firstLineChars="175"/>
        <w:rPr>
          <w:rFonts w:ascii="宋体" w:hAnsi="宋体"/>
          <w:sz w:val="24"/>
        </w:rPr>
      </w:pPr>
      <w:r>
        <w:rPr>
          <w:rFonts w:hint="eastAsia" w:ascii="宋体" w:hAnsi="宋体"/>
          <w:sz w:val="24"/>
        </w:rPr>
        <w:t>1、本合同适用法律为中华人民共和国法律(即中华人民共和国民法典及相关法律)。</w:t>
      </w:r>
    </w:p>
    <w:p>
      <w:pPr>
        <w:snapToGrid w:val="0"/>
        <w:spacing w:line="360" w:lineRule="auto"/>
        <w:ind w:right="11" w:firstLine="420" w:firstLineChars="175"/>
        <w:rPr>
          <w:rFonts w:ascii="宋体" w:hAnsi="宋体"/>
          <w:sz w:val="24"/>
        </w:rPr>
      </w:pPr>
      <w:r>
        <w:rPr>
          <w:rFonts w:hint="eastAsia" w:ascii="宋体" w:hAnsi="宋体"/>
          <w:sz w:val="24"/>
        </w:rPr>
        <w:t>2、本合同生效需满足下列条件：合同经双方法定代表人或委托代理人（须经法定代表人书面授权委托）签字，加盖公章或合同专用章。</w:t>
      </w:r>
    </w:p>
    <w:p>
      <w:pPr>
        <w:snapToGrid w:val="0"/>
        <w:spacing w:line="360" w:lineRule="auto"/>
        <w:ind w:right="11" w:firstLine="420" w:firstLineChars="175"/>
        <w:rPr>
          <w:rFonts w:ascii="宋体" w:hAnsi="宋体"/>
          <w:sz w:val="24"/>
        </w:rPr>
      </w:pPr>
      <w:r>
        <w:rPr>
          <w:rFonts w:hint="eastAsia" w:ascii="宋体" w:hAnsi="宋体"/>
          <w:sz w:val="24"/>
        </w:rPr>
        <w:t>3、本合同所包括的附件，是本合同不可分割的一部分，具有同等的法律效力。当附件与本合同条款不一致或概念模糊时，以本合同条款为准。如果不同时间的文件有不一致或模糊时，以时间后者为准。</w:t>
      </w:r>
    </w:p>
    <w:p>
      <w:pPr>
        <w:snapToGrid w:val="0"/>
        <w:spacing w:line="360" w:lineRule="auto"/>
        <w:ind w:right="11" w:firstLine="420" w:firstLineChars="175"/>
        <w:rPr>
          <w:rFonts w:ascii="宋体" w:hAnsi="宋体"/>
          <w:sz w:val="24"/>
        </w:rPr>
      </w:pPr>
      <w:r>
        <w:rPr>
          <w:rFonts w:hint="eastAsia" w:ascii="宋体" w:hAnsi="宋体"/>
          <w:sz w:val="24"/>
        </w:rPr>
        <w:t>4、合同双方按照</w:t>
      </w:r>
      <w:r>
        <w:rPr>
          <w:rFonts w:ascii="宋体" w:hAnsi="宋体"/>
          <w:sz w:val="24"/>
        </w:rPr>
        <w:t>合同规定</w:t>
      </w:r>
      <w:r>
        <w:rPr>
          <w:rFonts w:hint="eastAsia" w:ascii="宋体" w:hAnsi="宋体"/>
          <w:sz w:val="24"/>
        </w:rPr>
        <w:t>承担</w:t>
      </w:r>
      <w:r>
        <w:rPr>
          <w:rFonts w:ascii="宋体" w:hAnsi="宋体"/>
          <w:sz w:val="24"/>
        </w:rPr>
        <w:t>合同义务，</w:t>
      </w:r>
      <w:r>
        <w:rPr>
          <w:rFonts w:hint="eastAsia" w:ascii="宋体" w:hAnsi="宋体"/>
          <w:sz w:val="24"/>
        </w:rPr>
        <w:t>合同任何一方不得代替</w:t>
      </w:r>
      <w:r>
        <w:rPr>
          <w:rFonts w:ascii="宋体" w:hAnsi="宋体"/>
          <w:sz w:val="24"/>
        </w:rPr>
        <w:t>另一方</w:t>
      </w:r>
      <w:r>
        <w:rPr>
          <w:rFonts w:hint="eastAsia" w:ascii="宋体" w:hAnsi="宋体"/>
          <w:sz w:val="24"/>
        </w:rPr>
        <w:t>作出对</w:t>
      </w:r>
      <w:r>
        <w:rPr>
          <w:rFonts w:ascii="宋体" w:hAnsi="宋体"/>
          <w:sz w:val="24"/>
        </w:rPr>
        <w:t>另一方</w:t>
      </w:r>
      <w:r>
        <w:rPr>
          <w:rFonts w:hint="eastAsia" w:ascii="宋体" w:hAnsi="宋体"/>
          <w:sz w:val="24"/>
        </w:rPr>
        <w:t>有约束力的声明、陈述，许诺或行动。</w:t>
      </w:r>
    </w:p>
    <w:p>
      <w:pPr>
        <w:snapToGrid w:val="0"/>
        <w:spacing w:line="360" w:lineRule="auto"/>
        <w:ind w:right="11" w:firstLine="420" w:firstLineChars="175"/>
        <w:rPr>
          <w:rFonts w:ascii="宋体" w:hAnsi="宋体"/>
          <w:sz w:val="24"/>
        </w:rPr>
      </w:pPr>
      <w:r>
        <w:rPr>
          <w:rFonts w:hint="eastAsia" w:ascii="宋体" w:hAnsi="宋体"/>
          <w:sz w:val="24"/>
        </w:rPr>
        <w:t>5、未经双方事先书面同意，本合同内容款项、权利义务等不得再以任何形式转移（包括但不限于分包、转包、转让、抵押、质押、担保、赠与等）给任何第三方，否则该转移行为内容无效且没有法律约束力，由此所造成的损失由违约方加倍赔偿，守约方有权另行追偿。</w:t>
      </w:r>
    </w:p>
    <w:p>
      <w:pPr>
        <w:snapToGrid w:val="0"/>
        <w:spacing w:line="360" w:lineRule="auto"/>
        <w:ind w:right="11" w:firstLine="420" w:firstLineChars="175"/>
        <w:rPr>
          <w:rFonts w:ascii="宋体" w:hAnsi="宋体"/>
          <w:sz w:val="24"/>
        </w:rPr>
      </w:pPr>
      <w:r>
        <w:rPr>
          <w:rFonts w:hint="eastAsia" w:ascii="宋体" w:hAnsi="宋体"/>
          <w:sz w:val="24"/>
        </w:rPr>
        <w:t>6、本合同项下双方相互提供的文件、资料，双方除为履行合同的目的外，均不得提供给与“合同服务”和相关工程无关的第三方。</w:t>
      </w:r>
    </w:p>
    <w:p>
      <w:pPr>
        <w:snapToGrid w:val="0"/>
        <w:spacing w:line="360" w:lineRule="auto"/>
        <w:ind w:right="11" w:firstLine="420" w:firstLineChars="175"/>
        <w:rPr>
          <w:rFonts w:ascii="宋体" w:hAnsi="宋体"/>
          <w:sz w:val="24"/>
        </w:rPr>
      </w:pPr>
      <w:r>
        <w:rPr>
          <w:rFonts w:hint="eastAsia" w:ascii="宋体" w:hAnsi="宋体"/>
          <w:sz w:val="24"/>
        </w:rPr>
        <w:t>7、双方对本合同发票的提前出具或提前接收（如有），并不代表对尚未履行合同内容的应收应付、债权债务、权利义务等任何关系的确认或成立。该提前交接的发票，不得作为任何担保质押等的确认凭证，只有到相应合同内容履行完毕后，方依约合规办理验收支付。</w:t>
      </w:r>
    </w:p>
    <w:p>
      <w:pPr>
        <w:snapToGrid w:val="0"/>
        <w:spacing w:line="360" w:lineRule="auto"/>
        <w:ind w:right="11" w:firstLine="420" w:firstLineChars="175"/>
        <w:rPr>
          <w:rFonts w:ascii="宋体" w:hAnsi="宋体"/>
          <w:sz w:val="24"/>
        </w:rPr>
      </w:pPr>
      <w:r>
        <w:rPr>
          <w:rFonts w:hint="eastAsia" w:ascii="宋体" w:hAnsi="宋体"/>
          <w:sz w:val="24"/>
        </w:rPr>
        <w:t>8、 本合同履行过程当中答复的任何询证函（如有），其暂时查对所填写的款额均不是对合同应收或应付账款数额的确认，该回复函不得作为应收应付、债权债务等任何权利义务关系的确认函或确认凭证，更不得用于任何担保质押。</w:t>
      </w:r>
    </w:p>
    <w:p>
      <w:pPr>
        <w:snapToGrid w:val="0"/>
        <w:spacing w:line="360" w:lineRule="auto"/>
        <w:ind w:right="11" w:firstLine="420" w:firstLineChars="175"/>
        <w:rPr>
          <w:rFonts w:ascii="宋体" w:hAnsi="宋体"/>
          <w:sz w:val="24"/>
        </w:rPr>
      </w:pPr>
      <w:r>
        <w:rPr>
          <w:rFonts w:hint="eastAsia" w:ascii="宋体" w:hAnsi="宋体"/>
          <w:sz w:val="24"/>
        </w:rPr>
        <w:t>9、如果合同任何一方发生公司的合并、分立或重组，应立即通知另一方其合同义务的安排，并由合同义务的承继方与合同另一方办理相关的合同变更手续。该承继方应继续承担本合同项下未完成的责任和义务并保证合同义务的履行和责任的承担不会因此受到影响。</w:t>
      </w:r>
    </w:p>
    <w:p>
      <w:pPr>
        <w:snapToGrid w:val="0"/>
        <w:spacing w:line="360" w:lineRule="auto"/>
        <w:ind w:right="11" w:firstLine="420" w:firstLineChars="175"/>
        <w:rPr>
          <w:rFonts w:ascii="宋体" w:hAnsi="宋体"/>
          <w:sz w:val="24"/>
        </w:rPr>
      </w:pPr>
      <w:r>
        <w:rPr>
          <w:rFonts w:hint="eastAsia" w:ascii="宋体" w:hAnsi="宋体"/>
          <w:sz w:val="24"/>
        </w:rPr>
        <w:t>10、本合同所使用的文字为中文，合同执行过程中所涉及的通知、技术资料、说明书、会议纪要、信函等文件均以中文形式编写。如果外购进口设备的技术资料、说明书等文件应有中文版本。</w:t>
      </w:r>
    </w:p>
    <w:p>
      <w:pPr>
        <w:snapToGrid w:val="0"/>
        <w:spacing w:line="360" w:lineRule="auto"/>
        <w:ind w:right="11" w:firstLine="420" w:firstLineChars="175"/>
        <w:rPr>
          <w:rFonts w:ascii="宋体" w:hAnsi="宋体"/>
          <w:sz w:val="24"/>
        </w:rPr>
      </w:pPr>
      <w:r>
        <w:rPr>
          <w:rFonts w:hint="eastAsia" w:ascii="宋体" w:hAnsi="宋体"/>
          <w:sz w:val="24"/>
        </w:rPr>
        <w:t>11、本合同一式肆份；甲方执叁份，乙方执壹份。</w:t>
      </w:r>
    </w:p>
    <w:p>
      <w:pPr>
        <w:snapToGrid w:val="0"/>
        <w:spacing w:line="360" w:lineRule="auto"/>
        <w:ind w:right="11" w:firstLine="420" w:firstLineChars="175"/>
        <w:rPr>
          <w:rFonts w:hint="eastAsia" w:ascii="宋体" w:hAnsi="宋体"/>
          <w:sz w:val="24"/>
        </w:rPr>
      </w:pPr>
      <w:r>
        <w:rPr>
          <w:rFonts w:hint="eastAsia" w:ascii="宋体" w:hAnsi="宋体"/>
          <w:sz w:val="24"/>
        </w:rPr>
        <w:t>12、本合同双方的地址及信息如下：</w:t>
      </w:r>
    </w:p>
    <w:p>
      <w:pPr>
        <w:snapToGrid/>
        <w:spacing w:line="240" w:lineRule="auto"/>
        <w:ind w:right="0" w:firstLine="0" w:firstLineChars="0"/>
        <w:rPr>
          <w:rFonts w:hint="eastAsia" w:ascii="宋体" w:hAnsi="宋体"/>
          <w:sz w:val="24"/>
        </w:rPr>
      </w:pPr>
      <w:r>
        <w:rPr>
          <w:rFonts w:hint="eastAsia" w:ascii="宋体" w:hAnsi="宋体"/>
          <w:sz w:val="24"/>
        </w:rPr>
        <w:br w:type="page"/>
      </w:r>
    </w:p>
    <w:p>
      <w:pPr>
        <w:snapToGrid w:val="0"/>
        <w:spacing w:line="360" w:lineRule="auto"/>
        <w:ind w:right="11" w:firstLine="420" w:firstLineChars="175"/>
        <w:rPr>
          <w:rFonts w:hint="eastAsia" w:ascii="宋体" w:hAnsi="宋体" w:eastAsia="宋体"/>
          <w:sz w:val="24"/>
          <w:lang w:eastAsia="zh-CN"/>
        </w:rPr>
      </w:pPr>
    </w:p>
    <w:tbl>
      <w:tblPr>
        <w:tblStyle w:val="36"/>
        <w:tblW w:w="5714" w:type="pct"/>
        <w:tblInd w:w="-9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0"/>
        <w:gridCol w:w="1755"/>
        <w:gridCol w:w="2142"/>
        <w:gridCol w:w="753"/>
        <w:gridCol w:w="102"/>
        <w:gridCol w:w="679"/>
        <w:gridCol w:w="104"/>
        <w:gridCol w:w="1289"/>
        <w:gridCol w:w="21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trPr>
        <w:tc>
          <w:tcPr>
            <w:tcW w:w="587" w:type="pct"/>
            <w:vMerge w:val="restart"/>
            <w:tcBorders>
              <w:top w:val="single" w:color="auto" w:sz="4" w:space="0"/>
              <w:left w:val="single" w:color="auto" w:sz="4" w:space="0"/>
              <w:bottom w:val="single" w:color="auto" w:sz="4" w:space="0"/>
              <w:right w:val="single" w:color="auto" w:sz="4" w:space="0"/>
            </w:tcBorders>
            <w:vAlign w:val="center"/>
          </w:tcPr>
          <w:p>
            <w:pPr>
              <w:widowControl w:val="0"/>
              <w:spacing w:line="240" w:lineRule="auto"/>
              <w:ind w:firstLine="0" w:firstLineChars="0"/>
              <w:rPr>
                <w:rFonts w:cs="Calibri"/>
                <w:szCs w:val="21"/>
              </w:rPr>
            </w:pPr>
            <w:bookmarkStart w:id="20" w:name="_Toc55488748"/>
            <w:r>
              <w:rPr>
                <w:rFonts w:hint="eastAsia" w:ascii="宋体" w:hAnsi="宋体" w:cs="宋体"/>
                <w:sz w:val="24"/>
                <w:lang w:bidi="ar"/>
              </w:rPr>
              <w:t>委托人</w:t>
            </w:r>
            <w:r>
              <w:rPr>
                <w:sz w:val="24"/>
                <w:lang w:bidi="ar"/>
              </w:rPr>
              <w:t>(</w:t>
            </w:r>
            <w:r>
              <w:rPr>
                <w:rFonts w:hint="eastAsia" w:ascii="宋体" w:hAnsi="宋体" w:cs="宋体"/>
                <w:sz w:val="24"/>
                <w:lang w:bidi="ar"/>
              </w:rPr>
              <w:t>甲方</w:t>
            </w:r>
            <w:r>
              <w:rPr>
                <w:rFonts w:cs="Calibri"/>
                <w:sz w:val="24"/>
                <w:lang w:bidi="ar"/>
              </w:rPr>
              <w:t>)</w:t>
            </w:r>
          </w:p>
          <w:p>
            <w:pPr>
              <w:widowControl w:val="0"/>
              <w:spacing w:line="500" w:lineRule="exact"/>
              <w:ind w:left="113" w:right="113" w:firstLine="0" w:firstLineChars="0"/>
              <w:jc w:val="center"/>
              <w:rPr>
                <w:spacing w:val="20"/>
                <w:sz w:val="24"/>
              </w:rPr>
            </w:pPr>
          </w:p>
        </w:tc>
        <w:tc>
          <w:tcPr>
            <w:tcW w:w="858" w:type="pct"/>
            <w:tcBorders>
              <w:top w:val="single" w:color="auto" w:sz="4" w:space="0"/>
              <w:left w:val="nil"/>
              <w:bottom w:val="single" w:color="auto" w:sz="4" w:space="0"/>
              <w:right w:val="single" w:color="auto" w:sz="4" w:space="0"/>
            </w:tcBorders>
            <w:vAlign w:val="center"/>
          </w:tcPr>
          <w:p>
            <w:pPr>
              <w:widowControl w:val="0"/>
              <w:spacing w:line="600" w:lineRule="exact"/>
              <w:ind w:firstLine="0" w:firstLineChars="0"/>
              <w:jc w:val="center"/>
              <w:rPr>
                <w:sz w:val="24"/>
              </w:rPr>
            </w:pPr>
            <w:r>
              <w:rPr>
                <w:rFonts w:hint="eastAsia" w:ascii="宋体" w:hAnsi="宋体" w:cs="宋体"/>
                <w:sz w:val="24"/>
                <w:lang w:bidi="ar"/>
              </w:rPr>
              <w:t>名称</w:t>
            </w:r>
            <w:r>
              <w:rPr>
                <w:sz w:val="24"/>
                <w:lang w:bidi="ar"/>
              </w:rPr>
              <w:t>(</w:t>
            </w:r>
            <w:r>
              <w:rPr>
                <w:rFonts w:hint="eastAsia" w:ascii="宋体" w:hAnsi="宋体" w:cs="宋体"/>
                <w:sz w:val="24"/>
                <w:lang w:bidi="ar"/>
              </w:rPr>
              <w:t>或姓名</w:t>
            </w:r>
            <w:r>
              <w:rPr>
                <w:rFonts w:cs="Calibri"/>
                <w:sz w:val="24"/>
                <w:lang w:bidi="ar"/>
              </w:rPr>
              <w:t>)</w:t>
            </w:r>
          </w:p>
        </w:tc>
        <w:tc>
          <w:tcPr>
            <w:tcW w:w="2478" w:type="pct"/>
            <w:gridSpan w:val="6"/>
            <w:tcBorders>
              <w:top w:val="single" w:color="auto" w:sz="4" w:space="0"/>
              <w:left w:val="nil"/>
              <w:bottom w:val="single" w:color="auto" w:sz="4" w:space="0"/>
              <w:right w:val="single" w:color="auto" w:sz="4" w:space="0"/>
            </w:tcBorders>
            <w:vAlign w:val="center"/>
          </w:tcPr>
          <w:p>
            <w:pPr>
              <w:widowControl w:val="0"/>
              <w:spacing w:line="600" w:lineRule="exact"/>
              <w:ind w:firstLine="480"/>
              <w:rPr>
                <w:sz w:val="24"/>
              </w:rPr>
            </w:pPr>
            <w:r>
              <w:rPr>
                <w:rFonts w:hint="eastAsia"/>
                <w:sz w:val="24"/>
                <w:lang w:val="en-US" w:eastAsia="zh-CN"/>
              </w:rPr>
              <w:t>桂林市深能环保有限</w:t>
            </w:r>
            <w:r>
              <w:rPr>
                <w:rFonts w:hint="eastAsia"/>
                <w:sz w:val="24"/>
              </w:rPr>
              <w:t>公司</w:t>
            </w:r>
          </w:p>
        </w:tc>
        <w:tc>
          <w:tcPr>
            <w:tcW w:w="1075" w:type="pct"/>
            <w:vMerge w:val="restart"/>
            <w:tcBorders>
              <w:top w:val="single" w:color="auto" w:sz="4" w:space="0"/>
              <w:left w:val="nil"/>
              <w:bottom w:val="single" w:color="auto" w:sz="4" w:space="0"/>
              <w:right w:val="single" w:color="auto" w:sz="4" w:space="0"/>
            </w:tcBorders>
          </w:tcPr>
          <w:p>
            <w:pPr>
              <w:widowControl w:val="0"/>
              <w:spacing w:line="600" w:lineRule="exact"/>
              <w:ind w:firstLine="0" w:firstLineChars="0"/>
              <w:jc w:val="center"/>
              <w:rPr>
                <w:sz w:val="24"/>
              </w:rPr>
            </w:pPr>
            <w:r>
              <w:rPr>
                <w:rFonts w:hint="eastAsia" w:ascii="宋体" w:hAnsi="宋体" w:cs="宋体"/>
                <w:sz w:val="24"/>
                <w:lang w:bidi="ar"/>
              </w:rPr>
              <w:t>合同专用章</w:t>
            </w:r>
          </w:p>
          <w:p>
            <w:pPr>
              <w:widowControl w:val="0"/>
              <w:spacing w:line="600" w:lineRule="exact"/>
              <w:ind w:firstLine="0" w:firstLineChars="0"/>
              <w:jc w:val="center"/>
              <w:rPr>
                <w:sz w:val="24"/>
              </w:rPr>
            </w:pPr>
            <w:r>
              <w:rPr>
                <w:rFonts w:hint="eastAsia" w:ascii="宋体" w:hAnsi="宋体" w:cs="宋体"/>
                <w:sz w:val="24"/>
                <w:lang w:bidi="ar"/>
              </w:rPr>
              <w:t>或</w:t>
            </w:r>
          </w:p>
          <w:p>
            <w:pPr>
              <w:widowControl w:val="0"/>
              <w:spacing w:line="600" w:lineRule="exact"/>
              <w:ind w:firstLine="0" w:firstLineChars="0"/>
              <w:jc w:val="center"/>
              <w:rPr>
                <w:sz w:val="24"/>
              </w:rPr>
            </w:pPr>
            <w:r>
              <w:rPr>
                <w:rFonts w:hint="eastAsia" w:ascii="宋体" w:hAnsi="宋体" w:cs="宋体"/>
                <w:sz w:val="24"/>
                <w:lang w:bidi="ar"/>
              </w:rPr>
              <w:t>单位公章</w:t>
            </w:r>
          </w:p>
          <w:p>
            <w:pPr>
              <w:widowControl w:val="0"/>
              <w:spacing w:line="600" w:lineRule="exact"/>
              <w:ind w:firstLine="0" w:firstLineChars="0"/>
              <w:jc w:val="center"/>
              <w:rPr>
                <w:sz w:val="24"/>
              </w:rPr>
            </w:pPr>
          </w:p>
          <w:p>
            <w:pPr>
              <w:widowControl w:val="0"/>
              <w:spacing w:line="600" w:lineRule="exact"/>
              <w:ind w:firstLine="0" w:firstLineChars="0"/>
              <w:jc w:val="center"/>
              <w:rPr>
                <w:sz w:val="24"/>
              </w:rPr>
            </w:pPr>
          </w:p>
          <w:p>
            <w:pPr>
              <w:widowControl w:val="0"/>
              <w:spacing w:line="600" w:lineRule="exact"/>
              <w:ind w:firstLine="0" w:firstLineChars="0"/>
              <w:jc w:val="center"/>
              <w:rPr>
                <w:sz w:val="24"/>
              </w:rPr>
            </w:pPr>
          </w:p>
          <w:p>
            <w:pPr>
              <w:widowControl w:val="0"/>
              <w:spacing w:line="600" w:lineRule="exact"/>
              <w:ind w:firstLine="0" w:firstLineChars="0"/>
              <w:jc w:val="center"/>
              <w:rPr>
                <w:sz w:val="24"/>
              </w:rPr>
            </w:pPr>
          </w:p>
          <w:p>
            <w:pPr>
              <w:widowControl w:val="0"/>
              <w:spacing w:line="600" w:lineRule="exact"/>
              <w:ind w:right="-349" w:rightChars="-166" w:firstLine="0" w:firstLineChars="0"/>
              <w:jc w:val="center"/>
              <w:rPr>
                <w:sz w:val="24"/>
              </w:rPr>
            </w:pPr>
          </w:p>
          <w:p>
            <w:pPr>
              <w:widowControl w:val="0"/>
              <w:spacing w:line="600" w:lineRule="exact"/>
              <w:ind w:firstLine="0" w:firstLineChars="0"/>
              <w:jc w:val="center"/>
              <w:rPr>
                <w:sz w:val="24"/>
              </w:rPr>
            </w:pPr>
          </w:p>
          <w:p>
            <w:pPr>
              <w:widowControl w:val="0"/>
              <w:spacing w:line="600" w:lineRule="exact"/>
              <w:ind w:firstLine="0" w:firstLineChars="0"/>
              <w:jc w:val="center"/>
              <w:rPr>
                <w:sz w:val="24"/>
              </w:rPr>
            </w:pPr>
          </w:p>
          <w:p>
            <w:pPr>
              <w:widowControl w:val="0"/>
              <w:wordWrap w:val="0"/>
              <w:spacing w:line="600" w:lineRule="exact"/>
              <w:ind w:right="120" w:firstLine="0" w:firstLineChars="0"/>
              <w:jc w:val="center"/>
              <w:rPr>
                <w:rFonts w:cs="Calibri"/>
                <w:sz w:val="24"/>
              </w:rPr>
            </w:pPr>
            <w:r>
              <w:rPr>
                <w:rFonts w:cs="Calibri"/>
                <w:sz w:val="24"/>
                <w:lang w:bidi="ar"/>
              </w:rPr>
              <w:t xml:space="preserve">     </w:t>
            </w:r>
          </w:p>
          <w:p>
            <w:pPr>
              <w:widowControl w:val="0"/>
              <w:wordWrap w:val="0"/>
              <w:spacing w:line="600" w:lineRule="exact"/>
              <w:ind w:right="120" w:firstLine="0" w:firstLineChars="0"/>
              <w:jc w:val="center"/>
              <w:rPr>
                <w:sz w:val="24"/>
              </w:rPr>
            </w:pPr>
            <w:r>
              <w:rPr>
                <w:rFonts w:cs="Calibri"/>
                <w:sz w:val="24"/>
                <w:lang w:bidi="ar"/>
              </w:rPr>
              <w:t xml:space="preserve">    </w:t>
            </w:r>
            <w:r>
              <w:rPr>
                <w:rFonts w:hint="eastAsia" w:ascii="宋体" w:hAnsi="宋体" w:cs="宋体"/>
                <w:sz w:val="24"/>
                <w:lang w:bidi="ar"/>
              </w:rPr>
              <w:t>年</w:t>
            </w:r>
            <w:r>
              <w:rPr>
                <w:rFonts w:cs="Calibri"/>
                <w:sz w:val="24"/>
                <w:lang w:bidi="ar"/>
              </w:rPr>
              <w:t xml:space="preserve">  </w:t>
            </w:r>
            <w:r>
              <w:rPr>
                <w:rFonts w:hint="eastAsia" w:ascii="宋体" w:hAnsi="宋体" w:cs="宋体"/>
                <w:sz w:val="24"/>
                <w:lang w:bidi="ar"/>
              </w:rPr>
              <w:t>月</w:t>
            </w:r>
            <w:r>
              <w:rPr>
                <w:rFonts w:cs="Calibri"/>
                <w:sz w:val="24"/>
                <w:lang w:bidi="ar"/>
              </w:rPr>
              <w:t xml:space="preserve">  </w:t>
            </w:r>
            <w:r>
              <w:rPr>
                <w:rFonts w:hint="eastAsia" w:ascii="宋体" w:hAnsi="宋体" w:cs="宋体"/>
                <w:sz w:val="24"/>
                <w:lang w:bidi="ar"/>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0" w:hRule="atLeast"/>
        </w:trPr>
        <w:tc>
          <w:tcPr>
            <w:tcW w:w="587" w:type="pct"/>
            <w:vMerge w:val="continue"/>
            <w:tcBorders>
              <w:top w:val="single" w:color="auto" w:sz="4" w:space="0"/>
              <w:left w:val="single" w:color="auto" w:sz="4" w:space="0"/>
              <w:bottom w:val="single" w:color="auto" w:sz="4" w:space="0"/>
              <w:right w:val="single" w:color="auto" w:sz="4" w:space="0"/>
            </w:tcBorders>
            <w:vAlign w:val="center"/>
          </w:tcPr>
          <w:p>
            <w:pPr>
              <w:widowControl w:val="0"/>
              <w:spacing w:line="240" w:lineRule="auto"/>
              <w:ind w:firstLine="0" w:firstLineChars="0"/>
              <w:rPr>
                <w:sz w:val="20"/>
                <w:szCs w:val="20"/>
              </w:rPr>
            </w:pPr>
          </w:p>
        </w:tc>
        <w:tc>
          <w:tcPr>
            <w:tcW w:w="858" w:type="pct"/>
            <w:tcBorders>
              <w:top w:val="single" w:color="auto" w:sz="4" w:space="0"/>
              <w:left w:val="nil"/>
              <w:bottom w:val="single" w:color="auto" w:sz="4" w:space="0"/>
              <w:right w:val="single" w:color="auto" w:sz="4" w:space="0"/>
            </w:tcBorders>
            <w:vAlign w:val="center"/>
          </w:tcPr>
          <w:p>
            <w:pPr>
              <w:widowControl w:val="0"/>
              <w:spacing w:line="600" w:lineRule="exact"/>
              <w:ind w:firstLine="0" w:firstLineChars="0"/>
              <w:jc w:val="center"/>
              <w:rPr>
                <w:sz w:val="24"/>
              </w:rPr>
            </w:pPr>
            <w:r>
              <w:rPr>
                <w:rFonts w:hint="eastAsia" w:ascii="宋体" w:hAnsi="宋体" w:cs="宋体"/>
                <w:sz w:val="24"/>
                <w:lang w:bidi="ar"/>
              </w:rPr>
              <w:t>法定代表人</w:t>
            </w:r>
          </w:p>
        </w:tc>
        <w:tc>
          <w:tcPr>
            <w:tcW w:w="2478" w:type="pct"/>
            <w:gridSpan w:val="6"/>
            <w:tcBorders>
              <w:top w:val="single" w:color="auto" w:sz="4" w:space="0"/>
              <w:left w:val="nil"/>
              <w:bottom w:val="single" w:color="auto" w:sz="4" w:space="0"/>
              <w:right w:val="single" w:color="auto" w:sz="4" w:space="0"/>
            </w:tcBorders>
            <w:vAlign w:val="center"/>
          </w:tcPr>
          <w:p>
            <w:pPr>
              <w:widowControl w:val="0"/>
              <w:spacing w:line="600" w:lineRule="exact"/>
              <w:ind w:firstLine="0" w:firstLineChars="0"/>
              <w:jc w:val="right"/>
              <w:rPr>
                <w:sz w:val="24"/>
              </w:rPr>
            </w:pPr>
            <w:r>
              <w:rPr>
                <w:sz w:val="24"/>
                <w:lang w:bidi="ar"/>
              </w:rPr>
              <w:t>(</w:t>
            </w:r>
            <w:r>
              <w:rPr>
                <w:rFonts w:hint="eastAsia" w:ascii="宋体" w:hAnsi="宋体" w:cs="宋体"/>
                <w:sz w:val="24"/>
                <w:lang w:bidi="ar"/>
              </w:rPr>
              <w:t>签字或签章</w:t>
            </w:r>
            <w:r>
              <w:rPr>
                <w:sz w:val="24"/>
                <w:lang w:bidi="ar"/>
              </w:rPr>
              <w:t>)</w:t>
            </w:r>
          </w:p>
        </w:tc>
        <w:tc>
          <w:tcPr>
            <w:tcW w:w="1075" w:type="pct"/>
            <w:vMerge w:val="continue"/>
            <w:tcBorders>
              <w:top w:val="single" w:color="auto" w:sz="4" w:space="0"/>
              <w:left w:val="nil"/>
              <w:bottom w:val="single" w:color="auto" w:sz="4" w:space="0"/>
              <w:right w:val="single" w:color="auto" w:sz="4" w:space="0"/>
            </w:tcBorders>
          </w:tcPr>
          <w:p>
            <w:pPr>
              <w:widowControl w:val="0"/>
              <w:spacing w:line="240" w:lineRule="auto"/>
              <w:ind w:firstLine="0" w:firstLineChars="0"/>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587" w:type="pct"/>
            <w:vMerge w:val="continue"/>
            <w:tcBorders>
              <w:top w:val="single" w:color="auto" w:sz="4" w:space="0"/>
              <w:left w:val="single" w:color="auto" w:sz="4" w:space="0"/>
              <w:bottom w:val="single" w:color="auto" w:sz="4" w:space="0"/>
              <w:right w:val="single" w:color="auto" w:sz="4" w:space="0"/>
            </w:tcBorders>
            <w:vAlign w:val="center"/>
          </w:tcPr>
          <w:p>
            <w:pPr>
              <w:widowControl w:val="0"/>
              <w:spacing w:line="240" w:lineRule="auto"/>
              <w:ind w:firstLine="0" w:firstLineChars="0"/>
              <w:rPr>
                <w:sz w:val="20"/>
                <w:szCs w:val="20"/>
              </w:rPr>
            </w:pPr>
          </w:p>
        </w:tc>
        <w:tc>
          <w:tcPr>
            <w:tcW w:w="858" w:type="pct"/>
            <w:tcBorders>
              <w:top w:val="single" w:color="auto" w:sz="4" w:space="0"/>
              <w:left w:val="nil"/>
              <w:bottom w:val="single" w:color="auto" w:sz="4" w:space="0"/>
              <w:right w:val="single" w:color="auto" w:sz="4" w:space="0"/>
            </w:tcBorders>
            <w:vAlign w:val="center"/>
          </w:tcPr>
          <w:p>
            <w:pPr>
              <w:widowControl w:val="0"/>
              <w:spacing w:line="600" w:lineRule="exact"/>
              <w:ind w:firstLine="0" w:firstLineChars="0"/>
              <w:jc w:val="center"/>
              <w:rPr>
                <w:sz w:val="24"/>
              </w:rPr>
            </w:pPr>
            <w:r>
              <w:rPr>
                <w:rFonts w:hint="eastAsia" w:ascii="宋体" w:hAnsi="宋体" w:cs="宋体"/>
                <w:sz w:val="24"/>
                <w:lang w:bidi="ar"/>
              </w:rPr>
              <w:t>委托代理人</w:t>
            </w:r>
          </w:p>
        </w:tc>
        <w:tc>
          <w:tcPr>
            <w:tcW w:w="2478" w:type="pct"/>
            <w:gridSpan w:val="6"/>
            <w:tcBorders>
              <w:top w:val="single" w:color="auto" w:sz="4" w:space="0"/>
              <w:left w:val="nil"/>
              <w:bottom w:val="single" w:color="auto" w:sz="4" w:space="0"/>
              <w:right w:val="single" w:color="auto" w:sz="4" w:space="0"/>
            </w:tcBorders>
            <w:vAlign w:val="center"/>
          </w:tcPr>
          <w:p>
            <w:pPr>
              <w:widowControl w:val="0"/>
              <w:spacing w:line="600" w:lineRule="exact"/>
              <w:ind w:firstLine="0" w:firstLineChars="0"/>
              <w:jc w:val="right"/>
              <w:rPr>
                <w:sz w:val="24"/>
              </w:rPr>
            </w:pPr>
            <w:r>
              <w:rPr>
                <w:sz w:val="24"/>
                <w:lang w:bidi="ar"/>
              </w:rPr>
              <w:t>(</w:t>
            </w:r>
            <w:r>
              <w:rPr>
                <w:rFonts w:hint="eastAsia" w:ascii="宋体" w:hAnsi="宋体" w:cs="宋体"/>
                <w:sz w:val="24"/>
                <w:lang w:bidi="ar"/>
              </w:rPr>
              <w:t>签字或签章</w:t>
            </w:r>
            <w:r>
              <w:rPr>
                <w:sz w:val="24"/>
                <w:lang w:bidi="ar"/>
              </w:rPr>
              <w:t>)</w:t>
            </w:r>
          </w:p>
        </w:tc>
        <w:tc>
          <w:tcPr>
            <w:tcW w:w="1075" w:type="pct"/>
            <w:vMerge w:val="continue"/>
            <w:tcBorders>
              <w:top w:val="single" w:color="auto" w:sz="4" w:space="0"/>
              <w:left w:val="nil"/>
              <w:bottom w:val="single" w:color="auto" w:sz="4" w:space="0"/>
              <w:right w:val="single" w:color="auto" w:sz="4" w:space="0"/>
            </w:tcBorders>
          </w:tcPr>
          <w:p>
            <w:pPr>
              <w:widowControl w:val="0"/>
              <w:spacing w:line="240" w:lineRule="auto"/>
              <w:ind w:firstLine="0" w:firstLineChars="0"/>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2" w:hRule="atLeast"/>
        </w:trPr>
        <w:tc>
          <w:tcPr>
            <w:tcW w:w="587" w:type="pct"/>
            <w:vMerge w:val="continue"/>
            <w:tcBorders>
              <w:top w:val="single" w:color="auto" w:sz="4" w:space="0"/>
              <w:left w:val="single" w:color="auto" w:sz="4" w:space="0"/>
              <w:bottom w:val="single" w:color="auto" w:sz="4" w:space="0"/>
              <w:right w:val="single" w:color="auto" w:sz="4" w:space="0"/>
            </w:tcBorders>
            <w:vAlign w:val="center"/>
          </w:tcPr>
          <w:p>
            <w:pPr>
              <w:widowControl w:val="0"/>
              <w:spacing w:line="240" w:lineRule="auto"/>
              <w:ind w:firstLine="0" w:firstLineChars="0"/>
              <w:rPr>
                <w:sz w:val="20"/>
                <w:szCs w:val="20"/>
              </w:rPr>
            </w:pPr>
          </w:p>
        </w:tc>
        <w:tc>
          <w:tcPr>
            <w:tcW w:w="858" w:type="pct"/>
            <w:tcBorders>
              <w:top w:val="single" w:color="auto" w:sz="4" w:space="0"/>
              <w:left w:val="nil"/>
              <w:bottom w:val="single" w:color="auto" w:sz="4" w:space="0"/>
              <w:right w:val="single" w:color="auto" w:sz="4" w:space="0"/>
            </w:tcBorders>
            <w:vAlign w:val="center"/>
          </w:tcPr>
          <w:p>
            <w:pPr>
              <w:widowControl w:val="0"/>
              <w:spacing w:line="600" w:lineRule="exact"/>
              <w:ind w:firstLine="0" w:firstLineChars="0"/>
              <w:jc w:val="center"/>
              <w:rPr>
                <w:sz w:val="24"/>
              </w:rPr>
            </w:pPr>
            <w:r>
              <w:rPr>
                <w:rFonts w:hint="eastAsia" w:ascii="宋体" w:hAnsi="宋体" w:cs="宋体"/>
                <w:sz w:val="24"/>
                <w:lang w:bidi="ar"/>
              </w:rPr>
              <w:t>联系</w:t>
            </w:r>
            <w:r>
              <w:rPr>
                <w:sz w:val="24"/>
                <w:lang w:bidi="ar"/>
              </w:rPr>
              <w:t>(</w:t>
            </w:r>
            <w:r>
              <w:rPr>
                <w:rFonts w:hint="eastAsia" w:ascii="宋体" w:hAnsi="宋体" w:cs="宋体"/>
                <w:sz w:val="24"/>
                <w:lang w:bidi="ar"/>
              </w:rPr>
              <w:t>经办</w:t>
            </w:r>
            <w:r>
              <w:rPr>
                <w:rFonts w:cs="Calibri"/>
                <w:sz w:val="24"/>
                <w:lang w:bidi="ar"/>
              </w:rPr>
              <w:t>)</w:t>
            </w:r>
            <w:r>
              <w:rPr>
                <w:rFonts w:hint="eastAsia" w:ascii="宋体" w:hAnsi="宋体" w:cs="宋体"/>
                <w:sz w:val="24"/>
                <w:lang w:bidi="ar"/>
              </w:rPr>
              <w:t>人</w:t>
            </w:r>
          </w:p>
        </w:tc>
        <w:tc>
          <w:tcPr>
            <w:tcW w:w="2478" w:type="pct"/>
            <w:gridSpan w:val="6"/>
            <w:tcBorders>
              <w:top w:val="single" w:color="auto" w:sz="4" w:space="0"/>
              <w:left w:val="nil"/>
              <w:bottom w:val="single" w:color="auto" w:sz="4" w:space="0"/>
              <w:right w:val="single" w:color="auto" w:sz="4" w:space="0"/>
            </w:tcBorders>
            <w:vAlign w:val="center"/>
          </w:tcPr>
          <w:p>
            <w:pPr>
              <w:widowControl w:val="0"/>
              <w:spacing w:line="600" w:lineRule="exact"/>
              <w:ind w:firstLine="0" w:firstLineChars="0"/>
              <w:jc w:val="center"/>
              <w:rPr>
                <w:rFonts w:hint="default" w:eastAsia="宋体"/>
                <w:sz w:val="24"/>
                <w:lang w:val="en-US" w:eastAsia="zh-CN"/>
              </w:rPr>
            </w:pPr>
            <w:r>
              <w:rPr>
                <w:rFonts w:hint="eastAsia" w:ascii="宋体" w:hAnsi="宋体" w:cs="宋体"/>
                <w:sz w:val="24"/>
                <w:lang w:val="en-US" w:eastAsia="zh-CN" w:bidi="ar"/>
              </w:rPr>
              <w:t>宋工</w:t>
            </w:r>
          </w:p>
        </w:tc>
        <w:tc>
          <w:tcPr>
            <w:tcW w:w="1075" w:type="pct"/>
            <w:vMerge w:val="continue"/>
            <w:tcBorders>
              <w:top w:val="single" w:color="auto" w:sz="4" w:space="0"/>
              <w:left w:val="nil"/>
              <w:bottom w:val="single" w:color="auto" w:sz="4" w:space="0"/>
              <w:right w:val="single" w:color="auto" w:sz="4" w:space="0"/>
            </w:tcBorders>
          </w:tcPr>
          <w:p>
            <w:pPr>
              <w:widowControl w:val="0"/>
              <w:spacing w:line="240" w:lineRule="auto"/>
              <w:ind w:firstLine="0" w:firstLineChars="0"/>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trPr>
        <w:tc>
          <w:tcPr>
            <w:tcW w:w="587" w:type="pct"/>
            <w:vMerge w:val="continue"/>
            <w:tcBorders>
              <w:top w:val="single" w:color="auto" w:sz="4" w:space="0"/>
              <w:left w:val="single" w:color="auto" w:sz="4" w:space="0"/>
              <w:bottom w:val="single" w:color="auto" w:sz="4" w:space="0"/>
              <w:right w:val="single" w:color="auto" w:sz="4" w:space="0"/>
            </w:tcBorders>
            <w:vAlign w:val="center"/>
          </w:tcPr>
          <w:p>
            <w:pPr>
              <w:widowControl w:val="0"/>
              <w:spacing w:line="240" w:lineRule="auto"/>
              <w:ind w:firstLine="0" w:firstLineChars="0"/>
              <w:rPr>
                <w:sz w:val="20"/>
                <w:szCs w:val="20"/>
              </w:rPr>
            </w:pPr>
          </w:p>
        </w:tc>
        <w:tc>
          <w:tcPr>
            <w:tcW w:w="858" w:type="pct"/>
            <w:vMerge w:val="restart"/>
            <w:tcBorders>
              <w:top w:val="nil"/>
              <w:left w:val="nil"/>
              <w:bottom w:val="single" w:color="auto" w:sz="4" w:space="0"/>
              <w:right w:val="single" w:color="auto" w:sz="4" w:space="0"/>
            </w:tcBorders>
            <w:vAlign w:val="center"/>
          </w:tcPr>
          <w:p>
            <w:pPr>
              <w:widowControl w:val="0"/>
              <w:spacing w:line="600" w:lineRule="exact"/>
              <w:ind w:firstLine="0" w:firstLineChars="0"/>
              <w:jc w:val="center"/>
              <w:rPr>
                <w:sz w:val="24"/>
              </w:rPr>
            </w:pPr>
            <w:r>
              <w:rPr>
                <w:rFonts w:hint="eastAsia" w:ascii="宋体" w:hAnsi="宋体" w:cs="宋体"/>
                <w:sz w:val="24"/>
                <w:lang w:bidi="ar"/>
              </w:rPr>
              <w:t>住所</w:t>
            </w:r>
          </w:p>
          <w:p>
            <w:pPr>
              <w:widowControl w:val="0"/>
              <w:spacing w:line="600" w:lineRule="exact"/>
              <w:ind w:firstLine="0" w:firstLineChars="0"/>
              <w:jc w:val="center"/>
              <w:rPr>
                <w:sz w:val="24"/>
              </w:rPr>
            </w:pPr>
            <w:r>
              <w:rPr>
                <w:sz w:val="24"/>
                <w:lang w:bidi="ar"/>
              </w:rPr>
              <w:t>(</w:t>
            </w:r>
            <w:r>
              <w:rPr>
                <w:rFonts w:hint="eastAsia" w:ascii="宋体" w:hAnsi="宋体" w:cs="宋体"/>
                <w:sz w:val="24"/>
                <w:lang w:bidi="ar"/>
              </w:rPr>
              <w:t>通讯地址</w:t>
            </w:r>
            <w:r>
              <w:rPr>
                <w:rFonts w:cs="Calibri"/>
                <w:sz w:val="24"/>
                <w:lang w:bidi="ar"/>
              </w:rPr>
              <w:t>)</w:t>
            </w:r>
          </w:p>
        </w:tc>
        <w:tc>
          <w:tcPr>
            <w:tcW w:w="1415" w:type="pct"/>
            <w:gridSpan w:val="2"/>
            <w:vMerge w:val="restart"/>
            <w:tcBorders>
              <w:top w:val="nil"/>
              <w:left w:val="nil"/>
              <w:bottom w:val="single" w:color="auto" w:sz="4" w:space="0"/>
              <w:right w:val="single" w:color="auto" w:sz="4" w:space="0"/>
            </w:tcBorders>
            <w:vAlign w:val="center"/>
          </w:tcPr>
          <w:p>
            <w:pPr>
              <w:widowControl w:val="0"/>
              <w:spacing w:line="600" w:lineRule="exact"/>
              <w:ind w:firstLine="0" w:firstLineChars="0"/>
              <w:jc w:val="center"/>
              <w:rPr>
                <w:rFonts w:hint="default" w:eastAsia="宋体"/>
                <w:sz w:val="24"/>
                <w:lang w:val="en-US" w:eastAsia="zh-CN"/>
              </w:rPr>
            </w:pPr>
            <w:r>
              <w:rPr>
                <w:rFonts w:hint="eastAsia"/>
                <w:sz w:val="24"/>
                <w:lang w:val="en-US" w:eastAsia="zh-CN"/>
              </w:rPr>
              <w:t>桂林市临桂区山口生活垃圾卫生填埋场</w:t>
            </w:r>
          </w:p>
        </w:tc>
        <w:tc>
          <w:tcPr>
            <w:tcW w:w="382" w:type="pct"/>
            <w:gridSpan w:val="2"/>
            <w:vMerge w:val="restart"/>
            <w:tcBorders>
              <w:top w:val="nil"/>
              <w:left w:val="nil"/>
              <w:bottom w:val="single" w:color="auto" w:sz="4" w:space="0"/>
              <w:right w:val="single" w:color="auto" w:sz="4" w:space="0"/>
            </w:tcBorders>
            <w:vAlign w:val="center"/>
          </w:tcPr>
          <w:p>
            <w:pPr>
              <w:widowControl w:val="0"/>
              <w:spacing w:line="600" w:lineRule="exact"/>
              <w:ind w:firstLine="0" w:firstLineChars="0"/>
              <w:jc w:val="center"/>
              <w:rPr>
                <w:sz w:val="24"/>
              </w:rPr>
            </w:pPr>
            <w:r>
              <w:rPr>
                <w:rFonts w:hint="eastAsia" w:ascii="宋体" w:hAnsi="宋体" w:cs="宋体"/>
                <w:sz w:val="24"/>
                <w:lang w:bidi="ar"/>
              </w:rPr>
              <w:t>邮政</w:t>
            </w:r>
          </w:p>
          <w:p>
            <w:pPr>
              <w:widowControl w:val="0"/>
              <w:spacing w:line="600" w:lineRule="exact"/>
              <w:ind w:firstLine="0" w:firstLineChars="0"/>
              <w:jc w:val="center"/>
              <w:rPr>
                <w:sz w:val="24"/>
              </w:rPr>
            </w:pPr>
            <w:r>
              <w:rPr>
                <w:rFonts w:hint="eastAsia" w:ascii="宋体" w:hAnsi="宋体" w:cs="宋体"/>
                <w:sz w:val="24"/>
                <w:lang w:bidi="ar"/>
              </w:rPr>
              <w:t>编码</w:t>
            </w:r>
          </w:p>
        </w:tc>
        <w:tc>
          <w:tcPr>
            <w:tcW w:w="680" w:type="pct"/>
            <w:gridSpan w:val="2"/>
            <w:vMerge w:val="restart"/>
            <w:tcBorders>
              <w:top w:val="single" w:color="auto" w:sz="4" w:space="0"/>
              <w:left w:val="nil"/>
              <w:bottom w:val="single" w:color="auto" w:sz="4" w:space="0"/>
              <w:right w:val="single" w:color="auto" w:sz="4" w:space="0"/>
            </w:tcBorders>
            <w:vAlign w:val="center"/>
          </w:tcPr>
          <w:p>
            <w:pPr>
              <w:widowControl w:val="0"/>
              <w:spacing w:line="600" w:lineRule="exact"/>
              <w:ind w:firstLine="0" w:firstLineChars="0"/>
              <w:jc w:val="center"/>
              <w:rPr>
                <w:sz w:val="24"/>
              </w:rPr>
            </w:pPr>
          </w:p>
        </w:tc>
        <w:tc>
          <w:tcPr>
            <w:tcW w:w="1075" w:type="pct"/>
            <w:vMerge w:val="continue"/>
            <w:tcBorders>
              <w:top w:val="single" w:color="auto" w:sz="4" w:space="0"/>
              <w:left w:val="nil"/>
              <w:bottom w:val="single" w:color="auto" w:sz="4" w:space="0"/>
              <w:right w:val="single" w:color="auto" w:sz="4" w:space="0"/>
            </w:tcBorders>
          </w:tcPr>
          <w:p>
            <w:pPr>
              <w:widowControl w:val="0"/>
              <w:spacing w:line="240" w:lineRule="auto"/>
              <w:ind w:firstLine="0" w:firstLineChars="0"/>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trPr>
        <w:tc>
          <w:tcPr>
            <w:tcW w:w="587" w:type="pct"/>
            <w:vMerge w:val="continue"/>
            <w:tcBorders>
              <w:top w:val="single" w:color="auto" w:sz="4" w:space="0"/>
              <w:left w:val="single" w:color="auto" w:sz="4" w:space="0"/>
              <w:bottom w:val="single" w:color="auto" w:sz="4" w:space="0"/>
              <w:right w:val="single" w:color="auto" w:sz="4" w:space="0"/>
            </w:tcBorders>
            <w:vAlign w:val="center"/>
          </w:tcPr>
          <w:p>
            <w:pPr>
              <w:widowControl w:val="0"/>
              <w:spacing w:line="240" w:lineRule="auto"/>
              <w:ind w:firstLine="0" w:firstLineChars="0"/>
              <w:rPr>
                <w:sz w:val="20"/>
                <w:szCs w:val="20"/>
              </w:rPr>
            </w:pPr>
          </w:p>
        </w:tc>
        <w:tc>
          <w:tcPr>
            <w:tcW w:w="858" w:type="pct"/>
            <w:vMerge w:val="continue"/>
            <w:tcBorders>
              <w:top w:val="nil"/>
              <w:left w:val="nil"/>
              <w:bottom w:val="single" w:color="auto" w:sz="4" w:space="0"/>
              <w:right w:val="single" w:color="auto" w:sz="4" w:space="0"/>
            </w:tcBorders>
            <w:vAlign w:val="center"/>
          </w:tcPr>
          <w:p>
            <w:pPr>
              <w:widowControl w:val="0"/>
              <w:spacing w:line="240" w:lineRule="auto"/>
              <w:ind w:firstLine="0" w:firstLineChars="0"/>
              <w:rPr>
                <w:sz w:val="20"/>
                <w:szCs w:val="20"/>
              </w:rPr>
            </w:pPr>
          </w:p>
        </w:tc>
        <w:tc>
          <w:tcPr>
            <w:tcW w:w="1415" w:type="pct"/>
            <w:gridSpan w:val="2"/>
            <w:vMerge w:val="continue"/>
            <w:tcBorders>
              <w:top w:val="nil"/>
              <w:left w:val="nil"/>
              <w:bottom w:val="single" w:color="auto" w:sz="4" w:space="0"/>
              <w:right w:val="single" w:color="auto" w:sz="4" w:space="0"/>
            </w:tcBorders>
            <w:vAlign w:val="center"/>
          </w:tcPr>
          <w:p>
            <w:pPr>
              <w:widowControl w:val="0"/>
              <w:spacing w:line="240" w:lineRule="auto"/>
              <w:ind w:firstLine="0" w:firstLineChars="0"/>
              <w:rPr>
                <w:sz w:val="20"/>
                <w:szCs w:val="20"/>
              </w:rPr>
            </w:pPr>
          </w:p>
        </w:tc>
        <w:tc>
          <w:tcPr>
            <w:tcW w:w="382" w:type="pct"/>
            <w:gridSpan w:val="2"/>
            <w:vMerge w:val="continue"/>
            <w:tcBorders>
              <w:top w:val="nil"/>
              <w:left w:val="nil"/>
              <w:bottom w:val="single" w:color="auto" w:sz="4" w:space="0"/>
              <w:right w:val="single" w:color="auto" w:sz="4" w:space="0"/>
            </w:tcBorders>
            <w:vAlign w:val="center"/>
          </w:tcPr>
          <w:p>
            <w:pPr>
              <w:widowControl w:val="0"/>
              <w:spacing w:line="240" w:lineRule="auto"/>
              <w:ind w:firstLine="0" w:firstLineChars="0"/>
              <w:rPr>
                <w:sz w:val="20"/>
                <w:szCs w:val="20"/>
              </w:rPr>
            </w:pPr>
          </w:p>
        </w:tc>
        <w:tc>
          <w:tcPr>
            <w:tcW w:w="680" w:type="pct"/>
            <w:gridSpan w:val="2"/>
            <w:vMerge w:val="continue"/>
            <w:tcBorders>
              <w:top w:val="single" w:color="auto" w:sz="4" w:space="0"/>
              <w:left w:val="nil"/>
              <w:bottom w:val="single" w:color="auto" w:sz="4" w:space="0"/>
              <w:right w:val="single" w:color="auto" w:sz="4" w:space="0"/>
            </w:tcBorders>
            <w:vAlign w:val="center"/>
          </w:tcPr>
          <w:p>
            <w:pPr>
              <w:widowControl w:val="0"/>
              <w:spacing w:line="240" w:lineRule="auto"/>
              <w:ind w:firstLine="0" w:firstLineChars="0"/>
              <w:rPr>
                <w:sz w:val="20"/>
                <w:szCs w:val="20"/>
              </w:rPr>
            </w:pPr>
          </w:p>
        </w:tc>
        <w:tc>
          <w:tcPr>
            <w:tcW w:w="1075" w:type="pct"/>
            <w:vMerge w:val="continue"/>
            <w:tcBorders>
              <w:top w:val="single" w:color="auto" w:sz="4" w:space="0"/>
              <w:left w:val="nil"/>
              <w:bottom w:val="single" w:color="auto" w:sz="4" w:space="0"/>
              <w:right w:val="single" w:color="auto" w:sz="4" w:space="0"/>
            </w:tcBorders>
          </w:tcPr>
          <w:p>
            <w:pPr>
              <w:widowControl w:val="0"/>
              <w:spacing w:line="240" w:lineRule="auto"/>
              <w:ind w:firstLine="0" w:firstLineChars="0"/>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4" w:hRule="atLeast"/>
        </w:trPr>
        <w:tc>
          <w:tcPr>
            <w:tcW w:w="587" w:type="pct"/>
            <w:vMerge w:val="continue"/>
            <w:tcBorders>
              <w:top w:val="single" w:color="auto" w:sz="4" w:space="0"/>
              <w:left w:val="single" w:color="auto" w:sz="4" w:space="0"/>
              <w:bottom w:val="single" w:color="auto" w:sz="4" w:space="0"/>
              <w:right w:val="single" w:color="auto" w:sz="4" w:space="0"/>
            </w:tcBorders>
            <w:vAlign w:val="center"/>
          </w:tcPr>
          <w:p>
            <w:pPr>
              <w:widowControl w:val="0"/>
              <w:spacing w:line="240" w:lineRule="auto"/>
              <w:ind w:firstLine="0" w:firstLineChars="0"/>
              <w:rPr>
                <w:sz w:val="20"/>
                <w:szCs w:val="20"/>
              </w:rPr>
            </w:pPr>
          </w:p>
        </w:tc>
        <w:tc>
          <w:tcPr>
            <w:tcW w:w="858" w:type="pct"/>
            <w:tcBorders>
              <w:top w:val="single" w:color="auto" w:sz="4" w:space="0"/>
              <w:left w:val="nil"/>
              <w:bottom w:val="single" w:color="auto" w:sz="4" w:space="0"/>
              <w:right w:val="single" w:color="auto" w:sz="4" w:space="0"/>
            </w:tcBorders>
            <w:vAlign w:val="center"/>
          </w:tcPr>
          <w:p>
            <w:pPr>
              <w:widowControl w:val="0"/>
              <w:spacing w:line="600" w:lineRule="exact"/>
              <w:ind w:firstLine="0" w:firstLineChars="0"/>
              <w:jc w:val="center"/>
              <w:rPr>
                <w:sz w:val="24"/>
              </w:rPr>
            </w:pPr>
            <w:r>
              <w:rPr>
                <w:rFonts w:hint="eastAsia" w:ascii="宋体" w:hAnsi="宋体" w:cs="宋体"/>
                <w:sz w:val="24"/>
                <w:lang w:bidi="ar"/>
              </w:rPr>
              <w:t>电话</w:t>
            </w:r>
          </w:p>
        </w:tc>
        <w:tc>
          <w:tcPr>
            <w:tcW w:w="1047" w:type="pct"/>
            <w:tcBorders>
              <w:top w:val="single" w:color="auto" w:sz="4" w:space="0"/>
              <w:left w:val="nil"/>
              <w:bottom w:val="single" w:color="auto" w:sz="4" w:space="0"/>
              <w:right w:val="single" w:color="auto" w:sz="4" w:space="0"/>
            </w:tcBorders>
            <w:vAlign w:val="center"/>
          </w:tcPr>
          <w:p>
            <w:pPr>
              <w:widowControl w:val="0"/>
              <w:spacing w:line="600" w:lineRule="exact"/>
              <w:ind w:firstLine="0" w:firstLineChars="0"/>
              <w:jc w:val="center"/>
              <w:rPr>
                <w:rFonts w:hint="default" w:eastAsia="宋体"/>
                <w:sz w:val="24"/>
                <w:lang w:val="en-US" w:eastAsia="zh-CN"/>
              </w:rPr>
            </w:pPr>
            <w:r>
              <w:rPr>
                <w:rFonts w:hint="eastAsia"/>
                <w:sz w:val="24"/>
                <w:lang w:val="en-US" w:eastAsia="zh-CN"/>
              </w:rPr>
              <w:t>0773-6776620</w:t>
            </w:r>
          </w:p>
        </w:tc>
        <w:tc>
          <w:tcPr>
            <w:tcW w:w="367" w:type="pct"/>
            <w:tcBorders>
              <w:top w:val="single" w:color="auto" w:sz="4" w:space="0"/>
              <w:left w:val="nil"/>
              <w:bottom w:val="nil"/>
              <w:right w:val="single" w:color="auto" w:sz="4" w:space="0"/>
            </w:tcBorders>
            <w:vAlign w:val="center"/>
          </w:tcPr>
          <w:p>
            <w:pPr>
              <w:widowControl w:val="0"/>
              <w:spacing w:line="600" w:lineRule="exact"/>
              <w:ind w:firstLine="0" w:firstLineChars="0"/>
              <w:jc w:val="center"/>
              <w:rPr>
                <w:sz w:val="24"/>
              </w:rPr>
            </w:pPr>
            <w:r>
              <w:rPr>
                <w:rFonts w:hint="eastAsia" w:ascii="宋体" w:hAnsi="宋体" w:cs="宋体"/>
                <w:sz w:val="24"/>
                <w:lang w:bidi="ar"/>
              </w:rPr>
              <w:t>邮箱</w:t>
            </w:r>
          </w:p>
        </w:tc>
        <w:tc>
          <w:tcPr>
            <w:tcW w:w="1063" w:type="pct"/>
            <w:gridSpan w:val="4"/>
            <w:tcBorders>
              <w:top w:val="single" w:color="auto" w:sz="4" w:space="0"/>
              <w:left w:val="nil"/>
              <w:bottom w:val="single" w:color="auto" w:sz="4" w:space="0"/>
              <w:right w:val="single" w:color="auto" w:sz="4" w:space="0"/>
            </w:tcBorders>
          </w:tcPr>
          <w:p>
            <w:pPr>
              <w:widowControl w:val="0"/>
              <w:spacing w:line="600" w:lineRule="exact"/>
              <w:ind w:firstLine="0" w:firstLineChars="0"/>
              <w:jc w:val="left"/>
              <w:rPr>
                <w:sz w:val="24"/>
              </w:rPr>
            </w:pPr>
          </w:p>
        </w:tc>
        <w:tc>
          <w:tcPr>
            <w:tcW w:w="1075" w:type="pct"/>
            <w:vMerge w:val="continue"/>
            <w:tcBorders>
              <w:top w:val="single" w:color="auto" w:sz="4" w:space="0"/>
              <w:left w:val="nil"/>
              <w:bottom w:val="single" w:color="auto" w:sz="4" w:space="0"/>
              <w:right w:val="single" w:color="auto" w:sz="4" w:space="0"/>
            </w:tcBorders>
          </w:tcPr>
          <w:p>
            <w:pPr>
              <w:widowControl w:val="0"/>
              <w:spacing w:line="240" w:lineRule="auto"/>
              <w:ind w:firstLine="0" w:firstLineChars="0"/>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trPr>
        <w:tc>
          <w:tcPr>
            <w:tcW w:w="587" w:type="pct"/>
            <w:vMerge w:val="continue"/>
            <w:tcBorders>
              <w:top w:val="single" w:color="auto" w:sz="4" w:space="0"/>
              <w:left w:val="single" w:color="auto" w:sz="4" w:space="0"/>
              <w:bottom w:val="single" w:color="auto" w:sz="4" w:space="0"/>
              <w:right w:val="single" w:color="auto" w:sz="4" w:space="0"/>
            </w:tcBorders>
            <w:vAlign w:val="center"/>
          </w:tcPr>
          <w:p>
            <w:pPr>
              <w:widowControl w:val="0"/>
              <w:spacing w:line="240" w:lineRule="auto"/>
              <w:ind w:firstLine="0" w:firstLineChars="0"/>
              <w:rPr>
                <w:sz w:val="20"/>
                <w:szCs w:val="20"/>
              </w:rPr>
            </w:pPr>
          </w:p>
        </w:tc>
        <w:tc>
          <w:tcPr>
            <w:tcW w:w="858" w:type="pct"/>
            <w:tcBorders>
              <w:top w:val="single" w:color="auto" w:sz="4" w:space="0"/>
              <w:left w:val="nil"/>
              <w:bottom w:val="single" w:color="auto" w:sz="4" w:space="0"/>
              <w:right w:val="single" w:color="auto" w:sz="4" w:space="0"/>
            </w:tcBorders>
            <w:vAlign w:val="center"/>
          </w:tcPr>
          <w:p>
            <w:pPr>
              <w:widowControl w:val="0"/>
              <w:spacing w:line="600" w:lineRule="exact"/>
              <w:ind w:firstLine="0" w:firstLineChars="0"/>
              <w:jc w:val="center"/>
              <w:rPr>
                <w:sz w:val="24"/>
              </w:rPr>
            </w:pPr>
            <w:r>
              <w:rPr>
                <w:rFonts w:hint="eastAsia" w:ascii="宋体" w:hAnsi="宋体" w:cs="宋体"/>
                <w:sz w:val="24"/>
                <w:lang w:bidi="ar"/>
              </w:rPr>
              <w:t>开户银行</w:t>
            </w:r>
          </w:p>
        </w:tc>
        <w:tc>
          <w:tcPr>
            <w:tcW w:w="2478" w:type="pct"/>
            <w:gridSpan w:val="6"/>
            <w:tcBorders>
              <w:top w:val="single" w:color="auto" w:sz="4" w:space="0"/>
              <w:left w:val="nil"/>
              <w:bottom w:val="single" w:color="auto" w:sz="4" w:space="0"/>
              <w:right w:val="single" w:color="auto" w:sz="4" w:space="0"/>
            </w:tcBorders>
            <w:vAlign w:val="center"/>
          </w:tcPr>
          <w:p>
            <w:pPr>
              <w:widowControl w:val="0"/>
              <w:spacing w:line="600" w:lineRule="exact"/>
              <w:ind w:firstLine="0" w:firstLineChars="0"/>
              <w:jc w:val="center"/>
              <w:rPr>
                <w:rFonts w:hint="default" w:eastAsia="宋体"/>
                <w:sz w:val="24"/>
                <w:lang w:val="en-US" w:eastAsia="zh-CN"/>
              </w:rPr>
            </w:pPr>
            <w:r>
              <w:rPr>
                <w:rFonts w:hint="eastAsia"/>
                <w:sz w:val="24"/>
                <w:lang w:val="en-US" w:eastAsia="zh-CN"/>
              </w:rPr>
              <w:t>中国建设银行桂林城中支行</w:t>
            </w:r>
          </w:p>
        </w:tc>
        <w:tc>
          <w:tcPr>
            <w:tcW w:w="1075" w:type="pct"/>
            <w:vMerge w:val="continue"/>
            <w:tcBorders>
              <w:top w:val="single" w:color="auto" w:sz="4" w:space="0"/>
              <w:left w:val="nil"/>
              <w:bottom w:val="single" w:color="auto" w:sz="4" w:space="0"/>
              <w:right w:val="single" w:color="auto" w:sz="4" w:space="0"/>
            </w:tcBorders>
          </w:tcPr>
          <w:p>
            <w:pPr>
              <w:widowControl w:val="0"/>
              <w:spacing w:line="240" w:lineRule="auto"/>
              <w:ind w:firstLine="0" w:firstLineChars="0"/>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trPr>
        <w:tc>
          <w:tcPr>
            <w:tcW w:w="587" w:type="pct"/>
            <w:vMerge w:val="continue"/>
            <w:tcBorders>
              <w:top w:val="single" w:color="auto" w:sz="4" w:space="0"/>
              <w:left w:val="single" w:color="auto" w:sz="4" w:space="0"/>
              <w:bottom w:val="single" w:color="auto" w:sz="4" w:space="0"/>
              <w:right w:val="single" w:color="auto" w:sz="4" w:space="0"/>
            </w:tcBorders>
            <w:vAlign w:val="center"/>
          </w:tcPr>
          <w:p>
            <w:pPr>
              <w:widowControl w:val="0"/>
              <w:spacing w:line="240" w:lineRule="auto"/>
              <w:ind w:firstLine="0" w:firstLineChars="0"/>
              <w:rPr>
                <w:sz w:val="20"/>
                <w:szCs w:val="20"/>
              </w:rPr>
            </w:pPr>
          </w:p>
        </w:tc>
        <w:tc>
          <w:tcPr>
            <w:tcW w:w="858" w:type="pct"/>
            <w:tcBorders>
              <w:top w:val="single" w:color="auto" w:sz="4" w:space="0"/>
              <w:left w:val="nil"/>
              <w:bottom w:val="single" w:color="auto" w:sz="4" w:space="0"/>
              <w:right w:val="single" w:color="auto" w:sz="4" w:space="0"/>
            </w:tcBorders>
            <w:vAlign w:val="center"/>
          </w:tcPr>
          <w:p>
            <w:pPr>
              <w:widowControl w:val="0"/>
              <w:spacing w:line="600" w:lineRule="exact"/>
              <w:ind w:firstLine="0" w:firstLineChars="0"/>
              <w:jc w:val="center"/>
              <w:rPr>
                <w:sz w:val="24"/>
              </w:rPr>
            </w:pPr>
            <w:r>
              <w:rPr>
                <w:rFonts w:hint="eastAsia" w:ascii="宋体" w:hAnsi="宋体" w:cs="宋体"/>
                <w:sz w:val="24"/>
                <w:lang w:bidi="ar"/>
              </w:rPr>
              <w:t>账号</w:t>
            </w:r>
          </w:p>
        </w:tc>
        <w:tc>
          <w:tcPr>
            <w:tcW w:w="2478" w:type="pct"/>
            <w:gridSpan w:val="6"/>
            <w:tcBorders>
              <w:top w:val="single" w:color="auto" w:sz="4" w:space="0"/>
              <w:left w:val="nil"/>
              <w:bottom w:val="single" w:color="auto" w:sz="4" w:space="0"/>
              <w:right w:val="single" w:color="auto" w:sz="4" w:space="0"/>
            </w:tcBorders>
            <w:vAlign w:val="center"/>
          </w:tcPr>
          <w:p>
            <w:pPr>
              <w:widowControl w:val="0"/>
              <w:spacing w:line="600" w:lineRule="exact"/>
              <w:ind w:firstLine="0" w:firstLineChars="0"/>
              <w:jc w:val="center"/>
              <w:rPr>
                <w:rFonts w:hint="default" w:eastAsia="宋体"/>
                <w:sz w:val="24"/>
                <w:lang w:val="en-US" w:eastAsia="zh-CN"/>
              </w:rPr>
            </w:pPr>
            <w:r>
              <w:rPr>
                <w:rFonts w:hint="eastAsia"/>
                <w:sz w:val="24"/>
                <w:lang w:val="en-US" w:eastAsia="zh-CN"/>
              </w:rPr>
              <w:t>45001635506059888666</w:t>
            </w:r>
          </w:p>
        </w:tc>
        <w:tc>
          <w:tcPr>
            <w:tcW w:w="1075" w:type="pct"/>
            <w:vMerge w:val="continue"/>
            <w:tcBorders>
              <w:top w:val="single" w:color="auto" w:sz="4" w:space="0"/>
              <w:left w:val="nil"/>
              <w:bottom w:val="single" w:color="auto" w:sz="4" w:space="0"/>
              <w:right w:val="single" w:color="auto" w:sz="4" w:space="0"/>
            </w:tcBorders>
          </w:tcPr>
          <w:p>
            <w:pPr>
              <w:widowControl w:val="0"/>
              <w:spacing w:line="240" w:lineRule="auto"/>
              <w:ind w:firstLine="0" w:firstLineChars="0"/>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trPr>
        <w:tc>
          <w:tcPr>
            <w:tcW w:w="587" w:type="pct"/>
            <w:vMerge w:val="restart"/>
            <w:tcBorders>
              <w:top w:val="nil"/>
              <w:left w:val="single" w:color="auto" w:sz="4" w:space="0"/>
              <w:bottom w:val="single" w:color="auto" w:sz="4" w:space="0"/>
              <w:right w:val="single" w:color="auto" w:sz="4" w:space="0"/>
            </w:tcBorders>
            <w:vAlign w:val="center"/>
          </w:tcPr>
          <w:p>
            <w:pPr>
              <w:widowControl w:val="0"/>
              <w:spacing w:line="500" w:lineRule="exact"/>
              <w:ind w:left="113" w:right="113" w:firstLine="0" w:firstLineChars="0"/>
              <w:jc w:val="center"/>
              <w:rPr>
                <w:sz w:val="24"/>
              </w:rPr>
            </w:pPr>
            <w:r>
              <w:rPr>
                <w:rFonts w:hint="eastAsia" w:ascii="宋体" w:hAnsi="宋体" w:cs="宋体"/>
                <w:sz w:val="24"/>
                <w:lang w:bidi="ar"/>
              </w:rPr>
              <w:t>受托人</w:t>
            </w:r>
            <w:r>
              <w:rPr>
                <w:sz w:val="24"/>
                <w:lang w:bidi="ar"/>
              </w:rPr>
              <w:t>(</w:t>
            </w:r>
            <w:r>
              <w:rPr>
                <w:rFonts w:hint="eastAsia" w:ascii="宋体" w:hAnsi="宋体" w:cs="宋体"/>
                <w:sz w:val="24"/>
                <w:lang w:bidi="ar"/>
              </w:rPr>
              <w:t>乙方</w:t>
            </w:r>
            <w:r>
              <w:rPr>
                <w:rFonts w:cs="Calibri"/>
                <w:sz w:val="24"/>
                <w:lang w:bidi="ar"/>
              </w:rPr>
              <w:t>)</w:t>
            </w:r>
          </w:p>
        </w:tc>
        <w:tc>
          <w:tcPr>
            <w:tcW w:w="858" w:type="pct"/>
            <w:tcBorders>
              <w:top w:val="single" w:color="auto" w:sz="4" w:space="0"/>
              <w:left w:val="nil"/>
              <w:bottom w:val="single" w:color="auto" w:sz="4" w:space="0"/>
              <w:right w:val="single" w:color="auto" w:sz="4" w:space="0"/>
            </w:tcBorders>
            <w:vAlign w:val="center"/>
          </w:tcPr>
          <w:p>
            <w:pPr>
              <w:widowControl w:val="0"/>
              <w:spacing w:line="600" w:lineRule="exact"/>
              <w:ind w:firstLine="0" w:firstLineChars="0"/>
              <w:jc w:val="center"/>
              <w:rPr>
                <w:sz w:val="24"/>
              </w:rPr>
            </w:pPr>
            <w:r>
              <w:rPr>
                <w:rFonts w:hint="eastAsia" w:ascii="宋体" w:hAnsi="宋体" w:cs="宋体"/>
                <w:sz w:val="24"/>
                <w:lang w:bidi="ar"/>
              </w:rPr>
              <w:t>名称</w:t>
            </w:r>
            <w:r>
              <w:rPr>
                <w:sz w:val="24"/>
                <w:lang w:bidi="ar"/>
              </w:rPr>
              <w:t>(</w:t>
            </w:r>
            <w:r>
              <w:rPr>
                <w:rFonts w:hint="eastAsia" w:ascii="宋体" w:hAnsi="宋体" w:cs="宋体"/>
                <w:sz w:val="24"/>
                <w:lang w:bidi="ar"/>
              </w:rPr>
              <w:t>或姓名</w:t>
            </w:r>
            <w:r>
              <w:rPr>
                <w:rFonts w:cs="Calibri"/>
                <w:sz w:val="24"/>
                <w:lang w:bidi="ar"/>
              </w:rPr>
              <w:t>)</w:t>
            </w:r>
          </w:p>
        </w:tc>
        <w:tc>
          <w:tcPr>
            <w:tcW w:w="2478" w:type="pct"/>
            <w:gridSpan w:val="6"/>
            <w:tcBorders>
              <w:top w:val="single" w:color="auto" w:sz="4" w:space="0"/>
              <w:left w:val="nil"/>
              <w:bottom w:val="single" w:color="auto" w:sz="4" w:space="0"/>
              <w:right w:val="single" w:color="auto" w:sz="4" w:space="0"/>
            </w:tcBorders>
            <w:vAlign w:val="center"/>
          </w:tcPr>
          <w:p>
            <w:pPr>
              <w:widowControl w:val="0"/>
              <w:spacing w:line="600" w:lineRule="exact"/>
              <w:ind w:right="360" w:firstLine="0" w:firstLineChars="0"/>
              <w:rPr>
                <w:sz w:val="24"/>
              </w:rPr>
            </w:pPr>
            <w:r>
              <w:rPr>
                <w:rFonts w:cs="Calibri"/>
                <w:sz w:val="24"/>
                <w:lang w:bidi="ar"/>
              </w:rPr>
              <w:t xml:space="preserve">   </w:t>
            </w:r>
            <w:r>
              <w:rPr>
                <w:rFonts w:hint="eastAsia" w:cs="Calibri"/>
                <w:sz w:val="24"/>
                <w:lang w:bidi="ar"/>
              </w:rPr>
              <w:t>深圳市航天新材科技有限公司</w:t>
            </w:r>
          </w:p>
        </w:tc>
        <w:tc>
          <w:tcPr>
            <w:tcW w:w="1075" w:type="pct"/>
            <w:vMerge w:val="restart"/>
            <w:tcBorders>
              <w:top w:val="nil"/>
              <w:left w:val="nil"/>
              <w:bottom w:val="single" w:color="auto" w:sz="4" w:space="0"/>
              <w:right w:val="single" w:color="auto" w:sz="4" w:space="0"/>
            </w:tcBorders>
          </w:tcPr>
          <w:p>
            <w:pPr>
              <w:widowControl w:val="0"/>
              <w:spacing w:line="600" w:lineRule="exact"/>
              <w:ind w:firstLine="0" w:firstLineChars="0"/>
              <w:jc w:val="center"/>
              <w:rPr>
                <w:sz w:val="24"/>
              </w:rPr>
            </w:pPr>
            <w:r>
              <w:rPr>
                <w:rFonts w:hint="eastAsia" w:ascii="宋体" w:hAnsi="宋体" w:cs="宋体"/>
                <w:sz w:val="24"/>
                <w:lang w:bidi="ar"/>
              </w:rPr>
              <w:t>合同专用章</w:t>
            </w:r>
          </w:p>
          <w:p>
            <w:pPr>
              <w:widowControl w:val="0"/>
              <w:spacing w:line="600" w:lineRule="exact"/>
              <w:ind w:firstLine="0" w:firstLineChars="0"/>
              <w:jc w:val="center"/>
              <w:rPr>
                <w:sz w:val="24"/>
              </w:rPr>
            </w:pPr>
            <w:r>
              <w:rPr>
                <w:rFonts w:hint="eastAsia" w:ascii="宋体" w:hAnsi="宋体" w:cs="宋体"/>
                <w:sz w:val="24"/>
                <w:lang w:bidi="ar"/>
              </w:rPr>
              <w:t>或</w:t>
            </w:r>
          </w:p>
          <w:p>
            <w:pPr>
              <w:widowControl w:val="0"/>
              <w:spacing w:line="600" w:lineRule="exact"/>
              <w:ind w:firstLine="0" w:firstLineChars="0"/>
              <w:jc w:val="center"/>
              <w:rPr>
                <w:sz w:val="24"/>
              </w:rPr>
            </w:pPr>
            <w:r>
              <w:rPr>
                <w:rFonts w:hint="eastAsia" w:ascii="宋体" w:hAnsi="宋体" w:cs="宋体"/>
                <w:sz w:val="24"/>
                <w:lang w:bidi="ar"/>
              </w:rPr>
              <w:t>单位公章</w:t>
            </w:r>
          </w:p>
          <w:p>
            <w:pPr>
              <w:widowControl w:val="0"/>
              <w:spacing w:line="600" w:lineRule="exact"/>
              <w:ind w:firstLine="0" w:firstLineChars="0"/>
              <w:jc w:val="left"/>
              <w:rPr>
                <w:sz w:val="24"/>
              </w:rPr>
            </w:pPr>
          </w:p>
          <w:p>
            <w:pPr>
              <w:widowControl w:val="0"/>
              <w:spacing w:line="600" w:lineRule="exact"/>
              <w:ind w:firstLine="0" w:firstLineChars="0"/>
              <w:jc w:val="left"/>
              <w:rPr>
                <w:sz w:val="24"/>
              </w:rPr>
            </w:pPr>
          </w:p>
          <w:p>
            <w:pPr>
              <w:widowControl w:val="0"/>
              <w:spacing w:line="600" w:lineRule="exact"/>
              <w:ind w:firstLine="0" w:firstLineChars="0"/>
              <w:jc w:val="left"/>
              <w:rPr>
                <w:sz w:val="24"/>
              </w:rPr>
            </w:pPr>
          </w:p>
          <w:p>
            <w:pPr>
              <w:widowControl w:val="0"/>
              <w:spacing w:line="600" w:lineRule="exact"/>
              <w:ind w:firstLine="0" w:firstLineChars="0"/>
              <w:jc w:val="left"/>
              <w:rPr>
                <w:sz w:val="24"/>
              </w:rPr>
            </w:pPr>
          </w:p>
          <w:p>
            <w:pPr>
              <w:widowControl w:val="0"/>
              <w:spacing w:line="600" w:lineRule="exact"/>
              <w:ind w:firstLine="0" w:firstLineChars="0"/>
              <w:jc w:val="left"/>
              <w:rPr>
                <w:sz w:val="24"/>
              </w:rPr>
            </w:pPr>
          </w:p>
          <w:p>
            <w:pPr>
              <w:widowControl w:val="0"/>
              <w:spacing w:line="600" w:lineRule="exact"/>
              <w:ind w:firstLine="0" w:firstLineChars="0"/>
              <w:jc w:val="left"/>
              <w:rPr>
                <w:sz w:val="24"/>
              </w:rPr>
            </w:pPr>
          </w:p>
          <w:p>
            <w:pPr>
              <w:widowControl w:val="0"/>
              <w:spacing w:line="600" w:lineRule="exact"/>
              <w:ind w:firstLine="0" w:firstLineChars="0"/>
              <w:jc w:val="left"/>
              <w:rPr>
                <w:sz w:val="24"/>
              </w:rPr>
            </w:pPr>
            <w:r>
              <w:rPr>
                <w:rFonts w:cs="Calibri"/>
                <w:sz w:val="24"/>
                <w:lang w:bidi="ar"/>
              </w:rPr>
              <w:t xml:space="preserve">      </w:t>
            </w:r>
            <w:r>
              <w:rPr>
                <w:rFonts w:hint="eastAsia" w:ascii="宋体" w:hAnsi="宋体" w:cs="宋体"/>
                <w:sz w:val="24"/>
                <w:lang w:bidi="ar"/>
              </w:rPr>
              <w:t>年</w:t>
            </w:r>
            <w:r>
              <w:rPr>
                <w:rFonts w:cs="Calibri"/>
                <w:sz w:val="24"/>
                <w:lang w:bidi="ar"/>
              </w:rPr>
              <w:t xml:space="preserve">  </w:t>
            </w:r>
            <w:r>
              <w:rPr>
                <w:rFonts w:hint="eastAsia" w:ascii="宋体" w:hAnsi="宋体" w:cs="宋体"/>
                <w:sz w:val="24"/>
                <w:lang w:bidi="ar"/>
              </w:rPr>
              <w:t>月</w:t>
            </w:r>
            <w:r>
              <w:rPr>
                <w:rFonts w:cs="Calibri"/>
                <w:sz w:val="24"/>
                <w:lang w:bidi="ar"/>
              </w:rPr>
              <w:t xml:space="preserve">  </w:t>
            </w:r>
            <w:r>
              <w:rPr>
                <w:rFonts w:hint="eastAsia" w:ascii="宋体" w:hAnsi="宋体" w:cs="宋体"/>
                <w:sz w:val="24"/>
                <w:lang w:bidi="ar"/>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trPr>
        <w:tc>
          <w:tcPr>
            <w:tcW w:w="587" w:type="pct"/>
            <w:vMerge w:val="continue"/>
            <w:tcBorders>
              <w:top w:val="nil"/>
              <w:left w:val="single" w:color="auto" w:sz="4" w:space="0"/>
              <w:bottom w:val="single" w:color="auto" w:sz="4" w:space="0"/>
              <w:right w:val="single" w:color="auto" w:sz="4" w:space="0"/>
            </w:tcBorders>
            <w:vAlign w:val="center"/>
          </w:tcPr>
          <w:p>
            <w:pPr>
              <w:widowControl w:val="0"/>
              <w:spacing w:line="240" w:lineRule="auto"/>
              <w:ind w:firstLine="0" w:firstLineChars="0"/>
              <w:rPr>
                <w:sz w:val="20"/>
                <w:szCs w:val="20"/>
              </w:rPr>
            </w:pPr>
          </w:p>
        </w:tc>
        <w:tc>
          <w:tcPr>
            <w:tcW w:w="858" w:type="pct"/>
            <w:tcBorders>
              <w:top w:val="single" w:color="auto" w:sz="4" w:space="0"/>
              <w:left w:val="nil"/>
              <w:bottom w:val="single" w:color="auto" w:sz="4" w:space="0"/>
              <w:right w:val="single" w:color="auto" w:sz="4" w:space="0"/>
            </w:tcBorders>
            <w:vAlign w:val="center"/>
          </w:tcPr>
          <w:p>
            <w:pPr>
              <w:widowControl w:val="0"/>
              <w:spacing w:line="600" w:lineRule="exact"/>
              <w:ind w:firstLine="0" w:firstLineChars="0"/>
              <w:jc w:val="center"/>
              <w:rPr>
                <w:sz w:val="24"/>
              </w:rPr>
            </w:pPr>
            <w:r>
              <w:rPr>
                <w:rFonts w:hint="eastAsia" w:ascii="宋体" w:hAnsi="宋体" w:cs="宋体"/>
                <w:sz w:val="24"/>
                <w:lang w:bidi="ar"/>
              </w:rPr>
              <w:t>法定代表人</w:t>
            </w:r>
          </w:p>
        </w:tc>
        <w:tc>
          <w:tcPr>
            <w:tcW w:w="2478" w:type="pct"/>
            <w:gridSpan w:val="6"/>
            <w:tcBorders>
              <w:top w:val="single" w:color="auto" w:sz="4" w:space="0"/>
              <w:left w:val="nil"/>
              <w:bottom w:val="single" w:color="auto" w:sz="4" w:space="0"/>
              <w:right w:val="single" w:color="auto" w:sz="4" w:space="0"/>
            </w:tcBorders>
            <w:vAlign w:val="center"/>
          </w:tcPr>
          <w:p>
            <w:pPr>
              <w:widowControl w:val="0"/>
              <w:spacing w:line="600" w:lineRule="exact"/>
              <w:ind w:firstLine="0" w:firstLineChars="0"/>
              <w:jc w:val="right"/>
              <w:rPr>
                <w:sz w:val="24"/>
              </w:rPr>
            </w:pPr>
            <w:r>
              <w:rPr>
                <w:sz w:val="24"/>
                <w:lang w:bidi="ar"/>
              </w:rPr>
              <w:t>(</w:t>
            </w:r>
            <w:r>
              <w:rPr>
                <w:rFonts w:hint="eastAsia" w:ascii="宋体" w:hAnsi="宋体" w:cs="宋体"/>
                <w:sz w:val="24"/>
                <w:lang w:bidi="ar"/>
              </w:rPr>
              <w:t>签字或签章</w:t>
            </w:r>
            <w:r>
              <w:rPr>
                <w:sz w:val="24"/>
                <w:lang w:bidi="ar"/>
              </w:rPr>
              <w:t>)</w:t>
            </w:r>
          </w:p>
        </w:tc>
        <w:tc>
          <w:tcPr>
            <w:tcW w:w="1075" w:type="pct"/>
            <w:vMerge w:val="continue"/>
            <w:tcBorders>
              <w:top w:val="nil"/>
              <w:left w:val="nil"/>
              <w:bottom w:val="single" w:color="auto" w:sz="4" w:space="0"/>
              <w:right w:val="single" w:color="auto" w:sz="4" w:space="0"/>
            </w:tcBorders>
          </w:tcPr>
          <w:p>
            <w:pPr>
              <w:widowControl w:val="0"/>
              <w:spacing w:line="240" w:lineRule="auto"/>
              <w:ind w:firstLine="0" w:firstLineChars="0"/>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trPr>
        <w:tc>
          <w:tcPr>
            <w:tcW w:w="587" w:type="pct"/>
            <w:vMerge w:val="continue"/>
            <w:tcBorders>
              <w:top w:val="nil"/>
              <w:left w:val="single" w:color="auto" w:sz="4" w:space="0"/>
              <w:bottom w:val="single" w:color="auto" w:sz="4" w:space="0"/>
              <w:right w:val="single" w:color="auto" w:sz="4" w:space="0"/>
            </w:tcBorders>
            <w:vAlign w:val="center"/>
          </w:tcPr>
          <w:p>
            <w:pPr>
              <w:widowControl w:val="0"/>
              <w:spacing w:line="240" w:lineRule="auto"/>
              <w:ind w:firstLine="0" w:firstLineChars="0"/>
              <w:rPr>
                <w:sz w:val="20"/>
                <w:szCs w:val="20"/>
              </w:rPr>
            </w:pPr>
          </w:p>
        </w:tc>
        <w:tc>
          <w:tcPr>
            <w:tcW w:w="858" w:type="pct"/>
            <w:tcBorders>
              <w:top w:val="single" w:color="auto" w:sz="4" w:space="0"/>
              <w:left w:val="nil"/>
              <w:bottom w:val="single" w:color="auto" w:sz="4" w:space="0"/>
              <w:right w:val="single" w:color="auto" w:sz="4" w:space="0"/>
            </w:tcBorders>
            <w:vAlign w:val="center"/>
          </w:tcPr>
          <w:p>
            <w:pPr>
              <w:widowControl w:val="0"/>
              <w:spacing w:line="600" w:lineRule="exact"/>
              <w:ind w:firstLine="0" w:firstLineChars="0"/>
              <w:jc w:val="center"/>
              <w:rPr>
                <w:sz w:val="24"/>
              </w:rPr>
            </w:pPr>
            <w:r>
              <w:rPr>
                <w:rFonts w:hint="eastAsia" w:ascii="宋体" w:hAnsi="宋体" w:cs="宋体"/>
                <w:sz w:val="24"/>
                <w:lang w:bidi="ar"/>
              </w:rPr>
              <w:t>联系</w:t>
            </w:r>
            <w:r>
              <w:rPr>
                <w:sz w:val="24"/>
                <w:lang w:bidi="ar"/>
              </w:rPr>
              <w:t>(</w:t>
            </w:r>
            <w:r>
              <w:rPr>
                <w:rFonts w:hint="eastAsia" w:ascii="宋体" w:hAnsi="宋体" w:cs="宋体"/>
                <w:sz w:val="24"/>
                <w:lang w:bidi="ar"/>
              </w:rPr>
              <w:t>经办</w:t>
            </w:r>
            <w:r>
              <w:rPr>
                <w:rFonts w:cs="Calibri"/>
                <w:sz w:val="24"/>
                <w:lang w:bidi="ar"/>
              </w:rPr>
              <w:t>)</w:t>
            </w:r>
            <w:r>
              <w:rPr>
                <w:rFonts w:hint="eastAsia" w:ascii="宋体" w:hAnsi="宋体" w:cs="宋体"/>
                <w:sz w:val="24"/>
                <w:lang w:bidi="ar"/>
              </w:rPr>
              <w:t>人</w:t>
            </w:r>
          </w:p>
        </w:tc>
        <w:tc>
          <w:tcPr>
            <w:tcW w:w="2478" w:type="pct"/>
            <w:gridSpan w:val="6"/>
            <w:tcBorders>
              <w:top w:val="single" w:color="auto" w:sz="4" w:space="0"/>
              <w:left w:val="nil"/>
              <w:bottom w:val="single" w:color="auto" w:sz="4" w:space="0"/>
              <w:right w:val="single" w:color="auto" w:sz="4" w:space="0"/>
            </w:tcBorders>
            <w:vAlign w:val="center"/>
          </w:tcPr>
          <w:p>
            <w:pPr>
              <w:widowControl w:val="0"/>
              <w:spacing w:line="600" w:lineRule="exact"/>
              <w:ind w:firstLine="0" w:firstLineChars="0"/>
              <w:jc w:val="center"/>
              <w:rPr>
                <w:rFonts w:hint="eastAsia" w:eastAsia="宋体"/>
                <w:sz w:val="24"/>
                <w:lang w:eastAsia="zh-CN"/>
              </w:rPr>
            </w:pPr>
            <w:r>
              <w:rPr>
                <w:rFonts w:hint="eastAsia"/>
                <w:sz w:val="24"/>
                <w:lang w:eastAsia="zh-CN"/>
              </w:rPr>
              <w:t>陈博</w:t>
            </w:r>
          </w:p>
        </w:tc>
        <w:tc>
          <w:tcPr>
            <w:tcW w:w="1075" w:type="pct"/>
            <w:vMerge w:val="continue"/>
            <w:tcBorders>
              <w:top w:val="nil"/>
              <w:left w:val="nil"/>
              <w:bottom w:val="single" w:color="auto" w:sz="4" w:space="0"/>
              <w:right w:val="single" w:color="auto" w:sz="4" w:space="0"/>
            </w:tcBorders>
          </w:tcPr>
          <w:p>
            <w:pPr>
              <w:widowControl w:val="0"/>
              <w:spacing w:line="240" w:lineRule="auto"/>
              <w:ind w:firstLine="0" w:firstLineChars="0"/>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0" w:hRule="atLeast"/>
        </w:trPr>
        <w:tc>
          <w:tcPr>
            <w:tcW w:w="587" w:type="pct"/>
            <w:vMerge w:val="continue"/>
            <w:tcBorders>
              <w:top w:val="nil"/>
              <w:left w:val="single" w:color="auto" w:sz="4" w:space="0"/>
              <w:bottom w:val="single" w:color="auto" w:sz="4" w:space="0"/>
              <w:right w:val="single" w:color="auto" w:sz="4" w:space="0"/>
            </w:tcBorders>
            <w:vAlign w:val="center"/>
          </w:tcPr>
          <w:p>
            <w:pPr>
              <w:widowControl w:val="0"/>
              <w:spacing w:line="240" w:lineRule="auto"/>
              <w:ind w:firstLine="0" w:firstLineChars="0"/>
              <w:rPr>
                <w:sz w:val="20"/>
                <w:szCs w:val="20"/>
              </w:rPr>
            </w:pPr>
          </w:p>
        </w:tc>
        <w:tc>
          <w:tcPr>
            <w:tcW w:w="858" w:type="pct"/>
            <w:tcBorders>
              <w:top w:val="single" w:color="auto" w:sz="4" w:space="0"/>
              <w:left w:val="nil"/>
              <w:bottom w:val="single" w:color="auto" w:sz="4" w:space="0"/>
              <w:right w:val="single" w:color="auto" w:sz="4" w:space="0"/>
            </w:tcBorders>
            <w:vAlign w:val="center"/>
          </w:tcPr>
          <w:p>
            <w:pPr>
              <w:widowControl w:val="0"/>
              <w:spacing w:line="600" w:lineRule="exact"/>
              <w:ind w:firstLine="0" w:firstLineChars="0"/>
              <w:jc w:val="center"/>
              <w:rPr>
                <w:sz w:val="24"/>
              </w:rPr>
            </w:pPr>
            <w:r>
              <w:rPr>
                <w:rFonts w:hint="eastAsia" w:ascii="宋体" w:hAnsi="宋体" w:cs="宋体"/>
                <w:sz w:val="24"/>
                <w:lang w:bidi="ar"/>
              </w:rPr>
              <w:t>住所</w:t>
            </w:r>
          </w:p>
          <w:p>
            <w:pPr>
              <w:widowControl w:val="0"/>
              <w:spacing w:line="600" w:lineRule="exact"/>
              <w:ind w:firstLine="0" w:firstLineChars="0"/>
              <w:jc w:val="center"/>
              <w:rPr>
                <w:sz w:val="24"/>
              </w:rPr>
            </w:pPr>
            <w:r>
              <w:rPr>
                <w:sz w:val="24"/>
                <w:lang w:bidi="ar"/>
              </w:rPr>
              <w:t>(</w:t>
            </w:r>
            <w:r>
              <w:rPr>
                <w:rFonts w:hint="eastAsia" w:ascii="宋体" w:hAnsi="宋体" w:cs="宋体"/>
                <w:sz w:val="24"/>
                <w:lang w:bidi="ar"/>
              </w:rPr>
              <w:t>通讯地址</w:t>
            </w:r>
            <w:r>
              <w:rPr>
                <w:rFonts w:cs="Calibri"/>
                <w:sz w:val="24"/>
                <w:lang w:bidi="ar"/>
              </w:rPr>
              <w:t>)</w:t>
            </w:r>
          </w:p>
        </w:tc>
        <w:tc>
          <w:tcPr>
            <w:tcW w:w="1465" w:type="pct"/>
            <w:gridSpan w:val="3"/>
            <w:tcBorders>
              <w:top w:val="single" w:color="auto" w:sz="4" w:space="0"/>
              <w:left w:val="nil"/>
              <w:bottom w:val="single" w:color="auto" w:sz="4" w:space="0"/>
              <w:right w:val="single" w:color="auto" w:sz="4" w:space="0"/>
            </w:tcBorders>
            <w:shd w:val="clear" w:color="auto" w:fill="auto"/>
            <w:vAlign w:val="center"/>
          </w:tcPr>
          <w:p>
            <w:pPr>
              <w:widowControl w:val="0"/>
              <w:spacing w:line="240" w:lineRule="auto"/>
              <w:ind w:firstLine="0" w:firstLineChars="0"/>
              <w:rPr>
                <w:rFonts w:ascii="Times New Roman" w:hAnsi="Times New Roman" w:eastAsia="宋体" w:cs="Times New Roman"/>
                <w:kern w:val="2"/>
                <w:sz w:val="24"/>
                <w:szCs w:val="24"/>
                <w:highlight w:val="none"/>
                <w:lang w:val="en-US" w:eastAsia="zh-CN" w:bidi="ar-SA"/>
              </w:rPr>
            </w:pPr>
            <w:r>
              <w:rPr>
                <w:rFonts w:hint="eastAsia" w:asciiTheme="minorEastAsia" w:hAnsiTheme="minorEastAsia"/>
                <w:sz w:val="24"/>
                <w:highlight w:val="none"/>
              </w:rPr>
              <w:t>深圳市南山区西丽街道西丽社区留仙大道7025号烯创科技大厦A座1701</w:t>
            </w:r>
          </w:p>
        </w:tc>
        <w:tc>
          <w:tcPr>
            <w:tcW w:w="383" w:type="pct"/>
            <w:gridSpan w:val="2"/>
            <w:tcBorders>
              <w:top w:val="single" w:color="auto" w:sz="4" w:space="0"/>
              <w:left w:val="nil"/>
              <w:bottom w:val="single" w:color="auto" w:sz="4" w:space="0"/>
              <w:right w:val="single" w:color="auto" w:sz="4" w:space="0"/>
            </w:tcBorders>
            <w:vAlign w:val="center"/>
          </w:tcPr>
          <w:p>
            <w:pPr>
              <w:widowControl w:val="0"/>
              <w:spacing w:line="600" w:lineRule="exact"/>
              <w:ind w:firstLine="0" w:firstLineChars="0"/>
              <w:jc w:val="center"/>
              <w:rPr>
                <w:sz w:val="24"/>
              </w:rPr>
            </w:pPr>
            <w:r>
              <w:rPr>
                <w:rFonts w:hint="eastAsia" w:ascii="宋体" w:hAnsi="宋体" w:cs="宋体"/>
                <w:sz w:val="24"/>
                <w:lang w:bidi="ar"/>
              </w:rPr>
              <w:t>邮政</w:t>
            </w:r>
          </w:p>
          <w:p>
            <w:pPr>
              <w:widowControl w:val="0"/>
              <w:spacing w:line="600" w:lineRule="exact"/>
              <w:ind w:firstLine="0" w:firstLineChars="0"/>
              <w:jc w:val="center"/>
              <w:rPr>
                <w:sz w:val="24"/>
              </w:rPr>
            </w:pPr>
            <w:r>
              <w:rPr>
                <w:rFonts w:hint="eastAsia" w:ascii="宋体" w:hAnsi="宋体" w:cs="宋体"/>
                <w:sz w:val="24"/>
                <w:lang w:bidi="ar"/>
              </w:rPr>
              <w:t>编码</w:t>
            </w:r>
          </w:p>
        </w:tc>
        <w:tc>
          <w:tcPr>
            <w:tcW w:w="629" w:type="pct"/>
            <w:tcBorders>
              <w:top w:val="single" w:color="auto" w:sz="4" w:space="0"/>
              <w:left w:val="nil"/>
              <w:bottom w:val="single" w:color="auto" w:sz="4" w:space="0"/>
              <w:right w:val="single" w:color="auto" w:sz="4" w:space="0"/>
            </w:tcBorders>
            <w:vAlign w:val="center"/>
          </w:tcPr>
          <w:p>
            <w:pPr>
              <w:widowControl w:val="0"/>
              <w:spacing w:line="600" w:lineRule="exact"/>
              <w:ind w:firstLine="0" w:firstLineChars="0"/>
              <w:jc w:val="center"/>
              <w:rPr>
                <w:sz w:val="24"/>
              </w:rPr>
            </w:pPr>
            <w:r>
              <w:rPr>
                <w:rFonts w:hint="eastAsia" w:asciiTheme="minorEastAsia" w:hAnsiTheme="minorEastAsia"/>
                <w:sz w:val="24"/>
                <w:szCs w:val="24"/>
                <w:lang w:val="en-US" w:eastAsia="zh-CN"/>
              </w:rPr>
              <w:t>518063</w:t>
            </w:r>
          </w:p>
        </w:tc>
        <w:tc>
          <w:tcPr>
            <w:tcW w:w="1075" w:type="pct"/>
            <w:vMerge w:val="continue"/>
            <w:tcBorders>
              <w:top w:val="nil"/>
              <w:left w:val="nil"/>
              <w:bottom w:val="single" w:color="auto" w:sz="4" w:space="0"/>
              <w:right w:val="single" w:color="auto" w:sz="4" w:space="0"/>
            </w:tcBorders>
          </w:tcPr>
          <w:p>
            <w:pPr>
              <w:widowControl w:val="0"/>
              <w:spacing w:line="240" w:lineRule="auto"/>
              <w:ind w:firstLine="0" w:firstLineChars="0"/>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trPr>
        <w:tc>
          <w:tcPr>
            <w:tcW w:w="587" w:type="pct"/>
            <w:vMerge w:val="continue"/>
            <w:tcBorders>
              <w:top w:val="nil"/>
              <w:left w:val="single" w:color="auto" w:sz="4" w:space="0"/>
              <w:bottom w:val="single" w:color="auto" w:sz="4" w:space="0"/>
              <w:right w:val="single" w:color="auto" w:sz="4" w:space="0"/>
            </w:tcBorders>
            <w:vAlign w:val="center"/>
          </w:tcPr>
          <w:p>
            <w:pPr>
              <w:widowControl w:val="0"/>
              <w:spacing w:line="240" w:lineRule="auto"/>
              <w:ind w:firstLine="0" w:firstLineChars="0"/>
              <w:rPr>
                <w:sz w:val="20"/>
                <w:szCs w:val="20"/>
              </w:rPr>
            </w:pPr>
          </w:p>
        </w:tc>
        <w:tc>
          <w:tcPr>
            <w:tcW w:w="858" w:type="pct"/>
            <w:tcBorders>
              <w:top w:val="single" w:color="auto" w:sz="4" w:space="0"/>
              <w:left w:val="nil"/>
              <w:bottom w:val="single" w:color="auto" w:sz="4" w:space="0"/>
              <w:right w:val="single" w:color="auto" w:sz="4" w:space="0"/>
            </w:tcBorders>
            <w:vAlign w:val="center"/>
          </w:tcPr>
          <w:p>
            <w:pPr>
              <w:widowControl w:val="0"/>
              <w:spacing w:line="600" w:lineRule="exact"/>
              <w:ind w:firstLine="0" w:firstLineChars="0"/>
              <w:jc w:val="center"/>
              <w:rPr>
                <w:sz w:val="24"/>
              </w:rPr>
            </w:pPr>
            <w:r>
              <w:rPr>
                <w:rFonts w:hint="eastAsia" w:ascii="宋体" w:hAnsi="宋体" w:cs="宋体"/>
                <w:sz w:val="24"/>
                <w:lang w:bidi="ar"/>
              </w:rPr>
              <w:t>电话</w:t>
            </w:r>
          </w:p>
        </w:tc>
        <w:tc>
          <w:tcPr>
            <w:tcW w:w="2142" w:type="dxa"/>
            <w:tcBorders>
              <w:top w:val="single" w:color="auto" w:sz="4" w:space="0"/>
              <w:left w:val="nil"/>
              <w:bottom w:val="single" w:color="auto" w:sz="4" w:space="0"/>
              <w:right w:val="single" w:color="auto" w:sz="4" w:space="0"/>
            </w:tcBorders>
            <w:vAlign w:val="center"/>
          </w:tcPr>
          <w:p>
            <w:pPr>
              <w:widowControl w:val="0"/>
              <w:spacing w:line="600" w:lineRule="exact"/>
              <w:ind w:firstLine="0" w:firstLineChars="0"/>
              <w:jc w:val="center"/>
              <w:rPr>
                <w:sz w:val="24"/>
              </w:rPr>
            </w:pPr>
            <w:r>
              <w:rPr>
                <w:rFonts w:hint="eastAsia" w:asciiTheme="minorEastAsia" w:hAnsiTheme="minorEastAsia"/>
                <w:sz w:val="24"/>
                <w:szCs w:val="24"/>
                <w:lang w:val="en-US" w:eastAsia="zh-CN"/>
              </w:rPr>
              <w:t>0755-86531060</w:t>
            </w:r>
          </w:p>
        </w:tc>
        <w:tc>
          <w:tcPr>
            <w:tcW w:w="855" w:type="dxa"/>
            <w:gridSpan w:val="2"/>
            <w:tcBorders>
              <w:top w:val="single" w:color="auto" w:sz="4" w:space="0"/>
              <w:left w:val="nil"/>
              <w:bottom w:val="nil"/>
              <w:right w:val="single" w:color="auto" w:sz="4" w:space="0"/>
            </w:tcBorders>
            <w:vAlign w:val="center"/>
          </w:tcPr>
          <w:p>
            <w:pPr>
              <w:widowControl w:val="0"/>
              <w:spacing w:line="600" w:lineRule="exact"/>
              <w:ind w:firstLine="0" w:firstLineChars="0"/>
              <w:jc w:val="center"/>
              <w:rPr>
                <w:sz w:val="24"/>
              </w:rPr>
            </w:pPr>
            <w:r>
              <w:rPr>
                <w:rFonts w:hint="eastAsia" w:ascii="宋体" w:hAnsi="宋体" w:cs="宋体"/>
                <w:sz w:val="24"/>
                <w:highlight w:val="none"/>
                <w:lang w:bidi="ar"/>
              </w:rPr>
              <w:t>邮箱</w:t>
            </w:r>
          </w:p>
        </w:tc>
        <w:tc>
          <w:tcPr>
            <w:tcW w:w="2072" w:type="dxa"/>
            <w:gridSpan w:val="3"/>
            <w:tcBorders>
              <w:top w:val="single" w:color="auto" w:sz="4" w:space="0"/>
              <w:left w:val="nil"/>
              <w:bottom w:val="single" w:color="auto" w:sz="4" w:space="0"/>
              <w:right w:val="single" w:color="auto" w:sz="4" w:space="0"/>
            </w:tcBorders>
            <w:vAlign w:val="center"/>
          </w:tcPr>
          <w:p>
            <w:pPr>
              <w:widowControl w:val="0"/>
              <w:spacing w:line="600" w:lineRule="exact"/>
              <w:ind w:firstLine="0" w:firstLineChars="0"/>
              <w:jc w:val="center"/>
              <w:rPr>
                <w:sz w:val="24"/>
              </w:rPr>
            </w:pPr>
            <w:r>
              <w:rPr>
                <w:rFonts w:hint="eastAsia" w:asciiTheme="minorEastAsia" w:hAnsiTheme="minorEastAsia"/>
                <w:sz w:val="24"/>
                <w:szCs w:val="24"/>
              </w:rPr>
              <w:t>6459187@</w:t>
            </w:r>
            <w:r>
              <w:rPr>
                <w:rFonts w:hint="eastAsia" w:asciiTheme="minorEastAsia" w:hAnsiTheme="minorEastAsia"/>
                <w:sz w:val="24"/>
                <w:szCs w:val="24"/>
                <w:lang w:val="en-US" w:eastAsia="zh-CN"/>
              </w:rPr>
              <w:t>qq</w:t>
            </w:r>
            <w:r>
              <w:rPr>
                <w:rFonts w:hint="eastAsia" w:asciiTheme="minorEastAsia" w:hAnsiTheme="minorEastAsia"/>
                <w:sz w:val="24"/>
                <w:szCs w:val="24"/>
              </w:rPr>
              <w:t>.com</w:t>
            </w:r>
          </w:p>
        </w:tc>
        <w:tc>
          <w:tcPr>
            <w:tcW w:w="1075" w:type="pct"/>
            <w:vMerge w:val="continue"/>
            <w:tcBorders>
              <w:top w:val="nil"/>
              <w:left w:val="nil"/>
              <w:bottom w:val="single" w:color="auto" w:sz="4" w:space="0"/>
              <w:right w:val="single" w:color="auto" w:sz="4" w:space="0"/>
            </w:tcBorders>
          </w:tcPr>
          <w:p>
            <w:pPr>
              <w:widowControl w:val="0"/>
              <w:spacing w:line="240" w:lineRule="auto"/>
              <w:ind w:firstLine="0" w:firstLineChars="0"/>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trPr>
        <w:tc>
          <w:tcPr>
            <w:tcW w:w="587" w:type="pct"/>
            <w:vMerge w:val="continue"/>
            <w:tcBorders>
              <w:top w:val="nil"/>
              <w:left w:val="single" w:color="auto" w:sz="4" w:space="0"/>
              <w:bottom w:val="single" w:color="auto" w:sz="4" w:space="0"/>
              <w:right w:val="single" w:color="auto" w:sz="4" w:space="0"/>
            </w:tcBorders>
            <w:vAlign w:val="center"/>
          </w:tcPr>
          <w:p>
            <w:pPr>
              <w:widowControl w:val="0"/>
              <w:spacing w:line="240" w:lineRule="auto"/>
              <w:ind w:firstLine="0" w:firstLineChars="0"/>
              <w:rPr>
                <w:sz w:val="20"/>
                <w:szCs w:val="20"/>
              </w:rPr>
            </w:pPr>
          </w:p>
        </w:tc>
        <w:tc>
          <w:tcPr>
            <w:tcW w:w="858" w:type="pct"/>
            <w:tcBorders>
              <w:top w:val="single" w:color="auto" w:sz="4" w:space="0"/>
              <w:left w:val="nil"/>
              <w:bottom w:val="single" w:color="auto" w:sz="4" w:space="0"/>
              <w:right w:val="single" w:color="auto" w:sz="4" w:space="0"/>
            </w:tcBorders>
            <w:vAlign w:val="center"/>
          </w:tcPr>
          <w:p>
            <w:pPr>
              <w:widowControl w:val="0"/>
              <w:spacing w:line="600" w:lineRule="exact"/>
              <w:ind w:firstLine="0" w:firstLineChars="0"/>
              <w:jc w:val="center"/>
              <w:rPr>
                <w:sz w:val="24"/>
              </w:rPr>
            </w:pPr>
            <w:r>
              <w:rPr>
                <w:rFonts w:hint="eastAsia" w:ascii="宋体" w:hAnsi="宋体" w:cs="宋体"/>
                <w:sz w:val="24"/>
                <w:lang w:bidi="ar"/>
              </w:rPr>
              <w:t>开户银行</w:t>
            </w:r>
          </w:p>
        </w:tc>
        <w:tc>
          <w:tcPr>
            <w:tcW w:w="5069" w:type="dxa"/>
            <w:gridSpan w:val="6"/>
            <w:tcBorders>
              <w:top w:val="single" w:color="auto" w:sz="4" w:space="0"/>
              <w:left w:val="nil"/>
              <w:bottom w:val="single" w:color="auto" w:sz="4" w:space="0"/>
              <w:right w:val="single" w:color="auto" w:sz="4" w:space="0"/>
            </w:tcBorders>
            <w:vAlign w:val="center"/>
          </w:tcPr>
          <w:p>
            <w:pPr>
              <w:widowControl w:val="0"/>
              <w:spacing w:line="600" w:lineRule="exact"/>
              <w:ind w:firstLine="0" w:firstLineChars="0"/>
              <w:jc w:val="center"/>
              <w:rPr>
                <w:sz w:val="24"/>
              </w:rPr>
            </w:pPr>
            <w:r>
              <w:rPr>
                <w:rFonts w:hint="eastAsia" w:asciiTheme="minorEastAsia" w:hAnsiTheme="minorEastAsia"/>
                <w:sz w:val="24"/>
                <w:szCs w:val="24"/>
              </w:rPr>
              <w:t>招商银行深圳科技园支行</w:t>
            </w:r>
          </w:p>
        </w:tc>
        <w:tc>
          <w:tcPr>
            <w:tcW w:w="1075" w:type="pct"/>
            <w:vMerge w:val="continue"/>
            <w:tcBorders>
              <w:top w:val="nil"/>
              <w:left w:val="nil"/>
              <w:bottom w:val="single" w:color="auto" w:sz="4" w:space="0"/>
              <w:right w:val="single" w:color="auto" w:sz="4" w:space="0"/>
            </w:tcBorders>
          </w:tcPr>
          <w:p>
            <w:pPr>
              <w:widowControl w:val="0"/>
              <w:spacing w:line="240" w:lineRule="auto"/>
              <w:ind w:firstLine="0" w:firstLineChars="0"/>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trPr>
        <w:tc>
          <w:tcPr>
            <w:tcW w:w="587" w:type="pct"/>
            <w:vMerge w:val="continue"/>
            <w:tcBorders>
              <w:top w:val="nil"/>
              <w:left w:val="single" w:color="auto" w:sz="4" w:space="0"/>
              <w:bottom w:val="single" w:color="auto" w:sz="4" w:space="0"/>
              <w:right w:val="single" w:color="auto" w:sz="4" w:space="0"/>
            </w:tcBorders>
            <w:vAlign w:val="center"/>
          </w:tcPr>
          <w:p>
            <w:pPr>
              <w:widowControl w:val="0"/>
              <w:spacing w:line="240" w:lineRule="auto"/>
              <w:ind w:firstLine="0" w:firstLineChars="0"/>
              <w:rPr>
                <w:sz w:val="20"/>
                <w:szCs w:val="20"/>
              </w:rPr>
            </w:pPr>
          </w:p>
        </w:tc>
        <w:tc>
          <w:tcPr>
            <w:tcW w:w="858" w:type="pct"/>
            <w:tcBorders>
              <w:top w:val="single" w:color="auto" w:sz="4" w:space="0"/>
              <w:left w:val="nil"/>
              <w:bottom w:val="single" w:color="auto" w:sz="4" w:space="0"/>
              <w:right w:val="single" w:color="auto" w:sz="4" w:space="0"/>
            </w:tcBorders>
            <w:vAlign w:val="center"/>
          </w:tcPr>
          <w:p>
            <w:pPr>
              <w:widowControl w:val="0"/>
              <w:spacing w:line="600" w:lineRule="exact"/>
              <w:ind w:firstLine="0" w:firstLineChars="0"/>
              <w:jc w:val="center"/>
              <w:rPr>
                <w:sz w:val="24"/>
              </w:rPr>
            </w:pPr>
            <w:r>
              <w:rPr>
                <w:rFonts w:hint="eastAsia" w:ascii="宋体" w:hAnsi="宋体" w:cs="宋体"/>
                <w:sz w:val="24"/>
                <w:lang w:bidi="ar"/>
              </w:rPr>
              <w:t>帐　　号</w:t>
            </w:r>
          </w:p>
        </w:tc>
        <w:tc>
          <w:tcPr>
            <w:tcW w:w="5069" w:type="dxa"/>
            <w:gridSpan w:val="6"/>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sz w:val="24"/>
              </w:rPr>
            </w:pPr>
            <w:r>
              <w:rPr>
                <w:rFonts w:hint="eastAsia" w:asciiTheme="minorEastAsia" w:hAnsiTheme="minorEastAsia"/>
                <w:sz w:val="24"/>
                <w:szCs w:val="24"/>
              </w:rPr>
              <w:t>7559 3166 8210 301</w:t>
            </w:r>
          </w:p>
        </w:tc>
        <w:tc>
          <w:tcPr>
            <w:tcW w:w="1075" w:type="pct"/>
            <w:vMerge w:val="continue"/>
            <w:tcBorders>
              <w:top w:val="nil"/>
              <w:left w:val="nil"/>
              <w:bottom w:val="single" w:color="auto" w:sz="4" w:space="0"/>
              <w:right w:val="single" w:color="auto" w:sz="4" w:space="0"/>
            </w:tcBorders>
          </w:tcPr>
          <w:p>
            <w:pPr>
              <w:widowControl w:val="0"/>
              <w:spacing w:line="240" w:lineRule="auto"/>
              <w:ind w:firstLine="0" w:firstLineChars="0"/>
              <w:rPr>
                <w:sz w:val="20"/>
                <w:szCs w:val="20"/>
              </w:rPr>
            </w:pPr>
          </w:p>
        </w:tc>
      </w:tr>
      <w:bookmarkEnd w:id="20"/>
    </w:tbl>
    <w:p>
      <w:pPr>
        <w:spacing w:line="360" w:lineRule="auto"/>
        <w:ind w:right="480"/>
        <w:rPr>
          <w:rFonts w:ascii="宋体" w:hAnsi="宋体"/>
          <w:sz w:val="24"/>
        </w:rPr>
      </w:pPr>
    </w:p>
    <w:p>
      <w:pPr>
        <w:pStyle w:val="3"/>
        <w:numPr>
          <w:ilvl w:val="0"/>
          <w:numId w:val="0"/>
        </w:numPr>
        <w:adjustRightInd/>
        <w:spacing w:line="416" w:lineRule="auto"/>
        <w:sectPr>
          <w:footerReference r:id="rId5" w:type="default"/>
          <w:pgSz w:w="11906" w:h="16838"/>
          <w:pgMar w:top="1304" w:right="1588" w:bottom="1191" w:left="1588" w:header="851" w:footer="737" w:gutter="0"/>
          <w:pgNumType w:start="1"/>
          <w:cols w:space="425" w:num="1"/>
          <w:docGrid w:type="lines" w:linePitch="312" w:charSpace="0"/>
        </w:sectPr>
      </w:pPr>
    </w:p>
    <w:p>
      <w:pPr>
        <w:pStyle w:val="28"/>
        <w:sectPr>
          <w:type w:val="continuous"/>
          <w:pgSz w:w="11906" w:h="16838"/>
          <w:pgMar w:top="1440" w:right="1800" w:bottom="1440" w:left="1800" w:header="851" w:footer="992" w:gutter="0"/>
          <w:cols w:space="425" w:num="1"/>
          <w:docGrid w:type="lines" w:linePitch="312" w:charSpace="0"/>
        </w:sectPr>
      </w:pPr>
      <w:bookmarkStart w:id="21" w:name="_Toc94196210"/>
      <w:r>
        <w:rPr>
          <w:rFonts w:hint="eastAsia"/>
        </w:rPr>
        <w:t>桂林市深能环保有限公司2026年飞灰稳定化处理技术规范书</w:t>
      </w:r>
      <w:bookmarkEnd w:id="21"/>
      <w:bookmarkStart w:id="22" w:name="_Toc509846375"/>
      <w:r>
        <w:rPr>
          <w:rFonts w:hint="eastAsia"/>
          <w:lang w:eastAsia="zh-CN"/>
        </w:rPr>
        <w:t>（</w:t>
      </w:r>
      <w:r>
        <w:rPr>
          <w:rFonts w:hint="eastAsia"/>
          <w:lang w:val="en-US" w:eastAsia="zh-CN"/>
        </w:rPr>
        <w:t>单独成册</w:t>
      </w:r>
      <w:r>
        <w:rPr>
          <w:rFonts w:hint="eastAsia"/>
          <w:lang w:eastAsia="zh-CN"/>
        </w:rPr>
        <w:t>）</w:t>
      </w:r>
    </w:p>
    <w:p>
      <w:pPr>
        <w:pStyle w:val="28"/>
      </w:pPr>
      <w:bookmarkStart w:id="23" w:name="_Toc94196211"/>
      <w:r>
        <w:rPr>
          <w:rFonts w:hint="eastAsia"/>
        </w:rPr>
        <w:t>安健环协议</w:t>
      </w:r>
      <w:bookmarkEnd w:id="22"/>
      <w:bookmarkEnd w:id="23"/>
    </w:p>
    <w:p>
      <w:pPr>
        <w:pStyle w:val="28"/>
        <w:numPr>
          <w:ilvl w:val="0"/>
          <w:numId w:val="0"/>
        </w:numPr>
      </w:pPr>
    </w:p>
    <w:p>
      <w:pPr>
        <w:pStyle w:val="20"/>
        <w:snapToGrid w:val="0"/>
        <w:spacing w:line="360" w:lineRule="auto"/>
        <w:ind w:left="420" w:leftChars="200" w:right="1470"/>
        <w:jc w:val="center"/>
        <w:rPr>
          <w:rFonts w:ascii="黑体" w:hAnsi="黑体" w:eastAsia="黑体"/>
          <w:b/>
          <w:sz w:val="32"/>
          <w:szCs w:val="32"/>
        </w:rPr>
      </w:pPr>
      <w:r>
        <w:rPr>
          <w:rFonts w:hint="eastAsia" w:ascii="黑体" w:hAnsi="黑体" w:eastAsia="黑体"/>
          <w:b/>
          <w:sz w:val="32"/>
          <w:szCs w:val="32"/>
        </w:rPr>
        <w:t>安健环协议</w:t>
      </w:r>
    </w:p>
    <w:p>
      <w:pPr>
        <w:pStyle w:val="20"/>
        <w:snapToGrid w:val="0"/>
        <w:ind w:left="420" w:leftChars="200" w:right="1470"/>
        <w:rPr>
          <w:lang w:val="en-GB"/>
        </w:rPr>
      </w:pPr>
    </w:p>
    <w:p>
      <w:pPr>
        <w:pStyle w:val="20"/>
        <w:snapToGrid w:val="0"/>
        <w:spacing w:line="360" w:lineRule="auto"/>
        <w:ind w:left="420" w:leftChars="200" w:right="88" w:rightChars="42"/>
        <w:rPr>
          <w:b/>
          <w:lang w:val="en-GB"/>
        </w:rPr>
      </w:pPr>
      <w:r>
        <w:rPr>
          <w:rFonts w:hint="eastAsia"/>
          <w:b/>
          <w:lang w:val="en-GB"/>
        </w:rPr>
        <w:t>项目名称：</w:t>
      </w:r>
      <w:r>
        <w:rPr>
          <w:rFonts w:hint="eastAsia"/>
          <w:b/>
          <w:u w:val="single"/>
          <w:lang w:val="en-US" w:eastAsia="zh-CN"/>
        </w:rPr>
        <w:t>桂林市深能环保有限</w:t>
      </w:r>
      <w:r>
        <w:rPr>
          <w:rFonts w:hint="eastAsia"/>
          <w:b/>
          <w:u w:val="single"/>
          <w:lang w:val="en-GB"/>
        </w:rPr>
        <w:t>公司</w:t>
      </w:r>
      <w:r>
        <w:rPr>
          <w:rFonts w:hint="eastAsia"/>
          <w:b/>
          <w:u w:val="single"/>
          <w:lang w:val="en-GB" w:eastAsia="zh-CN"/>
        </w:rPr>
        <w:t>2026年</w:t>
      </w:r>
      <w:r>
        <w:rPr>
          <w:rFonts w:hint="eastAsia"/>
          <w:b/>
          <w:u w:val="single"/>
          <w:lang w:val="en-GB"/>
        </w:rPr>
        <w:t xml:space="preserve">飞灰稳定化处理  </w:t>
      </w:r>
    </w:p>
    <w:p>
      <w:pPr>
        <w:pStyle w:val="20"/>
        <w:snapToGrid w:val="0"/>
        <w:spacing w:line="360" w:lineRule="auto"/>
        <w:ind w:left="420" w:leftChars="200" w:right="1470"/>
        <w:rPr>
          <w:b/>
          <w:lang w:val="en-GB"/>
        </w:rPr>
      </w:pPr>
      <w:r>
        <w:rPr>
          <w:rFonts w:hint="eastAsia"/>
          <w:b/>
          <w:lang w:val="en-GB"/>
        </w:rPr>
        <w:t>甲方（发包方）：</w:t>
      </w:r>
      <w:r>
        <w:rPr>
          <w:rFonts w:hint="eastAsia"/>
          <w:b/>
          <w:u w:val="single"/>
          <w:lang w:val="en-US" w:eastAsia="zh-CN"/>
        </w:rPr>
        <w:t>桂林市深能环保有限</w:t>
      </w:r>
      <w:r>
        <w:rPr>
          <w:rFonts w:hint="eastAsia"/>
          <w:b/>
          <w:u w:val="single"/>
          <w:lang w:val="en-GB"/>
        </w:rPr>
        <w:t xml:space="preserve">公司      </w:t>
      </w:r>
      <w:r>
        <w:rPr>
          <w:rFonts w:hint="eastAsia"/>
          <w:b/>
          <w:lang w:val="en-GB"/>
        </w:rPr>
        <w:t xml:space="preserve">   </w:t>
      </w:r>
      <w:r>
        <w:rPr>
          <w:b/>
          <w:lang w:val="en-GB"/>
        </w:rPr>
        <w:t xml:space="preserve">     </w:t>
      </w:r>
    </w:p>
    <w:p>
      <w:pPr>
        <w:pStyle w:val="20"/>
        <w:snapToGrid w:val="0"/>
        <w:spacing w:line="360" w:lineRule="auto"/>
        <w:ind w:left="420" w:leftChars="200" w:right="1470"/>
      </w:pPr>
      <w:r>
        <w:rPr>
          <w:rFonts w:hint="eastAsia"/>
          <w:b/>
          <w:lang w:val="en-GB"/>
        </w:rPr>
        <w:t>乙方（承包方）：</w:t>
      </w:r>
      <w:r>
        <w:rPr>
          <w:rFonts w:hint="eastAsia"/>
          <w:b/>
          <w:u w:val="single"/>
          <w:lang w:val="en-GB"/>
        </w:rPr>
        <w:t>深圳市航天新材科技有限公司</w:t>
      </w:r>
      <w:r>
        <w:rPr>
          <w:rFonts w:hint="eastAsia"/>
          <w:u w:val="single"/>
          <w:lang w:val="en-GB"/>
        </w:rPr>
        <w:t xml:space="preserve"> </w:t>
      </w:r>
      <w:r>
        <w:rPr>
          <w:rFonts w:hint="eastAsia"/>
        </w:rPr>
        <w:t xml:space="preserve">        </w:t>
      </w:r>
    </w:p>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为加强承包项目实施过程中安全、职业健康和环境保护（简称安健环）管理，明确甲乙双方安健环管理职责、应当采取的措施、违约责任及违约金扣缴或处罚等内容，最大限度地减少事故、职业病和环境污染的发生，根据国家、行业有关法律法规和规范性文件要求，结合承包工程项目特点，经双方协商一致签订本协议，并严格遵守。</w:t>
      </w:r>
    </w:p>
    <w:p>
      <w:pPr>
        <w:widowControl/>
        <w:numPr>
          <w:ilvl w:val="0"/>
          <w:numId w:val="11"/>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定义与解释</w:t>
      </w:r>
    </w:p>
    <w:p>
      <w:pPr>
        <w:widowControl/>
        <w:numPr>
          <w:ilvl w:val="0"/>
          <w:numId w:val="12"/>
        </w:numPr>
        <w:overflowPunct w:val="0"/>
        <w:autoSpaceDE w:val="0"/>
        <w:autoSpaceDN w:val="0"/>
        <w:adjustRightInd w:val="0"/>
        <w:spacing w:line="380" w:lineRule="exact"/>
        <w:ind w:left="0" w:firstLine="200"/>
        <w:jc w:val="left"/>
        <w:textAlignment w:val="baseline"/>
        <w:rPr>
          <w:rFonts w:ascii="宋体" w:hAnsi="宋体" w:cs="Tahoma"/>
          <w:kern w:val="0"/>
          <w:sz w:val="24"/>
        </w:rPr>
      </w:pPr>
      <w:r>
        <w:rPr>
          <w:rFonts w:hint="eastAsia" w:ascii="宋体" w:hAnsi="宋体" w:cs="Tahoma"/>
          <w:kern w:val="0"/>
          <w:sz w:val="24"/>
          <w:lang w:bidi="ar"/>
        </w:rPr>
        <w:t>定义：(以下定义适用于本协议）</w:t>
      </w:r>
    </w:p>
    <w:p>
      <w:pPr>
        <w:widowControl/>
        <w:overflowPunct w:val="0"/>
        <w:autoSpaceDE w:val="0"/>
        <w:autoSpaceDN w:val="0"/>
        <w:adjustRightInd w:val="0"/>
        <w:spacing w:line="380" w:lineRule="exact"/>
        <w:ind w:firstLine="482" w:firstLineChars="200"/>
        <w:jc w:val="left"/>
        <w:textAlignment w:val="baseline"/>
        <w:rPr>
          <w:rFonts w:ascii="宋体" w:hAnsi="宋体" w:cs="Tahoma"/>
          <w:kern w:val="0"/>
          <w:sz w:val="24"/>
        </w:rPr>
      </w:pPr>
      <w:r>
        <w:rPr>
          <w:rFonts w:hint="eastAsia" w:ascii="宋体" w:hAnsi="宋体" w:cs="Tahoma"/>
          <w:b/>
          <w:kern w:val="0"/>
          <w:sz w:val="24"/>
          <w:lang w:bidi="ar"/>
        </w:rPr>
        <w:t>中国</w:t>
      </w:r>
      <w:r>
        <w:rPr>
          <w:rFonts w:hint="eastAsia" w:ascii="宋体" w:hAnsi="宋体" w:cs="Tahoma"/>
          <w:kern w:val="0"/>
          <w:sz w:val="24"/>
          <w:lang w:bidi="ar"/>
        </w:rPr>
        <w:t>或</w:t>
      </w:r>
      <w:r>
        <w:rPr>
          <w:rFonts w:hint="eastAsia" w:ascii="宋体" w:hAnsi="宋体" w:cs="Tahoma"/>
          <w:b/>
          <w:kern w:val="0"/>
          <w:sz w:val="24"/>
          <w:lang w:bidi="ar"/>
        </w:rPr>
        <w:t>国家</w:t>
      </w:r>
      <w:r>
        <w:rPr>
          <w:rFonts w:hint="eastAsia" w:ascii="宋体" w:hAnsi="宋体" w:cs="Tahoma"/>
          <w:kern w:val="0"/>
          <w:sz w:val="24"/>
          <w:lang w:bidi="ar"/>
        </w:rPr>
        <w:t>：指中华人民共和国，仅为本协议之目的，不包括香港特别行政区、澳门特别行政区和台湾地区。</w:t>
      </w:r>
    </w:p>
    <w:p>
      <w:pPr>
        <w:widowControl/>
        <w:overflowPunct w:val="0"/>
        <w:autoSpaceDE w:val="0"/>
        <w:autoSpaceDN w:val="0"/>
        <w:adjustRightInd w:val="0"/>
        <w:spacing w:line="380" w:lineRule="exact"/>
        <w:ind w:firstLine="482" w:firstLineChars="200"/>
        <w:jc w:val="left"/>
        <w:textAlignment w:val="baseline"/>
        <w:rPr>
          <w:rFonts w:ascii="宋体" w:hAnsi="宋体" w:cs="Tahoma"/>
          <w:kern w:val="0"/>
          <w:sz w:val="24"/>
        </w:rPr>
      </w:pPr>
      <w:r>
        <w:rPr>
          <w:rFonts w:hint="eastAsia" w:ascii="宋体" w:hAnsi="宋体" w:cs="Tahoma"/>
          <w:b/>
          <w:kern w:val="0"/>
          <w:sz w:val="24"/>
          <w:lang w:bidi="ar"/>
        </w:rPr>
        <w:t>法律</w:t>
      </w:r>
      <w:r>
        <w:rPr>
          <w:rFonts w:hint="eastAsia" w:ascii="宋体" w:hAnsi="宋体" w:cs="Tahoma"/>
          <w:kern w:val="0"/>
          <w:sz w:val="24"/>
          <w:lang w:bidi="ar"/>
        </w:rPr>
        <w:t>：指所有适用的中国法律、行政法规、规章、自治条例、单行条例、地方性法规、司法解释及其它有法律约束力的规范性文件。本协议适用之法律包括签订生效时已现行发布实施之法律及日后进行重新修订、修改、废除等变更后之法律。</w:t>
      </w:r>
    </w:p>
    <w:p>
      <w:pPr>
        <w:widowControl/>
        <w:overflowPunct w:val="0"/>
        <w:autoSpaceDE w:val="0"/>
        <w:autoSpaceDN w:val="0"/>
        <w:adjustRightInd w:val="0"/>
        <w:spacing w:line="380" w:lineRule="exact"/>
        <w:ind w:firstLine="482" w:firstLineChars="200"/>
        <w:jc w:val="left"/>
        <w:textAlignment w:val="baseline"/>
        <w:rPr>
          <w:rFonts w:ascii="宋体" w:hAnsi="宋体" w:cs="Tahoma"/>
          <w:kern w:val="0"/>
          <w:sz w:val="24"/>
        </w:rPr>
      </w:pPr>
      <w:r>
        <w:rPr>
          <w:rFonts w:hint="eastAsia" w:ascii="宋体" w:hAnsi="宋体" w:cs="Tahoma"/>
          <w:b/>
          <w:kern w:val="0"/>
          <w:sz w:val="24"/>
          <w:lang w:bidi="ar"/>
        </w:rPr>
        <w:t>法律变更：</w:t>
      </w:r>
      <w:r>
        <w:rPr>
          <w:rFonts w:hint="eastAsia" w:ascii="宋体" w:hAnsi="宋体" w:cs="Tahoma"/>
          <w:kern w:val="0"/>
          <w:sz w:val="24"/>
          <w:lang w:bidi="ar"/>
        </w:rPr>
        <w:t>指在生效日后，中华人民共和国任何立法机构、政府部门或司法机关对本协议生效时所适用的法律、法规、规章、规范性文件(包括但不限于与履行本协议有关的各种标准）进行重新修订、修改、废除的情况。还包括项目所在地政府、上级管理部门、甲方及与本协议履行有关的行政机关对现行规范性文件的修改。</w:t>
      </w:r>
    </w:p>
    <w:p>
      <w:pPr>
        <w:widowControl/>
        <w:overflowPunct w:val="0"/>
        <w:autoSpaceDE w:val="0"/>
        <w:autoSpaceDN w:val="0"/>
        <w:adjustRightInd w:val="0"/>
        <w:spacing w:line="380" w:lineRule="exact"/>
        <w:ind w:firstLine="482" w:firstLineChars="200"/>
        <w:jc w:val="left"/>
        <w:textAlignment w:val="baseline"/>
        <w:rPr>
          <w:rFonts w:ascii="宋体" w:hAnsi="宋体" w:cs="Tahoma"/>
          <w:kern w:val="0"/>
          <w:sz w:val="24"/>
        </w:rPr>
      </w:pPr>
      <w:r>
        <w:rPr>
          <w:rFonts w:hint="eastAsia" w:ascii="宋体" w:hAnsi="宋体" w:cs="Tahoma"/>
          <w:b/>
          <w:kern w:val="0"/>
          <w:sz w:val="24"/>
          <w:lang w:bidi="ar"/>
        </w:rPr>
        <w:t>安健环：</w:t>
      </w:r>
      <w:r>
        <w:rPr>
          <w:rFonts w:hint="eastAsia" w:ascii="宋体" w:hAnsi="宋体" w:cs="Tahoma"/>
          <w:kern w:val="0"/>
          <w:sz w:val="24"/>
          <w:lang w:bidi="ar"/>
        </w:rPr>
        <w:t>指安全（safe）、职业健康（health）、环境保护（environment），安健环（SHE）管理体系是指建立起一种通过系统化的预防管理机制，彻底消除各种事故、环境和职业病隐患，以便最大限度地减少事故、环境污染和职业病的发生，从而达到改善企业安全、环境与健康业绩的管理方法。</w:t>
      </w:r>
    </w:p>
    <w:p>
      <w:pPr>
        <w:widowControl/>
        <w:overflowPunct w:val="0"/>
        <w:autoSpaceDE w:val="0"/>
        <w:autoSpaceDN w:val="0"/>
        <w:adjustRightInd w:val="0"/>
        <w:spacing w:line="380" w:lineRule="exact"/>
        <w:ind w:firstLine="482" w:firstLineChars="200"/>
        <w:jc w:val="left"/>
        <w:textAlignment w:val="baseline"/>
        <w:rPr>
          <w:rFonts w:ascii="宋体" w:hAnsi="宋体" w:cs="Tahoma"/>
          <w:b/>
          <w:kern w:val="0"/>
          <w:sz w:val="24"/>
        </w:rPr>
      </w:pPr>
      <w:r>
        <w:rPr>
          <w:rFonts w:hint="eastAsia" w:ascii="宋体" w:hAnsi="宋体" w:cs="Tahoma"/>
          <w:b/>
          <w:kern w:val="0"/>
          <w:sz w:val="24"/>
          <w:lang w:bidi="ar"/>
        </w:rPr>
        <w:t>协议</w:t>
      </w:r>
      <w:r>
        <w:rPr>
          <w:rFonts w:hint="eastAsia" w:ascii="宋体" w:hAnsi="宋体" w:cs="Tahoma"/>
          <w:kern w:val="0"/>
          <w:sz w:val="24"/>
          <w:lang w:bidi="ar"/>
        </w:rPr>
        <w:t>或</w:t>
      </w:r>
      <w:r>
        <w:rPr>
          <w:rFonts w:hint="eastAsia" w:ascii="宋体" w:hAnsi="宋体" w:cs="Tahoma"/>
          <w:b/>
          <w:kern w:val="0"/>
          <w:sz w:val="24"/>
          <w:lang w:bidi="ar"/>
        </w:rPr>
        <w:t>本协议</w:t>
      </w:r>
      <w:r>
        <w:rPr>
          <w:rFonts w:hint="eastAsia" w:ascii="宋体" w:hAnsi="宋体" w:cs="Tahoma"/>
          <w:kern w:val="0"/>
          <w:sz w:val="24"/>
          <w:lang w:bidi="ar"/>
        </w:rPr>
        <w:t>：指甲方与乙方之间签订的本《安健环协议》（包含其附件）和目前及日后签订生效的任何承包项目的具体业务合同（包含其附件，简称为项目合同），以及本《安健环协议》和各项目合同两方面日后可能签订之补充协议和附件，上述每一文件均被视为本安健环协议不可分割的一部分。</w:t>
      </w:r>
    </w:p>
    <w:p>
      <w:pPr>
        <w:widowControl/>
        <w:overflowPunct w:val="0"/>
        <w:autoSpaceDE w:val="0"/>
        <w:autoSpaceDN w:val="0"/>
        <w:adjustRightInd w:val="0"/>
        <w:spacing w:line="380" w:lineRule="exact"/>
        <w:ind w:firstLine="482" w:firstLineChars="200"/>
        <w:jc w:val="left"/>
        <w:textAlignment w:val="baseline"/>
        <w:rPr>
          <w:rFonts w:ascii="宋体" w:hAnsi="宋体" w:cs="Tahoma"/>
          <w:kern w:val="0"/>
          <w:sz w:val="24"/>
        </w:rPr>
      </w:pPr>
      <w:r>
        <w:rPr>
          <w:rFonts w:hint="eastAsia" w:ascii="宋体" w:hAnsi="宋体" w:cs="Tahoma"/>
          <w:b/>
          <w:kern w:val="0"/>
          <w:sz w:val="24"/>
          <w:lang w:bidi="ar"/>
        </w:rPr>
        <w:t>项目</w:t>
      </w:r>
      <w:r>
        <w:rPr>
          <w:rFonts w:hint="eastAsia" w:ascii="宋体" w:hAnsi="宋体" w:cs="Tahoma"/>
          <w:kern w:val="0"/>
          <w:sz w:val="24"/>
          <w:lang w:bidi="ar"/>
        </w:rPr>
        <w:t>：指在本协议签订生效至双方另行签订更新版本的安健环协议生效而被取代之日前，经甲方（发包方）交由乙方(承包方)进行具体承包负责实施完成的建设施工和生产运行阶段每一个业务项目合同范围及内容，也简称为本项目或外包项目或工程项目等。</w:t>
      </w:r>
    </w:p>
    <w:p>
      <w:pPr>
        <w:widowControl/>
        <w:overflowPunct w:val="0"/>
        <w:autoSpaceDE w:val="0"/>
        <w:autoSpaceDN w:val="0"/>
        <w:adjustRightInd w:val="0"/>
        <w:spacing w:line="380" w:lineRule="exact"/>
        <w:ind w:firstLine="482" w:firstLineChars="200"/>
        <w:jc w:val="left"/>
        <w:textAlignment w:val="baseline"/>
        <w:rPr>
          <w:rFonts w:ascii="宋体" w:hAnsi="宋体" w:cs="Tahoma"/>
          <w:kern w:val="0"/>
          <w:sz w:val="24"/>
        </w:rPr>
      </w:pPr>
      <w:r>
        <w:rPr>
          <w:rFonts w:hint="eastAsia" w:ascii="宋体" w:hAnsi="宋体" w:cs="Tahoma"/>
          <w:b/>
          <w:kern w:val="0"/>
          <w:sz w:val="24"/>
          <w:lang w:bidi="ar"/>
        </w:rPr>
        <w:t>现场</w:t>
      </w:r>
      <w:r>
        <w:rPr>
          <w:rFonts w:hint="eastAsia" w:ascii="宋体" w:hAnsi="宋体" w:cs="Tahoma"/>
          <w:kern w:val="0"/>
          <w:sz w:val="24"/>
          <w:lang w:bidi="ar"/>
        </w:rPr>
        <w:t>：指在本协议项目</w:t>
      </w:r>
      <w:r>
        <w:rPr>
          <w:rFonts w:hint="eastAsia" w:ascii="宋体" w:hAnsi="宋体" w:cs="Tahoma"/>
          <w:kern w:val="0"/>
          <w:sz w:val="24"/>
          <w:u w:val="single"/>
          <w:lang w:bidi="ar"/>
        </w:rPr>
        <w:t>实施及</w:t>
      </w:r>
      <w:r>
        <w:rPr>
          <w:rFonts w:hint="eastAsia" w:ascii="宋体" w:hAnsi="宋体" w:cs="Tahoma"/>
          <w:kern w:val="0"/>
          <w:sz w:val="24"/>
          <w:lang w:bidi="ar"/>
        </w:rPr>
        <w:t>甲方（发包方）办公区域、施工场地、厂区范围内的场所或地点。</w:t>
      </w:r>
    </w:p>
    <w:p>
      <w:pPr>
        <w:widowControl/>
        <w:numPr>
          <w:ilvl w:val="0"/>
          <w:numId w:val="12"/>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解释：(在本协议中，除非另有明确规定，以下释义适用)</w:t>
      </w:r>
    </w:p>
    <w:p>
      <w:pPr>
        <w:widowControl/>
        <w:numPr>
          <w:ilvl w:val="0"/>
          <w:numId w:val="13"/>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一方、双方指本协议的一方或双方，并且包括经允许的替代该方的人或该方的继承人或受让人；</w:t>
      </w:r>
    </w:p>
    <w:p>
      <w:pPr>
        <w:widowControl/>
        <w:numPr>
          <w:ilvl w:val="0"/>
          <w:numId w:val="13"/>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条款或附件指本协议的条款或附件；</w:t>
      </w:r>
    </w:p>
    <w:p>
      <w:pPr>
        <w:widowControl/>
        <w:numPr>
          <w:ilvl w:val="0"/>
          <w:numId w:val="13"/>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“包括”均应理解为“包括但不限于”的意思；</w:t>
      </w:r>
    </w:p>
    <w:p>
      <w:pPr>
        <w:widowControl/>
        <w:numPr>
          <w:ilvl w:val="0"/>
          <w:numId w:val="13"/>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任何协议或文件还指经补充或替代后的该协议或文件；</w:t>
      </w:r>
    </w:p>
    <w:p>
      <w:pPr>
        <w:widowControl/>
        <w:numPr>
          <w:ilvl w:val="0"/>
          <w:numId w:val="13"/>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本协议指连同本协议附件、附录及附表在内的本协议，如本协议正文与附件、附录、附表冲突，以本协议正文为准；</w:t>
      </w:r>
    </w:p>
    <w:p>
      <w:pPr>
        <w:widowControl/>
        <w:numPr>
          <w:ilvl w:val="0"/>
          <w:numId w:val="13"/>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标题仅供阅读方便而设，不应影响条文的解释。</w:t>
      </w:r>
    </w:p>
    <w:p>
      <w:pPr>
        <w:widowControl/>
        <w:numPr>
          <w:ilvl w:val="0"/>
          <w:numId w:val="11"/>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总则</w:t>
      </w:r>
    </w:p>
    <w:p>
      <w:pPr>
        <w:widowControl/>
        <w:numPr>
          <w:ilvl w:val="0"/>
          <w:numId w:val="14"/>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甲乙双方必须严格遵守安健环有关法律法规和规范性文件要求，依法承担安健环责任。</w:t>
      </w:r>
    </w:p>
    <w:p>
      <w:pPr>
        <w:widowControl/>
        <w:numPr>
          <w:ilvl w:val="0"/>
          <w:numId w:val="14"/>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甲乙双方履行法律法规和规范性文件要求的及项目承包合同和本协议约定应履行的安健环管理职责，采取必要的安健环措施，共同管理本项目实施过程中的安健环工作。</w:t>
      </w:r>
    </w:p>
    <w:p>
      <w:pPr>
        <w:widowControl/>
        <w:numPr>
          <w:ilvl w:val="0"/>
          <w:numId w:val="14"/>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甲方对承包项目具有安健环一票否决权。乙方在项目实施过程中未切实履行有关安健环管理职责、未有效落实有关安健环措施，危及生命财产安全、危及甲方安全生产或可能造成环境污染事故或事件的，甲方可勒令乙方整改、停止作业、停工整顿直至解除项目合同，可采取通报批评、警告、约谈乙方相关负责人、违规人员安全再教育、回收施工安健环开工许可证、要求撤换乙方不合格人员等措施，并可根据承包合同、本协议及甲方有关安健环管理规定对乙方给予相应的追责和扣缴违约金或经济处罚。对上述原因造成停止作业、停工整顿产生的损失，甲方不承担任何责任，乙方无权要求调整合同总价、工期等既定条件；上述原因导致解除合同造成损的，由乙方负责赔偿。</w:t>
      </w:r>
    </w:p>
    <w:p>
      <w:pPr>
        <w:widowControl/>
        <w:numPr>
          <w:ilvl w:val="0"/>
          <w:numId w:val="14"/>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本协议适用于甲方因工程建设、生产经营等需要，委托外部组织在甲方项目现场实施新建、改建、扩建等工程建设，以及进行检（维）修、维护、安装、试验、装修、拆除、处置、技改、小型基建等现场业务；委托外部组织进行现场物资供应、技术服务、咨询服务、劳务服务（含临时用工）、监理服务及其他服务或信息提供时，涉及外委人员进入甲方工程、生产现场的外包业务，也适用本协议。</w:t>
      </w:r>
    </w:p>
    <w:p>
      <w:pPr>
        <w:widowControl/>
        <w:numPr>
          <w:ilvl w:val="0"/>
          <w:numId w:val="11"/>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安健环管理目标</w:t>
      </w:r>
    </w:p>
    <w:p>
      <w:pPr>
        <w:widowControl/>
        <w:numPr>
          <w:ilvl w:val="0"/>
          <w:numId w:val="15"/>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不发生安全生产事故；</w:t>
      </w:r>
    </w:p>
    <w:p>
      <w:pPr>
        <w:widowControl/>
        <w:numPr>
          <w:ilvl w:val="0"/>
          <w:numId w:val="15"/>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不发生火灾事故；</w:t>
      </w:r>
    </w:p>
    <w:p>
      <w:pPr>
        <w:widowControl/>
        <w:numPr>
          <w:ilvl w:val="0"/>
          <w:numId w:val="15"/>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不发生交通事故；</w:t>
      </w:r>
    </w:p>
    <w:p>
      <w:pPr>
        <w:widowControl/>
        <w:numPr>
          <w:ilvl w:val="0"/>
          <w:numId w:val="15"/>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不发生责任性全厂停电事故；</w:t>
      </w:r>
    </w:p>
    <w:p>
      <w:pPr>
        <w:widowControl/>
        <w:numPr>
          <w:ilvl w:val="0"/>
          <w:numId w:val="15"/>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不发生职业病危害事故；</w:t>
      </w:r>
    </w:p>
    <w:p>
      <w:pPr>
        <w:widowControl/>
        <w:numPr>
          <w:ilvl w:val="0"/>
          <w:numId w:val="15"/>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不发生污染物超标排放、危险废弃物违法处置、化学品泄漏、环境处罚等环境污染事故、事件；</w:t>
      </w:r>
    </w:p>
    <w:p>
      <w:pPr>
        <w:widowControl/>
        <w:numPr>
          <w:ilvl w:val="0"/>
          <w:numId w:val="15"/>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不发生责任性甲方二类障碍及以上安健环事件等。</w:t>
      </w:r>
    </w:p>
    <w:p>
      <w:pPr>
        <w:widowControl/>
        <w:numPr>
          <w:ilvl w:val="0"/>
          <w:numId w:val="11"/>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甲方安健环职责</w:t>
      </w:r>
    </w:p>
    <w:p>
      <w:pPr>
        <w:widowControl/>
        <w:numPr>
          <w:ilvl w:val="0"/>
          <w:numId w:val="16"/>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甲方有权根据有关法律法规和规范性文件要求，结合电厂项目建设和生产运营等实际需要，制订并颁布施行安健环相关规章制度。</w:t>
      </w:r>
    </w:p>
    <w:p>
      <w:pPr>
        <w:widowControl/>
        <w:numPr>
          <w:ilvl w:val="0"/>
          <w:numId w:val="16"/>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项目开工前由甲方自行或组织相关参建单位对乙方进行资质和开工条件审查。</w:t>
      </w:r>
    </w:p>
    <w:p>
      <w:pPr>
        <w:widowControl/>
        <w:numPr>
          <w:ilvl w:val="0"/>
          <w:numId w:val="16"/>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根据法规规定向乙方提供施工现场及毗邻区域内供水、排水、供电、供气、供热、通信、广播电视等地下管线资料，气象和水文观测资料，相邻建筑物和构筑物、地下工程的有关资料，并保证资料的真实、准确、完整。</w:t>
      </w:r>
    </w:p>
    <w:p>
      <w:pPr>
        <w:widowControl/>
        <w:numPr>
          <w:ilvl w:val="0"/>
          <w:numId w:val="16"/>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自行或组织监理单位审查乙方项目安全保证及监督体系、安全生产管理组织机构、安全生产条件、施工组织设计、安全技术措施、职业健康防治措施、环境保护与污染防治措施等安健环管理满足法规要求和项目需求。</w:t>
      </w:r>
    </w:p>
    <w:p>
      <w:pPr>
        <w:widowControl/>
        <w:numPr>
          <w:ilvl w:val="0"/>
          <w:numId w:val="16"/>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向乙方进行必要的书面安健环技术交底（实行工程总承包的，由总承包单位组织落实）。</w:t>
      </w:r>
    </w:p>
    <w:p>
      <w:pPr>
        <w:widowControl/>
        <w:numPr>
          <w:ilvl w:val="0"/>
          <w:numId w:val="16"/>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自行或委托监理单位对项目实施过程的现场人员、设备设施、材料、安健环管理实施监督检查，促进现场安全文明生产、职业病防治、节能环保和防止污染事件。</w:t>
      </w:r>
    </w:p>
    <w:p>
      <w:pPr>
        <w:widowControl/>
        <w:numPr>
          <w:ilvl w:val="0"/>
          <w:numId w:val="16"/>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甲方及其上级单位或其委托的监理单位有权对乙方安健环违法、违规、违章及不文明施工等行为及时进行制止，必要时向乙方下达整改通知书，并可根据约定条件对承包商给予相应的追责和扣缴违约金以及经济处罚。对于严重违法违章行为、重大安健环隐患，可勒令乙方无条件停止作业、停工整顿，直至问题或隐患排除，方允许继续作业。情况特别严重的，甲方有权终止合同。</w:t>
      </w:r>
    </w:p>
    <w:p>
      <w:pPr>
        <w:widowControl/>
        <w:numPr>
          <w:ilvl w:val="0"/>
          <w:numId w:val="16"/>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发生以下情况，甲方可勒令乙方无条件停工整顿。</w:t>
      </w:r>
    </w:p>
    <w:p>
      <w:pPr>
        <w:widowControl/>
        <w:numPr>
          <w:ilvl w:val="0"/>
          <w:numId w:val="17"/>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发生人身伤亡事故、职业病危害事故、环境污染事故；</w:t>
      </w:r>
    </w:p>
    <w:p>
      <w:pPr>
        <w:widowControl/>
        <w:numPr>
          <w:ilvl w:val="0"/>
          <w:numId w:val="17"/>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发生机械、设备严重损坏事故；</w:t>
      </w:r>
    </w:p>
    <w:p>
      <w:pPr>
        <w:widowControl/>
        <w:numPr>
          <w:ilvl w:val="0"/>
          <w:numId w:val="17"/>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发生厂（场）内火灾事故、交通事故；</w:t>
      </w:r>
    </w:p>
    <w:p>
      <w:pPr>
        <w:widowControl/>
        <w:numPr>
          <w:ilvl w:val="0"/>
          <w:numId w:val="17"/>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设备、设施、工器具和安全防护用品用具存在重大隐患，可能导致事故发生；</w:t>
      </w:r>
    </w:p>
    <w:p>
      <w:pPr>
        <w:widowControl/>
        <w:numPr>
          <w:ilvl w:val="0"/>
          <w:numId w:val="17"/>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乙方有严重安健环违法、违规、违章、冒险作业可能导致事故发生的；</w:t>
      </w:r>
    </w:p>
    <w:p>
      <w:pPr>
        <w:widowControl/>
        <w:numPr>
          <w:ilvl w:val="0"/>
          <w:numId w:val="17"/>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作业现场脏、乱、差，严重影响安全文明环境的；</w:t>
      </w:r>
    </w:p>
    <w:p>
      <w:pPr>
        <w:widowControl/>
        <w:numPr>
          <w:ilvl w:val="0"/>
          <w:numId w:val="17"/>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乙方疏于管理可能导致职业危害事故发生的；</w:t>
      </w:r>
    </w:p>
    <w:p>
      <w:pPr>
        <w:widowControl/>
        <w:numPr>
          <w:ilvl w:val="0"/>
          <w:numId w:val="17"/>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污水、粉尘、有毒气体、噪声和辐射等违规排放，可能导致环保和污染事故；</w:t>
      </w:r>
    </w:p>
    <w:p>
      <w:pPr>
        <w:widowControl/>
        <w:numPr>
          <w:ilvl w:val="0"/>
          <w:numId w:val="17"/>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化学品储存、搬运和使用存在严重隐患，可能导致泄漏、伤害和污染事件的。</w:t>
      </w:r>
    </w:p>
    <w:p>
      <w:pPr>
        <w:widowControl/>
        <w:numPr>
          <w:ilvl w:val="0"/>
          <w:numId w:val="17"/>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其他因乙方未有效履行有关安健环管理职责和落实有关安健环措施，危及生命财产安全、危及发包方安全生产或可能造成环境污染事故事件。</w:t>
      </w:r>
    </w:p>
    <w:p>
      <w:pPr>
        <w:widowControl/>
        <w:numPr>
          <w:ilvl w:val="0"/>
          <w:numId w:val="16"/>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督促乙方办理并严格执行相关工作许可文件，如工作票、开工许可证等。</w:t>
      </w:r>
    </w:p>
    <w:p>
      <w:pPr>
        <w:widowControl/>
        <w:numPr>
          <w:ilvl w:val="0"/>
          <w:numId w:val="16"/>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建立协调机制，协调解决项目实施过程中的安健环问题，检查、布置安健环工作。</w:t>
      </w:r>
    </w:p>
    <w:p>
      <w:pPr>
        <w:widowControl/>
        <w:numPr>
          <w:ilvl w:val="0"/>
          <w:numId w:val="16"/>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组织或协助上级有关单位进行事故调查处理。对乙方发生的任何一起事故有权要求乙方调查处理。</w:t>
      </w:r>
    </w:p>
    <w:p>
      <w:pPr>
        <w:widowControl/>
        <w:numPr>
          <w:ilvl w:val="0"/>
          <w:numId w:val="16"/>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委托工程监理的项目，可按法规规定及合同约定由工程监理单位依法履行上述的部分甲方责任。</w:t>
      </w:r>
    </w:p>
    <w:p>
      <w:pPr>
        <w:widowControl/>
        <w:numPr>
          <w:ilvl w:val="0"/>
          <w:numId w:val="11"/>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乙方安健环职责</w:t>
      </w:r>
    </w:p>
    <w:p>
      <w:pPr>
        <w:widowControl/>
        <w:numPr>
          <w:ilvl w:val="0"/>
          <w:numId w:val="18"/>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乙方对所承包项目的安健环管理全面负责，并承担所承包项目安健环主体责任。实施建设项目总承包的，执行国家有关规定。</w:t>
      </w:r>
    </w:p>
    <w:p>
      <w:pPr>
        <w:widowControl/>
        <w:numPr>
          <w:ilvl w:val="0"/>
          <w:numId w:val="18"/>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乙方负责宣贯传达并严格遵守国家、行业有关安健环法律、法规、方针、政策、标准、规定和规范性文件、操作规程等要求，自行宣贯落实并严格履行法律法规、承包合同、本协议及甲方有关安健环管理制度规定的安健环职责，严格执行甲方安健环管理和安全文明生产等现场规定和规章制度，主动依约依规接受甲方或其委托的监理方的管理、监督、检查和指导。</w:t>
      </w:r>
    </w:p>
    <w:p>
      <w:pPr>
        <w:widowControl/>
        <w:numPr>
          <w:ilvl w:val="0"/>
          <w:numId w:val="18"/>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乙方应严格执行甲方安全管理网格化要求，接受甲方安全管理网格化培训，全员认真履行日常网格化管理职责，加强日常巡检和隐患排查，及时发现和消除现场安全隐患，接受甲方安全管理网格化监督和考核。</w:t>
      </w:r>
    </w:p>
    <w:p>
      <w:pPr>
        <w:widowControl/>
        <w:numPr>
          <w:ilvl w:val="0"/>
          <w:numId w:val="18"/>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乙方应具备满足所承担承包项目要求的安健环等级资质，持有合法有效的营业执照、资质证书等资质证明。有关资质证明应在开工前书面提交甲方现场审查、备案。</w:t>
      </w:r>
    </w:p>
    <w:p>
      <w:pPr>
        <w:widowControl/>
        <w:numPr>
          <w:ilvl w:val="0"/>
          <w:numId w:val="18"/>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乙方应有完善的安健环组织机构和安健环管理体系，以确保对本协议的有效贯彻执行。乙方须自觉加强落实内部安健环管理、监督、检查、教育、整改和考核，确保安健环费用的有效投入，根据工程项目的特点组织制定安健环管理措施，消除事故隐患，及时、如实报告生产安全事故、事件。</w:t>
      </w:r>
    </w:p>
    <w:p>
      <w:pPr>
        <w:widowControl/>
        <w:numPr>
          <w:ilvl w:val="0"/>
          <w:numId w:val="18"/>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乙方现场从业人员超过50人（含50人）的，必须设置安全生产监督管理机构。乙方应同时按现场管理需要配备专职安全管理人员，从业人员超过300人的不得少于3人；从业人员在50人以下30人以上（含30人）的必须配备专职安全监督管理人员，从业人员在30人以下的应配备专职或兼职安全监督管理人员。主体工程监理单位，应设置安全生产监督管理机构，专职安全管理人员不得少于3人；非主体工程的监理单位，应配备专职安全监督管理人员。其他参建单位应按法规要求设立安全生产监督管理机构或配备安全管理人员。</w:t>
      </w:r>
    </w:p>
    <w:p>
      <w:pPr>
        <w:widowControl/>
        <w:numPr>
          <w:ilvl w:val="0"/>
          <w:numId w:val="18"/>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乙方主要负责人、项目负责人、安全生产管理人员、特种作业人员、危化品从业人员及法律法规要求应持证的其他从业人员，均应当按照国家有关法律法规规定接受培训，持证上岗。开工前，有关人员资质证件应书面提交甲方现场审查、备案。新改扩建建设工程乙方主要负责人还应最低持有：一级建造师证和安全员B证；安全负责人最低应持有注册安全工程师证和建设主管部门颁发的安全C证；安全管理人员最低持有建设主管部门颁发的安全C证；监理安全管理负责人应最低持有注册安全工程师证；监理安全管理人员应最低持有安全监理员证。</w:t>
      </w:r>
    </w:p>
    <w:p>
      <w:pPr>
        <w:widowControl/>
        <w:numPr>
          <w:ilvl w:val="0"/>
          <w:numId w:val="18"/>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乙方现场到岗项目经理、技术负责人、安全负责人、监理总监、安全监理等主要岗位人员必须与投标文件一致，工作能力和履责表现应符合现场安全生产要求，不得擅自更换、不得设置其他岗位代替其履行职责。主要岗位人员必须全职常驻现场履责，严禁无故离岗、严禁他人代签署文件资料。</w:t>
      </w:r>
    </w:p>
    <w:p>
      <w:pPr>
        <w:widowControl/>
        <w:numPr>
          <w:ilvl w:val="0"/>
          <w:numId w:val="18"/>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乙方应依法合规用工，加强协调管理，杜绝因劳资纠纷引起的社会安全事件。</w:t>
      </w:r>
    </w:p>
    <w:p>
      <w:pPr>
        <w:widowControl/>
        <w:numPr>
          <w:ilvl w:val="0"/>
          <w:numId w:val="18"/>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乙方所有工作人员的身体状况符合工程要求，严禁使用未成年工、有犯罪前科人员和不适应现场安全施工要求的老、弱、病、残和职业禁忌症人员。</w:t>
      </w:r>
    </w:p>
    <w:p>
      <w:pPr>
        <w:widowControl/>
        <w:numPr>
          <w:ilvl w:val="0"/>
          <w:numId w:val="18"/>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乙方应对所有进入甲方现场的人员（含增补或调换人员、更换工种等）进行入场（厂）安健环教育培训，并经考试合格后方可上岗，培训考核结果提交甲方现场备案。</w:t>
      </w:r>
    </w:p>
    <w:p>
      <w:pPr>
        <w:widowControl/>
        <w:numPr>
          <w:ilvl w:val="0"/>
          <w:numId w:val="18"/>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乙方人员进入生产现场必须办理入场（厂）手续，作业前应按甲方有关规定办理开工许可、工作票、工作许可或授权。未经许可或授权不得擅自进入非授权场所，不得擅自开工。</w:t>
      </w:r>
    </w:p>
    <w:p>
      <w:pPr>
        <w:widowControl/>
        <w:numPr>
          <w:ilvl w:val="0"/>
          <w:numId w:val="18"/>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乙方必须为进入现场的所有人员配备足够齐全合格的个人安健环防护用品，并自行督促正确佩戴使用，自行加强日常培训和落实管理工作，杜绝安健环等责任事故或事件的发生。</w:t>
      </w:r>
    </w:p>
    <w:p>
      <w:pPr>
        <w:widowControl/>
        <w:numPr>
          <w:ilvl w:val="0"/>
          <w:numId w:val="18"/>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乙方必须评估并制定现场职业病危害因素防控措施，杜绝职业病危害事故发生。</w:t>
      </w:r>
    </w:p>
    <w:p>
      <w:pPr>
        <w:widowControl/>
        <w:numPr>
          <w:ilvl w:val="0"/>
          <w:numId w:val="18"/>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乙方按照法律法规和有关规定，必须为其进入现场的全部作业人员办理覆盖整个工程期间的必要医疗、工伤、意外伤害等保险，并在甲方现场备案。工伤保险不得替代意外伤害保险。</w:t>
      </w:r>
    </w:p>
    <w:p>
      <w:pPr>
        <w:widowControl/>
        <w:numPr>
          <w:ilvl w:val="0"/>
          <w:numId w:val="18"/>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乙方应使用合格的机械（含车辆）、工器具及安全防护设施、安全用具，各类特种设备、工、用、机具必须经过质监部门或有关技术部门定期检验合格。开工前乙方必须完成自查，并向甲方现场提交清单及自查结果。不合格的，不得进入作业现场。</w:t>
      </w:r>
    </w:p>
    <w:p>
      <w:pPr>
        <w:widowControl/>
        <w:numPr>
          <w:ilvl w:val="0"/>
          <w:numId w:val="18"/>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乙方进出甲方安保区域的车辆，必须按甲方现场规定办理通行证件，并接受甲方现场保安人员的检查。</w:t>
      </w:r>
    </w:p>
    <w:p>
      <w:pPr>
        <w:widowControl/>
        <w:numPr>
          <w:ilvl w:val="0"/>
          <w:numId w:val="18"/>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乙方开工前须针对复杂、危险、专业性较强、风险较大的作业或危险区域作业制定专门的安健环技术措施或专项施工方案，由甲方或监理单位审查合格并监督实施。甲方或监理方的有关参与行为，将不分摊或减免乙方的安健环责任。对达到一定规模及以上危险性较大的工程，国家、行业规定必须进行专家论证的，应从其规定。</w:t>
      </w:r>
    </w:p>
    <w:p>
      <w:pPr>
        <w:widowControl/>
        <w:numPr>
          <w:ilvl w:val="0"/>
          <w:numId w:val="18"/>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乙方负责组织项目或分项作业开工前的安全技术交底，并将交底内容和交底人、被交底人签字的记录，一份存档，另一份送达甲方现场安全负责人备案。</w:t>
      </w:r>
    </w:p>
    <w:p>
      <w:pPr>
        <w:widowControl/>
        <w:numPr>
          <w:ilvl w:val="0"/>
          <w:numId w:val="18"/>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乙方应落实文明生产各项要求，安全设施及安全警示标志齐全，作业区域装设临时围栏（必要时实施封闭作业），夜间设置警告灯。不得超越指定的作业区域作业。未经甲方事前同意，不得擅自动用甲方设备设施，不得擅自拆除、变更甲方防护设施及安全标志。</w:t>
      </w:r>
    </w:p>
    <w:p>
      <w:pPr>
        <w:widowControl/>
        <w:numPr>
          <w:ilvl w:val="0"/>
          <w:numId w:val="18"/>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乙方在项目实施过程中不得超范围工作，不得随意碰触无关设备或改变状态，对施工可能造成损害的毗邻建构筑物、设施设备、地下管线等应采取专项保护措施。</w:t>
      </w:r>
    </w:p>
    <w:p>
      <w:pPr>
        <w:widowControl/>
        <w:numPr>
          <w:ilvl w:val="0"/>
          <w:numId w:val="18"/>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乙方需使用水、电、气源，必须提出申请并执行甲方相关规定，不得私拉乱接。乙方作业过程中必须严格执行国家、行业有关法律法规和规范性文件要求以及甲方的规章制度，安全用水、用电、用气。</w:t>
      </w:r>
    </w:p>
    <w:p>
      <w:pPr>
        <w:widowControl/>
        <w:numPr>
          <w:ilvl w:val="0"/>
          <w:numId w:val="18"/>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乙方施工过程中必须对现场进行定置管理，做到“三不落地”（材料、工具、水和油不落地），保持地面整洁及自觉保护环境（如草地、树木、绿化带等），如有损坏要负责恢复、赔偿。</w:t>
      </w:r>
    </w:p>
    <w:p>
      <w:pPr>
        <w:widowControl/>
        <w:numPr>
          <w:ilvl w:val="0"/>
          <w:numId w:val="18"/>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 xml:space="preserve">乙方负责对施工过程中物料和废料进行分类管理，采取措施防止扬尘、泄漏、污染事件，作业后，必须做到工完、料净、场地清。 </w:t>
      </w:r>
    </w:p>
    <w:p>
      <w:pPr>
        <w:widowControl/>
        <w:numPr>
          <w:ilvl w:val="0"/>
          <w:numId w:val="18"/>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乙方负责采取措施，防治工程项目实施过程中产生的废气、废水、废渣、粉尘、恶臭气体、放射性物质以及噪声、振动、光辐射、电磁辐射等对环境的污染和危害。污染物处置、排放必须依法合规且达标。采取措施避免施工中产生的灰尘、噪音、强光、废水等有害污染物影响到施工及周边区域的环境及人员健康。</w:t>
      </w:r>
    </w:p>
    <w:p>
      <w:pPr>
        <w:widowControl/>
        <w:numPr>
          <w:ilvl w:val="0"/>
          <w:numId w:val="18"/>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乙方应加强所承包项目安健环管理，作业过程严格遵守《电力建设安全工作规程》、《电业安全工作规程》、《建筑施工高处作业施工规范》、《施工现场临时用电安全技术规范》、《建筑深基坑工程施工安全技术规范》、《建筑施工扣件式钢管脚手架安全技术规范》、《建筑施工安全检查标准》等规范、标准规定，符合甲方《深能环保生产企业安全管理指引》、《深能环保检修安全管理指引》、《深能环保基建工程安全文明施工标准》等标准、指引要求，杜绝以下习惯性违章行为（包括但不限于以下内容）主要有：</w:t>
      </w:r>
    </w:p>
    <w:p>
      <w:pPr>
        <w:widowControl/>
        <w:numPr>
          <w:ilvl w:val="0"/>
          <w:numId w:val="19"/>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进入施工现场未戴安全帽，或安全帽没有正确佩戴，安全帽带未系紧</w:t>
      </w:r>
    </w:p>
    <w:p>
      <w:pPr>
        <w:widowControl/>
        <w:numPr>
          <w:ilvl w:val="0"/>
          <w:numId w:val="19"/>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着装不规范（如：未戴出入证，工作服未扣好钮扣，穿背心、短裤、裙子、拖鞋、高跟鞋进入施工现场，踩鞋后跟等）</w:t>
      </w:r>
    </w:p>
    <w:p>
      <w:pPr>
        <w:widowControl/>
        <w:numPr>
          <w:ilvl w:val="0"/>
          <w:numId w:val="19"/>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特种工种无证作业</w:t>
      </w:r>
    </w:p>
    <w:p>
      <w:pPr>
        <w:widowControl/>
        <w:numPr>
          <w:ilvl w:val="0"/>
          <w:numId w:val="19"/>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超负荷或超期限使用电气、机械设备</w:t>
      </w:r>
    </w:p>
    <w:p>
      <w:pPr>
        <w:widowControl/>
        <w:numPr>
          <w:ilvl w:val="0"/>
          <w:numId w:val="19"/>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酒后进入施工现场，在现场睡觉</w:t>
      </w:r>
    </w:p>
    <w:p>
      <w:pPr>
        <w:widowControl/>
        <w:numPr>
          <w:ilvl w:val="0"/>
          <w:numId w:val="19"/>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未按规定布置或擅自拆除、损坏、移动安全设施、标志、警告牌</w:t>
      </w:r>
    </w:p>
    <w:p>
      <w:pPr>
        <w:widowControl/>
        <w:numPr>
          <w:ilvl w:val="0"/>
          <w:numId w:val="19"/>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检修、清理运行中设备</w:t>
      </w:r>
    </w:p>
    <w:p>
      <w:pPr>
        <w:widowControl/>
        <w:numPr>
          <w:ilvl w:val="0"/>
          <w:numId w:val="19"/>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各类施工机械、电气安全保护装置不齐</w:t>
      </w:r>
    </w:p>
    <w:p>
      <w:pPr>
        <w:widowControl/>
        <w:numPr>
          <w:ilvl w:val="0"/>
          <w:numId w:val="19"/>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机械设备的电气、转动部件外露部分无防护装置</w:t>
      </w:r>
    </w:p>
    <w:p>
      <w:pPr>
        <w:widowControl/>
        <w:numPr>
          <w:ilvl w:val="0"/>
          <w:numId w:val="19"/>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使用不合格的设备、机械、工器具、劳动保护用品</w:t>
      </w:r>
    </w:p>
    <w:p>
      <w:pPr>
        <w:widowControl/>
        <w:numPr>
          <w:ilvl w:val="0"/>
          <w:numId w:val="19"/>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夜间或光线不足地点未有充足照明或警示红灯</w:t>
      </w:r>
    </w:p>
    <w:p>
      <w:pPr>
        <w:widowControl/>
        <w:numPr>
          <w:ilvl w:val="0"/>
          <w:numId w:val="19"/>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起吊、存放零散物件未做好防坠措施</w:t>
      </w:r>
    </w:p>
    <w:p>
      <w:pPr>
        <w:widowControl/>
        <w:numPr>
          <w:ilvl w:val="0"/>
          <w:numId w:val="19"/>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对地下设施、管线不采取保护、标识措施</w:t>
      </w:r>
    </w:p>
    <w:p>
      <w:pPr>
        <w:widowControl/>
        <w:numPr>
          <w:ilvl w:val="0"/>
          <w:numId w:val="19"/>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交叉、起重、带电作业未有隔离措施、警戒区域，并未设专人监护</w:t>
      </w:r>
    </w:p>
    <w:p>
      <w:pPr>
        <w:widowControl/>
        <w:numPr>
          <w:ilvl w:val="0"/>
          <w:numId w:val="19"/>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密闭容器内、潮湿地点电源未使用安全电压或设置漏电保护开关，密闭容器未有良好通风、未设专人监护</w:t>
      </w:r>
    </w:p>
    <w:p>
      <w:pPr>
        <w:widowControl/>
        <w:numPr>
          <w:ilvl w:val="0"/>
          <w:numId w:val="19"/>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梯长不按规定驳长使用或放置不稳，多人同时站在梯子上作业</w:t>
      </w:r>
    </w:p>
    <w:p>
      <w:pPr>
        <w:widowControl/>
        <w:numPr>
          <w:ilvl w:val="0"/>
          <w:numId w:val="19"/>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其他不符合高处作业、土石方作业、施工用电、深基坑作业、脚手架作业、模板工程、起重作业、有限空间作业、危化品管理、调试施工等作业规范的行为。</w:t>
      </w:r>
    </w:p>
    <w:p>
      <w:pPr>
        <w:widowControl/>
        <w:numPr>
          <w:ilvl w:val="0"/>
          <w:numId w:val="18"/>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乙方应根据工作范围、作业环境以及工程项目的特点，对施工现场容易引发安全生产事故的危险源、危险部位、危险环节进行监控，并制定施工现场安全应急预案, 建立应急救援组织、配备应急物资和器材，并定期组织应急培训和演练。</w:t>
      </w:r>
    </w:p>
    <w:p>
      <w:pPr>
        <w:widowControl/>
        <w:numPr>
          <w:ilvl w:val="0"/>
          <w:numId w:val="18"/>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发生人身、设备、火灾、环境污染等事故或危及生产运行的不安全情况及其他不安全和环境污染事件时，乙方须首先救治伤员，及时向甲方报告，并积极落实应急措施防止事态扩大、减少事故损失。同时应保护好事故现场，视事故事件大小、类别按有关规定向政府有关部门报告。执行国家事故信息上报规定，并按国家的有关规定开展事故调查处理。</w:t>
      </w:r>
    </w:p>
    <w:p>
      <w:pPr>
        <w:widowControl/>
        <w:numPr>
          <w:ilvl w:val="0"/>
          <w:numId w:val="18"/>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项目建设工程实行施工总承包的，由总承包单位对施工现场的安健环管理特别是安全生产方面负总责。总承包单位依法合规并事前签订书面合约将建设工程分包给其他单位的，总承包单位要按甲方有关规定和要求对项目分包商进行严格审查，不合格的不得承接分包项目，严禁层层转包。总承包单位必须与分包方签订安健环管理协议，明确双方管理职责和应采取的安健环措施。总承包单位须将分包方纳入到自己的管理范围，并对其安健环管理过程和结果负连带责任。分包单位必须服从总承包单位的安健环管理，因分包单位不服从管理导致安健环事故、事件的，由分包单位承担主要责任。</w:t>
      </w:r>
    </w:p>
    <w:p>
      <w:pPr>
        <w:widowControl/>
        <w:numPr>
          <w:ilvl w:val="0"/>
          <w:numId w:val="18"/>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承包人应承担各类事件后的维稳运作和费用。</w:t>
      </w:r>
    </w:p>
    <w:p>
      <w:pPr>
        <w:widowControl/>
        <w:numPr>
          <w:ilvl w:val="0"/>
          <w:numId w:val="11"/>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违约责任与违约金扣缴或处罚</w:t>
      </w:r>
    </w:p>
    <w:p>
      <w:pPr>
        <w:widowControl/>
        <w:numPr>
          <w:ilvl w:val="0"/>
          <w:numId w:val="20"/>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由于责任方原因造成安健环事故、事件发生，引发对方或第三方的人身伤害、设备损坏或财产损失，由责任方承担相应安健环责任、法律责任和全部经济损失（包括但不限于有关赔偿或补偿）。双方均有责任的，甲乙双方按认定的责任各自承担。</w:t>
      </w:r>
    </w:p>
    <w:p>
      <w:pPr>
        <w:widowControl/>
        <w:numPr>
          <w:ilvl w:val="0"/>
          <w:numId w:val="20"/>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甲乙双方向对方提供的有关文件、资料应准确有效，符合安健环法规要求，否则接受方有权拒绝；对于因虚假或不实文件、资料引起的安健环责任和不良后果，由提供方独自承担全部责任并负责有关赔偿或补偿。</w:t>
      </w:r>
    </w:p>
    <w:p>
      <w:pPr>
        <w:widowControl/>
        <w:numPr>
          <w:ilvl w:val="0"/>
          <w:numId w:val="20"/>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 xml:space="preserve">乙方因工程需要使用甲方设备、设施、工器具和安全防护用品的，必须经甲方批准，并由乙方书面验收合格后方能使用。验收不合格，不得使用。未经甲方批准擅自使用或因乙方使用不当等情况造成设备设施损坏或引发事故的，由乙方独自承担全部责任并负责有关赔偿或补偿。 </w:t>
      </w:r>
    </w:p>
    <w:p>
      <w:pPr>
        <w:widowControl/>
        <w:numPr>
          <w:ilvl w:val="0"/>
          <w:numId w:val="20"/>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乙方发生下列情况之一，由乙方独自负全部责任、承担全部经济损失赔偿、补偿和相关罚款、违约金，并由乙方完成（包括但不限于受理、调查核实、提交报告、配合认定、安抚谈判、承担责任、污染复原、支付赔偿等）等善后事宜。造成甲方或第三方损失的也由乙方全部承担：</w:t>
      </w:r>
    </w:p>
    <w:p>
      <w:pPr>
        <w:widowControl/>
        <w:numPr>
          <w:ilvl w:val="0"/>
          <w:numId w:val="21"/>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擅自更换投标文件列明的项目经理、监理总监、技术负责人、安全负责人、安全监理等关键岗位人员或关键岗位人员不到岗、履责不到位引起、导致、造成事故。</w:t>
      </w:r>
    </w:p>
    <w:p>
      <w:pPr>
        <w:widowControl/>
        <w:numPr>
          <w:ilvl w:val="0"/>
          <w:numId w:val="21"/>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不按施工方案施工、不执行安全技术措施、安健环监管不到位、安健环投入不足、人员安健环教育不到位、隐患整改不及时或不彻底、施工用机具及安全防护用品不满足施工需求等情况所引起、导致、造成事故。</w:t>
      </w:r>
    </w:p>
    <w:p>
      <w:pPr>
        <w:widowControl/>
        <w:numPr>
          <w:ilvl w:val="0"/>
          <w:numId w:val="21"/>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违法、违规、违章指挥、违章作业、违反劳动纪律、违反本协议、违反甲方安健环规定等所引起、导致、造成事故。</w:t>
      </w:r>
    </w:p>
    <w:p>
      <w:pPr>
        <w:widowControl/>
        <w:numPr>
          <w:ilvl w:val="0"/>
          <w:numId w:val="21"/>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使用有隐患的或未经许可擅自拆除安全防护设施所引起、导致、造成事故。</w:t>
      </w:r>
    </w:p>
    <w:p>
      <w:pPr>
        <w:widowControl/>
        <w:numPr>
          <w:ilvl w:val="0"/>
          <w:numId w:val="21"/>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 xml:space="preserve"> 擅自损坏、毁坏安全防护设施所引起、导致、造成事故。</w:t>
      </w:r>
    </w:p>
    <w:p>
      <w:pPr>
        <w:widowControl/>
        <w:numPr>
          <w:ilvl w:val="0"/>
          <w:numId w:val="21"/>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由于乙方故意、过失、渎职、疏于管理等原因或责任所引起、导致、造成事故。</w:t>
      </w:r>
    </w:p>
    <w:p>
      <w:pPr>
        <w:widowControl/>
        <w:numPr>
          <w:ilvl w:val="0"/>
          <w:numId w:val="21"/>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乙方与其派往现场等人员产生劳动争议和任何纠纷。</w:t>
      </w:r>
    </w:p>
    <w:p>
      <w:pPr>
        <w:widowControl/>
        <w:numPr>
          <w:ilvl w:val="0"/>
          <w:numId w:val="21"/>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其他因乙方未有效履行有关安健环管理职责和落实有关安健环措施，造成生命财产损失、发生安全生产事故事件、发生职业危害事件或环境污染事故事件。</w:t>
      </w:r>
    </w:p>
    <w:p>
      <w:pPr>
        <w:widowControl/>
        <w:numPr>
          <w:ilvl w:val="0"/>
          <w:numId w:val="20"/>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发生以下乙方责任安健环事故事件的，甲方有权依约依规对乙方进行违约金扣除，违约金额从甲方应支付乙方的合同费用、</w:t>
      </w:r>
      <w:r>
        <w:rPr>
          <w:rFonts w:hint="eastAsia" w:ascii="宋体" w:hAnsi="宋体" w:cs="Tahoma"/>
          <w:kern w:val="0"/>
          <w:sz w:val="24"/>
          <w:lang w:eastAsia="zh-CN" w:bidi="ar"/>
        </w:rPr>
        <w:t>监管资金</w:t>
      </w:r>
      <w:r>
        <w:rPr>
          <w:rFonts w:hint="eastAsia" w:ascii="宋体" w:hAnsi="宋体" w:cs="Tahoma"/>
          <w:kern w:val="0"/>
          <w:sz w:val="24"/>
          <w:lang w:bidi="ar"/>
        </w:rPr>
        <w:t>或监管资金中直接给予扣除（此并不构成甲方违约）。违约金扣除标准如下：</w:t>
      </w:r>
    </w:p>
    <w:p>
      <w:pPr>
        <w:widowControl/>
        <w:numPr>
          <w:ilvl w:val="0"/>
          <w:numId w:val="22"/>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发生一般及以上安全生产事故、火灾事故、交通事故、环境污染事故，导致人员轻伤的每人次30000元、人员重伤的每人次50000元、人身死亡的每人次100000元；造成经济损失的，并罚直接经济损失金额的百分之十，并由乙方承担全部经济损失。</w:t>
      </w:r>
    </w:p>
    <w:p>
      <w:pPr>
        <w:widowControl/>
        <w:numPr>
          <w:ilvl w:val="0"/>
          <w:numId w:val="22"/>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发生职业病危害事故、事件，每人次20000元；</w:t>
      </w:r>
    </w:p>
    <w:p>
      <w:pPr>
        <w:widowControl/>
        <w:numPr>
          <w:ilvl w:val="0"/>
          <w:numId w:val="22"/>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造成发包方全厂停电事故，每起30000元；</w:t>
      </w:r>
    </w:p>
    <w:p>
      <w:pPr>
        <w:widowControl/>
        <w:numPr>
          <w:ilvl w:val="0"/>
          <w:numId w:val="22"/>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造成发包方内部统计事故，每起30000元；</w:t>
      </w:r>
    </w:p>
    <w:p>
      <w:pPr>
        <w:widowControl/>
        <w:numPr>
          <w:ilvl w:val="0"/>
          <w:numId w:val="22"/>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造成发包方一类障碍，每起25000元；</w:t>
      </w:r>
    </w:p>
    <w:p>
      <w:pPr>
        <w:widowControl/>
        <w:numPr>
          <w:ilvl w:val="0"/>
          <w:numId w:val="22"/>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造成发包方二类障碍，每起10000元；</w:t>
      </w:r>
    </w:p>
    <w:p>
      <w:pPr>
        <w:widowControl/>
        <w:numPr>
          <w:ilvl w:val="0"/>
          <w:numId w:val="22"/>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发生上述安健环事故、事件后，承包方弄虚作假、隐瞒不报、迟报或谎报，一经查出，除按上述规定进行处罚外，另外加罚一倍。</w:t>
      </w:r>
    </w:p>
    <w:p>
      <w:pPr>
        <w:widowControl/>
        <w:numPr>
          <w:ilvl w:val="0"/>
          <w:numId w:val="20"/>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有关事故定级、职业病危害认定、经济损失等，依照国家有关法规或事故调查、专业鉴定结果；乙方二类障碍、一类障碍、全厂停电、内部统计事故的定义依据甲方安健环事故事件调查有关管理制度。</w:t>
      </w:r>
    </w:p>
    <w:p>
      <w:pPr>
        <w:widowControl/>
        <w:numPr>
          <w:ilvl w:val="0"/>
          <w:numId w:val="20"/>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由于乙方责任（含其派出人员）造成的一切人身事故、设备损坏、职业病危害事故、环境污染等安健环事故事件，均由乙方自行承担全部安健环责任和法律责任，并负责所有赔偿、补偿善后处置工作。如使甲方或第三方造成损失，乙方负责赔偿或补偿；乙方不及时支付赔偿或补偿金额的，甲方有权从应支付乙方的合同费用、</w:t>
      </w:r>
      <w:r>
        <w:rPr>
          <w:rFonts w:hint="eastAsia" w:ascii="宋体" w:hAnsi="宋体" w:cs="Tahoma"/>
          <w:kern w:val="0"/>
          <w:sz w:val="24"/>
          <w:lang w:eastAsia="zh-CN" w:bidi="ar"/>
        </w:rPr>
        <w:t>监管资金</w:t>
      </w:r>
      <w:r>
        <w:rPr>
          <w:rFonts w:hint="eastAsia" w:ascii="宋体" w:hAnsi="宋体" w:cs="Tahoma"/>
          <w:kern w:val="0"/>
          <w:sz w:val="24"/>
          <w:lang w:bidi="ar"/>
        </w:rPr>
        <w:t>或监管资金中直接给予扣除（此并不构成甲方违约）；尚不足赔偿或补偿部分的金额，由乙方于收到甲方催缴通知一个月内另行向甲方和受损第三方一次性付清。</w:t>
      </w:r>
    </w:p>
    <w:p>
      <w:pPr>
        <w:widowControl/>
        <w:numPr>
          <w:ilvl w:val="0"/>
          <w:numId w:val="20"/>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为进一步加强对生产、基建现场典型违章隐患的治理，加大对典型隐患、习惯性违章的考核处罚力度，贯彻集团和公司“严惩制度化”的管理要求，公司规定凡是与公司及所属单位签订合同的乙方或其施工人员有以下行为的，视为乙方违反安全管理行为，甲方有权对乙方处以每起或每人次5000-20000元的违约经济处罚，处罚金额从甲方应支付乙方的当期合同费用、</w:t>
      </w:r>
      <w:r>
        <w:rPr>
          <w:rFonts w:hint="eastAsia" w:ascii="宋体" w:hAnsi="宋体" w:cs="Tahoma"/>
          <w:kern w:val="0"/>
          <w:sz w:val="24"/>
          <w:lang w:eastAsia="zh-CN" w:bidi="ar"/>
        </w:rPr>
        <w:t>监管资金</w:t>
      </w:r>
      <w:r>
        <w:rPr>
          <w:rFonts w:hint="eastAsia" w:ascii="宋体" w:hAnsi="宋体" w:cs="Tahoma"/>
          <w:kern w:val="0"/>
          <w:sz w:val="24"/>
          <w:lang w:bidi="ar"/>
        </w:rPr>
        <w:t>或监管资金中直接给予扣除（此并不构成甲方违约）。现场安健环奖惩规定由甲方在乙方入场（厂）前进行解读宣贯，并交由乙方书面签收确认。常见习惯性违章行为（包括但不限于以下内容）处罚标准如下：</w:t>
      </w:r>
    </w:p>
    <w:tbl>
      <w:tblPr>
        <w:tblStyle w:val="36"/>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6"/>
        <w:gridCol w:w="6265"/>
        <w:gridCol w:w="16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序号</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违章行为</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处罚标准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946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1.一般习惯性违章行为     有下列行为之一者给予相关责任人5000-10000元处罚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1.1</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进入施工现场未戴安全帽，或安全帽没有正确佩戴，安全帽带未系紧</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1.2</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着装不规范（如：未戴出入证，工作服未扣好钮扣，穿背心、短裤、裙子、拖鞋、高跟鞋进入施工现场，踩鞋后跟等）</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1.3</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特种工种无证作业</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1.4</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超负荷或超期限使用电气、机械设备</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1.5</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酒后进入施工现场，在现场睡觉</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1.6</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未按规定布置或擅自拆除、损坏、移动安全设施、标志、警告牌</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1.7</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检修、清理运行中设备</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1.8</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各类施工机械、电气安全保护装置不齐</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1.9</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机械设备的电气、转动部件外露部分无防护装置</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1.10</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使用不合格的设备、机械、工器具、劳动保护用品</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1.11</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夜间或光线不足地点未有充足照明或警示红灯</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1.12</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起吊、存放零散物件未做好防坠措施</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1.13</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对地下设施、管线不采取保护、标识措施</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1.14</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交叉、起重、带电作业未有隔离措施、警戒区域，并未设专人监护</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1.15</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密闭容器内、潮湿地点电源未使用安全电压或设置漏电保护开关，密闭容器未有良好通风、未设专人监护</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1.16</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梯长不按规定驳长使用或放置不稳，多人同时站在梯子上作业</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9464" w:type="dxa"/>
            <w:gridSpan w:val="3"/>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2.高空与交叉作业   违反下列行为给予10000-20000元处罚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2.1</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 xml:space="preserve">高空作业平台临边、孔洞、深坑、边坡高处等地点未设置围栏、盖板，或围栏、盖板不符合要求的 </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2.2</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钢架柱梁、砼柱梁、屋架、竖梯、爬梯等没有平台或脚手架地方进行施工，未使用水平扶绳、垂直攀登自锁装置、安全网等保护措施的</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2.3</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高空作业未戴安全带，未扣挂上方牢固可靠处或者其他防坠措施</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2.4</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简易结构上作业未采取可靠防坠措施</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2.5</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高空作业未按规定佩戴工具袋，上下抛扔物件</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2.6</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手持工具进行垂直攀爬</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2.7</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交叉作业未及时进行信息沟通，没有采取错开垂直交叉地点或时间、搭设防护隔离设施或警示措施</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64" w:type="dxa"/>
            <w:gridSpan w:val="3"/>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3.施工用电   违反下列行为给予5000-10000元处罚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3.1</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施工用电未实行三相五线制，没有采用三级配电、二级漏电保护和TN-S接零保护系统</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3.2</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电气裸露部分没有采取隔离或绝缘措施，电器设备金属外壳未有接地</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3.3</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配电箱一台开关控制多台电器设备</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3.4</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配电箱、开关箱放置地点不牢固，容易被水淹、土埋，杂草没有及时清除</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3.5</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电缆截面不能满足用电负荷要求，导致电缆发热或绝缘破损的</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3.6</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电缆埋地、设架空敷设距离、深度不足，通过道路未有保护措施，埋地电缆未有标识</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3.7</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配电室没有配置消防措施</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3.8</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施工电源维修时未采取断电、上锁、设置警示牌、监护等措施</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3.9</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不按规定乱拉乱接电源，将电源线直接插入插座或勾挂闸刀上</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3.10</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电气线路、电气设备连接采用缠绕方式</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3.11</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移动照明灯具没有按照使用场所要求采用安全电压</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3.12</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露天电气装置未做好防雨措施的</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3.13</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未按规范要求装配电器设备</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9464" w:type="dxa"/>
            <w:gridSpan w:val="3"/>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4.脚手架与模板支撑系统  违反下列行为的给予10000-20000元处罚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4.1</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钢管、扣件、竹排、铁丝等材料不符合要求，进入现场未经检查或试验</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4.2</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钢管立柱底部不牢固，未按规定设置扫地杆</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4.3</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脚手架立柱、横杆、连墙件间距过大，未按规定设置剪刀撑或支杆（抛撑）</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4.4</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脚手板未满铺或者存在空隙、探头板，脚手板未绑扎或压扣</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4.5</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脚手架或模板支撑系统在搭设过程中未按规定布置安全网</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4.6</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脚手架拆除顺序违反安全规定，上下同时拆除脚手架，采取整体推倒方式拆除脚手架</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4.7</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脚手架、模板搭设、拆除作业未设警示区域或专人监护</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4.8</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拆下的模板没有及时运到指定地点集中堆放，大量堆放在脚手架或临时搭设的工作台上</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4.9</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脚手架、模板支撑搭设未进行验收与挂牌就使用</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4.10</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模板、木料集中堆放时，距离火源小于10m，且料场四周没有设置消防器材</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946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5.起重机械与起重作业      违反下列行为给予10000-20000元处罚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5.1</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人员从起重物下方停留或通过，或吊物从人头上越过</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5.2</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起吊物未绑扎牢固，起吊时偏拉斜吊，吊物未放稳时松钩</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5.3</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起吊大件或不规则组件未绑溜绳</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5.4</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起重机同时操作三个动作，接近满负荷同时操作两个动作</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5.5</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吊起重物时司机离开操作室</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5.6</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龙门吊或塔吊移动时人员上下扶梯</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5.7</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移动式起重机械在起吊重物时未打支脚或在松动地面作业时未垫钢板或枕木</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5.8</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暴雨、大风等恶劣气候进行高处、起重作业</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5.9</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卷扬机基座不稳定，卷筒与导向轮中心未对正，运行时钢丝绳小于五圈，运行时跨越钢丝绳</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5.10</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葫芦长期吊挂时不加保险绳，拆成单链使用，拉链人数超过规定要求</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5.11</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未经承载计算及批准利用管道、脚手架起吊物件</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5.12</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使用井架载人上下，电梯和井架安全门未设置</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5.13</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使用不合格的起重工器具或违规使用工器具</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5.14</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钢丝绳接触棱角处未垫包角</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5.15</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违反十不吊规定</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946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6.消防及危险化学品     违反下列行为的给予10000-20000元考核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6.1</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在禁烟区内吸烟或流动吸烟的</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6.2</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易燃易爆物品、有毒有害物品、射源未按规定进行隔离、存放；易燃爆炸危险作业场所未有消防设施或装置，未使用防爆电器，未有警告标志，使用前未经验收</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6.3</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临时仓库的耐火等级不符合防火要求</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6.4</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仓库、宿舍、办公室、加工场、施工现场等场所不按规配置消防器材，移动、破坏消防设施或器材</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6.5</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堵塞、阻碍消防通道或消防设施</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6.6</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在易燃易爆物品附近动火作业间距不够</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6.7</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爆破作业未有安全措施</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6.8</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现场使用明火进行取暖</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6.9</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炸药与雷管、乙炔与氧气等容易引起燃烧、爆炸和其他化学反应的物质同车运输或共同存放</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6.10</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危险化学品装卸时未轻拿轻放，未采取防止撞击、倾倒措施</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6.11</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射线作业未经审批，各通道未挂警示标志，未设专人监护，作业人员未戴防护用品</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6.12</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未按规定使用危险化学品</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464" w:type="dxa"/>
            <w:gridSpan w:val="3"/>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7.有限空间作业    违反下列行为给予10000-20000元处罚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7.1</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作业前，未对有限空间进行危险和有害因素辨识，未制定安全技术措施，未制定紧急情况下的处置方案</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7.2</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有限空间作业没有办理审批许可手续</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7.3</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有限空间作业前，没有对有限空间内部可燃或有毒、有害气体浓度进行检测；作业过程或作业中断时，没有按照每隔30分钟测量一次</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7.4</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有限空间与其他系统连通的可能危及安全作业的管道没有采取有效隔离措施，有毒、有害气体可能通过管道进入有限空间</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7.5</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满足有限空间安全需要的通风换气设施、人员逃生救援装备、防止火灾和塌方等设备设施不齐全</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7.6</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有限空间作业区域无安全警示标志，出入口不畅通</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7.7</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作业时未设置专职监护人员，或监护人员私自离开</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7.8</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有限空间内没有使用36V电压以下的照明，在潮湿、狭小有限空间内作业没有使用12V电压照明。</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7.9</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违规将行灯照明的隔离变压器带进受限空间内使用</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7.10</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违规将氧气、乙炔等压力气瓶放置在有限空间内</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7.11</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作业人员离开有限空间作业点时，没有将所有作业工器具带出。作业后关闭有限空间人孔门前没有清点作业人员和作业工器具</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946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8.交通运输    违反下列行为给予5000-10000元处罚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8.1</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车辆无行驶证，驾驶员无证驾驶</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8.2</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车辆状况不良，刹车、灯光装置不齐全</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8.3</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机动车辆超速行驶或争道、抢道</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8.4</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人货混载</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8.5</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在装载机货斗、货车、叉车等违规搭人</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8.6</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危险品运输时未办理相关手续</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9464" w:type="dxa"/>
            <w:gridSpan w:val="3"/>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9.焊接与切割    违反下列行为给予5000-10000元处罚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9.1</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焊工施焊未戴手套，高空作业未做好防止焊花飞溅措施</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9.2</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不关乙炔、氧气气瓶、管道阀门，使用胶管拆弯方法切断供气</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9.3</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乙炔、氧气气瓶未做好防晒措施，乙炔气瓶横放、无回火器，乙炔、氧气胶管绑扎不牢</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9.4</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焊接、切割地点10米内存放易燃易爆物品，乙炔、氧气气瓶间距小于5米</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9.5</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对盛装油脂、可燃液体进行焊接、切割时未采取冲洗和置换措施</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946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10.修配加工与小型机具   违反下列行为给予5000-10000元处罚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10.1</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机具安全装置不齐全</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10.2</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打锤时戴手套，挥动方向对人</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10.3</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穿手套操作车、刨、钻、铣、弯、切机械设备</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10.4</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使用有裂纹或磨损超标的砂轮片，使用切割砂轮片进行打磨</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10.5</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潜水泵运行时进入坑池</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10.6</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打磨、切割、焊接等作业时未使用护目镜</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10.7</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千斤顶加长手柄或超过规定人员操作</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64" w:type="dxa"/>
            <w:gridSpan w:val="3"/>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11.吊篮作业    违反下列行为给予10000-20000元处罚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11.1</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吊篮安装人员未持有效证件作业</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11.2</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吊篮安装完成后没有进行验收，没有第三方检验验收报告</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11.3</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吊篮安全锁缺失或未在检验有效期内</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11.4</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吊篮限位开关缺失或故障</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11.5</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吊篮电气配电箱功能不齐全，电气控制按钮、紧急停运按钮等动作不可靠</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11.6</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吊篮本体上无编号、额定载重量、操作注意事项等安全警示标牌</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11.7</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悬挂机构存在缺陷，或工作钢丝绳、安全钢丝绳存在折弯、断股等缺陷</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11.8</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配重不符合使用说明书要求，配重块破损严重等</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11.9</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吊篮内作业人员超过或少于2人</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11.10</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吊篮内2名作业人员没有使用2条独立设置的安全绳</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11.11</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吊篮内堆放过多物品，超载使用</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11.12</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吊篮内放置乙炔瓶、氧气瓶等易燃易爆物品</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64" w:type="dxa"/>
            <w:gridSpan w:val="3"/>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12.土石方施工   违反下列行为给予5000-10000元处罚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12.1</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斜坡上浮石前未清理，基坑开挖临边、斜坡未有可靠防护围栏</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12.2</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有地下水或地面水流入基坑未采取排水或降水措施</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12.3</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堆土距离边坡边缘不足0.8米,高度超1.5米</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12.4</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爆破作业未设警戒范围及信号标志，未派专人指挥</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12.5</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深基坑或地质复杂基坑未采取支护措施</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64" w:type="dxa"/>
            <w:gridSpan w:val="3"/>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13.桩基及地基处理     违反下列行为给予5000-10000元处罚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13.1</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移动桩架时未采取防倾倒措施</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13.2</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人工挖孔桩未有可靠护壁并设专人监护</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13.3</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强夯区域未设警戒区域</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64" w:type="dxa"/>
            <w:gridSpan w:val="3"/>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14.混凝土结构施工    违反下列行为给予5000-10000元处罚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14.1</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松动或悬挂模板、扣件、混凝土块未及时清理</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14.2</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钢筋冷拉两侧2米未设警戒区域，使用不符合要求冷拉夹头，冷拉卷扬机处未设档板</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14.3</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钢筋绑扎未采取防止倾倒和人员坠落措施</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14.4</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振动器操作人员未穿胶鞋、戴绝缘手套</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46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15.烟囱工程   违反下列行为给予5000-10000元处罚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15.1</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烟囱工程未划分危险区，未设置围栏和警告牌</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15.2</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烟囱入口通道未搭设符合规范要求的防护隔离层</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15.3</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烟囱井架未按规定设置缆风绳</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15.4</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烟囱平台未按规定设置栏杆与安全网</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15.5</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烟囱外侧使用吊篮进行作业时未设保险钢绳、防护绳，人员未扣安全带</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64" w:type="dxa"/>
            <w:gridSpan w:val="3"/>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16.调试    违反下列行为给予5000-10000元处罚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16.1</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电气设备受电前、机械设备试转前，未有警戒区域，未设专人监护</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16.2</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对运行设备的旋转部分进行清扫、擦拭或润滑</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16.3</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在带有压力管道、阀门进行检修工作</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16.4</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违反两票制度</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16.5</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对安装或消缺电气线路未挂警示牌</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16.6</w:t>
            </w:r>
          </w:p>
        </w:tc>
        <w:tc>
          <w:tcPr>
            <w:tcW w:w="6265"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其他违反电厂运行规定违章行为</w:t>
            </w:r>
          </w:p>
        </w:tc>
        <w:tc>
          <w:tcPr>
            <w:tcW w:w="1673" w:type="dxa"/>
            <w:tcBorders>
              <w:top w:val="single" w:color="auto" w:sz="4" w:space="0"/>
              <w:left w:val="single" w:color="auto" w:sz="4" w:space="0"/>
              <w:bottom w:val="single" w:color="auto" w:sz="4" w:space="0"/>
              <w:right w:val="single" w:color="auto" w:sz="4" w:space="0"/>
            </w:tcBorders>
            <w:shd w:val="clear" w:color="auto" w:fill="auto"/>
          </w:tcPr>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p>
        </w:tc>
      </w:tr>
    </w:tbl>
    <w:p>
      <w:pPr>
        <w:widowControl/>
        <w:numPr>
          <w:ilvl w:val="0"/>
          <w:numId w:val="23"/>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对于管理性违章行为，如无方案施工、违章指挥或强令冒险作业、安全管理职责履职不到位、上级专项工作或安全检查整改落实不及时、屡教不改等行为的，要加倍进行处罚；</w:t>
      </w:r>
    </w:p>
    <w:p>
      <w:pPr>
        <w:widowControl/>
        <w:numPr>
          <w:ilvl w:val="0"/>
          <w:numId w:val="23"/>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对于有监理单位监督的施工合同，发现上述习惯性违章行为对施工单位进行处罚的，如果监理单位没有履职到位的，甲方有权按照相同的处罚标准对监理单位进行考核。</w:t>
      </w:r>
    </w:p>
    <w:p>
      <w:pPr>
        <w:widowControl/>
        <w:numPr>
          <w:ilvl w:val="0"/>
          <w:numId w:val="20"/>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上述甲方对乙方的安健环违约金扣缴或经济处罚从甲方应付乙方合同费用、</w:t>
      </w:r>
      <w:r>
        <w:rPr>
          <w:rFonts w:hint="eastAsia" w:ascii="宋体" w:hAnsi="宋体" w:cs="Tahoma"/>
          <w:kern w:val="0"/>
          <w:sz w:val="24"/>
          <w:lang w:eastAsia="zh-CN" w:bidi="ar"/>
        </w:rPr>
        <w:t>监管资金</w:t>
      </w:r>
      <w:r>
        <w:rPr>
          <w:rFonts w:hint="eastAsia" w:ascii="宋体" w:hAnsi="宋体" w:cs="Tahoma"/>
          <w:kern w:val="0"/>
          <w:sz w:val="24"/>
          <w:lang w:bidi="ar"/>
        </w:rPr>
        <w:t>或监管资金中直接给予扣除（此并不构成甲方违约）。尚不足部分的金额，由乙方于收到违约金或处罚单一个月内另行向甲方一次性付清，否则每日按逾期未付款金额千分之五的标准计算向甲方支付滞纳金，直至付清全部欠款（含本金和滞纳金）。</w:t>
      </w:r>
    </w:p>
    <w:p>
      <w:pPr>
        <w:widowControl/>
        <w:numPr>
          <w:ilvl w:val="0"/>
          <w:numId w:val="20"/>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如乙方是承包项目安健环监理承包方，因监理职责履行不到位造成安健环事故、事件或者发生安健环违约金扣缴或处罚的，甲方除对被监理方实施违约处罚外，可对监理单位处以被监理方同等违约处罚。</w:t>
      </w:r>
    </w:p>
    <w:p>
      <w:pPr>
        <w:widowControl/>
        <w:numPr>
          <w:ilvl w:val="0"/>
          <w:numId w:val="20"/>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在任何情况下，不因为甲方对乙方发生安健环事故事件或其安健环违规、违法、违章等行为进行违约金扣缴或经济处罚而免除乙方应负的安健环责任、法律责任、赔偿补偿责任、善后处理责任及其他义务。</w:t>
      </w:r>
    </w:p>
    <w:p>
      <w:pPr>
        <w:widowControl/>
        <w:numPr>
          <w:ilvl w:val="0"/>
          <w:numId w:val="20"/>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对于乙方其自身本应独立主动地负责依法依规进行处理的任何纠纷或者事故事件，当因乙方拖延慢作为或回避不作为而扩散漫延影响到或者损害到甲方的声誉形象等任何权益之时，甲方基于保护本身的权益免受伤害，有权选择主动参与到乙方该纠纷或者事件的合情合理调解和依法依规处理。但甲方对乙方该纠纷或者事故、事件任何形式的参与和处理，并不导致乙方其自身本应独立承担的任何责任和义务等发生转移、变更、减少、减轻、终止等任何形式的改变，即乙方自身本应独立承担的任何责任和义务仍然由其全部承担。</w:t>
      </w:r>
    </w:p>
    <w:p>
      <w:pPr>
        <w:widowControl/>
        <w:numPr>
          <w:ilvl w:val="0"/>
          <w:numId w:val="20"/>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上述责任和违约处罚，不包括因安健环问题而来自政府的问责、罚款和其它索赔等。来自政府的问责、罚款和其它索赔等，因乙方原因造成的，全部由乙方承担。</w:t>
      </w:r>
    </w:p>
    <w:p>
      <w:pPr>
        <w:widowControl/>
        <w:numPr>
          <w:ilvl w:val="0"/>
          <w:numId w:val="11"/>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协议的货币种类</w:t>
      </w:r>
    </w:p>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本协议中所涉及的费用、处罚、罚款、违约金、赔偿、补偿等的计量货币币种均为人民币。</w:t>
      </w:r>
    </w:p>
    <w:p>
      <w:pPr>
        <w:widowControl/>
        <w:numPr>
          <w:ilvl w:val="0"/>
          <w:numId w:val="11"/>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组成协议的文件及解释顺序</w:t>
      </w:r>
    </w:p>
    <w:p>
      <w:pPr>
        <w:widowControl/>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组成本协议的各个文件应该是一整体，彼此相互解释，互为说明。本协议的文件及优先解释顺序如下：</w:t>
      </w:r>
    </w:p>
    <w:p>
      <w:pPr>
        <w:widowControl/>
        <w:numPr>
          <w:ilvl w:val="0"/>
          <w:numId w:val="24"/>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本《安健环协议》条款和附件，以及有关法律、法规和规范性文件要求；</w:t>
      </w:r>
    </w:p>
    <w:p>
      <w:pPr>
        <w:widowControl/>
        <w:numPr>
          <w:ilvl w:val="0"/>
          <w:numId w:val="24"/>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 xml:space="preserve">甲乙双方另行每次签订生效的项目合同条款及附件； </w:t>
      </w:r>
    </w:p>
    <w:p>
      <w:pPr>
        <w:widowControl/>
        <w:numPr>
          <w:ilvl w:val="0"/>
          <w:numId w:val="24"/>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甲方及其各属下分公司、分支机构、各中心或各部门等制定实施的规章制度、操作规范，以及现场公示的标语、提示、警告、宣传、通知等任何形式的管理要求；</w:t>
      </w:r>
    </w:p>
    <w:p>
      <w:pPr>
        <w:widowControl/>
        <w:numPr>
          <w:ilvl w:val="0"/>
          <w:numId w:val="24"/>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乙方及其各属下分公司、分支机构、各中心或各部门等制定实施的规章制度、操作规范，以及现场公示的标语、提示、警告、宣传、通知等任何形式的管理要求；</w:t>
      </w:r>
    </w:p>
    <w:p>
      <w:pPr>
        <w:widowControl/>
        <w:numPr>
          <w:ilvl w:val="0"/>
          <w:numId w:val="24"/>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双方就安健环事项进行培训、考核、整改等过程监管当中所书面下发的文件要求。</w:t>
      </w:r>
    </w:p>
    <w:p>
      <w:pPr>
        <w:widowControl/>
        <w:numPr>
          <w:ilvl w:val="0"/>
          <w:numId w:val="11"/>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协议争议与仲裁</w:t>
      </w:r>
    </w:p>
    <w:p>
      <w:pPr>
        <w:widowControl/>
        <w:numPr>
          <w:ilvl w:val="0"/>
          <w:numId w:val="25"/>
        </w:numPr>
        <w:overflowPunct w:val="0"/>
        <w:autoSpaceDE w:val="0"/>
        <w:autoSpaceDN w:val="0"/>
        <w:adjustRightInd w:val="0"/>
        <w:spacing w:line="380" w:lineRule="exact"/>
        <w:ind w:firstLine="480" w:firstLineChars="200"/>
        <w:jc w:val="left"/>
        <w:textAlignment w:val="baseline"/>
        <w:rPr>
          <w:rFonts w:ascii="宋体" w:hAnsi="宋体" w:cs="Tahoma"/>
          <w:kern w:val="0"/>
          <w:sz w:val="24"/>
          <w:lang w:bidi="ar"/>
        </w:rPr>
      </w:pPr>
      <w:r>
        <w:rPr>
          <w:rFonts w:hint="eastAsia" w:ascii="宋体" w:hAnsi="宋体" w:cs="Tahoma"/>
          <w:kern w:val="0"/>
          <w:sz w:val="24"/>
          <w:lang w:bidi="ar"/>
        </w:rPr>
        <w:t>本协议执行过程中，如发生争议，由双方协商解决；若经协商不能解决争议的，可以由项目所在地行业主管部门通过调解的方式解决。调解不成的，任何一方均有权向项目所在地有管辖权的法院提起诉讼。</w:t>
      </w:r>
    </w:p>
    <w:p>
      <w:pPr>
        <w:widowControl/>
        <w:numPr>
          <w:ilvl w:val="0"/>
          <w:numId w:val="25"/>
        </w:numPr>
        <w:overflowPunct w:val="0"/>
        <w:autoSpaceDE w:val="0"/>
        <w:autoSpaceDN w:val="0"/>
        <w:adjustRightInd w:val="0"/>
        <w:spacing w:line="380" w:lineRule="exact"/>
        <w:ind w:firstLine="480" w:firstLineChars="200"/>
        <w:jc w:val="left"/>
        <w:textAlignment w:val="baseline"/>
        <w:rPr>
          <w:rFonts w:ascii="宋体" w:hAnsi="宋体" w:cs="Tahoma"/>
          <w:kern w:val="0"/>
          <w:sz w:val="24"/>
          <w:lang w:bidi="ar"/>
        </w:rPr>
      </w:pPr>
      <w:r>
        <w:rPr>
          <w:rFonts w:hint="eastAsia" w:ascii="宋体" w:hAnsi="宋体" w:cs="Tahoma"/>
          <w:kern w:val="0"/>
          <w:sz w:val="24"/>
          <w:lang w:bidi="ar"/>
        </w:rPr>
        <w:t>除非生效判决另行确定，各方为诉讼而实际支付的费用（包括但不限于诉讼费和合理的律师费、保全费用、执行费用）由败诉方承担。</w:t>
      </w:r>
    </w:p>
    <w:p>
      <w:pPr>
        <w:widowControl/>
        <w:numPr>
          <w:ilvl w:val="0"/>
          <w:numId w:val="25"/>
        </w:numPr>
        <w:overflowPunct w:val="0"/>
        <w:autoSpaceDE w:val="0"/>
        <w:autoSpaceDN w:val="0"/>
        <w:adjustRightInd w:val="0"/>
        <w:spacing w:line="380" w:lineRule="exact"/>
        <w:ind w:firstLine="480" w:firstLineChars="200"/>
        <w:jc w:val="left"/>
        <w:textAlignment w:val="baseline"/>
        <w:rPr>
          <w:rFonts w:ascii="宋体" w:hAnsi="宋体" w:cs="Tahoma"/>
          <w:kern w:val="0"/>
          <w:sz w:val="24"/>
        </w:rPr>
      </w:pPr>
      <w:r>
        <w:rPr>
          <w:rFonts w:hint="eastAsia" w:ascii="宋体" w:hAnsi="宋体" w:cs="Tahoma"/>
          <w:kern w:val="0"/>
          <w:sz w:val="24"/>
          <w:lang w:bidi="ar"/>
        </w:rPr>
        <w:t>因本项目乙方原因引起或乙方派出现场人员或乙方作为责任主体而导致的纠纷诉讼或仲裁案件，均由乙方负责承担。争议案件发生后，乙方应指定专人负责并聘请律师全过程妥善解决，若因此造成甲方或相关第三方的费用或损失，均由乙方承担或支付赔偿。</w:t>
      </w:r>
    </w:p>
    <w:p>
      <w:pPr>
        <w:widowControl/>
        <w:numPr>
          <w:ilvl w:val="0"/>
          <w:numId w:val="11"/>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协议生效及有效期限</w:t>
      </w:r>
    </w:p>
    <w:p>
      <w:pPr>
        <w:widowControl/>
        <w:numPr>
          <w:ilvl w:val="0"/>
          <w:numId w:val="26"/>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本协议经双方法定代表人或授权代表人签字盖章后生效。</w:t>
      </w:r>
    </w:p>
    <w:p>
      <w:pPr>
        <w:widowControl/>
        <w:numPr>
          <w:ilvl w:val="0"/>
          <w:numId w:val="26"/>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甲乙双方签订本协议有授权代表人的，应将其法定代表人证明书、授权代表人的授权委托书等作为本协议的附件。</w:t>
      </w:r>
    </w:p>
    <w:p>
      <w:pPr>
        <w:widowControl/>
        <w:numPr>
          <w:ilvl w:val="0"/>
          <w:numId w:val="11"/>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协议的份数及移交执行</w:t>
      </w:r>
    </w:p>
    <w:p>
      <w:pPr>
        <w:widowControl/>
        <w:numPr>
          <w:ilvl w:val="0"/>
          <w:numId w:val="27"/>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本协议一式四份，甲方执三份，乙方执一份，均具有同等法律效力。</w:t>
      </w:r>
    </w:p>
    <w:p>
      <w:pPr>
        <w:widowControl/>
        <w:numPr>
          <w:ilvl w:val="0"/>
          <w:numId w:val="27"/>
        </w:numPr>
        <w:overflowPunct w:val="0"/>
        <w:autoSpaceDE w:val="0"/>
        <w:autoSpaceDN w:val="0"/>
        <w:adjustRightInd w:val="0"/>
        <w:spacing w:line="380" w:lineRule="exact"/>
        <w:ind w:left="0" w:firstLine="480" w:firstLineChars="200"/>
        <w:jc w:val="left"/>
        <w:textAlignment w:val="baseline"/>
        <w:rPr>
          <w:rFonts w:ascii="宋体" w:hAnsi="宋体" w:cs="Tahoma"/>
          <w:kern w:val="0"/>
          <w:sz w:val="24"/>
        </w:rPr>
      </w:pPr>
      <w:r>
        <w:rPr>
          <w:rFonts w:hint="eastAsia" w:ascii="宋体" w:hAnsi="宋体" w:cs="Tahoma"/>
          <w:kern w:val="0"/>
          <w:sz w:val="24"/>
          <w:lang w:bidi="ar"/>
        </w:rPr>
        <w:t xml:space="preserve">甲方可通过制度颁布宣贯实行、办公系统合同审批流程会签备查、扫描件或复印件信息采集移交等多种有效可行之形式，将本协议版本传达至现场安健环管理者；乙方须自行通过本协议扫描件或复印件分发移交、自行组织培训教育宣传落实等多种有效可行之形式，将本协议传达至现场进场的所有人员，以便现场人员更好地遵照执行本协议。 </w:t>
      </w:r>
    </w:p>
    <w:p>
      <w:pPr>
        <w:widowControl/>
        <w:overflowPunct w:val="0"/>
        <w:autoSpaceDE w:val="0"/>
        <w:autoSpaceDN w:val="0"/>
        <w:adjustRightInd w:val="0"/>
        <w:spacing w:line="380" w:lineRule="exact"/>
        <w:jc w:val="left"/>
        <w:textAlignment w:val="baseline"/>
        <w:rPr>
          <w:rFonts w:ascii="宋体" w:hAnsi="宋体" w:cs="Tahoma"/>
          <w:kern w:val="0"/>
          <w:sz w:val="24"/>
        </w:rPr>
      </w:pPr>
    </w:p>
    <w:p>
      <w:pPr>
        <w:widowControl/>
        <w:overflowPunct w:val="0"/>
        <w:autoSpaceDE w:val="0"/>
        <w:autoSpaceDN w:val="0"/>
        <w:adjustRightInd w:val="0"/>
        <w:spacing w:line="380" w:lineRule="exact"/>
        <w:jc w:val="left"/>
        <w:textAlignment w:val="baseline"/>
        <w:rPr>
          <w:rFonts w:ascii="宋体" w:hAnsi="宋体" w:cs="Tahoma"/>
          <w:kern w:val="0"/>
          <w:sz w:val="24"/>
        </w:rPr>
      </w:pPr>
    </w:p>
    <w:tbl>
      <w:tblPr>
        <w:tblStyle w:val="36"/>
        <w:tblW w:w="5714" w:type="pct"/>
        <w:tblInd w:w="-9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4"/>
        <w:gridCol w:w="1673"/>
        <w:gridCol w:w="2042"/>
        <w:gridCol w:w="718"/>
        <w:gridCol w:w="98"/>
        <w:gridCol w:w="647"/>
        <w:gridCol w:w="99"/>
        <w:gridCol w:w="1229"/>
        <w:gridCol w:w="20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trPr>
        <w:tc>
          <w:tcPr>
            <w:tcW w:w="587" w:type="pct"/>
            <w:vMerge w:val="restart"/>
            <w:tcBorders>
              <w:top w:val="single" w:color="auto" w:sz="4" w:space="0"/>
              <w:left w:val="single" w:color="auto" w:sz="4" w:space="0"/>
              <w:bottom w:val="single" w:color="auto" w:sz="4" w:space="0"/>
              <w:right w:val="single" w:color="auto" w:sz="4" w:space="0"/>
            </w:tcBorders>
            <w:vAlign w:val="center"/>
          </w:tcPr>
          <w:p>
            <w:pPr>
              <w:widowControl w:val="0"/>
              <w:spacing w:line="240" w:lineRule="auto"/>
              <w:ind w:firstLine="0" w:firstLineChars="0"/>
              <w:rPr>
                <w:rFonts w:cs="Calibri"/>
                <w:szCs w:val="21"/>
              </w:rPr>
            </w:pPr>
            <w:r>
              <w:rPr>
                <w:rFonts w:hint="eastAsia" w:ascii="宋体" w:hAnsi="宋体" w:cs="宋体"/>
                <w:sz w:val="24"/>
                <w:lang w:bidi="ar"/>
              </w:rPr>
              <w:t>委托人</w:t>
            </w:r>
            <w:r>
              <w:rPr>
                <w:sz w:val="24"/>
                <w:lang w:bidi="ar"/>
              </w:rPr>
              <w:t>(</w:t>
            </w:r>
            <w:r>
              <w:rPr>
                <w:rFonts w:hint="eastAsia" w:ascii="宋体" w:hAnsi="宋体" w:cs="宋体"/>
                <w:sz w:val="24"/>
                <w:lang w:bidi="ar"/>
              </w:rPr>
              <w:t>甲方</w:t>
            </w:r>
            <w:r>
              <w:rPr>
                <w:rFonts w:cs="Calibri"/>
                <w:sz w:val="24"/>
                <w:lang w:bidi="ar"/>
              </w:rPr>
              <w:t>)</w:t>
            </w:r>
          </w:p>
          <w:p>
            <w:pPr>
              <w:widowControl w:val="0"/>
              <w:spacing w:line="500" w:lineRule="exact"/>
              <w:ind w:left="113" w:right="113" w:firstLine="0" w:firstLineChars="0"/>
              <w:jc w:val="center"/>
              <w:rPr>
                <w:spacing w:val="20"/>
                <w:sz w:val="24"/>
              </w:rPr>
            </w:pPr>
          </w:p>
        </w:tc>
        <w:tc>
          <w:tcPr>
            <w:tcW w:w="858" w:type="pct"/>
            <w:tcBorders>
              <w:top w:val="single" w:color="auto" w:sz="4" w:space="0"/>
              <w:left w:val="nil"/>
              <w:bottom w:val="single" w:color="auto" w:sz="4" w:space="0"/>
              <w:right w:val="single" w:color="auto" w:sz="4" w:space="0"/>
            </w:tcBorders>
            <w:vAlign w:val="center"/>
          </w:tcPr>
          <w:p>
            <w:pPr>
              <w:widowControl w:val="0"/>
              <w:spacing w:line="600" w:lineRule="exact"/>
              <w:ind w:firstLine="0" w:firstLineChars="0"/>
              <w:jc w:val="center"/>
              <w:rPr>
                <w:sz w:val="24"/>
              </w:rPr>
            </w:pPr>
            <w:r>
              <w:rPr>
                <w:rFonts w:hint="eastAsia" w:ascii="宋体" w:hAnsi="宋体" w:cs="宋体"/>
                <w:sz w:val="24"/>
                <w:lang w:bidi="ar"/>
              </w:rPr>
              <w:t>名称</w:t>
            </w:r>
            <w:r>
              <w:rPr>
                <w:sz w:val="24"/>
                <w:lang w:bidi="ar"/>
              </w:rPr>
              <w:t>(</w:t>
            </w:r>
            <w:r>
              <w:rPr>
                <w:rFonts w:hint="eastAsia" w:ascii="宋体" w:hAnsi="宋体" w:cs="宋体"/>
                <w:sz w:val="24"/>
                <w:lang w:bidi="ar"/>
              </w:rPr>
              <w:t>或姓名</w:t>
            </w:r>
            <w:r>
              <w:rPr>
                <w:rFonts w:cs="Calibri"/>
                <w:sz w:val="24"/>
                <w:lang w:bidi="ar"/>
              </w:rPr>
              <w:t>)</w:t>
            </w:r>
          </w:p>
        </w:tc>
        <w:tc>
          <w:tcPr>
            <w:tcW w:w="2478" w:type="pct"/>
            <w:gridSpan w:val="6"/>
            <w:tcBorders>
              <w:top w:val="single" w:color="auto" w:sz="4" w:space="0"/>
              <w:left w:val="nil"/>
              <w:bottom w:val="single" w:color="auto" w:sz="4" w:space="0"/>
              <w:right w:val="single" w:color="auto" w:sz="4" w:space="0"/>
            </w:tcBorders>
            <w:vAlign w:val="center"/>
          </w:tcPr>
          <w:p>
            <w:pPr>
              <w:widowControl w:val="0"/>
              <w:spacing w:line="600" w:lineRule="exact"/>
              <w:ind w:firstLine="480"/>
              <w:rPr>
                <w:sz w:val="24"/>
              </w:rPr>
            </w:pPr>
            <w:r>
              <w:rPr>
                <w:rFonts w:hint="eastAsia"/>
                <w:sz w:val="24"/>
                <w:lang w:val="en-US" w:eastAsia="zh-CN"/>
              </w:rPr>
              <w:t>桂林市深能环保有限</w:t>
            </w:r>
            <w:r>
              <w:rPr>
                <w:rFonts w:hint="eastAsia"/>
                <w:sz w:val="24"/>
              </w:rPr>
              <w:t>公司</w:t>
            </w:r>
          </w:p>
        </w:tc>
        <w:tc>
          <w:tcPr>
            <w:tcW w:w="1075" w:type="pct"/>
            <w:vMerge w:val="restart"/>
            <w:tcBorders>
              <w:top w:val="single" w:color="auto" w:sz="4" w:space="0"/>
              <w:left w:val="nil"/>
              <w:bottom w:val="single" w:color="auto" w:sz="4" w:space="0"/>
              <w:right w:val="single" w:color="auto" w:sz="4" w:space="0"/>
            </w:tcBorders>
          </w:tcPr>
          <w:p>
            <w:pPr>
              <w:widowControl w:val="0"/>
              <w:spacing w:line="600" w:lineRule="exact"/>
              <w:ind w:firstLine="0" w:firstLineChars="0"/>
              <w:jc w:val="center"/>
              <w:rPr>
                <w:sz w:val="24"/>
              </w:rPr>
            </w:pPr>
            <w:r>
              <w:rPr>
                <w:rFonts w:hint="eastAsia" w:ascii="宋体" w:hAnsi="宋体" w:cs="宋体"/>
                <w:sz w:val="24"/>
                <w:lang w:bidi="ar"/>
              </w:rPr>
              <w:t>合同专用章</w:t>
            </w:r>
          </w:p>
          <w:p>
            <w:pPr>
              <w:widowControl w:val="0"/>
              <w:spacing w:line="600" w:lineRule="exact"/>
              <w:ind w:firstLine="0" w:firstLineChars="0"/>
              <w:jc w:val="center"/>
              <w:rPr>
                <w:sz w:val="24"/>
              </w:rPr>
            </w:pPr>
            <w:r>
              <w:rPr>
                <w:rFonts w:hint="eastAsia" w:ascii="宋体" w:hAnsi="宋体" w:cs="宋体"/>
                <w:sz w:val="24"/>
                <w:lang w:bidi="ar"/>
              </w:rPr>
              <w:t>或</w:t>
            </w:r>
          </w:p>
          <w:p>
            <w:pPr>
              <w:widowControl w:val="0"/>
              <w:spacing w:line="600" w:lineRule="exact"/>
              <w:ind w:firstLine="0" w:firstLineChars="0"/>
              <w:jc w:val="center"/>
              <w:rPr>
                <w:sz w:val="24"/>
              </w:rPr>
            </w:pPr>
            <w:r>
              <w:rPr>
                <w:rFonts w:hint="eastAsia" w:ascii="宋体" w:hAnsi="宋体" w:cs="宋体"/>
                <w:sz w:val="24"/>
                <w:lang w:bidi="ar"/>
              </w:rPr>
              <w:t>单位公章</w:t>
            </w:r>
          </w:p>
          <w:p>
            <w:pPr>
              <w:widowControl w:val="0"/>
              <w:spacing w:line="600" w:lineRule="exact"/>
              <w:ind w:firstLine="0" w:firstLineChars="0"/>
              <w:jc w:val="center"/>
              <w:rPr>
                <w:sz w:val="24"/>
              </w:rPr>
            </w:pPr>
          </w:p>
          <w:p>
            <w:pPr>
              <w:widowControl w:val="0"/>
              <w:spacing w:line="600" w:lineRule="exact"/>
              <w:ind w:firstLine="0" w:firstLineChars="0"/>
              <w:jc w:val="center"/>
              <w:rPr>
                <w:sz w:val="24"/>
              </w:rPr>
            </w:pPr>
          </w:p>
          <w:p>
            <w:pPr>
              <w:widowControl w:val="0"/>
              <w:spacing w:line="600" w:lineRule="exact"/>
              <w:ind w:firstLine="0" w:firstLineChars="0"/>
              <w:jc w:val="center"/>
              <w:rPr>
                <w:sz w:val="24"/>
              </w:rPr>
            </w:pPr>
          </w:p>
          <w:p>
            <w:pPr>
              <w:widowControl w:val="0"/>
              <w:spacing w:line="600" w:lineRule="exact"/>
              <w:ind w:firstLine="0" w:firstLineChars="0"/>
              <w:jc w:val="center"/>
              <w:rPr>
                <w:sz w:val="24"/>
              </w:rPr>
            </w:pPr>
          </w:p>
          <w:p>
            <w:pPr>
              <w:widowControl w:val="0"/>
              <w:spacing w:line="600" w:lineRule="exact"/>
              <w:ind w:right="-349" w:rightChars="-166" w:firstLine="0" w:firstLineChars="0"/>
              <w:jc w:val="center"/>
              <w:rPr>
                <w:sz w:val="24"/>
              </w:rPr>
            </w:pPr>
          </w:p>
          <w:p>
            <w:pPr>
              <w:widowControl w:val="0"/>
              <w:spacing w:line="600" w:lineRule="exact"/>
              <w:ind w:firstLine="0" w:firstLineChars="0"/>
              <w:jc w:val="center"/>
              <w:rPr>
                <w:sz w:val="24"/>
              </w:rPr>
            </w:pPr>
          </w:p>
          <w:p>
            <w:pPr>
              <w:widowControl w:val="0"/>
              <w:spacing w:line="600" w:lineRule="exact"/>
              <w:ind w:firstLine="0" w:firstLineChars="0"/>
              <w:jc w:val="center"/>
              <w:rPr>
                <w:sz w:val="24"/>
              </w:rPr>
            </w:pPr>
          </w:p>
          <w:p>
            <w:pPr>
              <w:widowControl w:val="0"/>
              <w:wordWrap w:val="0"/>
              <w:spacing w:line="600" w:lineRule="exact"/>
              <w:ind w:right="120" w:firstLine="0" w:firstLineChars="0"/>
              <w:jc w:val="center"/>
              <w:rPr>
                <w:sz w:val="24"/>
              </w:rPr>
            </w:pPr>
            <w:r>
              <w:rPr>
                <w:rFonts w:cs="Calibri"/>
                <w:sz w:val="24"/>
                <w:lang w:bidi="ar"/>
              </w:rPr>
              <w:t xml:space="preserve">    </w:t>
            </w:r>
            <w:r>
              <w:rPr>
                <w:rFonts w:hint="eastAsia" w:ascii="宋体" w:hAnsi="宋体" w:cs="宋体"/>
                <w:sz w:val="24"/>
                <w:lang w:bidi="ar"/>
              </w:rPr>
              <w:t>年</w:t>
            </w:r>
            <w:r>
              <w:rPr>
                <w:rFonts w:cs="Calibri"/>
                <w:sz w:val="24"/>
                <w:lang w:bidi="ar"/>
              </w:rPr>
              <w:t xml:space="preserve">  </w:t>
            </w:r>
            <w:r>
              <w:rPr>
                <w:rFonts w:hint="eastAsia" w:ascii="宋体" w:hAnsi="宋体" w:cs="宋体"/>
                <w:sz w:val="24"/>
                <w:lang w:bidi="ar"/>
              </w:rPr>
              <w:t>月</w:t>
            </w:r>
            <w:r>
              <w:rPr>
                <w:rFonts w:cs="Calibri"/>
                <w:sz w:val="24"/>
                <w:lang w:bidi="ar"/>
              </w:rPr>
              <w:t xml:space="preserve">  </w:t>
            </w:r>
            <w:r>
              <w:rPr>
                <w:rFonts w:hint="eastAsia" w:ascii="宋体" w:hAnsi="宋体" w:cs="宋体"/>
                <w:sz w:val="24"/>
                <w:lang w:bidi="ar"/>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atLeast"/>
        </w:trPr>
        <w:tc>
          <w:tcPr>
            <w:tcW w:w="587" w:type="pct"/>
            <w:vMerge w:val="continue"/>
            <w:tcBorders>
              <w:top w:val="single" w:color="auto" w:sz="4" w:space="0"/>
              <w:left w:val="single" w:color="auto" w:sz="4" w:space="0"/>
              <w:bottom w:val="single" w:color="auto" w:sz="4" w:space="0"/>
              <w:right w:val="single" w:color="auto" w:sz="4" w:space="0"/>
            </w:tcBorders>
            <w:vAlign w:val="center"/>
          </w:tcPr>
          <w:p>
            <w:pPr>
              <w:widowControl w:val="0"/>
              <w:spacing w:line="240" w:lineRule="auto"/>
              <w:ind w:firstLine="0" w:firstLineChars="0"/>
              <w:rPr>
                <w:sz w:val="20"/>
                <w:szCs w:val="20"/>
              </w:rPr>
            </w:pPr>
          </w:p>
        </w:tc>
        <w:tc>
          <w:tcPr>
            <w:tcW w:w="858" w:type="pct"/>
            <w:tcBorders>
              <w:top w:val="single" w:color="auto" w:sz="4" w:space="0"/>
              <w:left w:val="nil"/>
              <w:bottom w:val="single" w:color="auto" w:sz="4" w:space="0"/>
              <w:right w:val="single" w:color="auto" w:sz="4" w:space="0"/>
            </w:tcBorders>
            <w:vAlign w:val="center"/>
          </w:tcPr>
          <w:p>
            <w:pPr>
              <w:widowControl w:val="0"/>
              <w:spacing w:line="600" w:lineRule="exact"/>
              <w:ind w:firstLine="0" w:firstLineChars="0"/>
              <w:jc w:val="center"/>
              <w:rPr>
                <w:sz w:val="24"/>
              </w:rPr>
            </w:pPr>
            <w:r>
              <w:rPr>
                <w:rFonts w:hint="eastAsia" w:ascii="宋体" w:hAnsi="宋体" w:cs="宋体"/>
                <w:sz w:val="24"/>
                <w:lang w:bidi="ar"/>
              </w:rPr>
              <w:t>法定代表人</w:t>
            </w:r>
          </w:p>
        </w:tc>
        <w:tc>
          <w:tcPr>
            <w:tcW w:w="2478" w:type="pct"/>
            <w:gridSpan w:val="6"/>
            <w:tcBorders>
              <w:top w:val="single" w:color="auto" w:sz="4" w:space="0"/>
              <w:left w:val="nil"/>
              <w:bottom w:val="single" w:color="auto" w:sz="4" w:space="0"/>
              <w:right w:val="single" w:color="auto" w:sz="4" w:space="0"/>
            </w:tcBorders>
            <w:vAlign w:val="center"/>
          </w:tcPr>
          <w:p>
            <w:pPr>
              <w:widowControl w:val="0"/>
              <w:spacing w:line="600" w:lineRule="exact"/>
              <w:ind w:firstLine="0" w:firstLineChars="0"/>
              <w:jc w:val="right"/>
              <w:rPr>
                <w:sz w:val="24"/>
              </w:rPr>
            </w:pPr>
            <w:r>
              <w:rPr>
                <w:sz w:val="24"/>
                <w:lang w:bidi="ar"/>
              </w:rPr>
              <w:t>(</w:t>
            </w:r>
            <w:r>
              <w:rPr>
                <w:rFonts w:hint="eastAsia" w:ascii="宋体" w:hAnsi="宋体" w:cs="宋体"/>
                <w:sz w:val="24"/>
                <w:lang w:bidi="ar"/>
              </w:rPr>
              <w:t>签字或签章</w:t>
            </w:r>
            <w:r>
              <w:rPr>
                <w:sz w:val="24"/>
                <w:lang w:bidi="ar"/>
              </w:rPr>
              <w:t>)</w:t>
            </w:r>
          </w:p>
        </w:tc>
        <w:tc>
          <w:tcPr>
            <w:tcW w:w="1075" w:type="pct"/>
            <w:vMerge w:val="continue"/>
            <w:tcBorders>
              <w:top w:val="single" w:color="auto" w:sz="4" w:space="0"/>
              <w:left w:val="nil"/>
              <w:bottom w:val="single" w:color="auto" w:sz="4" w:space="0"/>
              <w:right w:val="single" w:color="auto" w:sz="4" w:space="0"/>
            </w:tcBorders>
          </w:tcPr>
          <w:p>
            <w:pPr>
              <w:widowControl w:val="0"/>
              <w:spacing w:line="240" w:lineRule="auto"/>
              <w:ind w:firstLine="0" w:firstLineChars="0"/>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8" w:hRule="atLeast"/>
        </w:trPr>
        <w:tc>
          <w:tcPr>
            <w:tcW w:w="587" w:type="pct"/>
            <w:vMerge w:val="continue"/>
            <w:tcBorders>
              <w:top w:val="single" w:color="auto" w:sz="4" w:space="0"/>
              <w:left w:val="single" w:color="auto" w:sz="4" w:space="0"/>
              <w:bottom w:val="single" w:color="auto" w:sz="4" w:space="0"/>
              <w:right w:val="single" w:color="auto" w:sz="4" w:space="0"/>
            </w:tcBorders>
            <w:vAlign w:val="center"/>
          </w:tcPr>
          <w:p>
            <w:pPr>
              <w:widowControl w:val="0"/>
              <w:spacing w:line="240" w:lineRule="auto"/>
              <w:ind w:firstLine="0" w:firstLineChars="0"/>
              <w:rPr>
                <w:sz w:val="20"/>
                <w:szCs w:val="20"/>
              </w:rPr>
            </w:pPr>
          </w:p>
        </w:tc>
        <w:tc>
          <w:tcPr>
            <w:tcW w:w="858" w:type="pct"/>
            <w:tcBorders>
              <w:top w:val="single" w:color="auto" w:sz="4" w:space="0"/>
              <w:left w:val="nil"/>
              <w:bottom w:val="single" w:color="auto" w:sz="4" w:space="0"/>
              <w:right w:val="single" w:color="auto" w:sz="4" w:space="0"/>
            </w:tcBorders>
            <w:vAlign w:val="center"/>
          </w:tcPr>
          <w:p>
            <w:pPr>
              <w:widowControl w:val="0"/>
              <w:spacing w:line="600" w:lineRule="exact"/>
              <w:ind w:firstLine="0" w:firstLineChars="0"/>
              <w:jc w:val="center"/>
              <w:rPr>
                <w:sz w:val="24"/>
              </w:rPr>
            </w:pPr>
            <w:r>
              <w:rPr>
                <w:rFonts w:hint="eastAsia" w:ascii="宋体" w:hAnsi="宋体" w:cs="宋体"/>
                <w:sz w:val="24"/>
                <w:lang w:bidi="ar"/>
              </w:rPr>
              <w:t>委托代理人</w:t>
            </w:r>
          </w:p>
        </w:tc>
        <w:tc>
          <w:tcPr>
            <w:tcW w:w="2478" w:type="pct"/>
            <w:gridSpan w:val="6"/>
            <w:tcBorders>
              <w:top w:val="single" w:color="auto" w:sz="4" w:space="0"/>
              <w:left w:val="nil"/>
              <w:bottom w:val="single" w:color="auto" w:sz="4" w:space="0"/>
              <w:right w:val="single" w:color="auto" w:sz="4" w:space="0"/>
            </w:tcBorders>
            <w:vAlign w:val="center"/>
          </w:tcPr>
          <w:p>
            <w:pPr>
              <w:widowControl w:val="0"/>
              <w:spacing w:line="600" w:lineRule="exact"/>
              <w:ind w:firstLine="0" w:firstLineChars="0"/>
              <w:jc w:val="right"/>
              <w:rPr>
                <w:sz w:val="24"/>
              </w:rPr>
            </w:pPr>
            <w:r>
              <w:rPr>
                <w:sz w:val="24"/>
                <w:lang w:bidi="ar"/>
              </w:rPr>
              <w:t>(</w:t>
            </w:r>
            <w:r>
              <w:rPr>
                <w:rFonts w:hint="eastAsia" w:ascii="宋体" w:hAnsi="宋体" w:cs="宋体"/>
                <w:sz w:val="24"/>
                <w:lang w:bidi="ar"/>
              </w:rPr>
              <w:t>签字或签章</w:t>
            </w:r>
            <w:r>
              <w:rPr>
                <w:sz w:val="24"/>
                <w:lang w:bidi="ar"/>
              </w:rPr>
              <w:t>)</w:t>
            </w:r>
          </w:p>
        </w:tc>
        <w:tc>
          <w:tcPr>
            <w:tcW w:w="1075" w:type="pct"/>
            <w:vMerge w:val="continue"/>
            <w:tcBorders>
              <w:top w:val="single" w:color="auto" w:sz="4" w:space="0"/>
              <w:left w:val="nil"/>
              <w:bottom w:val="single" w:color="auto" w:sz="4" w:space="0"/>
              <w:right w:val="single" w:color="auto" w:sz="4" w:space="0"/>
            </w:tcBorders>
          </w:tcPr>
          <w:p>
            <w:pPr>
              <w:widowControl w:val="0"/>
              <w:spacing w:line="240" w:lineRule="auto"/>
              <w:ind w:firstLine="0" w:firstLineChars="0"/>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2" w:hRule="atLeast"/>
        </w:trPr>
        <w:tc>
          <w:tcPr>
            <w:tcW w:w="587" w:type="pct"/>
            <w:vMerge w:val="continue"/>
            <w:tcBorders>
              <w:top w:val="single" w:color="auto" w:sz="4" w:space="0"/>
              <w:left w:val="single" w:color="auto" w:sz="4" w:space="0"/>
              <w:bottom w:val="single" w:color="auto" w:sz="4" w:space="0"/>
              <w:right w:val="single" w:color="auto" w:sz="4" w:space="0"/>
            </w:tcBorders>
            <w:vAlign w:val="center"/>
          </w:tcPr>
          <w:p>
            <w:pPr>
              <w:widowControl w:val="0"/>
              <w:spacing w:line="240" w:lineRule="auto"/>
              <w:ind w:firstLine="0" w:firstLineChars="0"/>
              <w:rPr>
                <w:sz w:val="20"/>
                <w:szCs w:val="20"/>
              </w:rPr>
            </w:pPr>
          </w:p>
        </w:tc>
        <w:tc>
          <w:tcPr>
            <w:tcW w:w="858" w:type="pct"/>
            <w:tcBorders>
              <w:top w:val="single" w:color="auto" w:sz="4" w:space="0"/>
              <w:left w:val="nil"/>
              <w:bottom w:val="single" w:color="auto" w:sz="4" w:space="0"/>
              <w:right w:val="single" w:color="auto" w:sz="4" w:space="0"/>
            </w:tcBorders>
            <w:vAlign w:val="center"/>
          </w:tcPr>
          <w:p>
            <w:pPr>
              <w:widowControl w:val="0"/>
              <w:spacing w:line="600" w:lineRule="exact"/>
              <w:ind w:firstLine="0" w:firstLineChars="0"/>
              <w:jc w:val="center"/>
              <w:rPr>
                <w:sz w:val="24"/>
              </w:rPr>
            </w:pPr>
            <w:r>
              <w:rPr>
                <w:rFonts w:hint="eastAsia" w:ascii="宋体" w:hAnsi="宋体" w:cs="宋体"/>
                <w:sz w:val="24"/>
                <w:lang w:bidi="ar"/>
              </w:rPr>
              <w:t>联系</w:t>
            </w:r>
            <w:r>
              <w:rPr>
                <w:sz w:val="24"/>
                <w:lang w:bidi="ar"/>
              </w:rPr>
              <w:t>(</w:t>
            </w:r>
            <w:r>
              <w:rPr>
                <w:rFonts w:hint="eastAsia" w:ascii="宋体" w:hAnsi="宋体" w:cs="宋体"/>
                <w:sz w:val="24"/>
                <w:lang w:bidi="ar"/>
              </w:rPr>
              <w:t>经办</w:t>
            </w:r>
            <w:r>
              <w:rPr>
                <w:rFonts w:cs="Calibri"/>
                <w:sz w:val="24"/>
                <w:lang w:bidi="ar"/>
              </w:rPr>
              <w:t>)</w:t>
            </w:r>
            <w:r>
              <w:rPr>
                <w:rFonts w:hint="eastAsia" w:ascii="宋体" w:hAnsi="宋体" w:cs="宋体"/>
                <w:sz w:val="24"/>
                <w:lang w:bidi="ar"/>
              </w:rPr>
              <w:t>人</w:t>
            </w:r>
          </w:p>
        </w:tc>
        <w:tc>
          <w:tcPr>
            <w:tcW w:w="2478" w:type="pct"/>
            <w:gridSpan w:val="6"/>
            <w:tcBorders>
              <w:top w:val="single" w:color="auto" w:sz="4" w:space="0"/>
              <w:left w:val="nil"/>
              <w:bottom w:val="single" w:color="auto" w:sz="4" w:space="0"/>
              <w:right w:val="single" w:color="auto" w:sz="4" w:space="0"/>
            </w:tcBorders>
            <w:vAlign w:val="center"/>
          </w:tcPr>
          <w:p>
            <w:pPr>
              <w:widowControl w:val="0"/>
              <w:spacing w:line="600" w:lineRule="exact"/>
              <w:ind w:firstLine="0" w:firstLineChars="0"/>
              <w:jc w:val="center"/>
              <w:rPr>
                <w:rFonts w:hint="default" w:eastAsia="宋体"/>
                <w:sz w:val="24"/>
                <w:lang w:val="en-US" w:eastAsia="zh-CN"/>
              </w:rPr>
            </w:pPr>
            <w:r>
              <w:rPr>
                <w:rFonts w:hint="eastAsia" w:ascii="宋体" w:hAnsi="宋体" w:cs="宋体"/>
                <w:sz w:val="24"/>
                <w:lang w:val="en-US" w:eastAsia="zh-CN" w:bidi="ar"/>
              </w:rPr>
              <w:t>宋工</w:t>
            </w:r>
          </w:p>
        </w:tc>
        <w:tc>
          <w:tcPr>
            <w:tcW w:w="1075" w:type="pct"/>
            <w:vMerge w:val="continue"/>
            <w:tcBorders>
              <w:top w:val="single" w:color="auto" w:sz="4" w:space="0"/>
              <w:left w:val="nil"/>
              <w:bottom w:val="single" w:color="auto" w:sz="4" w:space="0"/>
              <w:right w:val="single" w:color="auto" w:sz="4" w:space="0"/>
            </w:tcBorders>
          </w:tcPr>
          <w:p>
            <w:pPr>
              <w:widowControl w:val="0"/>
              <w:spacing w:line="240" w:lineRule="auto"/>
              <w:ind w:firstLine="0" w:firstLineChars="0"/>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trPr>
        <w:tc>
          <w:tcPr>
            <w:tcW w:w="587" w:type="pct"/>
            <w:vMerge w:val="continue"/>
            <w:tcBorders>
              <w:top w:val="single" w:color="auto" w:sz="4" w:space="0"/>
              <w:left w:val="single" w:color="auto" w:sz="4" w:space="0"/>
              <w:bottom w:val="single" w:color="auto" w:sz="4" w:space="0"/>
              <w:right w:val="single" w:color="auto" w:sz="4" w:space="0"/>
            </w:tcBorders>
            <w:vAlign w:val="center"/>
          </w:tcPr>
          <w:p>
            <w:pPr>
              <w:widowControl w:val="0"/>
              <w:spacing w:line="240" w:lineRule="auto"/>
              <w:ind w:firstLine="0" w:firstLineChars="0"/>
              <w:rPr>
                <w:sz w:val="20"/>
                <w:szCs w:val="20"/>
              </w:rPr>
            </w:pPr>
          </w:p>
        </w:tc>
        <w:tc>
          <w:tcPr>
            <w:tcW w:w="858" w:type="pct"/>
            <w:vMerge w:val="restart"/>
            <w:tcBorders>
              <w:top w:val="nil"/>
              <w:left w:val="nil"/>
              <w:bottom w:val="single" w:color="auto" w:sz="4" w:space="0"/>
              <w:right w:val="single" w:color="auto" w:sz="4" w:space="0"/>
            </w:tcBorders>
            <w:vAlign w:val="center"/>
          </w:tcPr>
          <w:p>
            <w:pPr>
              <w:widowControl w:val="0"/>
              <w:spacing w:line="600" w:lineRule="exact"/>
              <w:ind w:firstLine="0" w:firstLineChars="0"/>
              <w:jc w:val="center"/>
              <w:rPr>
                <w:sz w:val="24"/>
              </w:rPr>
            </w:pPr>
            <w:r>
              <w:rPr>
                <w:rFonts w:hint="eastAsia" w:ascii="宋体" w:hAnsi="宋体" w:cs="宋体"/>
                <w:sz w:val="24"/>
                <w:lang w:bidi="ar"/>
              </w:rPr>
              <w:t>住所</w:t>
            </w:r>
          </w:p>
          <w:p>
            <w:pPr>
              <w:widowControl w:val="0"/>
              <w:spacing w:line="600" w:lineRule="exact"/>
              <w:ind w:firstLine="0" w:firstLineChars="0"/>
              <w:jc w:val="center"/>
              <w:rPr>
                <w:sz w:val="24"/>
              </w:rPr>
            </w:pPr>
            <w:r>
              <w:rPr>
                <w:sz w:val="24"/>
                <w:lang w:bidi="ar"/>
              </w:rPr>
              <w:t>(</w:t>
            </w:r>
            <w:r>
              <w:rPr>
                <w:rFonts w:hint="eastAsia" w:ascii="宋体" w:hAnsi="宋体" w:cs="宋体"/>
                <w:sz w:val="24"/>
                <w:lang w:bidi="ar"/>
              </w:rPr>
              <w:t>通讯地址</w:t>
            </w:r>
            <w:r>
              <w:rPr>
                <w:rFonts w:cs="Calibri"/>
                <w:sz w:val="24"/>
                <w:lang w:bidi="ar"/>
              </w:rPr>
              <w:t>)</w:t>
            </w:r>
          </w:p>
        </w:tc>
        <w:tc>
          <w:tcPr>
            <w:tcW w:w="1415" w:type="pct"/>
            <w:gridSpan w:val="2"/>
            <w:vMerge w:val="restart"/>
            <w:tcBorders>
              <w:top w:val="nil"/>
              <w:left w:val="nil"/>
              <w:bottom w:val="single" w:color="auto" w:sz="4" w:space="0"/>
              <w:right w:val="single" w:color="auto" w:sz="4" w:space="0"/>
            </w:tcBorders>
            <w:vAlign w:val="center"/>
          </w:tcPr>
          <w:p>
            <w:pPr>
              <w:widowControl w:val="0"/>
              <w:spacing w:line="600" w:lineRule="exact"/>
              <w:ind w:firstLine="0" w:firstLineChars="0"/>
              <w:jc w:val="center"/>
              <w:rPr>
                <w:rFonts w:hint="default" w:eastAsia="宋体"/>
                <w:sz w:val="24"/>
                <w:lang w:val="en-US" w:eastAsia="zh-CN"/>
              </w:rPr>
            </w:pPr>
            <w:r>
              <w:rPr>
                <w:rFonts w:hint="eastAsia"/>
                <w:sz w:val="24"/>
                <w:lang w:val="en-US" w:eastAsia="zh-CN"/>
              </w:rPr>
              <w:t>桂林市临桂区山口生活垃圾卫生填埋场</w:t>
            </w:r>
          </w:p>
        </w:tc>
        <w:tc>
          <w:tcPr>
            <w:tcW w:w="382" w:type="pct"/>
            <w:gridSpan w:val="2"/>
            <w:vMerge w:val="restart"/>
            <w:tcBorders>
              <w:top w:val="nil"/>
              <w:left w:val="nil"/>
              <w:bottom w:val="single" w:color="auto" w:sz="4" w:space="0"/>
              <w:right w:val="single" w:color="auto" w:sz="4" w:space="0"/>
            </w:tcBorders>
            <w:vAlign w:val="center"/>
          </w:tcPr>
          <w:p>
            <w:pPr>
              <w:widowControl w:val="0"/>
              <w:spacing w:line="600" w:lineRule="exact"/>
              <w:ind w:firstLine="0" w:firstLineChars="0"/>
              <w:jc w:val="center"/>
              <w:rPr>
                <w:sz w:val="24"/>
              </w:rPr>
            </w:pPr>
            <w:r>
              <w:rPr>
                <w:rFonts w:hint="eastAsia" w:ascii="宋体" w:hAnsi="宋体" w:cs="宋体"/>
                <w:sz w:val="24"/>
                <w:lang w:bidi="ar"/>
              </w:rPr>
              <w:t>邮政</w:t>
            </w:r>
          </w:p>
          <w:p>
            <w:pPr>
              <w:widowControl w:val="0"/>
              <w:spacing w:line="600" w:lineRule="exact"/>
              <w:ind w:firstLine="0" w:firstLineChars="0"/>
              <w:jc w:val="center"/>
              <w:rPr>
                <w:sz w:val="24"/>
              </w:rPr>
            </w:pPr>
            <w:r>
              <w:rPr>
                <w:rFonts w:hint="eastAsia" w:ascii="宋体" w:hAnsi="宋体" w:cs="宋体"/>
                <w:sz w:val="24"/>
                <w:lang w:bidi="ar"/>
              </w:rPr>
              <w:t>编码</w:t>
            </w:r>
          </w:p>
        </w:tc>
        <w:tc>
          <w:tcPr>
            <w:tcW w:w="680" w:type="pct"/>
            <w:gridSpan w:val="2"/>
            <w:vMerge w:val="restart"/>
            <w:tcBorders>
              <w:top w:val="single" w:color="auto" w:sz="4" w:space="0"/>
              <w:left w:val="nil"/>
              <w:bottom w:val="single" w:color="auto" w:sz="4" w:space="0"/>
              <w:right w:val="single" w:color="auto" w:sz="4" w:space="0"/>
            </w:tcBorders>
            <w:vAlign w:val="center"/>
          </w:tcPr>
          <w:p>
            <w:pPr>
              <w:widowControl w:val="0"/>
              <w:spacing w:line="600" w:lineRule="exact"/>
              <w:ind w:firstLine="0" w:firstLineChars="0"/>
              <w:jc w:val="center"/>
              <w:rPr>
                <w:sz w:val="24"/>
              </w:rPr>
            </w:pPr>
          </w:p>
        </w:tc>
        <w:tc>
          <w:tcPr>
            <w:tcW w:w="1075" w:type="pct"/>
            <w:vMerge w:val="continue"/>
            <w:tcBorders>
              <w:top w:val="single" w:color="auto" w:sz="4" w:space="0"/>
              <w:left w:val="nil"/>
              <w:bottom w:val="single" w:color="auto" w:sz="4" w:space="0"/>
              <w:right w:val="single" w:color="auto" w:sz="4" w:space="0"/>
            </w:tcBorders>
          </w:tcPr>
          <w:p>
            <w:pPr>
              <w:widowControl w:val="0"/>
              <w:spacing w:line="240" w:lineRule="auto"/>
              <w:ind w:firstLine="0" w:firstLineChars="0"/>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trPr>
        <w:tc>
          <w:tcPr>
            <w:tcW w:w="587" w:type="pct"/>
            <w:vMerge w:val="continue"/>
            <w:tcBorders>
              <w:top w:val="single" w:color="auto" w:sz="4" w:space="0"/>
              <w:left w:val="single" w:color="auto" w:sz="4" w:space="0"/>
              <w:bottom w:val="single" w:color="auto" w:sz="4" w:space="0"/>
              <w:right w:val="single" w:color="auto" w:sz="4" w:space="0"/>
            </w:tcBorders>
            <w:vAlign w:val="center"/>
          </w:tcPr>
          <w:p>
            <w:pPr>
              <w:widowControl w:val="0"/>
              <w:spacing w:line="240" w:lineRule="auto"/>
              <w:ind w:firstLine="0" w:firstLineChars="0"/>
              <w:rPr>
                <w:sz w:val="20"/>
                <w:szCs w:val="20"/>
              </w:rPr>
            </w:pPr>
          </w:p>
        </w:tc>
        <w:tc>
          <w:tcPr>
            <w:tcW w:w="858" w:type="pct"/>
            <w:vMerge w:val="continue"/>
            <w:tcBorders>
              <w:top w:val="nil"/>
              <w:left w:val="nil"/>
              <w:bottom w:val="single" w:color="auto" w:sz="4" w:space="0"/>
              <w:right w:val="single" w:color="auto" w:sz="4" w:space="0"/>
            </w:tcBorders>
            <w:vAlign w:val="center"/>
          </w:tcPr>
          <w:p>
            <w:pPr>
              <w:widowControl w:val="0"/>
              <w:spacing w:line="240" w:lineRule="auto"/>
              <w:ind w:firstLine="0" w:firstLineChars="0"/>
              <w:rPr>
                <w:sz w:val="20"/>
                <w:szCs w:val="20"/>
              </w:rPr>
            </w:pPr>
          </w:p>
        </w:tc>
        <w:tc>
          <w:tcPr>
            <w:tcW w:w="1415" w:type="pct"/>
            <w:gridSpan w:val="2"/>
            <w:vMerge w:val="continue"/>
            <w:tcBorders>
              <w:top w:val="nil"/>
              <w:left w:val="nil"/>
              <w:bottom w:val="single" w:color="auto" w:sz="4" w:space="0"/>
              <w:right w:val="single" w:color="auto" w:sz="4" w:space="0"/>
            </w:tcBorders>
            <w:vAlign w:val="center"/>
          </w:tcPr>
          <w:p>
            <w:pPr>
              <w:widowControl w:val="0"/>
              <w:spacing w:line="240" w:lineRule="auto"/>
              <w:ind w:firstLine="0" w:firstLineChars="0"/>
              <w:rPr>
                <w:sz w:val="20"/>
                <w:szCs w:val="20"/>
              </w:rPr>
            </w:pPr>
          </w:p>
        </w:tc>
        <w:tc>
          <w:tcPr>
            <w:tcW w:w="382" w:type="pct"/>
            <w:gridSpan w:val="2"/>
            <w:vMerge w:val="continue"/>
            <w:tcBorders>
              <w:top w:val="nil"/>
              <w:left w:val="nil"/>
              <w:bottom w:val="single" w:color="auto" w:sz="4" w:space="0"/>
              <w:right w:val="single" w:color="auto" w:sz="4" w:space="0"/>
            </w:tcBorders>
            <w:vAlign w:val="center"/>
          </w:tcPr>
          <w:p>
            <w:pPr>
              <w:widowControl w:val="0"/>
              <w:spacing w:line="240" w:lineRule="auto"/>
              <w:ind w:firstLine="0" w:firstLineChars="0"/>
              <w:rPr>
                <w:sz w:val="20"/>
                <w:szCs w:val="20"/>
              </w:rPr>
            </w:pPr>
          </w:p>
        </w:tc>
        <w:tc>
          <w:tcPr>
            <w:tcW w:w="680" w:type="pct"/>
            <w:gridSpan w:val="2"/>
            <w:vMerge w:val="continue"/>
            <w:tcBorders>
              <w:top w:val="single" w:color="auto" w:sz="4" w:space="0"/>
              <w:left w:val="nil"/>
              <w:bottom w:val="single" w:color="auto" w:sz="4" w:space="0"/>
              <w:right w:val="single" w:color="auto" w:sz="4" w:space="0"/>
            </w:tcBorders>
            <w:vAlign w:val="center"/>
          </w:tcPr>
          <w:p>
            <w:pPr>
              <w:widowControl w:val="0"/>
              <w:spacing w:line="240" w:lineRule="auto"/>
              <w:ind w:firstLine="0" w:firstLineChars="0"/>
              <w:rPr>
                <w:sz w:val="20"/>
                <w:szCs w:val="20"/>
              </w:rPr>
            </w:pPr>
          </w:p>
        </w:tc>
        <w:tc>
          <w:tcPr>
            <w:tcW w:w="1075" w:type="pct"/>
            <w:vMerge w:val="continue"/>
            <w:tcBorders>
              <w:top w:val="single" w:color="auto" w:sz="4" w:space="0"/>
              <w:left w:val="nil"/>
              <w:bottom w:val="single" w:color="auto" w:sz="4" w:space="0"/>
              <w:right w:val="single" w:color="auto" w:sz="4" w:space="0"/>
            </w:tcBorders>
          </w:tcPr>
          <w:p>
            <w:pPr>
              <w:widowControl w:val="0"/>
              <w:spacing w:line="240" w:lineRule="auto"/>
              <w:ind w:firstLine="0" w:firstLineChars="0"/>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4" w:hRule="atLeast"/>
        </w:trPr>
        <w:tc>
          <w:tcPr>
            <w:tcW w:w="587" w:type="pct"/>
            <w:vMerge w:val="continue"/>
            <w:tcBorders>
              <w:top w:val="single" w:color="auto" w:sz="4" w:space="0"/>
              <w:left w:val="single" w:color="auto" w:sz="4" w:space="0"/>
              <w:bottom w:val="single" w:color="auto" w:sz="4" w:space="0"/>
              <w:right w:val="single" w:color="auto" w:sz="4" w:space="0"/>
            </w:tcBorders>
            <w:vAlign w:val="center"/>
          </w:tcPr>
          <w:p>
            <w:pPr>
              <w:widowControl w:val="0"/>
              <w:spacing w:line="240" w:lineRule="auto"/>
              <w:ind w:firstLine="0" w:firstLineChars="0"/>
              <w:rPr>
                <w:sz w:val="20"/>
                <w:szCs w:val="20"/>
              </w:rPr>
            </w:pPr>
          </w:p>
        </w:tc>
        <w:tc>
          <w:tcPr>
            <w:tcW w:w="858" w:type="pct"/>
            <w:tcBorders>
              <w:top w:val="single" w:color="auto" w:sz="4" w:space="0"/>
              <w:left w:val="nil"/>
              <w:bottom w:val="single" w:color="auto" w:sz="4" w:space="0"/>
              <w:right w:val="single" w:color="auto" w:sz="4" w:space="0"/>
            </w:tcBorders>
            <w:vAlign w:val="center"/>
          </w:tcPr>
          <w:p>
            <w:pPr>
              <w:widowControl w:val="0"/>
              <w:spacing w:line="600" w:lineRule="exact"/>
              <w:ind w:firstLine="0" w:firstLineChars="0"/>
              <w:jc w:val="center"/>
              <w:rPr>
                <w:sz w:val="24"/>
              </w:rPr>
            </w:pPr>
            <w:r>
              <w:rPr>
                <w:rFonts w:hint="eastAsia" w:ascii="宋体" w:hAnsi="宋体" w:cs="宋体"/>
                <w:sz w:val="24"/>
                <w:lang w:bidi="ar"/>
              </w:rPr>
              <w:t>电话</w:t>
            </w:r>
          </w:p>
        </w:tc>
        <w:tc>
          <w:tcPr>
            <w:tcW w:w="1047" w:type="pct"/>
            <w:tcBorders>
              <w:top w:val="single" w:color="auto" w:sz="4" w:space="0"/>
              <w:left w:val="nil"/>
              <w:bottom w:val="single" w:color="auto" w:sz="4" w:space="0"/>
              <w:right w:val="single" w:color="auto" w:sz="4" w:space="0"/>
            </w:tcBorders>
            <w:vAlign w:val="center"/>
          </w:tcPr>
          <w:p>
            <w:pPr>
              <w:widowControl w:val="0"/>
              <w:spacing w:line="600" w:lineRule="exact"/>
              <w:ind w:firstLine="0" w:firstLineChars="0"/>
              <w:jc w:val="center"/>
              <w:rPr>
                <w:rFonts w:hint="default" w:eastAsia="宋体"/>
                <w:sz w:val="24"/>
                <w:lang w:val="en-US" w:eastAsia="zh-CN"/>
              </w:rPr>
            </w:pPr>
            <w:r>
              <w:rPr>
                <w:rFonts w:hint="eastAsia"/>
                <w:sz w:val="24"/>
                <w:lang w:val="en-US" w:eastAsia="zh-CN"/>
              </w:rPr>
              <w:t>0773-6776620</w:t>
            </w:r>
          </w:p>
        </w:tc>
        <w:tc>
          <w:tcPr>
            <w:tcW w:w="367" w:type="pct"/>
            <w:tcBorders>
              <w:top w:val="single" w:color="auto" w:sz="4" w:space="0"/>
              <w:left w:val="nil"/>
              <w:bottom w:val="nil"/>
              <w:right w:val="single" w:color="auto" w:sz="4" w:space="0"/>
            </w:tcBorders>
            <w:vAlign w:val="center"/>
          </w:tcPr>
          <w:p>
            <w:pPr>
              <w:widowControl w:val="0"/>
              <w:spacing w:line="600" w:lineRule="exact"/>
              <w:ind w:firstLine="0" w:firstLineChars="0"/>
              <w:jc w:val="center"/>
              <w:rPr>
                <w:sz w:val="24"/>
              </w:rPr>
            </w:pPr>
            <w:r>
              <w:rPr>
                <w:rFonts w:hint="eastAsia" w:ascii="宋体" w:hAnsi="宋体" w:cs="宋体"/>
                <w:sz w:val="24"/>
                <w:lang w:bidi="ar"/>
              </w:rPr>
              <w:t>邮箱</w:t>
            </w:r>
          </w:p>
        </w:tc>
        <w:tc>
          <w:tcPr>
            <w:tcW w:w="1063" w:type="pct"/>
            <w:gridSpan w:val="4"/>
            <w:tcBorders>
              <w:top w:val="single" w:color="auto" w:sz="4" w:space="0"/>
              <w:left w:val="nil"/>
              <w:bottom w:val="single" w:color="auto" w:sz="4" w:space="0"/>
              <w:right w:val="single" w:color="auto" w:sz="4" w:space="0"/>
            </w:tcBorders>
          </w:tcPr>
          <w:p>
            <w:pPr>
              <w:widowControl w:val="0"/>
              <w:spacing w:line="600" w:lineRule="exact"/>
              <w:ind w:firstLine="0" w:firstLineChars="0"/>
              <w:jc w:val="left"/>
              <w:rPr>
                <w:sz w:val="24"/>
              </w:rPr>
            </w:pPr>
          </w:p>
        </w:tc>
        <w:tc>
          <w:tcPr>
            <w:tcW w:w="1075" w:type="pct"/>
            <w:vMerge w:val="continue"/>
            <w:tcBorders>
              <w:top w:val="single" w:color="auto" w:sz="4" w:space="0"/>
              <w:left w:val="nil"/>
              <w:bottom w:val="single" w:color="auto" w:sz="4" w:space="0"/>
              <w:right w:val="single" w:color="auto" w:sz="4" w:space="0"/>
            </w:tcBorders>
          </w:tcPr>
          <w:p>
            <w:pPr>
              <w:widowControl w:val="0"/>
              <w:spacing w:line="240" w:lineRule="auto"/>
              <w:ind w:firstLine="0" w:firstLineChars="0"/>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trPr>
        <w:tc>
          <w:tcPr>
            <w:tcW w:w="587" w:type="pct"/>
            <w:vMerge w:val="continue"/>
            <w:tcBorders>
              <w:top w:val="single" w:color="auto" w:sz="4" w:space="0"/>
              <w:left w:val="single" w:color="auto" w:sz="4" w:space="0"/>
              <w:bottom w:val="single" w:color="auto" w:sz="4" w:space="0"/>
              <w:right w:val="single" w:color="auto" w:sz="4" w:space="0"/>
            </w:tcBorders>
            <w:vAlign w:val="center"/>
          </w:tcPr>
          <w:p>
            <w:pPr>
              <w:widowControl w:val="0"/>
              <w:spacing w:line="240" w:lineRule="auto"/>
              <w:ind w:firstLine="0" w:firstLineChars="0"/>
              <w:rPr>
                <w:sz w:val="20"/>
                <w:szCs w:val="20"/>
              </w:rPr>
            </w:pPr>
          </w:p>
        </w:tc>
        <w:tc>
          <w:tcPr>
            <w:tcW w:w="858" w:type="pct"/>
            <w:tcBorders>
              <w:top w:val="single" w:color="auto" w:sz="4" w:space="0"/>
              <w:left w:val="nil"/>
              <w:bottom w:val="single" w:color="auto" w:sz="4" w:space="0"/>
              <w:right w:val="single" w:color="auto" w:sz="4" w:space="0"/>
            </w:tcBorders>
            <w:vAlign w:val="center"/>
          </w:tcPr>
          <w:p>
            <w:pPr>
              <w:widowControl w:val="0"/>
              <w:spacing w:line="600" w:lineRule="exact"/>
              <w:ind w:firstLine="0" w:firstLineChars="0"/>
              <w:jc w:val="center"/>
              <w:rPr>
                <w:sz w:val="24"/>
              </w:rPr>
            </w:pPr>
            <w:r>
              <w:rPr>
                <w:rFonts w:hint="eastAsia" w:ascii="宋体" w:hAnsi="宋体" w:cs="宋体"/>
                <w:sz w:val="24"/>
                <w:lang w:bidi="ar"/>
              </w:rPr>
              <w:t>开户银行</w:t>
            </w:r>
          </w:p>
        </w:tc>
        <w:tc>
          <w:tcPr>
            <w:tcW w:w="2478" w:type="pct"/>
            <w:gridSpan w:val="6"/>
            <w:tcBorders>
              <w:top w:val="single" w:color="auto" w:sz="4" w:space="0"/>
              <w:left w:val="nil"/>
              <w:bottom w:val="single" w:color="auto" w:sz="4" w:space="0"/>
              <w:right w:val="single" w:color="auto" w:sz="4" w:space="0"/>
            </w:tcBorders>
            <w:vAlign w:val="center"/>
          </w:tcPr>
          <w:p>
            <w:pPr>
              <w:widowControl w:val="0"/>
              <w:spacing w:line="600" w:lineRule="exact"/>
              <w:ind w:firstLine="0" w:firstLineChars="0"/>
              <w:jc w:val="center"/>
              <w:rPr>
                <w:rFonts w:hint="default" w:eastAsia="宋体"/>
                <w:sz w:val="24"/>
                <w:lang w:val="en-US" w:eastAsia="zh-CN"/>
              </w:rPr>
            </w:pPr>
            <w:r>
              <w:rPr>
                <w:rFonts w:hint="eastAsia"/>
                <w:sz w:val="24"/>
                <w:lang w:val="en-US" w:eastAsia="zh-CN"/>
              </w:rPr>
              <w:t>中国建设银行桂林城中支行</w:t>
            </w:r>
          </w:p>
        </w:tc>
        <w:tc>
          <w:tcPr>
            <w:tcW w:w="1075" w:type="pct"/>
            <w:vMerge w:val="continue"/>
            <w:tcBorders>
              <w:top w:val="single" w:color="auto" w:sz="4" w:space="0"/>
              <w:left w:val="nil"/>
              <w:bottom w:val="single" w:color="auto" w:sz="4" w:space="0"/>
              <w:right w:val="single" w:color="auto" w:sz="4" w:space="0"/>
            </w:tcBorders>
          </w:tcPr>
          <w:p>
            <w:pPr>
              <w:widowControl w:val="0"/>
              <w:spacing w:line="240" w:lineRule="auto"/>
              <w:ind w:firstLine="0" w:firstLineChars="0"/>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trPr>
        <w:tc>
          <w:tcPr>
            <w:tcW w:w="587" w:type="pct"/>
            <w:vMerge w:val="continue"/>
            <w:tcBorders>
              <w:top w:val="single" w:color="auto" w:sz="4" w:space="0"/>
              <w:left w:val="single" w:color="auto" w:sz="4" w:space="0"/>
              <w:bottom w:val="single" w:color="auto" w:sz="4" w:space="0"/>
              <w:right w:val="single" w:color="auto" w:sz="4" w:space="0"/>
            </w:tcBorders>
            <w:vAlign w:val="center"/>
          </w:tcPr>
          <w:p>
            <w:pPr>
              <w:widowControl w:val="0"/>
              <w:spacing w:line="240" w:lineRule="auto"/>
              <w:ind w:firstLine="0" w:firstLineChars="0"/>
              <w:rPr>
                <w:sz w:val="20"/>
                <w:szCs w:val="20"/>
              </w:rPr>
            </w:pPr>
          </w:p>
        </w:tc>
        <w:tc>
          <w:tcPr>
            <w:tcW w:w="858" w:type="pct"/>
            <w:tcBorders>
              <w:top w:val="single" w:color="auto" w:sz="4" w:space="0"/>
              <w:left w:val="nil"/>
              <w:bottom w:val="single" w:color="auto" w:sz="4" w:space="0"/>
              <w:right w:val="single" w:color="auto" w:sz="4" w:space="0"/>
            </w:tcBorders>
            <w:vAlign w:val="center"/>
          </w:tcPr>
          <w:p>
            <w:pPr>
              <w:widowControl w:val="0"/>
              <w:spacing w:line="600" w:lineRule="exact"/>
              <w:ind w:firstLine="0" w:firstLineChars="0"/>
              <w:jc w:val="center"/>
              <w:rPr>
                <w:sz w:val="24"/>
              </w:rPr>
            </w:pPr>
            <w:r>
              <w:rPr>
                <w:rFonts w:hint="eastAsia" w:ascii="宋体" w:hAnsi="宋体" w:cs="宋体"/>
                <w:sz w:val="24"/>
                <w:lang w:bidi="ar"/>
              </w:rPr>
              <w:t>账号</w:t>
            </w:r>
          </w:p>
        </w:tc>
        <w:tc>
          <w:tcPr>
            <w:tcW w:w="2478" w:type="pct"/>
            <w:gridSpan w:val="6"/>
            <w:tcBorders>
              <w:top w:val="single" w:color="auto" w:sz="4" w:space="0"/>
              <w:left w:val="nil"/>
              <w:bottom w:val="single" w:color="auto" w:sz="4" w:space="0"/>
              <w:right w:val="single" w:color="auto" w:sz="4" w:space="0"/>
            </w:tcBorders>
            <w:vAlign w:val="center"/>
          </w:tcPr>
          <w:p>
            <w:pPr>
              <w:widowControl w:val="0"/>
              <w:spacing w:line="600" w:lineRule="exact"/>
              <w:ind w:firstLine="0" w:firstLineChars="0"/>
              <w:jc w:val="center"/>
              <w:rPr>
                <w:rFonts w:hint="default" w:eastAsia="宋体"/>
                <w:sz w:val="24"/>
                <w:lang w:val="en-US" w:eastAsia="zh-CN"/>
              </w:rPr>
            </w:pPr>
            <w:r>
              <w:rPr>
                <w:rFonts w:hint="eastAsia"/>
                <w:sz w:val="24"/>
                <w:lang w:val="en-US" w:eastAsia="zh-CN"/>
              </w:rPr>
              <w:t>45001635506059888666</w:t>
            </w:r>
          </w:p>
        </w:tc>
        <w:tc>
          <w:tcPr>
            <w:tcW w:w="1075" w:type="pct"/>
            <w:vMerge w:val="continue"/>
            <w:tcBorders>
              <w:top w:val="single" w:color="auto" w:sz="4" w:space="0"/>
              <w:left w:val="nil"/>
              <w:bottom w:val="single" w:color="auto" w:sz="4" w:space="0"/>
              <w:right w:val="single" w:color="auto" w:sz="4" w:space="0"/>
            </w:tcBorders>
          </w:tcPr>
          <w:p>
            <w:pPr>
              <w:widowControl w:val="0"/>
              <w:spacing w:line="240" w:lineRule="auto"/>
              <w:ind w:firstLine="0" w:firstLineChars="0"/>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trPr>
        <w:tc>
          <w:tcPr>
            <w:tcW w:w="587" w:type="pct"/>
            <w:vMerge w:val="restart"/>
            <w:tcBorders>
              <w:top w:val="nil"/>
              <w:left w:val="single" w:color="auto" w:sz="4" w:space="0"/>
              <w:bottom w:val="single" w:color="auto" w:sz="4" w:space="0"/>
              <w:right w:val="single" w:color="auto" w:sz="4" w:space="0"/>
            </w:tcBorders>
            <w:vAlign w:val="center"/>
          </w:tcPr>
          <w:p>
            <w:pPr>
              <w:widowControl w:val="0"/>
              <w:spacing w:line="500" w:lineRule="exact"/>
              <w:ind w:left="113" w:right="113" w:firstLine="0" w:firstLineChars="0"/>
              <w:jc w:val="center"/>
              <w:rPr>
                <w:sz w:val="24"/>
              </w:rPr>
            </w:pPr>
            <w:r>
              <w:rPr>
                <w:rFonts w:hint="eastAsia" w:ascii="宋体" w:hAnsi="宋体" w:cs="宋体"/>
                <w:sz w:val="24"/>
                <w:lang w:bidi="ar"/>
              </w:rPr>
              <w:t>受托人</w:t>
            </w:r>
            <w:r>
              <w:rPr>
                <w:sz w:val="24"/>
                <w:lang w:bidi="ar"/>
              </w:rPr>
              <w:t>(</w:t>
            </w:r>
            <w:r>
              <w:rPr>
                <w:rFonts w:hint="eastAsia" w:ascii="宋体" w:hAnsi="宋体" w:cs="宋体"/>
                <w:sz w:val="24"/>
                <w:lang w:bidi="ar"/>
              </w:rPr>
              <w:t>乙方</w:t>
            </w:r>
            <w:r>
              <w:rPr>
                <w:rFonts w:cs="Calibri"/>
                <w:sz w:val="24"/>
                <w:lang w:bidi="ar"/>
              </w:rPr>
              <w:t>)</w:t>
            </w:r>
          </w:p>
        </w:tc>
        <w:tc>
          <w:tcPr>
            <w:tcW w:w="858" w:type="pct"/>
            <w:tcBorders>
              <w:top w:val="single" w:color="auto" w:sz="4" w:space="0"/>
              <w:left w:val="nil"/>
              <w:bottom w:val="single" w:color="auto" w:sz="4" w:space="0"/>
              <w:right w:val="single" w:color="auto" w:sz="4" w:space="0"/>
            </w:tcBorders>
            <w:vAlign w:val="center"/>
          </w:tcPr>
          <w:p>
            <w:pPr>
              <w:widowControl w:val="0"/>
              <w:spacing w:line="600" w:lineRule="exact"/>
              <w:ind w:firstLine="0" w:firstLineChars="0"/>
              <w:jc w:val="center"/>
              <w:rPr>
                <w:sz w:val="24"/>
              </w:rPr>
            </w:pPr>
            <w:r>
              <w:rPr>
                <w:rFonts w:hint="eastAsia" w:ascii="宋体" w:hAnsi="宋体" w:cs="宋体"/>
                <w:sz w:val="24"/>
                <w:lang w:bidi="ar"/>
              </w:rPr>
              <w:t>名称</w:t>
            </w:r>
            <w:r>
              <w:rPr>
                <w:sz w:val="24"/>
                <w:lang w:bidi="ar"/>
              </w:rPr>
              <w:t>(</w:t>
            </w:r>
            <w:r>
              <w:rPr>
                <w:rFonts w:hint="eastAsia" w:ascii="宋体" w:hAnsi="宋体" w:cs="宋体"/>
                <w:sz w:val="24"/>
                <w:lang w:bidi="ar"/>
              </w:rPr>
              <w:t>或姓名</w:t>
            </w:r>
            <w:r>
              <w:rPr>
                <w:rFonts w:cs="Calibri"/>
                <w:sz w:val="24"/>
                <w:lang w:bidi="ar"/>
              </w:rPr>
              <w:t>)</w:t>
            </w:r>
          </w:p>
        </w:tc>
        <w:tc>
          <w:tcPr>
            <w:tcW w:w="2478" w:type="pct"/>
            <w:gridSpan w:val="6"/>
            <w:tcBorders>
              <w:top w:val="single" w:color="auto" w:sz="4" w:space="0"/>
              <w:left w:val="nil"/>
              <w:bottom w:val="single" w:color="auto" w:sz="4" w:space="0"/>
              <w:right w:val="single" w:color="auto" w:sz="4" w:space="0"/>
            </w:tcBorders>
            <w:vAlign w:val="center"/>
          </w:tcPr>
          <w:p>
            <w:pPr>
              <w:widowControl w:val="0"/>
              <w:spacing w:line="600" w:lineRule="exact"/>
              <w:ind w:right="360" w:firstLine="0" w:firstLineChars="0"/>
              <w:rPr>
                <w:sz w:val="24"/>
              </w:rPr>
            </w:pPr>
            <w:r>
              <w:rPr>
                <w:rFonts w:cs="Calibri"/>
                <w:sz w:val="24"/>
                <w:lang w:bidi="ar"/>
              </w:rPr>
              <w:t xml:space="preserve">   </w:t>
            </w:r>
            <w:r>
              <w:rPr>
                <w:rFonts w:hint="eastAsia" w:cs="Calibri"/>
                <w:sz w:val="24"/>
                <w:lang w:bidi="ar"/>
              </w:rPr>
              <w:t>深圳市航天新材科技有限公司</w:t>
            </w:r>
          </w:p>
        </w:tc>
        <w:tc>
          <w:tcPr>
            <w:tcW w:w="1075" w:type="pct"/>
            <w:vMerge w:val="restart"/>
            <w:tcBorders>
              <w:top w:val="nil"/>
              <w:left w:val="nil"/>
              <w:bottom w:val="single" w:color="auto" w:sz="4" w:space="0"/>
              <w:right w:val="single" w:color="auto" w:sz="4" w:space="0"/>
            </w:tcBorders>
          </w:tcPr>
          <w:p>
            <w:pPr>
              <w:widowControl w:val="0"/>
              <w:spacing w:line="600" w:lineRule="exact"/>
              <w:ind w:firstLine="0" w:firstLineChars="0"/>
              <w:jc w:val="center"/>
              <w:rPr>
                <w:sz w:val="24"/>
              </w:rPr>
            </w:pPr>
            <w:r>
              <w:rPr>
                <w:rFonts w:hint="eastAsia" w:ascii="宋体" w:hAnsi="宋体" w:cs="宋体"/>
                <w:sz w:val="24"/>
                <w:lang w:bidi="ar"/>
              </w:rPr>
              <w:t>合同专用章</w:t>
            </w:r>
          </w:p>
          <w:p>
            <w:pPr>
              <w:widowControl w:val="0"/>
              <w:spacing w:line="600" w:lineRule="exact"/>
              <w:ind w:firstLine="0" w:firstLineChars="0"/>
              <w:jc w:val="center"/>
              <w:rPr>
                <w:sz w:val="24"/>
              </w:rPr>
            </w:pPr>
            <w:r>
              <w:rPr>
                <w:rFonts w:hint="eastAsia" w:ascii="宋体" w:hAnsi="宋体" w:cs="宋体"/>
                <w:sz w:val="24"/>
                <w:lang w:bidi="ar"/>
              </w:rPr>
              <w:t>或</w:t>
            </w:r>
          </w:p>
          <w:p>
            <w:pPr>
              <w:widowControl w:val="0"/>
              <w:spacing w:line="600" w:lineRule="exact"/>
              <w:ind w:firstLine="0" w:firstLineChars="0"/>
              <w:jc w:val="center"/>
              <w:rPr>
                <w:sz w:val="24"/>
              </w:rPr>
            </w:pPr>
            <w:r>
              <w:rPr>
                <w:rFonts w:hint="eastAsia" w:ascii="宋体" w:hAnsi="宋体" w:cs="宋体"/>
                <w:sz w:val="24"/>
                <w:lang w:bidi="ar"/>
              </w:rPr>
              <w:t>单位公章</w:t>
            </w:r>
          </w:p>
          <w:p>
            <w:pPr>
              <w:widowControl w:val="0"/>
              <w:spacing w:line="600" w:lineRule="exact"/>
              <w:ind w:firstLine="0" w:firstLineChars="0"/>
              <w:jc w:val="left"/>
              <w:rPr>
                <w:sz w:val="24"/>
              </w:rPr>
            </w:pPr>
          </w:p>
          <w:p>
            <w:pPr>
              <w:widowControl w:val="0"/>
              <w:spacing w:line="600" w:lineRule="exact"/>
              <w:ind w:firstLine="0" w:firstLineChars="0"/>
              <w:jc w:val="left"/>
              <w:rPr>
                <w:sz w:val="24"/>
              </w:rPr>
            </w:pPr>
          </w:p>
          <w:p>
            <w:pPr>
              <w:widowControl w:val="0"/>
              <w:spacing w:line="600" w:lineRule="exact"/>
              <w:ind w:firstLine="0" w:firstLineChars="0"/>
              <w:jc w:val="left"/>
              <w:rPr>
                <w:sz w:val="24"/>
              </w:rPr>
            </w:pPr>
          </w:p>
          <w:p>
            <w:pPr>
              <w:widowControl w:val="0"/>
              <w:spacing w:line="600" w:lineRule="exact"/>
              <w:ind w:firstLine="0" w:firstLineChars="0"/>
              <w:jc w:val="left"/>
              <w:rPr>
                <w:sz w:val="24"/>
              </w:rPr>
            </w:pPr>
          </w:p>
          <w:p>
            <w:pPr>
              <w:widowControl w:val="0"/>
              <w:spacing w:line="600" w:lineRule="exact"/>
              <w:ind w:firstLine="0" w:firstLineChars="0"/>
              <w:jc w:val="left"/>
              <w:rPr>
                <w:sz w:val="24"/>
              </w:rPr>
            </w:pPr>
          </w:p>
          <w:p>
            <w:pPr>
              <w:widowControl w:val="0"/>
              <w:spacing w:line="600" w:lineRule="exact"/>
              <w:ind w:firstLine="0" w:firstLineChars="0"/>
              <w:jc w:val="left"/>
              <w:rPr>
                <w:sz w:val="24"/>
              </w:rPr>
            </w:pPr>
            <w:r>
              <w:rPr>
                <w:rFonts w:cs="Calibri"/>
                <w:sz w:val="24"/>
                <w:lang w:bidi="ar"/>
              </w:rPr>
              <w:t xml:space="preserve">     </w:t>
            </w:r>
            <w:r>
              <w:rPr>
                <w:rFonts w:hint="eastAsia" w:ascii="宋体" w:hAnsi="宋体" w:cs="宋体"/>
                <w:sz w:val="24"/>
                <w:lang w:bidi="ar"/>
              </w:rPr>
              <w:t>年</w:t>
            </w:r>
            <w:r>
              <w:rPr>
                <w:rFonts w:cs="Calibri"/>
                <w:sz w:val="24"/>
                <w:lang w:bidi="ar"/>
              </w:rPr>
              <w:t xml:space="preserve">  </w:t>
            </w:r>
            <w:r>
              <w:rPr>
                <w:rFonts w:hint="eastAsia" w:ascii="宋体" w:hAnsi="宋体" w:cs="宋体"/>
                <w:sz w:val="24"/>
                <w:lang w:bidi="ar"/>
              </w:rPr>
              <w:t>月</w:t>
            </w:r>
            <w:r>
              <w:rPr>
                <w:rFonts w:cs="Calibri"/>
                <w:sz w:val="24"/>
                <w:lang w:bidi="ar"/>
              </w:rPr>
              <w:t xml:space="preserve">  </w:t>
            </w:r>
            <w:r>
              <w:rPr>
                <w:rFonts w:hint="eastAsia" w:ascii="宋体" w:hAnsi="宋体" w:cs="宋体"/>
                <w:sz w:val="24"/>
                <w:lang w:bidi="ar"/>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0" w:hRule="atLeast"/>
        </w:trPr>
        <w:tc>
          <w:tcPr>
            <w:tcW w:w="587" w:type="pct"/>
            <w:vMerge w:val="continue"/>
            <w:tcBorders>
              <w:top w:val="nil"/>
              <w:left w:val="single" w:color="auto" w:sz="4" w:space="0"/>
              <w:bottom w:val="single" w:color="auto" w:sz="4" w:space="0"/>
              <w:right w:val="single" w:color="auto" w:sz="4" w:space="0"/>
            </w:tcBorders>
            <w:vAlign w:val="center"/>
          </w:tcPr>
          <w:p>
            <w:pPr>
              <w:widowControl w:val="0"/>
              <w:spacing w:line="240" w:lineRule="auto"/>
              <w:ind w:firstLine="0" w:firstLineChars="0"/>
              <w:rPr>
                <w:sz w:val="20"/>
                <w:szCs w:val="20"/>
              </w:rPr>
            </w:pPr>
          </w:p>
        </w:tc>
        <w:tc>
          <w:tcPr>
            <w:tcW w:w="858" w:type="pct"/>
            <w:tcBorders>
              <w:top w:val="single" w:color="auto" w:sz="4" w:space="0"/>
              <w:left w:val="nil"/>
              <w:bottom w:val="single" w:color="auto" w:sz="4" w:space="0"/>
              <w:right w:val="single" w:color="auto" w:sz="4" w:space="0"/>
            </w:tcBorders>
            <w:vAlign w:val="center"/>
          </w:tcPr>
          <w:p>
            <w:pPr>
              <w:widowControl w:val="0"/>
              <w:spacing w:line="600" w:lineRule="exact"/>
              <w:ind w:firstLine="0" w:firstLineChars="0"/>
              <w:jc w:val="center"/>
              <w:rPr>
                <w:sz w:val="24"/>
              </w:rPr>
            </w:pPr>
            <w:r>
              <w:rPr>
                <w:rFonts w:hint="eastAsia" w:ascii="宋体" w:hAnsi="宋体" w:cs="宋体"/>
                <w:sz w:val="24"/>
                <w:lang w:bidi="ar"/>
              </w:rPr>
              <w:t>法定代表人</w:t>
            </w:r>
          </w:p>
        </w:tc>
        <w:tc>
          <w:tcPr>
            <w:tcW w:w="2478" w:type="pct"/>
            <w:gridSpan w:val="6"/>
            <w:tcBorders>
              <w:top w:val="single" w:color="auto" w:sz="4" w:space="0"/>
              <w:left w:val="nil"/>
              <w:bottom w:val="single" w:color="auto" w:sz="4" w:space="0"/>
              <w:right w:val="single" w:color="auto" w:sz="4" w:space="0"/>
            </w:tcBorders>
            <w:vAlign w:val="center"/>
          </w:tcPr>
          <w:p>
            <w:pPr>
              <w:widowControl w:val="0"/>
              <w:spacing w:line="600" w:lineRule="exact"/>
              <w:ind w:firstLine="0" w:firstLineChars="0"/>
              <w:jc w:val="right"/>
              <w:rPr>
                <w:sz w:val="24"/>
              </w:rPr>
            </w:pPr>
            <w:r>
              <w:rPr>
                <w:sz w:val="24"/>
                <w:lang w:bidi="ar"/>
              </w:rPr>
              <w:t>(</w:t>
            </w:r>
            <w:r>
              <w:rPr>
                <w:rFonts w:hint="eastAsia" w:ascii="宋体" w:hAnsi="宋体" w:cs="宋体"/>
                <w:sz w:val="24"/>
                <w:lang w:bidi="ar"/>
              </w:rPr>
              <w:t>签字或签章</w:t>
            </w:r>
            <w:r>
              <w:rPr>
                <w:sz w:val="24"/>
                <w:lang w:bidi="ar"/>
              </w:rPr>
              <w:t>)</w:t>
            </w:r>
          </w:p>
        </w:tc>
        <w:tc>
          <w:tcPr>
            <w:tcW w:w="1075" w:type="pct"/>
            <w:vMerge w:val="continue"/>
            <w:tcBorders>
              <w:top w:val="nil"/>
              <w:left w:val="nil"/>
              <w:bottom w:val="single" w:color="auto" w:sz="4" w:space="0"/>
              <w:right w:val="single" w:color="auto" w:sz="4" w:space="0"/>
            </w:tcBorders>
          </w:tcPr>
          <w:p>
            <w:pPr>
              <w:widowControl w:val="0"/>
              <w:spacing w:line="240" w:lineRule="auto"/>
              <w:ind w:firstLine="0" w:firstLineChars="0"/>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trPr>
        <w:tc>
          <w:tcPr>
            <w:tcW w:w="587" w:type="pct"/>
            <w:vMerge w:val="continue"/>
            <w:tcBorders>
              <w:top w:val="nil"/>
              <w:left w:val="single" w:color="auto" w:sz="4" w:space="0"/>
              <w:bottom w:val="single" w:color="auto" w:sz="4" w:space="0"/>
              <w:right w:val="single" w:color="auto" w:sz="4" w:space="0"/>
            </w:tcBorders>
            <w:vAlign w:val="center"/>
          </w:tcPr>
          <w:p>
            <w:pPr>
              <w:widowControl w:val="0"/>
              <w:spacing w:line="240" w:lineRule="auto"/>
              <w:ind w:firstLine="0" w:firstLineChars="0"/>
              <w:rPr>
                <w:sz w:val="20"/>
                <w:szCs w:val="20"/>
              </w:rPr>
            </w:pPr>
          </w:p>
        </w:tc>
        <w:tc>
          <w:tcPr>
            <w:tcW w:w="858" w:type="pct"/>
            <w:tcBorders>
              <w:top w:val="single" w:color="auto" w:sz="4" w:space="0"/>
              <w:left w:val="nil"/>
              <w:bottom w:val="single" w:color="auto" w:sz="4" w:space="0"/>
              <w:right w:val="single" w:color="auto" w:sz="4" w:space="0"/>
            </w:tcBorders>
            <w:vAlign w:val="center"/>
          </w:tcPr>
          <w:p>
            <w:pPr>
              <w:widowControl w:val="0"/>
              <w:spacing w:line="600" w:lineRule="exact"/>
              <w:ind w:firstLine="0" w:firstLineChars="0"/>
              <w:jc w:val="center"/>
              <w:rPr>
                <w:sz w:val="24"/>
              </w:rPr>
            </w:pPr>
            <w:r>
              <w:rPr>
                <w:rFonts w:hint="eastAsia" w:ascii="宋体" w:hAnsi="宋体" w:cs="宋体"/>
                <w:sz w:val="24"/>
                <w:lang w:bidi="ar"/>
              </w:rPr>
              <w:t>联系</w:t>
            </w:r>
            <w:r>
              <w:rPr>
                <w:sz w:val="24"/>
                <w:lang w:bidi="ar"/>
              </w:rPr>
              <w:t>(</w:t>
            </w:r>
            <w:r>
              <w:rPr>
                <w:rFonts w:hint="eastAsia" w:ascii="宋体" w:hAnsi="宋体" w:cs="宋体"/>
                <w:sz w:val="24"/>
                <w:lang w:bidi="ar"/>
              </w:rPr>
              <w:t>经办</w:t>
            </w:r>
            <w:r>
              <w:rPr>
                <w:rFonts w:cs="Calibri"/>
                <w:sz w:val="24"/>
                <w:lang w:bidi="ar"/>
              </w:rPr>
              <w:t>)</w:t>
            </w:r>
            <w:r>
              <w:rPr>
                <w:rFonts w:hint="eastAsia" w:ascii="宋体" w:hAnsi="宋体" w:cs="宋体"/>
                <w:sz w:val="24"/>
                <w:lang w:bidi="ar"/>
              </w:rPr>
              <w:t>人</w:t>
            </w:r>
          </w:p>
        </w:tc>
        <w:tc>
          <w:tcPr>
            <w:tcW w:w="2478" w:type="pct"/>
            <w:gridSpan w:val="6"/>
            <w:tcBorders>
              <w:top w:val="single" w:color="auto" w:sz="4" w:space="0"/>
              <w:left w:val="nil"/>
              <w:bottom w:val="single" w:color="auto" w:sz="4" w:space="0"/>
              <w:right w:val="single" w:color="auto" w:sz="4" w:space="0"/>
            </w:tcBorders>
            <w:vAlign w:val="center"/>
          </w:tcPr>
          <w:p>
            <w:pPr>
              <w:widowControl w:val="0"/>
              <w:spacing w:line="600" w:lineRule="exact"/>
              <w:ind w:firstLine="0" w:firstLineChars="0"/>
              <w:jc w:val="center"/>
              <w:rPr>
                <w:rFonts w:hint="eastAsia" w:eastAsia="宋体"/>
                <w:sz w:val="24"/>
                <w:lang w:eastAsia="zh-CN"/>
              </w:rPr>
            </w:pPr>
            <w:r>
              <w:rPr>
                <w:rFonts w:hint="eastAsia"/>
                <w:sz w:val="24"/>
                <w:lang w:eastAsia="zh-CN"/>
              </w:rPr>
              <w:t>陈博</w:t>
            </w:r>
          </w:p>
        </w:tc>
        <w:tc>
          <w:tcPr>
            <w:tcW w:w="1075" w:type="pct"/>
            <w:vMerge w:val="continue"/>
            <w:tcBorders>
              <w:top w:val="nil"/>
              <w:left w:val="nil"/>
              <w:bottom w:val="single" w:color="auto" w:sz="4" w:space="0"/>
              <w:right w:val="single" w:color="auto" w:sz="4" w:space="0"/>
            </w:tcBorders>
          </w:tcPr>
          <w:p>
            <w:pPr>
              <w:widowControl w:val="0"/>
              <w:spacing w:line="240" w:lineRule="auto"/>
              <w:ind w:firstLine="0" w:firstLineChars="0"/>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0" w:hRule="atLeast"/>
        </w:trPr>
        <w:tc>
          <w:tcPr>
            <w:tcW w:w="587" w:type="pct"/>
            <w:vMerge w:val="continue"/>
            <w:tcBorders>
              <w:top w:val="nil"/>
              <w:left w:val="single" w:color="auto" w:sz="4" w:space="0"/>
              <w:bottom w:val="single" w:color="auto" w:sz="4" w:space="0"/>
              <w:right w:val="single" w:color="auto" w:sz="4" w:space="0"/>
            </w:tcBorders>
            <w:vAlign w:val="center"/>
          </w:tcPr>
          <w:p>
            <w:pPr>
              <w:widowControl w:val="0"/>
              <w:spacing w:line="240" w:lineRule="auto"/>
              <w:ind w:firstLine="0" w:firstLineChars="0"/>
              <w:rPr>
                <w:sz w:val="20"/>
                <w:szCs w:val="20"/>
              </w:rPr>
            </w:pPr>
          </w:p>
        </w:tc>
        <w:tc>
          <w:tcPr>
            <w:tcW w:w="858" w:type="pct"/>
            <w:tcBorders>
              <w:top w:val="single" w:color="auto" w:sz="4" w:space="0"/>
              <w:left w:val="nil"/>
              <w:bottom w:val="single" w:color="auto" w:sz="4" w:space="0"/>
              <w:right w:val="single" w:color="auto" w:sz="4" w:space="0"/>
            </w:tcBorders>
            <w:vAlign w:val="center"/>
          </w:tcPr>
          <w:p>
            <w:pPr>
              <w:widowControl w:val="0"/>
              <w:spacing w:line="600" w:lineRule="exact"/>
              <w:ind w:firstLine="0" w:firstLineChars="0"/>
              <w:jc w:val="center"/>
              <w:rPr>
                <w:sz w:val="24"/>
              </w:rPr>
            </w:pPr>
            <w:r>
              <w:rPr>
                <w:rFonts w:hint="eastAsia" w:ascii="宋体" w:hAnsi="宋体" w:cs="宋体"/>
                <w:sz w:val="24"/>
                <w:lang w:bidi="ar"/>
              </w:rPr>
              <w:t>住所</w:t>
            </w:r>
          </w:p>
          <w:p>
            <w:pPr>
              <w:widowControl w:val="0"/>
              <w:spacing w:line="600" w:lineRule="exact"/>
              <w:ind w:firstLine="0" w:firstLineChars="0"/>
              <w:jc w:val="center"/>
              <w:rPr>
                <w:sz w:val="24"/>
              </w:rPr>
            </w:pPr>
            <w:r>
              <w:rPr>
                <w:sz w:val="24"/>
                <w:lang w:bidi="ar"/>
              </w:rPr>
              <w:t>(</w:t>
            </w:r>
            <w:r>
              <w:rPr>
                <w:rFonts w:hint="eastAsia" w:ascii="宋体" w:hAnsi="宋体" w:cs="宋体"/>
                <w:sz w:val="24"/>
                <w:lang w:bidi="ar"/>
              </w:rPr>
              <w:t>通讯地址</w:t>
            </w:r>
            <w:r>
              <w:rPr>
                <w:rFonts w:cs="Calibri"/>
                <w:sz w:val="24"/>
                <w:lang w:bidi="ar"/>
              </w:rPr>
              <w:t>)</w:t>
            </w:r>
          </w:p>
        </w:tc>
        <w:tc>
          <w:tcPr>
            <w:tcW w:w="1465" w:type="pct"/>
            <w:gridSpan w:val="3"/>
            <w:tcBorders>
              <w:top w:val="single" w:color="auto" w:sz="4" w:space="0"/>
              <w:left w:val="nil"/>
              <w:bottom w:val="single" w:color="auto" w:sz="4" w:space="0"/>
              <w:right w:val="single" w:color="auto" w:sz="4" w:space="0"/>
            </w:tcBorders>
            <w:shd w:val="clear" w:color="auto" w:fill="auto"/>
            <w:vAlign w:val="center"/>
          </w:tcPr>
          <w:p>
            <w:pPr>
              <w:widowControl w:val="0"/>
              <w:spacing w:line="240" w:lineRule="auto"/>
              <w:ind w:firstLine="0" w:firstLineChars="0"/>
              <w:rPr>
                <w:rFonts w:ascii="Times New Roman" w:hAnsi="Times New Roman" w:eastAsia="宋体" w:cs="Times New Roman"/>
                <w:kern w:val="2"/>
                <w:sz w:val="24"/>
                <w:szCs w:val="24"/>
                <w:highlight w:val="none"/>
                <w:lang w:val="en-US" w:eastAsia="zh-CN" w:bidi="ar-SA"/>
              </w:rPr>
            </w:pPr>
            <w:r>
              <w:rPr>
                <w:rFonts w:hint="eastAsia" w:asciiTheme="minorEastAsia" w:hAnsiTheme="minorEastAsia"/>
                <w:sz w:val="24"/>
                <w:highlight w:val="none"/>
              </w:rPr>
              <w:t>深圳市南山区西丽街道西丽社区留仙大道7025号烯创科技大厦A座1701</w:t>
            </w:r>
            <w:bookmarkStart w:id="27" w:name="_GoBack"/>
            <w:bookmarkEnd w:id="27"/>
          </w:p>
        </w:tc>
        <w:tc>
          <w:tcPr>
            <w:tcW w:w="383" w:type="pct"/>
            <w:gridSpan w:val="2"/>
            <w:tcBorders>
              <w:top w:val="single" w:color="auto" w:sz="4" w:space="0"/>
              <w:left w:val="nil"/>
              <w:bottom w:val="single" w:color="auto" w:sz="4" w:space="0"/>
              <w:right w:val="single" w:color="auto" w:sz="4" w:space="0"/>
            </w:tcBorders>
            <w:vAlign w:val="center"/>
          </w:tcPr>
          <w:p>
            <w:pPr>
              <w:widowControl w:val="0"/>
              <w:spacing w:line="600" w:lineRule="exact"/>
              <w:ind w:firstLine="0" w:firstLineChars="0"/>
              <w:jc w:val="center"/>
              <w:rPr>
                <w:sz w:val="24"/>
              </w:rPr>
            </w:pPr>
            <w:r>
              <w:rPr>
                <w:rFonts w:hint="eastAsia" w:ascii="宋体" w:hAnsi="宋体" w:cs="宋体"/>
                <w:sz w:val="24"/>
                <w:lang w:bidi="ar"/>
              </w:rPr>
              <w:t>邮政</w:t>
            </w:r>
          </w:p>
          <w:p>
            <w:pPr>
              <w:widowControl w:val="0"/>
              <w:spacing w:line="600" w:lineRule="exact"/>
              <w:ind w:firstLine="0" w:firstLineChars="0"/>
              <w:jc w:val="center"/>
              <w:rPr>
                <w:sz w:val="24"/>
              </w:rPr>
            </w:pPr>
            <w:r>
              <w:rPr>
                <w:rFonts w:hint="eastAsia" w:ascii="宋体" w:hAnsi="宋体" w:cs="宋体"/>
                <w:sz w:val="24"/>
                <w:lang w:bidi="ar"/>
              </w:rPr>
              <w:t>编码</w:t>
            </w:r>
          </w:p>
        </w:tc>
        <w:tc>
          <w:tcPr>
            <w:tcW w:w="629" w:type="pct"/>
            <w:tcBorders>
              <w:top w:val="single" w:color="auto" w:sz="4" w:space="0"/>
              <w:left w:val="nil"/>
              <w:bottom w:val="single" w:color="auto" w:sz="4" w:space="0"/>
              <w:right w:val="single" w:color="auto" w:sz="4" w:space="0"/>
            </w:tcBorders>
            <w:vAlign w:val="center"/>
          </w:tcPr>
          <w:p>
            <w:pPr>
              <w:widowControl w:val="0"/>
              <w:spacing w:line="600" w:lineRule="exact"/>
              <w:ind w:firstLine="0" w:firstLineChars="0"/>
              <w:jc w:val="center"/>
              <w:rPr>
                <w:sz w:val="24"/>
              </w:rPr>
            </w:pPr>
            <w:r>
              <w:rPr>
                <w:rFonts w:hint="eastAsia" w:asciiTheme="minorEastAsia" w:hAnsiTheme="minorEastAsia"/>
                <w:sz w:val="24"/>
                <w:szCs w:val="24"/>
                <w:lang w:val="en-US" w:eastAsia="zh-CN"/>
              </w:rPr>
              <w:t>518063</w:t>
            </w:r>
          </w:p>
        </w:tc>
        <w:tc>
          <w:tcPr>
            <w:tcW w:w="1075" w:type="pct"/>
            <w:vMerge w:val="continue"/>
            <w:tcBorders>
              <w:top w:val="nil"/>
              <w:left w:val="nil"/>
              <w:bottom w:val="single" w:color="auto" w:sz="4" w:space="0"/>
              <w:right w:val="single" w:color="auto" w:sz="4" w:space="0"/>
            </w:tcBorders>
          </w:tcPr>
          <w:p>
            <w:pPr>
              <w:widowControl w:val="0"/>
              <w:spacing w:line="240" w:lineRule="auto"/>
              <w:ind w:firstLine="0" w:firstLineChars="0"/>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trPr>
        <w:tc>
          <w:tcPr>
            <w:tcW w:w="587" w:type="pct"/>
            <w:vMerge w:val="continue"/>
            <w:tcBorders>
              <w:top w:val="nil"/>
              <w:left w:val="single" w:color="auto" w:sz="4" w:space="0"/>
              <w:bottom w:val="single" w:color="auto" w:sz="4" w:space="0"/>
              <w:right w:val="single" w:color="auto" w:sz="4" w:space="0"/>
            </w:tcBorders>
            <w:vAlign w:val="center"/>
          </w:tcPr>
          <w:p>
            <w:pPr>
              <w:widowControl w:val="0"/>
              <w:spacing w:line="240" w:lineRule="auto"/>
              <w:ind w:firstLine="0" w:firstLineChars="0"/>
              <w:rPr>
                <w:sz w:val="20"/>
                <w:szCs w:val="20"/>
              </w:rPr>
            </w:pPr>
          </w:p>
        </w:tc>
        <w:tc>
          <w:tcPr>
            <w:tcW w:w="858" w:type="pct"/>
            <w:tcBorders>
              <w:top w:val="single" w:color="auto" w:sz="4" w:space="0"/>
              <w:left w:val="nil"/>
              <w:bottom w:val="single" w:color="auto" w:sz="4" w:space="0"/>
              <w:right w:val="single" w:color="auto" w:sz="4" w:space="0"/>
            </w:tcBorders>
            <w:vAlign w:val="center"/>
          </w:tcPr>
          <w:p>
            <w:pPr>
              <w:widowControl w:val="0"/>
              <w:spacing w:line="600" w:lineRule="exact"/>
              <w:ind w:firstLine="0" w:firstLineChars="0"/>
              <w:jc w:val="center"/>
              <w:rPr>
                <w:sz w:val="24"/>
              </w:rPr>
            </w:pPr>
            <w:r>
              <w:rPr>
                <w:rFonts w:hint="eastAsia" w:ascii="宋体" w:hAnsi="宋体" w:cs="宋体"/>
                <w:sz w:val="24"/>
                <w:lang w:bidi="ar"/>
              </w:rPr>
              <w:t>电话</w:t>
            </w:r>
          </w:p>
        </w:tc>
        <w:tc>
          <w:tcPr>
            <w:tcW w:w="2142" w:type="dxa"/>
            <w:tcBorders>
              <w:top w:val="single" w:color="auto" w:sz="4" w:space="0"/>
              <w:left w:val="nil"/>
              <w:bottom w:val="single" w:color="auto" w:sz="4" w:space="0"/>
              <w:right w:val="single" w:color="auto" w:sz="4" w:space="0"/>
            </w:tcBorders>
            <w:vAlign w:val="center"/>
          </w:tcPr>
          <w:p>
            <w:pPr>
              <w:widowControl w:val="0"/>
              <w:spacing w:line="600" w:lineRule="exact"/>
              <w:ind w:firstLine="0" w:firstLineChars="0"/>
              <w:jc w:val="center"/>
              <w:rPr>
                <w:sz w:val="24"/>
              </w:rPr>
            </w:pPr>
            <w:r>
              <w:rPr>
                <w:rFonts w:hint="eastAsia" w:asciiTheme="minorEastAsia" w:hAnsiTheme="minorEastAsia"/>
                <w:sz w:val="24"/>
                <w:szCs w:val="24"/>
                <w:lang w:val="en-US" w:eastAsia="zh-CN"/>
              </w:rPr>
              <w:t>0755-86531060</w:t>
            </w:r>
          </w:p>
        </w:tc>
        <w:tc>
          <w:tcPr>
            <w:tcW w:w="855" w:type="dxa"/>
            <w:gridSpan w:val="2"/>
            <w:tcBorders>
              <w:top w:val="single" w:color="auto" w:sz="4" w:space="0"/>
              <w:left w:val="nil"/>
              <w:bottom w:val="nil"/>
              <w:right w:val="single" w:color="auto" w:sz="4" w:space="0"/>
            </w:tcBorders>
            <w:vAlign w:val="center"/>
          </w:tcPr>
          <w:p>
            <w:pPr>
              <w:widowControl w:val="0"/>
              <w:spacing w:line="600" w:lineRule="exact"/>
              <w:ind w:firstLine="0" w:firstLineChars="0"/>
              <w:jc w:val="center"/>
              <w:rPr>
                <w:sz w:val="24"/>
              </w:rPr>
            </w:pPr>
            <w:r>
              <w:rPr>
                <w:rFonts w:hint="eastAsia" w:ascii="宋体" w:hAnsi="宋体" w:cs="宋体"/>
                <w:sz w:val="24"/>
                <w:highlight w:val="none"/>
                <w:lang w:bidi="ar"/>
              </w:rPr>
              <w:t>邮箱</w:t>
            </w:r>
          </w:p>
        </w:tc>
        <w:tc>
          <w:tcPr>
            <w:tcW w:w="2072" w:type="dxa"/>
            <w:gridSpan w:val="3"/>
            <w:tcBorders>
              <w:top w:val="single" w:color="auto" w:sz="4" w:space="0"/>
              <w:left w:val="nil"/>
              <w:bottom w:val="single" w:color="auto" w:sz="4" w:space="0"/>
              <w:right w:val="single" w:color="auto" w:sz="4" w:space="0"/>
            </w:tcBorders>
            <w:vAlign w:val="center"/>
          </w:tcPr>
          <w:p>
            <w:pPr>
              <w:widowControl w:val="0"/>
              <w:spacing w:line="600" w:lineRule="exact"/>
              <w:ind w:firstLine="0" w:firstLineChars="0"/>
              <w:jc w:val="center"/>
              <w:rPr>
                <w:sz w:val="24"/>
              </w:rPr>
            </w:pPr>
            <w:r>
              <w:rPr>
                <w:rFonts w:hint="eastAsia" w:asciiTheme="minorEastAsia" w:hAnsiTheme="minorEastAsia"/>
                <w:sz w:val="24"/>
                <w:szCs w:val="24"/>
              </w:rPr>
              <w:t>6459187@</w:t>
            </w:r>
            <w:r>
              <w:rPr>
                <w:rFonts w:hint="eastAsia" w:asciiTheme="minorEastAsia" w:hAnsiTheme="minorEastAsia"/>
                <w:sz w:val="24"/>
                <w:szCs w:val="24"/>
                <w:lang w:val="en-US" w:eastAsia="zh-CN"/>
              </w:rPr>
              <w:t>qq</w:t>
            </w:r>
            <w:r>
              <w:rPr>
                <w:rFonts w:hint="eastAsia" w:asciiTheme="minorEastAsia" w:hAnsiTheme="minorEastAsia"/>
                <w:sz w:val="24"/>
                <w:szCs w:val="24"/>
              </w:rPr>
              <w:t>.com</w:t>
            </w:r>
          </w:p>
        </w:tc>
        <w:tc>
          <w:tcPr>
            <w:tcW w:w="1075" w:type="pct"/>
            <w:vMerge w:val="continue"/>
            <w:tcBorders>
              <w:top w:val="nil"/>
              <w:left w:val="nil"/>
              <w:bottom w:val="single" w:color="auto" w:sz="4" w:space="0"/>
              <w:right w:val="single" w:color="auto" w:sz="4" w:space="0"/>
            </w:tcBorders>
          </w:tcPr>
          <w:p>
            <w:pPr>
              <w:widowControl w:val="0"/>
              <w:spacing w:line="240" w:lineRule="auto"/>
              <w:ind w:firstLine="0" w:firstLineChars="0"/>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trPr>
        <w:tc>
          <w:tcPr>
            <w:tcW w:w="587" w:type="pct"/>
            <w:vMerge w:val="continue"/>
            <w:tcBorders>
              <w:top w:val="nil"/>
              <w:left w:val="single" w:color="auto" w:sz="4" w:space="0"/>
              <w:bottom w:val="single" w:color="auto" w:sz="4" w:space="0"/>
              <w:right w:val="single" w:color="auto" w:sz="4" w:space="0"/>
            </w:tcBorders>
            <w:vAlign w:val="center"/>
          </w:tcPr>
          <w:p>
            <w:pPr>
              <w:widowControl w:val="0"/>
              <w:spacing w:line="240" w:lineRule="auto"/>
              <w:ind w:firstLine="0" w:firstLineChars="0"/>
              <w:rPr>
                <w:sz w:val="20"/>
                <w:szCs w:val="20"/>
              </w:rPr>
            </w:pPr>
          </w:p>
        </w:tc>
        <w:tc>
          <w:tcPr>
            <w:tcW w:w="858" w:type="pct"/>
            <w:tcBorders>
              <w:top w:val="single" w:color="auto" w:sz="4" w:space="0"/>
              <w:left w:val="nil"/>
              <w:bottom w:val="single" w:color="auto" w:sz="4" w:space="0"/>
              <w:right w:val="single" w:color="auto" w:sz="4" w:space="0"/>
            </w:tcBorders>
            <w:vAlign w:val="center"/>
          </w:tcPr>
          <w:p>
            <w:pPr>
              <w:widowControl w:val="0"/>
              <w:spacing w:line="600" w:lineRule="exact"/>
              <w:ind w:firstLine="0" w:firstLineChars="0"/>
              <w:jc w:val="center"/>
              <w:rPr>
                <w:sz w:val="24"/>
              </w:rPr>
            </w:pPr>
            <w:r>
              <w:rPr>
                <w:rFonts w:hint="eastAsia" w:ascii="宋体" w:hAnsi="宋体" w:cs="宋体"/>
                <w:sz w:val="24"/>
                <w:lang w:bidi="ar"/>
              </w:rPr>
              <w:t>开户银行</w:t>
            </w:r>
          </w:p>
        </w:tc>
        <w:tc>
          <w:tcPr>
            <w:tcW w:w="5069" w:type="dxa"/>
            <w:gridSpan w:val="6"/>
            <w:tcBorders>
              <w:top w:val="single" w:color="auto" w:sz="4" w:space="0"/>
              <w:left w:val="nil"/>
              <w:bottom w:val="single" w:color="auto" w:sz="4" w:space="0"/>
              <w:right w:val="single" w:color="auto" w:sz="4" w:space="0"/>
            </w:tcBorders>
            <w:vAlign w:val="center"/>
          </w:tcPr>
          <w:p>
            <w:pPr>
              <w:widowControl w:val="0"/>
              <w:spacing w:line="600" w:lineRule="exact"/>
              <w:ind w:firstLine="0" w:firstLineChars="0"/>
              <w:jc w:val="center"/>
              <w:rPr>
                <w:sz w:val="24"/>
              </w:rPr>
            </w:pPr>
            <w:r>
              <w:rPr>
                <w:rFonts w:hint="eastAsia" w:asciiTheme="minorEastAsia" w:hAnsiTheme="minorEastAsia"/>
                <w:sz w:val="24"/>
                <w:szCs w:val="24"/>
              </w:rPr>
              <w:t>招商银行深圳科技园支行</w:t>
            </w:r>
          </w:p>
        </w:tc>
        <w:tc>
          <w:tcPr>
            <w:tcW w:w="1075" w:type="pct"/>
            <w:vMerge w:val="continue"/>
            <w:tcBorders>
              <w:top w:val="nil"/>
              <w:left w:val="nil"/>
              <w:bottom w:val="single" w:color="auto" w:sz="4" w:space="0"/>
              <w:right w:val="single" w:color="auto" w:sz="4" w:space="0"/>
            </w:tcBorders>
          </w:tcPr>
          <w:p>
            <w:pPr>
              <w:widowControl w:val="0"/>
              <w:spacing w:line="240" w:lineRule="auto"/>
              <w:ind w:firstLine="0" w:firstLineChars="0"/>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0" w:hRule="atLeast"/>
        </w:trPr>
        <w:tc>
          <w:tcPr>
            <w:tcW w:w="587" w:type="pct"/>
            <w:vMerge w:val="continue"/>
            <w:tcBorders>
              <w:top w:val="nil"/>
              <w:left w:val="single" w:color="auto" w:sz="4" w:space="0"/>
              <w:bottom w:val="single" w:color="auto" w:sz="4" w:space="0"/>
              <w:right w:val="single" w:color="auto" w:sz="4" w:space="0"/>
            </w:tcBorders>
            <w:vAlign w:val="center"/>
          </w:tcPr>
          <w:p>
            <w:pPr>
              <w:widowControl w:val="0"/>
              <w:spacing w:line="240" w:lineRule="auto"/>
              <w:ind w:firstLine="0" w:firstLineChars="0"/>
              <w:rPr>
                <w:sz w:val="20"/>
                <w:szCs w:val="20"/>
              </w:rPr>
            </w:pPr>
          </w:p>
        </w:tc>
        <w:tc>
          <w:tcPr>
            <w:tcW w:w="858" w:type="pct"/>
            <w:tcBorders>
              <w:top w:val="single" w:color="auto" w:sz="4" w:space="0"/>
              <w:left w:val="nil"/>
              <w:bottom w:val="single" w:color="auto" w:sz="4" w:space="0"/>
              <w:right w:val="single" w:color="auto" w:sz="4" w:space="0"/>
            </w:tcBorders>
            <w:vAlign w:val="center"/>
          </w:tcPr>
          <w:p>
            <w:pPr>
              <w:widowControl w:val="0"/>
              <w:spacing w:line="600" w:lineRule="exact"/>
              <w:ind w:firstLine="0" w:firstLineChars="0"/>
              <w:jc w:val="center"/>
              <w:rPr>
                <w:sz w:val="24"/>
              </w:rPr>
            </w:pPr>
            <w:r>
              <w:rPr>
                <w:rFonts w:hint="eastAsia" w:ascii="宋体" w:hAnsi="宋体" w:cs="宋体"/>
                <w:sz w:val="24"/>
                <w:lang w:bidi="ar"/>
              </w:rPr>
              <w:t>帐　　号</w:t>
            </w:r>
          </w:p>
        </w:tc>
        <w:tc>
          <w:tcPr>
            <w:tcW w:w="5069" w:type="dxa"/>
            <w:gridSpan w:val="6"/>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sz w:val="24"/>
              </w:rPr>
            </w:pPr>
            <w:r>
              <w:rPr>
                <w:rFonts w:hint="eastAsia" w:asciiTheme="minorEastAsia" w:hAnsiTheme="minorEastAsia"/>
                <w:sz w:val="24"/>
                <w:szCs w:val="24"/>
              </w:rPr>
              <w:t>7559 3166 8210 301</w:t>
            </w:r>
          </w:p>
        </w:tc>
        <w:tc>
          <w:tcPr>
            <w:tcW w:w="1075" w:type="pct"/>
            <w:vMerge w:val="continue"/>
            <w:tcBorders>
              <w:top w:val="nil"/>
              <w:left w:val="nil"/>
              <w:bottom w:val="single" w:color="auto" w:sz="4" w:space="0"/>
              <w:right w:val="single" w:color="auto" w:sz="4" w:space="0"/>
            </w:tcBorders>
          </w:tcPr>
          <w:p>
            <w:pPr>
              <w:widowControl w:val="0"/>
              <w:spacing w:line="240" w:lineRule="auto"/>
              <w:ind w:firstLine="0" w:firstLineChars="0"/>
              <w:rPr>
                <w:sz w:val="20"/>
                <w:szCs w:val="20"/>
              </w:rPr>
            </w:pPr>
          </w:p>
        </w:tc>
      </w:tr>
    </w:tbl>
    <w:p>
      <w:pPr>
        <w:widowControl/>
        <w:overflowPunct w:val="0"/>
        <w:autoSpaceDE w:val="0"/>
        <w:autoSpaceDN w:val="0"/>
        <w:adjustRightInd w:val="0"/>
        <w:spacing w:line="380" w:lineRule="exact"/>
        <w:jc w:val="left"/>
        <w:textAlignment w:val="baseline"/>
        <w:rPr>
          <w:rFonts w:ascii="宋体" w:hAnsi="宋体" w:cs="Tahoma"/>
          <w:kern w:val="0"/>
          <w:sz w:val="24"/>
        </w:rPr>
      </w:pPr>
    </w:p>
    <w:p>
      <w:pPr>
        <w:pStyle w:val="20"/>
        <w:snapToGrid w:val="0"/>
        <w:spacing w:line="360" w:lineRule="auto"/>
        <w:ind w:left="420" w:leftChars="200" w:right="1470"/>
      </w:pPr>
    </w:p>
    <w:p>
      <w:pPr>
        <w:pStyle w:val="28"/>
      </w:pPr>
      <w:bookmarkStart w:id="24" w:name="_Toc509846376"/>
      <w:bookmarkStart w:id="25" w:name="_Toc499739919"/>
      <w:bookmarkStart w:id="26" w:name="_Toc94196212"/>
      <w:r>
        <w:rPr>
          <w:rFonts w:hint="eastAsia"/>
        </w:rPr>
        <w:t>廉政合同</w:t>
      </w:r>
      <w:bookmarkEnd w:id="24"/>
      <w:bookmarkEnd w:id="25"/>
      <w:bookmarkEnd w:id="26"/>
    </w:p>
    <w:p>
      <w:pPr>
        <w:spacing w:line="360" w:lineRule="auto"/>
        <w:ind w:left="480" w:right="284"/>
        <w:jc w:val="center"/>
        <w:rPr>
          <w:rFonts w:ascii="宋体" w:hAnsi="宋体"/>
          <w:sz w:val="44"/>
          <w:szCs w:val="44"/>
        </w:rPr>
      </w:pPr>
      <w:r>
        <w:rPr>
          <w:rFonts w:hint="eastAsia" w:ascii="宋体" w:hAnsi="宋体"/>
          <w:sz w:val="44"/>
          <w:szCs w:val="44"/>
        </w:rPr>
        <w:t>廉政合同</w:t>
      </w:r>
    </w:p>
    <w:p>
      <w:pPr>
        <w:spacing w:before="156" w:beforeLines="50" w:after="156" w:afterLines="50" w:line="360" w:lineRule="auto"/>
        <w:rPr>
          <w:rFonts w:ascii="宋体" w:hAnsi="宋体"/>
          <w:sz w:val="24"/>
        </w:rPr>
      </w:pPr>
      <w:r>
        <w:rPr>
          <w:rFonts w:hint="eastAsia" w:ascii="宋体" w:hAnsi="宋体"/>
        </w:rPr>
        <w:t>甲方：</w:t>
      </w:r>
      <w:r>
        <w:rPr>
          <w:rFonts w:hint="eastAsia" w:ascii="宋体" w:hAnsi="宋体"/>
          <w:lang w:val="en-US" w:eastAsia="zh-CN"/>
        </w:rPr>
        <w:t>桂林市深能环保有限</w:t>
      </w:r>
      <w:r>
        <w:rPr>
          <w:rFonts w:hint="eastAsia" w:ascii="宋体" w:hAnsi="宋体"/>
        </w:rPr>
        <w:t>公司</w:t>
      </w:r>
    </w:p>
    <w:p>
      <w:pPr>
        <w:spacing w:before="156" w:beforeLines="50" w:after="156" w:afterLines="50" w:line="360" w:lineRule="auto"/>
        <w:rPr>
          <w:rFonts w:ascii="宋体" w:hAnsi="宋体"/>
        </w:rPr>
      </w:pPr>
      <w:r>
        <w:rPr>
          <w:rFonts w:hint="eastAsia" w:ascii="宋体" w:hAnsi="宋体"/>
        </w:rPr>
        <w:t>乙方：</w:t>
      </w:r>
      <w:r>
        <w:rPr>
          <w:rFonts w:hint="eastAsia" w:ascii="宋体" w:hAnsi="宋体"/>
          <w:bCs/>
          <w:sz w:val="24"/>
        </w:rPr>
        <w:t>深圳市航天新材科技有限公司</w:t>
      </w:r>
    </w:p>
    <w:p>
      <w:pPr>
        <w:adjustRightInd w:val="0"/>
        <w:snapToGrid w:val="0"/>
        <w:spacing w:line="360" w:lineRule="auto"/>
        <w:ind w:firstLine="472" w:firstLineChars="225"/>
        <w:rPr>
          <w:rFonts w:ascii="宋体" w:hAnsi="宋体"/>
        </w:rPr>
      </w:pPr>
      <w:r>
        <w:rPr>
          <w:rFonts w:hint="eastAsia" w:ascii="宋体" w:hAnsi="宋体"/>
        </w:rPr>
        <w:t>为促进企业廉政建设，加强项目管理，经甲乙双方平等协商，同意共同遵守以下约定：</w:t>
      </w:r>
    </w:p>
    <w:p>
      <w:pPr>
        <w:numPr>
          <w:ilvl w:val="2"/>
          <w:numId w:val="28"/>
        </w:numPr>
        <w:tabs>
          <w:tab w:val="left" w:pos="900"/>
          <w:tab w:val="clear" w:pos="1560"/>
        </w:tabs>
        <w:adjustRightInd w:val="0"/>
        <w:snapToGrid w:val="0"/>
        <w:spacing w:line="360" w:lineRule="auto"/>
        <w:ind w:left="900" w:hanging="900"/>
        <w:rPr>
          <w:rFonts w:ascii="宋体" w:hAnsi="宋体"/>
        </w:rPr>
      </w:pPr>
      <w:r>
        <w:rPr>
          <w:rFonts w:hint="eastAsia" w:ascii="宋体" w:hAnsi="宋体"/>
        </w:rPr>
        <w:t>项目名称：</w:t>
      </w:r>
      <w:r>
        <w:rPr>
          <w:rFonts w:hint="eastAsia" w:ascii="宋体" w:hAnsi="宋体"/>
          <w:lang w:val="en-US" w:eastAsia="zh-CN"/>
        </w:rPr>
        <w:t>桂林市深能环保有限</w:t>
      </w:r>
      <w:r>
        <w:rPr>
          <w:rFonts w:hint="eastAsia" w:ascii="宋体" w:hAnsi="宋体"/>
        </w:rPr>
        <w:t>公司</w:t>
      </w:r>
      <w:r>
        <w:rPr>
          <w:rFonts w:hint="eastAsia" w:ascii="宋体" w:hAnsi="宋体"/>
          <w:lang w:eastAsia="zh-CN"/>
        </w:rPr>
        <w:t>2026年</w:t>
      </w:r>
      <w:r>
        <w:rPr>
          <w:rFonts w:hint="eastAsia" w:ascii="宋体" w:hAnsi="宋体"/>
        </w:rPr>
        <w:t xml:space="preserve">飞灰稳定化处理采购  </w:t>
      </w:r>
    </w:p>
    <w:p>
      <w:pPr>
        <w:numPr>
          <w:ilvl w:val="2"/>
          <w:numId w:val="28"/>
        </w:numPr>
        <w:tabs>
          <w:tab w:val="left" w:pos="900"/>
          <w:tab w:val="clear" w:pos="1560"/>
        </w:tabs>
        <w:adjustRightInd w:val="0"/>
        <w:snapToGrid w:val="0"/>
        <w:spacing w:line="360" w:lineRule="auto"/>
        <w:ind w:left="900" w:hanging="900"/>
        <w:rPr>
          <w:rFonts w:ascii="宋体" w:hAnsi="宋体"/>
        </w:rPr>
      </w:pPr>
      <w:r>
        <w:rPr>
          <w:rFonts w:hint="eastAsia" w:ascii="宋体" w:hAnsi="宋体"/>
        </w:rPr>
        <w:t>编号</w:t>
      </w:r>
    </w:p>
    <w:p>
      <w:pPr>
        <w:numPr>
          <w:ilvl w:val="2"/>
          <w:numId w:val="28"/>
        </w:numPr>
        <w:tabs>
          <w:tab w:val="left" w:pos="900"/>
          <w:tab w:val="clear" w:pos="1560"/>
        </w:tabs>
        <w:adjustRightInd w:val="0"/>
        <w:snapToGrid w:val="0"/>
        <w:spacing w:line="360" w:lineRule="auto"/>
        <w:ind w:left="900" w:hanging="900"/>
        <w:rPr>
          <w:rFonts w:ascii="宋体" w:hAnsi="宋体"/>
        </w:rPr>
      </w:pPr>
      <w:r>
        <w:rPr>
          <w:rFonts w:hint="eastAsia" w:ascii="宋体" w:hAnsi="宋体"/>
        </w:rPr>
        <w:t>甲乙双方应遵守的廉政守则</w:t>
      </w:r>
    </w:p>
    <w:p>
      <w:pPr>
        <w:numPr>
          <w:ilvl w:val="3"/>
          <w:numId w:val="28"/>
        </w:numPr>
        <w:tabs>
          <w:tab w:val="left" w:pos="900"/>
        </w:tabs>
        <w:adjustRightInd w:val="0"/>
        <w:snapToGrid w:val="0"/>
        <w:spacing w:line="360" w:lineRule="auto"/>
        <w:rPr>
          <w:rFonts w:ascii="宋体" w:hAnsi="宋体"/>
        </w:rPr>
      </w:pPr>
      <w:r>
        <w:rPr>
          <w:rFonts w:hint="eastAsia" w:ascii="宋体" w:hAnsi="宋体"/>
        </w:rPr>
        <w:t>甲方工作人员不准从事下列行为</w:t>
      </w:r>
    </w:p>
    <w:p>
      <w:pPr>
        <w:numPr>
          <w:ilvl w:val="0"/>
          <w:numId w:val="29"/>
        </w:numPr>
        <w:tabs>
          <w:tab w:val="left" w:pos="900"/>
          <w:tab w:val="clear" w:pos="1134"/>
        </w:tabs>
        <w:adjustRightInd w:val="0"/>
        <w:snapToGrid w:val="0"/>
        <w:spacing w:line="360" w:lineRule="auto"/>
        <w:ind w:left="900" w:hanging="900"/>
        <w:rPr>
          <w:rFonts w:ascii="宋体" w:hAnsi="宋体"/>
        </w:rPr>
      </w:pPr>
      <w:r>
        <w:rPr>
          <w:rFonts w:hint="eastAsia" w:ascii="宋体" w:hAnsi="宋体"/>
        </w:rPr>
        <w:t>利用职务上的便利，向乙方泄露甲方的项目机密，或从事与项目有关的中介活动，向乙方收取好处费或中介费。</w:t>
      </w:r>
    </w:p>
    <w:p>
      <w:pPr>
        <w:numPr>
          <w:ilvl w:val="0"/>
          <w:numId w:val="29"/>
        </w:numPr>
        <w:tabs>
          <w:tab w:val="left" w:pos="900"/>
          <w:tab w:val="clear" w:pos="1134"/>
        </w:tabs>
        <w:adjustRightInd w:val="0"/>
        <w:snapToGrid w:val="0"/>
        <w:spacing w:line="360" w:lineRule="auto"/>
        <w:ind w:left="900" w:hanging="900"/>
        <w:rPr>
          <w:rFonts w:ascii="宋体" w:hAnsi="宋体"/>
        </w:rPr>
      </w:pPr>
      <w:r>
        <w:rPr>
          <w:rFonts w:hint="eastAsia" w:ascii="宋体" w:hAnsi="宋体"/>
        </w:rPr>
        <w:t>利用职务上的便利，挪用、拆借项目资金给乙方，或无偿向乙方提供合同范围外的物资，或在招标过程、项目管理、项目结算等方面以损害甲方利益为代价，从乙方谋取不正当利益。</w:t>
      </w:r>
    </w:p>
    <w:p>
      <w:pPr>
        <w:numPr>
          <w:ilvl w:val="0"/>
          <w:numId w:val="29"/>
        </w:numPr>
        <w:tabs>
          <w:tab w:val="left" w:pos="900"/>
          <w:tab w:val="clear" w:pos="1134"/>
        </w:tabs>
        <w:adjustRightInd w:val="0"/>
        <w:snapToGrid w:val="0"/>
        <w:spacing w:line="360" w:lineRule="auto"/>
        <w:ind w:left="900" w:hanging="900"/>
        <w:rPr>
          <w:rFonts w:ascii="宋体" w:hAnsi="宋体"/>
        </w:rPr>
      </w:pPr>
      <w:r>
        <w:rPr>
          <w:rFonts w:hint="eastAsia" w:ascii="宋体" w:hAnsi="宋体"/>
        </w:rPr>
        <w:t>在招标投标、项目管理、办理价款结算和支付的过程中，人为设置障碍，索要和收受乙方赠送的现金、股票、股权、各种有价证券、支付凭证或贵重物品等。</w:t>
      </w:r>
    </w:p>
    <w:p>
      <w:pPr>
        <w:numPr>
          <w:ilvl w:val="0"/>
          <w:numId w:val="29"/>
        </w:numPr>
        <w:tabs>
          <w:tab w:val="left" w:pos="900"/>
          <w:tab w:val="clear" w:pos="1134"/>
        </w:tabs>
        <w:adjustRightInd w:val="0"/>
        <w:snapToGrid w:val="0"/>
        <w:spacing w:line="360" w:lineRule="auto"/>
        <w:ind w:left="900" w:hanging="900"/>
        <w:rPr>
          <w:rFonts w:ascii="宋体" w:hAnsi="宋体"/>
        </w:rPr>
      </w:pPr>
      <w:r>
        <w:rPr>
          <w:rFonts w:hint="eastAsia" w:ascii="宋体" w:hAnsi="宋体"/>
        </w:rPr>
        <w:t>接受乙方发出的旅游、健身、娱乐活动等邀请以及可能影响公务的宴请。</w:t>
      </w:r>
    </w:p>
    <w:p>
      <w:pPr>
        <w:numPr>
          <w:ilvl w:val="3"/>
          <w:numId w:val="28"/>
        </w:numPr>
        <w:tabs>
          <w:tab w:val="left" w:pos="900"/>
        </w:tabs>
        <w:adjustRightInd w:val="0"/>
        <w:snapToGrid w:val="0"/>
        <w:spacing w:line="360" w:lineRule="auto"/>
        <w:rPr>
          <w:rFonts w:ascii="宋体" w:hAnsi="宋体"/>
        </w:rPr>
      </w:pPr>
      <w:r>
        <w:rPr>
          <w:rFonts w:hint="eastAsia" w:ascii="宋体" w:hAnsi="宋体"/>
        </w:rPr>
        <w:t>乙方工作人员不准从事下列行为</w:t>
      </w:r>
    </w:p>
    <w:p>
      <w:pPr>
        <w:numPr>
          <w:ilvl w:val="4"/>
          <w:numId w:val="28"/>
        </w:numPr>
        <w:tabs>
          <w:tab w:val="left" w:pos="900"/>
          <w:tab w:val="clear" w:pos="1134"/>
        </w:tabs>
        <w:adjustRightInd w:val="0"/>
        <w:snapToGrid w:val="0"/>
        <w:spacing w:line="360" w:lineRule="auto"/>
        <w:ind w:left="900" w:hanging="900"/>
        <w:rPr>
          <w:rFonts w:ascii="宋体" w:hAnsi="宋体"/>
        </w:rPr>
      </w:pPr>
      <w:r>
        <w:rPr>
          <w:rFonts w:hint="eastAsia" w:ascii="宋体" w:hAnsi="宋体"/>
        </w:rPr>
        <w:t>以任何理由，向甲方工作人员赠送现金、股票、股权、各种有价证券、支付凭证或贵重物品等。</w:t>
      </w:r>
    </w:p>
    <w:p>
      <w:pPr>
        <w:numPr>
          <w:ilvl w:val="4"/>
          <w:numId w:val="28"/>
        </w:numPr>
        <w:tabs>
          <w:tab w:val="left" w:pos="900"/>
          <w:tab w:val="clear" w:pos="1134"/>
        </w:tabs>
        <w:adjustRightInd w:val="0"/>
        <w:snapToGrid w:val="0"/>
        <w:spacing w:line="360" w:lineRule="auto"/>
        <w:ind w:left="900" w:hanging="900"/>
        <w:rPr>
          <w:rFonts w:ascii="宋体" w:hAnsi="宋体"/>
        </w:rPr>
      </w:pPr>
      <w:r>
        <w:rPr>
          <w:rFonts w:hint="eastAsia" w:ascii="宋体" w:hAnsi="宋体"/>
        </w:rPr>
        <w:t>以任何理由，向甲方工作人员发出旅游、健身、娱乐活动等邀请以及可能影响公务的宴请。</w:t>
      </w:r>
    </w:p>
    <w:p>
      <w:pPr>
        <w:numPr>
          <w:ilvl w:val="4"/>
          <w:numId w:val="28"/>
        </w:numPr>
        <w:tabs>
          <w:tab w:val="left" w:pos="900"/>
          <w:tab w:val="clear" w:pos="1134"/>
        </w:tabs>
        <w:adjustRightInd w:val="0"/>
        <w:snapToGrid w:val="0"/>
        <w:spacing w:line="360" w:lineRule="auto"/>
        <w:ind w:left="900" w:hanging="900"/>
        <w:rPr>
          <w:rFonts w:ascii="宋体" w:hAnsi="宋体"/>
        </w:rPr>
      </w:pPr>
      <w:r>
        <w:rPr>
          <w:rFonts w:hint="eastAsia" w:ascii="宋体" w:hAnsi="宋体"/>
        </w:rPr>
        <w:t>有不正当竞争、串通投标等违法违规行为。</w:t>
      </w:r>
    </w:p>
    <w:p>
      <w:pPr>
        <w:numPr>
          <w:ilvl w:val="2"/>
          <w:numId w:val="28"/>
        </w:numPr>
        <w:tabs>
          <w:tab w:val="left" w:pos="900"/>
          <w:tab w:val="clear" w:pos="1560"/>
        </w:tabs>
        <w:adjustRightInd w:val="0"/>
        <w:snapToGrid w:val="0"/>
        <w:spacing w:line="360" w:lineRule="auto"/>
        <w:ind w:left="900" w:hanging="900"/>
        <w:rPr>
          <w:rFonts w:ascii="宋体" w:hAnsi="宋体"/>
        </w:rPr>
      </w:pPr>
      <w:r>
        <w:rPr>
          <w:rFonts w:hint="eastAsia" w:ascii="宋体" w:hAnsi="宋体"/>
        </w:rPr>
        <w:t>监督与追究</w:t>
      </w:r>
    </w:p>
    <w:p>
      <w:pPr>
        <w:numPr>
          <w:ilvl w:val="5"/>
          <w:numId w:val="28"/>
        </w:numPr>
        <w:tabs>
          <w:tab w:val="left" w:pos="900"/>
          <w:tab w:val="clear" w:pos="3234"/>
        </w:tabs>
        <w:adjustRightInd w:val="0"/>
        <w:snapToGrid w:val="0"/>
        <w:spacing w:line="360" w:lineRule="auto"/>
        <w:ind w:left="900" w:hanging="900"/>
        <w:rPr>
          <w:rFonts w:ascii="宋体" w:hAnsi="宋体"/>
        </w:rPr>
      </w:pPr>
      <w:r>
        <w:rPr>
          <w:rFonts w:hint="eastAsia" w:ascii="宋体" w:hAnsi="宋体"/>
        </w:rPr>
        <w:t>甲方工作人员违反上述廉政守则，甲方将按照有关规定做出处理。</w:t>
      </w:r>
    </w:p>
    <w:p>
      <w:pPr>
        <w:numPr>
          <w:ilvl w:val="5"/>
          <w:numId w:val="28"/>
        </w:numPr>
        <w:tabs>
          <w:tab w:val="left" w:pos="900"/>
          <w:tab w:val="clear" w:pos="3234"/>
        </w:tabs>
        <w:adjustRightInd w:val="0"/>
        <w:snapToGrid w:val="0"/>
        <w:spacing w:line="360" w:lineRule="auto"/>
        <w:ind w:left="900" w:hanging="900"/>
        <w:rPr>
          <w:rFonts w:ascii="宋体" w:hAnsi="宋体"/>
        </w:rPr>
      </w:pPr>
      <w:r>
        <w:rPr>
          <w:rFonts w:hint="eastAsia" w:ascii="宋体" w:hAnsi="宋体"/>
        </w:rPr>
        <w:t>甲方工作人员违反上述3.1.3规定，乙方有权保护自己的合法权益，向甲方的监督部门举报，甲方将按规定给予办理，办理情况及时通报乙方。</w:t>
      </w:r>
    </w:p>
    <w:p>
      <w:pPr>
        <w:numPr>
          <w:ilvl w:val="5"/>
          <w:numId w:val="28"/>
        </w:numPr>
        <w:tabs>
          <w:tab w:val="left" w:pos="900"/>
          <w:tab w:val="clear" w:pos="3234"/>
        </w:tabs>
        <w:adjustRightInd w:val="0"/>
        <w:snapToGrid w:val="0"/>
        <w:spacing w:line="360" w:lineRule="auto"/>
        <w:ind w:left="900" w:hanging="900"/>
        <w:rPr>
          <w:rFonts w:ascii="宋体" w:hAnsi="宋体"/>
        </w:rPr>
      </w:pPr>
      <w:r>
        <w:rPr>
          <w:rFonts w:hint="eastAsia" w:ascii="宋体" w:hAnsi="宋体"/>
        </w:rPr>
        <w:t>甲方工作人员被查出违反上述廉政守则，以任何理由收受乙方所赠钱物，甲方除按规定给予违纪人员处理外，还将对乙方进行追究。</w:t>
      </w:r>
    </w:p>
    <w:p>
      <w:pPr>
        <w:numPr>
          <w:ilvl w:val="5"/>
          <w:numId w:val="28"/>
        </w:numPr>
        <w:tabs>
          <w:tab w:val="left" w:pos="900"/>
          <w:tab w:val="clear" w:pos="3234"/>
        </w:tabs>
        <w:adjustRightInd w:val="0"/>
        <w:snapToGrid w:val="0"/>
        <w:spacing w:line="360" w:lineRule="auto"/>
        <w:ind w:left="900" w:hanging="900"/>
        <w:rPr>
          <w:rFonts w:ascii="宋体" w:hAnsi="宋体"/>
        </w:rPr>
      </w:pPr>
      <w:r>
        <w:rPr>
          <w:rFonts w:hint="eastAsia" w:ascii="宋体" w:hAnsi="宋体"/>
        </w:rPr>
        <w:t>不论何种原因，乙方如发生上述违反廉政守则的行为，甲方将记录在案，并可能因此取消乙方继续参与本项目投标或承包本项目的资格。并有权拒绝乙方参加集团其他项目的投标。</w:t>
      </w:r>
    </w:p>
    <w:p>
      <w:pPr>
        <w:numPr>
          <w:ilvl w:val="2"/>
          <w:numId w:val="28"/>
        </w:numPr>
        <w:tabs>
          <w:tab w:val="left" w:pos="900"/>
          <w:tab w:val="clear" w:pos="1560"/>
        </w:tabs>
        <w:adjustRightInd w:val="0"/>
        <w:snapToGrid w:val="0"/>
        <w:spacing w:line="360" w:lineRule="auto"/>
        <w:ind w:left="900" w:hanging="900"/>
        <w:rPr>
          <w:rFonts w:ascii="宋体" w:hAnsi="宋体"/>
        </w:rPr>
      </w:pPr>
      <w:r>
        <w:rPr>
          <w:rFonts w:hint="eastAsia" w:ascii="宋体" w:hAnsi="宋体"/>
        </w:rPr>
        <w:t>其他</w:t>
      </w:r>
    </w:p>
    <w:p>
      <w:pPr>
        <w:numPr>
          <w:ilvl w:val="6"/>
          <w:numId w:val="28"/>
        </w:numPr>
        <w:tabs>
          <w:tab w:val="left" w:pos="900"/>
          <w:tab w:val="clear" w:pos="3654"/>
        </w:tabs>
        <w:adjustRightInd w:val="0"/>
        <w:snapToGrid w:val="0"/>
        <w:spacing w:line="360" w:lineRule="auto"/>
        <w:ind w:left="900" w:hanging="900"/>
        <w:rPr>
          <w:rFonts w:ascii="宋体" w:hAnsi="宋体"/>
        </w:rPr>
      </w:pPr>
      <w:r>
        <w:rPr>
          <w:rFonts w:hint="eastAsia" w:ascii="宋体" w:hAnsi="宋体"/>
        </w:rPr>
        <w:t>本合同作为相关项目合同的附件，与相关项目合同具有同等的法律效力。</w:t>
      </w:r>
    </w:p>
    <w:p>
      <w:pPr>
        <w:numPr>
          <w:ilvl w:val="6"/>
          <w:numId w:val="28"/>
        </w:numPr>
        <w:tabs>
          <w:tab w:val="left" w:pos="900"/>
          <w:tab w:val="clear" w:pos="3654"/>
        </w:tabs>
        <w:adjustRightInd w:val="0"/>
        <w:snapToGrid w:val="0"/>
        <w:spacing w:line="360" w:lineRule="auto"/>
        <w:ind w:left="900" w:hanging="900"/>
      </w:pPr>
      <w:r>
        <w:rPr>
          <w:rFonts w:hint="eastAsia" w:ascii="宋体" w:hAnsi="宋体"/>
        </w:rPr>
        <w:t>本合同的时效与相关的项目合同相同，但项目合同失效后，甲乙双方仍发现对方有违反上述廉政守则行为时，甲乙双方均保留追溯对方的权利。</w:t>
      </w:r>
    </w:p>
    <w:p>
      <w:pPr>
        <w:pStyle w:val="3"/>
        <w:numPr>
          <w:ilvl w:val="0"/>
          <w:numId w:val="0"/>
        </w:numPr>
        <w:adjustRightInd/>
        <w:spacing w:line="416" w:lineRule="auto"/>
        <w:rPr>
          <w:rFonts w:hint="eastAsia" w:ascii="宋体" w:hAnsi="宋体" w:eastAsia="宋体" w:cs="宋体"/>
          <w:b/>
          <w:bCs w:val="0"/>
          <w:sz w:val="28"/>
          <w:szCs w:val="28"/>
          <w:lang w:val="en-US" w:eastAsia="zh-CN"/>
        </w:rPr>
      </w:pPr>
      <w:r>
        <w:rPr>
          <w:rFonts w:hint="eastAsia" w:ascii="宋体" w:hAnsi="宋体" w:eastAsia="宋体" w:cs="宋体"/>
          <w:b/>
          <w:bCs w:val="0"/>
          <w:sz w:val="28"/>
          <w:szCs w:val="28"/>
          <w:lang w:val="en-US" w:eastAsia="zh-CN"/>
        </w:rPr>
        <w:t xml:space="preserve">   </w:t>
      </w:r>
    </w:p>
    <w:p>
      <w:pPr>
        <w:pStyle w:val="3"/>
        <w:numPr>
          <w:ilvl w:val="0"/>
          <w:numId w:val="0"/>
        </w:numPr>
        <w:adjustRightInd/>
        <w:spacing w:line="416" w:lineRule="auto"/>
        <w:ind w:firstLine="281" w:firstLineChars="100"/>
        <w:rPr>
          <w:rFonts w:hint="eastAsia" w:ascii="宋体" w:hAnsi="宋体" w:eastAsia="宋体" w:cs="宋体"/>
          <w:b/>
          <w:bCs w:val="0"/>
          <w:sz w:val="28"/>
          <w:szCs w:val="28"/>
          <w:lang w:val="en-US" w:eastAsia="zh-CN"/>
        </w:rPr>
      </w:pPr>
      <w:r>
        <w:rPr>
          <w:rFonts w:hint="eastAsia" w:ascii="宋体" w:hAnsi="宋体" w:eastAsia="宋体" w:cs="宋体"/>
          <w:b/>
          <w:bCs w:val="0"/>
          <w:sz w:val="28"/>
          <w:szCs w:val="28"/>
          <w:lang w:val="en-US" w:eastAsia="zh-CN"/>
        </w:rPr>
        <w:t>甲方（盖章）：桂林市深能环保有限公司</w:t>
      </w:r>
    </w:p>
    <w:p>
      <w:pPr>
        <w:pStyle w:val="4"/>
        <w:ind w:firstLine="0" w:firstLineChars="0"/>
        <w:rPr>
          <w:rFonts w:hint="eastAsia" w:ascii="宋体" w:hAnsi="宋体" w:eastAsia="宋体" w:cs="宋体"/>
          <w:b/>
          <w:bCs w:val="0"/>
          <w:sz w:val="28"/>
          <w:szCs w:val="28"/>
          <w:lang w:val="en-US" w:eastAsia="zh-CN"/>
        </w:rPr>
      </w:pPr>
      <w:r>
        <w:rPr>
          <w:rFonts w:hint="eastAsia" w:ascii="宋体" w:hAnsi="宋体" w:eastAsia="宋体" w:cs="宋体"/>
          <w:b/>
          <w:bCs w:val="0"/>
          <w:sz w:val="28"/>
          <w:szCs w:val="28"/>
          <w:lang w:val="en-US" w:eastAsia="zh-CN"/>
        </w:rPr>
        <w:t xml:space="preserve">          年     月     日</w:t>
      </w:r>
    </w:p>
    <w:p>
      <w:pPr>
        <w:pStyle w:val="4"/>
        <w:ind w:firstLine="0" w:firstLineChars="0"/>
        <w:rPr>
          <w:rFonts w:hint="eastAsia" w:ascii="宋体" w:hAnsi="宋体" w:eastAsia="宋体" w:cs="宋体"/>
          <w:b/>
          <w:bCs w:val="0"/>
          <w:sz w:val="28"/>
          <w:szCs w:val="28"/>
          <w:lang w:val="en-US" w:eastAsia="zh-CN"/>
        </w:rPr>
      </w:pPr>
    </w:p>
    <w:p>
      <w:pPr>
        <w:pStyle w:val="4"/>
        <w:rPr>
          <w:rFonts w:hint="eastAsia" w:ascii="宋体" w:hAnsi="宋体" w:eastAsia="宋体" w:cs="宋体"/>
          <w:b/>
          <w:bCs w:val="0"/>
          <w:sz w:val="28"/>
          <w:szCs w:val="28"/>
          <w:lang w:val="en-US" w:eastAsia="zh-CN"/>
        </w:rPr>
      </w:pPr>
    </w:p>
    <w:p>
      <w:pPr>
        <w:pStyle w:val="4"/>
        <w:ind w:firstLine="420" w:firstLineChars="0"/>
        <w:rPr>
          <w:rFonts w:hint="eastAsia" w:ascii="宋体" w:hAnsi="宋体" w:eastAsia="宋体" w:cs="宋体"/>
          <w:b/>
          <w:bCs w:val="0"/>
          <w:sz w:val="28"/>
          <w:szCs w:val="28"/>
          <w:lang w:val="en-US" w:eastAsia="zh-CN"/>
        </w:rPr>
      </w:pPr>
      <w:r>
        <w:rPr>
          <w:rFonts w:hint="eastAsia" w:ascii="宋体" w:hAnsi="宋体" w:eastAsia="宋体" w:cs="宋体"/>
          <w:b/>
          <w:bCs w:val="0"/>
          <w:sz w:val="28"/>
          <w:szCs w:val="28"/>
          <w:lang w:val="en-US" w:eastAsia="zh-CN"/>
        </w:rPr>
        <w:t>乙方（盖章）：</w:t>
      </w:r>
      <w:r>
        <w:rPr>
          <w:rFonts w:hint="eastAsia" w:ascii="宋体" w:hAnsi="宋体" w:eastAsia="宋体" w:cs="宋体"/>
          <w:b/>
          <w:bCs w:val="0"/>
          <w:sz w:val="28"/>
          <w:szCs w:val="28"/>
        </w:rPr>
        <w:t>深圳市航天新材科技有限公司</w:t>
      </w:r>
    </w:p>
    <w:p>
      <w:pPr>
        <w:pStyle w:val="4"/>
        <w:ind w:firstLine="420" w:firstLineChars="0"/>
        <w:rPr>
          <w:rFonts w:hint="eastAsia" w:ascii="宋体" w:hAnsi="宋体" w:eastAsia="宋体" w:cs="宋体"/>
          <w:b/>
          <w:bCs w:val="0"/>
          <w:sz w:val="28"/>
          <w:szCs w:val="28"/>
          <w:lang w:val="en-US" w:eastAsia="zh-CN"/>
        </w:rPr>
      </w:pPr>
      <w:r>
        <w:rPr>
          <w:rFonts w:hint="eastAsia" w:ascii="宋体" w:hAnsi="宋体" w:eastAsia="宋体" w:cs="宋体"/>
          <w:b/>
          <w:bCs w:val="0"/>
          <w:sz w:val="28"/>
          <w:szCs w:val="28"/>
          <w:lang w:val="en-US" w:eastAsia="zh-CN"/>
        </w:rPr>
        <w:t xml:space="preserve">      年     月      日</w:t>
      </w:r>
    </w:p>
    <w:sectPr>
      <w:footerReference r:id="rId6" w:type="default"/>
      <w:pgSz w:w="11906" w:h="16838"/>
      <w:pgMar w:top="1134"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CG Times">
    <w:altName w:val="Times New Roman"/>
    <w:panose1 w:val="02020603050405020304"/>
    <w:charset w:val="00"/>
    <w:family w:val="roman"/>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x000B__x000C_">
    <w:altName w:val="Times New Roman"/>
    <w:panose1 w:val="00000000000000000000"/>
    <w:charset w:val="00"/>
    <w:family w:val="roman"/>
    <w:pitch w:val="default"/>
    <w:sig w:usb0="00000000" w:usb1="00000000" w:usb2="00000000" w:usb3="00000000" w:csb0="00040001" w:csb1="00000000"/>
  </w:font>
  <w:font w:name=".PingFang-SC-Thin">
    <w:altName w:val="宋体"/>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jc w:val="center"/>
    </w:pPr>
  </w:p>
  <w:p>
    <w:pPr>
      <w:pStyle w:val="2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65926148"/>
    </w:sdtPr>
    <w:sdtContent>
      <w:p>
        <w:pPr>
          <w:pStyle w:val="26"/>
          <w:jc w:val="center"/>
        </w:pPr>
        <w:r>
          <w:fldChar w:fldCharType="begin"/>
        </w:r>
        <w:r>
          <w:instrText xml:space="preserve">PAGE   \* MERGEFORMAT</w:instrText>
        </w:r>
        <w:r>
          <w:fldChar w:fldCharType="separate"/>
        </w:r>
        <w:r>
          <w:rPr>
            <w:lang w:val="zh-CN"/>
          </w:rPr>
          <w:t>19</w:t>
        </w:r>
        <w:r>
          <w:fldChar w:fldCharType="end"/>
        </w:r>
      </w:p>
    </w:sdtContent>
  </w:sdt>
  <w:p>
    <w:pPr>
      <w:pStyle w:val="2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4916056"/>
    </w:sdtPr>
    <w:sdtContent>
      <w:p>
        <w:pPr>
          <w:pStyle w:val="26"/>
          <w:jc w:val="center"/>
        </w:pPr>
        <w:r>
          <w:fldChar w:fldCharType="begin"/>
        </w:r>
        <w:r>
          <w:instrText xml:space="preserve">PAGE   \* MERGEFORMAT</w:instrText>
        </w:r>
        <w:r>
          <w:fldChar w:fldCharType="separate"/>
        </w:r>
        <w:r>
          <w:rPr>
            <w:lang w:val="zh-CN"/>
          </w:rPr>
          <w:t>20</w:t>
        </w:r>
        <w:r>
          <w:fldChar w:fldCharType="end"/>
        </w:r>
      </w:p>
    </w:sdtContent>
  </w:sdt>
  <w:p>
    <w:pPr>
      <w:pStyle w:val="2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36"/>
      <w:tblW w:w="4967" w:type="pct"/>
      <w:tblInd w:w="0" w:type="dxa"/>
      <w:tblLayout w:type="autofit"/>
      <w:tblCellMar>
        <w:top w:w="58" w:type="dxa"/>
        <w:left w:w="115" w:type="dxa"/>
        <w:bottom w:w="58" w:type="dxa"/>
        <w:right w:w="115" w:type="dxa"/>
      </w:tblCellMar>
    </w:tblPr>
    <w:tblGrid>
      <w:gridCol w:w="1610"/>
      <w:gridCol w:w="6870"/>
    </w:tblGrid>
    <w:tr>
      <w:tblPrEx>
        <w:tblCellMar>
          <w:top w:w="58" w:type="dxa"/>
          <w:left w:w="115" w:type="dxa"/>
          <w:bottom w:w="58" w:type="dxa"/>
          <w:right w:w="115" w:type="dxa"/>
        </w:tblCellMar>
      </w:tblPrEx>
      <w:tc>
        <w:tcPr>
          <w:tcW w:w="486" w:type="pct"/>
          <w:tcBorders>
            <w:right w:val="single" w:color="4F81BD" w:themeColor="accent1" w:sz="18" w:space="0"/>
          </w:tcBorders>
        </w:tcPr>
        <w:p>
          <w:pPr>
            <w:widowControl/>
            <w:jc w:val="left"/>
            <w:rPr>
              <w:rFonts w:ascii="宋体" w:hAnsi="宋体" w:cs="宋体"/>
              <w:kern w:val="0"/>
              <w:sz w:val="24"/>
            </w:rPr>
          </w:pPr>
          <w:r>
            <w:drawing>
              <wp:inline distT="0" distB="0" distL="0" distR="0">
                <wp:extent cx="876300" cy="200025"/>
                <wp:effectExtent l="0" t="0" r="0" b="9525"/>
                <wp:docPr id="1" name="图片 1" descr="C:\Users\xinying\Deskto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xinying\Desktop\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876300" cy="200025"/>
                        </a:xfrm>
                        <a:prstGeom prst="rect">
                          <a:avLst/>
                        </a:prstGeom>
                        <a:noFill/>
                        <a:ln>
                          <a:noFill/>
                        </a:ln>
                      </pic:spPr>
                    </pic:pic>
                  </a:graphicData>
                </a:graphic>
              </wp:inline>
            </w:drawing>
          </w:r>
        </w:p>
      </w:tc>
      <w:sdt>
        <w:sdtPr>
          <w:rPr>
            <w:rFonts w:hint="eastAsia" w:asciiTheme="majorHAnsi" w:hAnsiTheme="majorHAnsi" w:eastAsiaTheme="majorEastAsia" w:cstheme="majorBidi"/>
            <w:color w:val="4F81BD" w:themeColor="accent1"/>
            <w14:textFill>
              <w14:solidFill>
                <w14:schemeClr w14:val="accent1"/>
              </w14:solidFill>
            </w14:textFill>
          </w:rPr>
          <w:alias w:val="标题"/>
          <w:id w:val="803197856"/>
          <w:dataBinding w:prefixMappings="xmlns:ns0='http://schemas.openxmlformats.org/package/2006/metadata/core-properties' xmlns:ns1='http://purl.org/dc/elements/1.1/'" w:xpath="/ns0:coreProperties[1]/ns1:title[1]" w:storeItemID="{6C3C8BC8-F283-45AE-878A-BAB7291924A1}"/>
          <w:text/>
        </w:sdtPr>
        <w:sdtEndPr>
          <w:rPr>
            <w:rFonts w:hint="eastAsia" w:asciiTheme="majorHAnsi" w:hAnsiTheme="majorHAnsi" w:eastAsiaTheme="majorEastAsia" w:cstheme="majorBidi"/>
            <w:color w:val="4F81BD" w:themeColor="accent1"/>
            <w14:textFill>
              <w14:solidFill>
                <w14:schemeClr w14:val="accent1"/>
              </w14:solidFill>
            </w14:textFill>
          </w:rPr>
        </w:sdtEndPr>
        <w:sdtContent>
          <w:tc>
            <w:tcPr>
              <w:tcW w:w="4514" w:type="pct"/>
              <w:tcBorders>
                <w:left w:val="single" w:color="4F81BD" w:themeColor="accent1" w:sz="18" w:space="0"/>
              </w:tcBorders>
            </w:tcPr>
            <w:p>
              <w:pPr>
                <w:pStyle w:val="27"/>
                <w:jc w:val="left"/>
                <w:rPr>
                  <w:rFonts w:asciiTheme="majorHAnsi" w:hAnsiTheme="majorHAnsi" w:eastAsiaTheme="majorEastAsia" w:cstheme="majorBidi"/>
                  <w:color w:val="4F81BD" w:themeColor="accent1"/>
                  <w14:textFill>
                    <w14:solidFill>
                      <w14:schemeClr w14:val="accent1"/>
                    </w14:solidFill>
                  </w14:textFill>
                </w:rPr>
              </w:pPr>
              <w:r>
                <w:rPr>
                  <w:rFonts w:hint="eastAsia" w:asciiTheme="majorHAnsi" w:hAnsiTheme="majorHAnsi" w:eastAsiaTheme="majorEastAsia" w:cstheme="majorBidi"/>
                  <w:color w:val="4F81BD" w:themeColor="accent1"/>
                  <w:lang w:val="en-US" w:eastAsia="zh-CN"/>
                  <w14:textFill>
                    <w14:solidFill>
                      <w14:schemeClr w14:val="accent1"/>
                    </w14:solidFill>
                  </w14:textFill>
                </w:rPr>
                <w:t>桂林市深能环保有限公司2026年飞灰稳定化处理承包合同</w:t>
              </w:r>
            </w:p>
          </w:tc>
        </w:sdtContent>
      </w:sdt>
    </w:tr>
  </w:tbl>
  <w:p>
    <w:pPr>
      <w:widowControl/>
      <w:jc w:val="left"/>
      <w:rPr>
        <w:rFonts w:ascii="宋体" w:hAnsi="宋体" w:cs="宋体"/>
        <w:kern w:val="0"/>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AE7FB4"/>
    <w:multiLevelType w:val="multilevel"/>
    <w:tmpl w:val="85AE7FB4"/>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
    <w:nsid w:val="86F8AE5C"/>
    <w:multiLevelType w:val="multilevel"/>
    <w:tmpl w:val="86F8AE5C"/>
    <w:lvl w:ilvl="0" w:tentative="0">
      <w:start w:val="1"/>
      <w:numFmt w:val="decimal"/>
      <w:lvlText w:val="%1."/>
      <w:lvlJc w:val="left"/>
      <w:pPr>
        <w:ind w:left="567" w:firstLine="284"/>
      </w:pPr>
    </w:lvl>
    <w:lvl w:ilvl="1" w:tentative="0">
      <w:start w:val="1"/>
      <w:numFmt w:val="lowerLetter"/>
      <w:lvlText w:val="%2)"/>
      <w:lvlJc w:val="left"/>
      <w:pPr>
        <w:ind w:left="1691" w:hanging="420"/>
      </w:pPr>
    </w:lvl>
    <w:lvl w:ilvl="2" w:tentative="0">
      <w:start w:val="1"/>
      <w:numFmt w:val="lowerRoman"/>
      <w:lvlText w:val="%3."/>
      <w:lvlJc w:val="right"/>
      <w:pPr>
        <w:ind w:left="2111" w:hanging="420"/>
      </w:pPr>
    </w:lvl>
    <w:lvl w:ilvl="3" w:tentative="0">
      <w:start w:val="1"/>
      <w:numFmt w:val="decimal"/>
      <w:lvlText w:val="%4."/>
      <w:lvlJc w:val="left"/>
      <w:pPr>
        <w:ind w:left="2531" w:hanging="420"/>
      </w:pPr>
    </w:lvl>
    <w:lvl w:ilvl="4" w:tentative="0">
      <w:start w:val="1"/>
      <w:numFmt w:val="lowerLetter"/>
      <w:lvlText w:val="%5)"/>
      <w:lvlJc w:val="left"/>
      <w:pPr>
        <w:ind w:left="2951" w:hanging="420"/>
      </w:pPr>
    </w:lvl>
    <w:lvl w:ilvl="5" w:tentative="0">
      <w:start w:val="1"/>
      <w:numFmt w:val="lowerRoman"/>
      <w:lvlText w:val="%6."/>
      <w:lvlJc w:val="right"/>
      <w:pPr>
        <w:ind w:left="3371" w:hanging="420"/>
      </w:pPr>
    </w:lvl>
    <w:lvl w:ilvl="6" w:tentative="0">
      <w:start w:val="1"/>
      <w:numFmt w:val="decimal"/>
      <w:lvlText w:val="%7."/>
      <w:lvlJc w:val="left"/>
      <w:pPr>
        <w:ind w:left="3791" w:hanging="420"/>
      </w:pPr>
    </w:lvl>
    <w:lvl w:ilvl="7" w:tentative="0">
      <w:start w:val="1"/>
      <w:numFmt w:val="lowerLetter"/>
      <w:lvlText w:val="%8)"/>
      <w:lvlJc w:val="left"/>
      <w:pPr>
        <w:ind w:left="4211" w:hanging="420"/>
      </w:pPr>
    </w:lvl>
    <w:lvl w:ilvl="8" w:tentative="0">
      <w:start w:val="1"/>
      <w:numFmt w:val="lowerRoman"/>
      <w:lvlText w:val="%9."/>
      <w:lvlJc w:val="right"/>
      <w:pPr>
        <w:ind w:left="4631" w:hanging="420"/>
      </w:pPr>
    </w:lvl>
  </w:abstractNum>
  <w:abstractNum w:abstractNumId="2">
    <w:nsid w:val="9808106F"/>
    <w:multiLevelType w:val="multilevel"/>
    <w:tmpl w:val="9808106F"/>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
    <w:nsid w:val="9A6251DD"/>
    <w:multiLevelType w:val="multilevel"/>
    <w:tmpl w:val="9A6251DD"/>
    <w:lvl w:ilvl="0" w:tentative="0">
      <w:start w:val="1"/>
      <w:numFmt w:val="decimal"/>
      <w:suff w:val="space"/>
      <w:lvlText w:val="%1)"/>
      <w:lvlJc w:val="left"/>
      <w:pPr>
        <w:tabs>
          <w:tab w:val="left" w:pos="0"/>
        </w:tabs>
        <w:ind w:left="454" w:hanging="454"/>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A8DC77C9"/>
    <w:multiLevelType w:val="multilevel"/>
    <w:tmpl w:val="A8DC77C9"/>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5">
    <w:nsid w:val="AB720D91"/>
    <w:multiLevelType w:val="multilevel"/>
    <w:tmpl w:val="AB720D91"/>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6">
    <w:nsid w:val="B08717E8"/>
    <w:multiLevelType w:val="multilevel"/>
    <w:tmpl w:val="B08717E8"/>
    <w:lvl w:ilvl="0" w:tentative="0">
      <w:start w:val="1"/>
      <w:numFmt w:val="decimal"/>
      <w:lvlText w:val="%1)"/>
      <w:lvlJc w:val="left"/>
      <w:pPr>
        <w:ind w:left="960" w:hanging="360"/>
      </w:p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7">
    <w:nsid w:val="C78BB895"/>
    <w:multiLevelType w:val="multilevel"/>
    <w:tmpl w:val="C78BB895"/>
    <w:lvl w:ilvl="0" w:tentative="0">
      <w:start w:val="1"/>
      <w:numFmt w:val="decimal"/>
      <w:lvlText w:val="%1)"/>
      <w:lvlJc w:val="left"/>
      <w:pPr>
        <w:ind w:left="960" w:hanging="360"/>
      </w:p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8">
    <w:nsid w:val="C78D4284"/>
    <w:multiLevelType w:val="multilevel"/>
    <w:tmpl w:val="C78D4284"/>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9">
    <w:nsid w:val="DAA8E863"/>
    <w:multiLevelType w:val="multilevel"/>
    <w:tmpl w:val="DAA8E863"/>
    <w:lvl w:ilvl="0" w:tentative="0">
      <w:start w:val="1"/>
      <w:numFmt w:val="chineseCountingThousand"/>
      <w:lvlText w:val="%1、"/>
      <w:lvlJc w:val="left"/>
      <w:pPr>
        <w:ind w:left="842" w:hanging="360"/>
      </w:p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10">
    <w:nsid w:val="FFFAFA00"/>
    <w:multiLevelType w:val="multilevel"/>
    <w:tmpl w:val="FFFAFA00"/>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1">
    <w:nsid w:val="1474F79C"/>
    <w:multiLevelType w:val="multilevel"/>
    <w:tmpl w:val="1474F79C"/>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2">
    <w:nsid w:val="17CD4DD1"/>
    <w:multiLevelType w:val="multilevel"/>
    <w:tmpl w:val="17CD4DD1"/>
    <w:lvl w:ilvl="0" w:tentative="0">
      <w:start w:val="1"/>
      <w:numFmt w:val="decimal"/>
      <w:pStyle w:val="87"/>
      <w:lvlText w:val="%1."/>
      <w:lvlJc w:val="left"/>
      <w:pPr>
        <w:tabs>
          <w:tab w:val="left" w:pos="995"/>
        </w:tabs>
        <w:ind w:left="995" w:hanging="425"/>
      </w:pPr>
    </w:lvl>
    <w:lvl w:ilvl="1" w:tentative="0">
      <w:start w:val="1"/>
      <w:numFmt w:val="decimal"/>
      <w:lvlText w:val="%1.%2."/>
      <w:lvlJc w:val="left"/>
      <w:pPr>
        <w:tabs>
          <w:tab w:val="left" w:pos="1137"/>
        </w:tabs>
        <w:ind w:left="1137" w:hanging="567"/>
      </w:pPr>
    </w:lvl>
    <w:lvl w:ilvl="2" w:tentative="0">
      <w:start w:val="1"/>
      <w:numFmt w:val="decimal"/>
      <w:lvlText w:val="%1.%2.%3."/>
      <w:lvlJc w:val="left"/>
      <w:pPr>
        <w:tabs>
          <w:tab w:val="left" w:pos="1279"/>
        </w:tabs>
        <w:ind w:left="1279" w:hanging="709"/>
      </w:pPr>
    </w:lvl>
    <w:lvl w:ilvl="3" w:tentative="0">
      <w:start w:val="1"/>
      <w:numFmt w:val="decimal"/>
      <w:lvlText w:val="%1.%2.%3.%4."/>
      <w:lvlJc w:val="left"/>
      <w:pPr>
        <w:tabs>
          <w:tab w:val="left" w:pos="1421"/>
        </w:tabs>
        <w:ind w:left="1421" w:hanging="851"/>
      </w:pPr>
    </w:lvl>
    <w:lvl w:ilvl="4" w:tentative="0">
      <w:start w:val="1"/>
      <w:numFmt w:val="decimal"/>
      <w:lvlText w:val="%1.%2.%3.%4.%5."/>
      <w:lvlJc w:val="left"/>
      <w:pPr>
        <w:tabs>
          <w:tab w:val="left" w:pos="1562"/>
        </w:tabs>
        <w:ind w:left="1562" w:hanging="992"/>
      </w:pPr>
    </w:lvl>
    <w:lvl w:ilvl="5" w:tentative="0">
      <w:start w:val="1"/>
      <w:numFmt w:val="decimal"/>
      <w:lvlText w:val="%1.%2.%3.%4.%5.%6."/>
      <w:lvlJc w:val="left"/>
      <w:pPr>
        <w:tabs>
          <w:tab w:val="left" w:pos="1704"/>
        </w:tabs>
        <w:ind w:left="1704" w:hanging="1134"/>
      </w:pPr>
    </w:lvl>
    <w:lvl w:ilvl="6" w:tentative="0">
      <w:start w:val="1"/>
      <w:numFmt w:val="decimal"/>
      <w:lvlText w:val="%1.%2.%3.%4.%5.%6.%7."/>
      <w:lvlJc w:val="left"/>
      <w:pPr>
        <w:tabs>
          <w:tab w:val="left" w:pos="1846"/>
        </w:tabs>
        <w:ind w:left="1846" w:hanging="1276"/>
      </w:pPr>
    </w:lvl>
    <w:lvl w:ilvl="7" w:tentative="0">
      <w:start w:val="1"/>
      <w:numFmt w:val="decimal"/>
      <w:lvlText w:val="%1.%2.%3.%4.%5.%6.%7.%8."/>
      <w:lvlJc w:val="left"/>
      <w:pPr>
        <w:tabs>
          <w:tab w:val="left" w:pos="1988"/>
        </w:tabs>
        <w:ind w:left="1988" w:hanging="1418"/>
      </w:pPr>
    </w:lvl>
    <w:lvl w:ilvl="8" w:tentative="0">
      <w:start w:val="1"/>
      <w:numFmt w:val="decimal"/>
      <w:lvlText w:val="%1.%2.%3.%4.%5.%6.%7.%8.%9."/>
      <w:lvlJc w:val="left"/>
      <w:pPr>
        <w:tabs>
          <w:tab w:val="left" w:pos="2129"/>
        </w:tabs>
        <w:ind w:left="2129" w:hanging="1559"/>
      </w:pPr>
    </w:lvl>
  </w:abstractNum>
  <w:abstractNum w:abstractNumId="13">
    <w:nsid w:val="2003F928"/>
    <w:multiLevelType w:val="multilevel"/>
    <w:tmpl w:val="2003F928"/>
    <w:lvl w:ilvl="0" w:tentative="0">
      <w:start w:val="1"/>
      <w:numFmt w:val="decimal"/>
      <w:lvlText w:val="%1)"/>
      <w:lvlJc w:val="left"/>
      <w:pPr>
        <w:ind w:left="987" w:hanging="420"/>
      </w:p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14">
    <w:nsid w:val="22BA0344"/>
    <w:multiLevelType w:val="multilevel"/>
    <w:tmpl w:val="22BA0344"/>
    <w:lvl w:ilvl="0" w:tentative="0">
      <w:start w:val="1"/>
      <w:numFmt w:val="bullet"/>
      <w:pStyle w:val="17"/>
      <w:lvlText w:val=""/>
      <w:lvlJc w:val="left"/>
      <w:pPr>
        <w:tabs>
          <w:tab w:val="left" w:pos="840"/>
        </w:tabs>
        <w:ind w:left="840" w:hanging="420"/>
      </w:pPr>
      <w:rPr>
        <w:rFonts w:hint="default" w:ascii="Wingdings" w:hAnsi="Wingdings"/>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5">
    <w:nsid w:val="2A9756D9"/>
    <w:multiLevelType w:val="multilevel"/>
    <w:tmpl w:val="2A9756D9"/>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6">
    <w:nsid w:val="2DC9262A"/>
    <w:multiLevelType w:val="multilevel"/>
    <w:tmpl w:val="2DC9262A"/>
    <w:lvl w:ilvl="0" w:tentative="0">
      <w:start w:val="1"/>
      <w:numFmt w:val="decimal"/>
      <w:pStyle w:val="88"/>
      <w:lvlText w:val="%1"/>
      <w:lvlJc w:val="left"/>
      <w:pPr>
        <w:tabs>
          <w:tab w:val="left" w:pos="432"/>
        </w:tabs>
        <w:ind w:left="432" w:hanging="432"/>
      </w:pPr>
    </w:lvl>
    <w:lvl w:ilvl="1" w:tentative="0">
      <w:start w:val="1"/>
      <w:numFmt w:val="decimal"/>
      <w:lvlText w:val="%1.%2"/>
      <w:lvlJc w:val="left"/>
      <w:pPr>
        <w:tabs>
          <w:tab w:val="left" w:pos="576"/>
        </w:tabs>
        <w:ind w:left="576" w:hanging="576"/>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17">
    <w:nsid w:val="32879F46"/>
    <w:multiLevelType w:val="multilevel"/>
    <w:tmpl w:val="32879F46"/>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8">
    <w:nsid w:val="3C1F3D48"/>
    <w:multiLevelType w:val="multilevel"/>
    <w:tmpl w:val="3C1F3D48"/>
    <w:lvl w:ilvl="0" w:tentative="0">
      <w:start w:val="1"/>
      <w:numFmt w:val="decimal"/>
      <w:lvlText w:val="3.1.%1"/>
      <w:lvlJc w:val="left"/>
      <w:pPr>
        <w:tabs>
          <w:tab w:val="left" w:pos="1134"/>
        </w:tabs>
        <w:ind w:left="1134" w:hanging="113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9">
    <w:nsid w:val="3E3B9C06"/>
    <w:multiLevelType w:val="multilevel"/>
    <w:tmpl w:val="3E3B9C06"/>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0">
    <w:nsid w:val="5372411E"/>
    <w:multiLevelType w:val="singleLevel"/>
    <w:tmpl w:val="5372411E"/>
    <w:lvl w:ilvl="0" w:tentative="0">
      <w:start w:val="1"/>
      <w:numFmt w:val="decimal"/>
      <w:suff w:val="nothing"/>
      <w:lvlText w:val="%1、"/>
      <w:lvlJc w:val="left"/>
    </w:lvl>
  </w:abstractNum>
  <w:abstractNum w:abstractNumId="21">
    <w:nsid w:val="57343F65"/>
    <w:multiLevelType w:val="multilevel"/>
    <w:tmpl w:val="57343F65"/>
    <w:lvl w:ilvl="0" w:tentative="0">
      <w:start w:val="1"/>
      <w:numFmt w:val="chineseCountingThousand"/>
      <w:lvlText w:val="%1、"/>
      <w:lvlJc w:val="left"/>
      <w:pPr>
        <w:ind w:left="2122"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2">
    <w:nsid w:val="5A652B08"/>
    <w:multiLevelType w:val="multilevel"/>
    <w:tmpl w:val="5A652B08"/>
    <w:lvl w:ilvl="0" w:tentative="0">
      <w:start w:val="1"/>
      <w:numFmt w:val="decimal"/>
      <w:pStyle w:val="28"/>
      <w:lvlText w:val="附件%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5D8752ED"/>
    <w:multiLevelType w:val="multilevel"/>
    <w:tmpl w:val="5D8752ED"/>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4">
    <w:nsid w:val="66E7BB19"/>
    <w:multiLevelType w:val="multilevel"/>
    <w:tmpl w:val="66E7BB19"/>
    <w:lvl w:ilvl="0" w:tentative="0">
      <w:start w:val="1"/>
      <w:numFmt w:val="decimal"/>
      <w:suff w:val="space"/>
      <w:lvlText w:val="%1."/>
      <w:lvlJc w:val="left"/>
      <w:pPr>
        <w:ind w:left="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5">
    <w:nsid w:val="6C2E62B2"/>
    <w:multiLevelType w:val="multilevel"/>
    <w:tmpl w:val="6C2E62B2"/>
    <w:lvl w:ilvl="0" w:tentative="0">
      <w:start w:val="1"/>
      <w:numFmt w:val="decimal"/>
      <w:pStyle w:val="99"/>
      <w:lvlText w:val="（%1）"/>
      <w:lvlJc w:val="left"/>
      <w:pPr>
        <w:ind w:left="988" w:hanging="420"/>
      </w:pPr>
      <w:rPr>
        <w:rFonts w:hint="eastAsia"/>
      </w:rPr>
    </w:lvl>
    <w:lvl w:ilvl="1" w:tentative="0">
      <w:start w:val="1"/>
      <w:numFmt w:val="lowerLetter"/>
      <w:lvlText w:val="%2)"/>
      <w:lvlJc w:val="left"/>
      <w:pPr>
        <w:ind w:left="1408" w:hanging="420"/>
      </w:pPr>
    </w:lvl>
    <w:lvl w:ilvl="2" w:tentative="0">
      <w:start w:val="1"/>
      <w:numFmt w:val="lowerRoman"/>
      <w:lvlText w:val="%3."/>
      <w:lvlJc w:val="right"/>
      <w:pPr>
        <w:ind w:left="1828" w:hanging="420"/>
      </w:pPr>
    </w:lvl>
    <w:lvl w:ilvl="3" w:tentative="0">
      <w:start w:val="1"/>
      <w:numFmt w:val="decimal"/>
      <w:lvlText w:val="%4."/>
      <w:lvlJc w:val="left"/>
      <w:pPr>
        <w:ind w:left="2248" w:hanging="420"/>
      </w:pPr>
    </w:lvl>
    <w:lvl w:ilvl="4" w:tentative="0">
      <w:start w:val="1"/>
      <w:numFmt w:val="lowerLetter"/>
      <w:lvlText w:val="%5)"/>
      <w:lvlJc w:val="left"/>
      <w:pPr>
        <w:ind w:left="2668" w:hanging="420"/>
      </w:pPr>
    </w:lvl>
    <w:lvl w:ilvl="5" w:tentative="0">
      <w:start w:val="1"/>
      <w:numFmt w:val="lowerRoman"/>
      <w:lvlText w:val="%6."/>
      <w:lvlJc w:val="right"/>
      <w:pPr>
        <w:ind w:left="3088" w:hanging="420"/>
      </w:pPr>
    </w:lvl>
    <w:lvl w:ilvl="6" w:tentative="0">
      <w:start w:val="1"/>
      <w:numFmt w:val="decimal"/>
      <w:lvlText w:val="%7."/>
      <w:lvlJc w:val="left"/>
      <w:pPr>
        <w:ind w:left="3508" w:hanging="420"/>
      </w:pPr>
    </w:lvl>
    <w:lvl w:ilvl="7" w:tentative="0">
      <w:start w:val="1"/>
      <w:numFmt w:val="lowerLetter"/>
      <w:lvlText w:val="%8)"/>
      <w:lvlJc w:val="left"/>
      <w:pPr>
        <w:ind w:left="3928" w:hanging="420"/>
      </w:pPr>
    </w:lvl>
    <w:lvl w:ilvl="8" w:tentative="0">
      <w:start w:val="1"/>
      <w:numFmt w:val="lowerRoman"/>
      <w:lvlText w:val="%9."/>
      <w:lvlJc w:val="right"/>
      <w:pPr>
        <w:ind w:left="4348" w:hanging="420"/>
      </w:pPr>
    </w:lvl>
  </w:abstractNum>
  <w:abstractNum w:abstractNumId="26">
    <w:nsid w:val="723B1E07"/>
    <w:multiLevelType w:val="multilevel"/>
    <w:tmpl w:val="723B1E07"/>
    <w:lvl w:ilvl="0" w:tentative="0">
      <w:start w:val="1"/>
      <w:numFmt w:val="bullet"/>
      <w:pStyle w:val="89"/>
      <w:lvlText w:val=""/>
      <w:lvlJc w:val="left"/>
      <w:pPr>
        <w:tabs>
          <w:tab w:val="left" w:pos="374"/>
        </w:tabs>
        <w:ind w:left="374" w:hanging="374"/>
      </w:pPr>
      <w:rPr>
        <w:rFonts w:hint="default" w:ascii="Wingdings" w:hAnsi="Wingdings"/>
        <w:b/>
        <w:i w:val="0"/>
        <w:sz w:val="21"/>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7">
    <w:nsid w:val="76CD6B6A"/>
    <w:multiLevelType w:val="multilevel"/>
    <w:tmpl w:val="76CD6B6A"/>
    <w:lvl w:ilvl="0" w:tentative="0">
      <w:start w:val="1"/>
      <w:numFmt w:val="decimal"/>
      <w:pStyle w:val="2"/>
      <w:lvlText w:val="6.3.%1"/>
      <w:lvlJc w:val="left"/>
      <w:pPr>
        <w:tabs>
          <w:tab w:val="left" w:pos="720"/>
        </w:tabs>
        <w:ind w:left="432" w:hanging="432"/>
      </w:pPr>
    </w:lvl>
    <w:lvl w:ilvl="1" w:tentative="0">
      <w:start w:val="1"/>
      <w:numFmt w:val="decimal"/>
      <w:pStyle w:val="3"/>
      <w:lvlText w:val="%1.%2"/>
      <w:lvlJc w:val="left"/>
      <w:pPr>
        <w:tabs>
          <w:tab w:val="left" w:pos="576"/>
        </w:tabs>
        <w:ind w:left="576" w:hanging="576"/>
      </w:pPr>
    </w:lvl>
    <w:lvl w:ilvl="2" w:tentative="0">
      <w:start w:val="1"/>
      <w:numFmt w:val="decimal"/>
      <w:pStyle w:val="5"/>
      <w:lvlText w:val="10.%3"/>
      <w:lvlJc w:val="left"/>
      <w:pPr>
        <w:tabs>
          <w:tab w:val="left" w:pos="720"/>
        </w:tabs>
        <w:ind w:left="720" w:hanging="720"/>
      </w:pPr>
      <w:rPr>
        <w:rFonts w:hint="default" w:ascii="Arial" w:hAnsi="Arial" w:cs="Arial"/>
      </w:rPr>
    </w:lvl>
    <w:lvl w:ilvl="3" w:tentative="0">
      <w:start w:val="1"/>
      <w:numFmt w:val="decimal"/>
      <w:pStyle w:val="6"/>
      <w:lvlText w:val="%1.%2.%3.%4"/>
      <w:lvlJc w:val="left"/>
      <w:pPr>
        <w:tabs>
          <w:tab w:val="left" w:pos="864"/>
        </w:tabs>
        <w:ind w:left="864" w:hanging="864"/>
      </w:pPr>
    </w:lvl>
    <w:lvl w:ilvl="4" w:tentative="0">
      <w:start w:val="1"/>
      <w:numFmt w:val="decimal"/>
      <w:pStyle w:val="7"/>
      <w:lvlText w:val="%1.%2.%3.%4.%5"/>
      <w:lvlJc w:val="left"/>
      <w:pPr>
        <w:tabs>
          <w:tab w:val="left" w:pos="1008"/>
        </w:tabs>
        <w:ind w:left="1008" w:hanging="1008"/>
      </w:pPr>
    </w:lvl>
    <w:lvl w:ilvl="5" w:tentative="0">
      <w:start w:val="1"/>
      <w:numFmt w:val="decimal"/>
      <w:pStyle w:val="8"/>
      <w:lvlText w:val="%1.%2.%3.%4.%5.%6"/>
      <w:lvlJc w:val="left"/>
      <w:pPr>
        <w:tabs>
          <w:tab w:val="left" w:pos="1152"/>
        </w:tabs>
        <w:ind w:left="1152" w:hanging="1152"/>
      </w:pPr>
    </w:lvl>
    <w:lvl w:ilvl="6" w:tentative="0">
      <w:start w:val="1"/>
      <w:numFmt w:val="decimal"/>
      <w:pStyle w:val="9"/>
      <w:lvlText w:val="%1.%2.%3.%4.%5.%6.%7"/>
      <w:lvlJc w:val="left"/>
      <w:pPr>
        <w:tabs>
          <w:tab w:val="left" w:pos="1296"/>
        </w:tabs>
        <w:ind w:left="1296" w:hanging="1296"/>
      </w:pPr>
    </w:lvl>
    <w:lvl w:ilvl="7" w:tentative="0">
      <w:start w:val="1"/>
      <w:numFmt w:val="decimal"/>
      <w:pStyle w:val="10"/>
      <w:lvlText w:val="%1.%2.%3.%4.%5.%6.%7.%8"/>
      <w:lvlJc w:val="left"/>
      <w:pPr>
        <w:tabs>
          <w:tab w:val="left" w:pos="1440"/>
        </w:tabs>
        <w:ind w:left="1440" w:hanging="1440"/>
      </w:pPr>
    </w:lvl>
    <w:lvl w:ilvl="8" w:tentative="0">
      <w:start w:val="1"/>
      <w:numFmt w:val="decimal"/>
      <w:pStyle w:val="11"/>
      <w:lvlText w:val="%1.%2.%3.%4.%5.%6.%7.%8.%9"/>
      <w:lvlJc w:val="left"/>
      <w:pPr>
        <w:tabs>
          <w:tab w:val="left" w:pos="1584"/>
        </w:tabs>
        <w:ind w:left="1584" w:hanging="1584"/>
      </w:pPr>
    </w:lvl>
  </w:abstractNum>
  <w:abstractNum w:abstractNumId="28">
    <w:nsid w:val="78BC1397"/>
    <w:multiLevelType w:val="multilevel"/>
    <w:tmpl w:val="78BC1397"/>
    <w:lvl w:ilvl="0" w:tentative="0">
      <w:start w:val="1"/>
      <w:numFmt w:val="decimal"/>
      <w:lvlText w:val="5.5.%1"/>
      <w:lvlJc w:val="left"/>
      <w:pPr>
        <w:tabs>
          <w:tab w:val="left" w:pos="1134"/>
        </w:tabs>
        <w:ind w:left="1134" w:hanging="1134"/>
      </w:pPr>
    </w:lvl>
    <w:lvl w:ilvl="1" w:tentative="0">
      <w:start w:val="1"/>
      <w:numFmt w:val="decimal"/>
      <w:lvlText w:val="5.6.%2"/>
      <w:lvlJc w:val="left"/>
      <w:pPr>
        <w:tabs>
          <w:tab w:val="left" w:pos="1554"/>
        </w:tabs>
        <w:ind w:left="1554" w:hanging="1134"/>
      </w:pPr>
    </w:lvl>
    <w:lvl w:ilvl="2" w:tentative="0">
      <w:start w:val="1"/>
      <w:numFmt w:val="decimal"/>
      <w:lvlText w:val="%3."/>
      <w:lvlJc w:val="left"/>
      <w:pPr>
        <w:tabs>
          <w:tab w:val="left" w:pos="1560"/>
        </w:tabs>
        <w:ind w:left="1560" w:hanging="720"/>
      </w:pPr>
    </w:lvl>
    <w:lvl w:ilvl="3" w:tentative="0">
      <w:start w:val="1"/>
      <w:numFmt w:val="decimal"/>
      <w:lvlText w:val="3.%4"/>
      <w:lvlJc w:val="left"/>
      <w:pPr>
        <w:tabs>
          <w:tab w:val="left" w:pos="1974"/>
        </w:tabs>
        <w:ind w:left="1974" w:hanging="1974"/>
      </w:pPr>
    </w:lvl>
    <w:lvl w:ilvl="4" w:tentative="0">
      <w:start w:val="1"/>
      <w:numFmt w:val="decimal"/>
      <w:lvlText w:val="3.2.%5"/>
      <w:lvlJc w:val="left"/>
      <w:pPr>
        <w:tabs>
          <w:tab w:val="left" w:pos="1134"/>
        </w:tabs>
        <w:ind w:left="1134" w:hanging="1134"/>
      </w:pPr>
    </w:lvl>
    <w:lvl w:ilvl="5" w:tentative="0">
      <w:start w:val="1"/>
      <w:numFmt w:val="decimal"/>
      <w:lvlText w:val="4.%6"/>
      <w:lvlJc w:val="left"/>
      <w:pPr>
        <w:tabs>
          <w:tab w:val="left" w:pos="3234"/>
        </w:tabs>
        <w:ind w:left="3234" w:hanging="1134"/>
      </w:pPr>
    </w:lvl>
    <w:lvl w:ilvl="6" w:tentative="0">
      <w:start w:val="1"/>
      <w:numFmt w:val="decimal"/>
      <w:lvlText w:val="5.%7"/>
      <w:lvlJc w:val="left"/>
      <w:pPr>
        <w:tabs>
          <w:tab w:val="left" w:pos="3654"/>
        </w:tabs>
        <w:ind w:left="3654" w:hanging="1134"/>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num>
  <w:num w:numId="8">
    <w:abstractNumId w:val="21"/>
  </w:num>
  <w:num w:numId="9">
    <w:abstractNumId w:val="20"/>
  </w:num>
  <w:num w:numId="10">
    <w:abstractNumId w:val="23"/>
  </w:num>
  <w:num w:numId="11">
    <w:abstractNumId w:val="9"/>
  </w:num>
  <w:num w:numId="12">
    <w:abstractNumId w:val="1"/>
  </w:num>
  <w:num w:numId="13">
    <w:abstractNumId w:val="4"/>
  </w:num>
  <w:num w:numId="14">
    <w:abstractNumId w:val="15"/>
  </w:num>
  <w:num w:numId="15">
    <w:abstractNumId w:val="8"/>
  </w:num>
  <w:num w:numId="16">
    <w:abstractNumId w:val="10"/>
  </w:num>
  <w:num w:numId="17">
    <w:abstractNumId w:val="0"/>
  </w:num>
  <w:num w:numId="18">
    <w:abstractNumId w:val="2"/>
  </w:num>
  <w:num w:numId="19">
    <w:abstractNumId w:val="3"/>
  </w:num>
  <w:num w:numId="20">
    <w:abstractNumId w:val="5"/>
  </w:num>
  <w:num w:numId="21">
    <w:abstractNumId w:val="7"/>
  </w:num>
  <w:num w:numId="22">
    <w:abstractNumId w:val="6"/>
  </w:num>
  <w:num w:numId="23">
    <w:abstractNumId w:val="13"/>
  </w:num>
  <w:num w:numId="24">
    <w:abstractNumId w:val="17"/>
  </w:num>
  <w:num w:numId="25">
    <w:abstractNumId w:val="24"/>
  </w:num>
  <w:num w:numId="26">
    <w:abstractNumId w:val="19"/>
  </w:num>
  <w:num w:numId="27">
    <w:abstractNumId w:val="11"/>
  </w:num>
  <w:num w:numId="28">
    <w:abstractNumId w:val="28"/>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yMTgwNDRlYTVhZDdkZDhjZjk0OTE0ZTFiMGQ2MzIifQ=="/>
  </w:docVars>
  <w:rsids>
    <w:rsidRoot w:val="00172A27"/>
    <w:rsid w:val="000019C9"/>
    <w:rsid w:val="0000443A"/>
    <w:rsid w:val="00020C37"/>
    <w:rsid w:val="00021A77"/>
    <w:rsid w:val="00026CC9"/>
    <w:rsid w:val="00034464"/>
    <w:rsid w:val="00034A31"/>
    <w:rsid w:val="00040199"/>
    <w:rsid w:val="00040BAC"/>
    <w:rsid w:val="00046632"/>
    <w:rsid w:val="00061DAC"/>
    <w:rsid w:val="0006604E"/>
    <w:rsid w:val="0006742F"/>
    <w:rsid w:val="000718BB"/>
    <w:rsid w:val="00077441"/>
    <w:rsid w:val="00080B2A"/>
    <w:rsid w:val="00081682"/>
    <w:rsid w:val="00085AF0"/>
    <w:rsid w:val="000A08A4"/>
    <w:rsid w:val="000A0C5C"/>
    <w:rsid w:val="000A14BD"/>
    <w:rsid w:val="000A3C32"/>
    <w:rsid w:val="000A4514"/>
    <w:rsid w:val="000B0BBF"/>
    <w:rsid w:val="000B2DE0"/>
    <w:rsid w:val="000B4106"/>
    <w:rsid w:val="000B4C86"/>
    <w:rsid w:val="000B4DB7"/>
    <w:rsid w:val="000B5303"/>
    <w:rsid w:val="000C64DE"/>
    <w:rsid w:val="000D4168"/>
    <w:rsid w:val="000E510F"/>
    <w:rsid w:val="000E5DA6"/>
    <w:rsid w:val="000E74E9"/>
    <w:rsid w:val="000F0CF2"/>
    <w:rsid w:val="0010141E"/>
    <w:rsid w:val="0010599E"/>
    <w:rsid w:val="00110B43"/>
    <w:rsid w:val="00117535"/>
    <w:rsid w:val="00117BDE"/>
    <w:rsid w:val="00133D0A"/>
    <w:rsid w:val="00146A22"/>
    <w:rsid w:val="00147FFB"/>
    <w:rsid w:val="00150AFF"/>
    <w:rsid w:val="00152578"/>
    <w:rsid w:val="00154BA5"/>
    <w:rsid w:val="00166FB0"/>
    <w:rsid w:val="00172A27"/>
    <w:rsid w:val="001819E9"/>
    <w:rsid w:val="00191F91"/>
    <w:rsid w:val="00194678"/>
    <w:rsid w:val="001A23BC"/>
    <w:rsid w:val="001A5094"/>
    <w:rsid w:val="001B6B9A"/>
    <w:rsid w:val="001C5BDC"/>
    <w:rsid w:val="001D66AC"/>
    <w:rsid w:val="001D7DBF"/>
    <w:rsid w:val="001E0615"/>
    <w:rsid w:val="001E30A3"/>
    <w:rsid w:val="001F6312"/>
    <w:rsid w:val="00204089"/>
    <w:rsid w:val="002055F4"/>
    <w:rsid w:val="00210A25"/>
    <w:rsid w:val="00215A72"/>
    <w:rsid w:val="00236544"/>
    <w:rsid w:val="0023740C"/>
    <w:rsid w:val="0025029E"/>
    <w:rsid w:val="0025070C"/>
    <w:rsid w:val="00254D3B"/>
    <w:rsid w:val="00262E2C"/>
    <w:rsid w:val="00265BBC"/>
    <w:rsid w:val="0027294F"/>
    <w:rsid w:val="00283AAC"/>
    <w:rsid w:val="0028762E"/>
    <w:rsid w:val="00287B60"/>
    <w:rsid w:val="002919AC"/>
    <w:rsid w:val="002A4E78"/>
    <w:rsid w:val="002B16E1"/>
    <w:rsid w:val="002C6AC5"/>
    <w:rsid w:val="002D6019"/>
    <w:rsid w:val="002D6843"/>
    <w:rsid w:val="002E46EB"/>
    <w:rsid w:val="002E5040"/>
    <w:rsid w:val="002F1D56"/>
    <w:rsid w:val="002F63B2"/>
    <w:rsid w:val="00300E2C"/>
    <w:rsid w:val="00310CC8"/>
    <w:rsid w:val="00311492"/>
    <w:rsid w:val="00316BEE"/>
    <w:rsid w:val="00331084"/>
    <w:rsid w:val="00334F64"/>
    <w:rsid w:val="00346F86"/>
    <w:rsid w:val="00351BC1"/>
    <w:rsid w:val="00353813"/>
    <w:rsid w:val="00356417"/>
    <w:rsid w:val="003579E8"/>
    <w:rsid w:val="00366986"/>
    <w:rsid w:val="003717A1"/>
    <w:rsid w:val="00376914"/>
    <w:rsid w:val="003777EF"/>
    <w:rsid w:val="00383BC4"/>
    <w:rsid w:val="00391761"/>
    <w:rsid w:val="00391AB7"/>
    <w:rsid w:val="003A0C62"/>
    <w:rsid w:val="003B084E"/>
    <w:rsid w:val="003B7B2D"/>
    <w:rsid w:val="003C2781"/>
    <w:rsid w:val="003D4B78"/>
    <w:rsid w:val="003D693F"/>
    <w:rsid w:val="003E4677"/>
    <w:rsid w:val="003F03EA"/>
    <w:rsid w:val="003F236D"/>
    <w:rsid w:val="003F6D05"/>
    <w:rsid w:val="00402A8B"/>
    <w:rsid w:val="00427B09"/>
    <w:rsid w:val="004330C3"/>
    <w:rsid w:val="004331FE"/>
    <w:rsid w:val="00433973"/>
    <w:rsid w:val="00435D2A"/>
    <w:rsid w:val="00441443"/>
    <w:rsid w:val="004415F7"/>
    <w:rsid w:val="004457C2"/>
    <w:rsid w:val="00446AA8"/>
    <w:rsid w:val="00451020"/>
    <w:rsid w:val="004521A7"/>
    <w:rsid w:val="004528E9"/>
    <w:rsid w:val="0045410A"/>
    <w:rsid w:val="0045445D"/>
    <w:rsid w:val="00470885"/>
    <w:rsid w:val="0047697E"/>
    <w:rsid w:val="004823E5"/>
    <w:rsid w:val="004849EE"/>
    <w:rsid w:val="00495836"/>
    <w:rsid w:val="004A16C3"/>
    <w:rsid w:val="004A574E"/>
    <w:rsid w:val="004A6295"/>
    <w:rsid w:val="004B0DE1"/>
    <w:rsid w:val="004B3BA1"/>
    <w:rsid w:val="004B4683"/>
    <w:rsid w:val="004B4C3F"/>
    <w:rsid w:val="004B7A6E"/>
    <w:rsid w:val="004C6230"/>
    <w:rsid w:val="004D414F"/>
    <w:rsid w:val="004E4935"/>
    <w:rsid w:val="004E6DB6"/>
    <w:rsid w:val="004F3F85"/>
    <w:rsid w:val="004F637E"/>
    <w:rsid w:val="005027CF"/>
    <w:rsid w:val="005031D7"/>
    <w:rsid w:val="005035F2"/>
    <w:rsid w:val="00522E2C"/>
    <w:rsid w:val="005355F0"/>
    <w:rsid w:val="00542DD7"/>
    <w:rsid w:val="0054530D"/>
    <w:rsid w:val="00545940"/>
    <w:rsid w:val="0055232C"/>
    <w:rsid w:val="00552A5B"/>
    <w:rsid w:val="00554109"/>
    <w:rsid w:val="00566F3B"/>
    <w:rsid w:val="00567BB0"/>
    <w:rsid w:val="00573108"/>
    <w:rsid w:val="0057444A"/>
    <w:rsid w:val="00574EB5"/>
    <w:rsid w:val="00583E57"/>
    <w:rsid w:val="00592A3F"/>
    <w:rsid w:val="00596B7A"/>
    <w:rsid w:val="005A1F5E"/>
    <w:rsid w:val="005A68DC"/>
    <w:rsid w:val="005B2D89"/>
    <w:rsid w:val="005B4E22"/>
    <w:rsid w:val="005B5DF9"/>
    <w:rsid w:val="005C0731"/>
    <w:rsid w:val="005D1ACD"/>
    <w:rsid w:val="005D5C94"/>
    <w:rsid w:val="005D65DF"/>
    <w:rsid w:val="005E2B58"/>
    <w:rsid w:val="005F0214"/>
    <w:rsid w:val="005F16E4"/>
    <w:rsid w:val="005F28FC"/>
    <w:rsid w:val="005F5E36"/>
    <w:rsid w:val="00600120"/>
    <w:rsid w:val="00604F6A"/>
    <w:rsid w:val="006100F6"/>
    <w:rsid w:val="00632639"/>
    <w:rsid w:val="00641798"/>
    <w:rsid w:val="00652F35"/>
    <w:rsid w:val="00671021"/>
    <w:rsid w:val="0067121F"/>
    <w:rsid w:val="00671F35"/>
    <w:rsid w:val="00675819"/>
    <w:rsid w:val="00682D34"/>
    <w:rsid w:val="006835D0"/>
    <w:rsid w:val="0068435A"/>
    <w:rsid w:val="00690670"/>
    <w:rsid w:val="0069240B"/>
    <w:rsid w:val="00692921"/>
    <w:rsid w:val="00694348"/>
    <w:rsid w:val="00696BE2"/>
    <w:rsid w:val="006A64B1"/>
    <w:rsid w:val="006B5131"/>
    <w:rsid w:val="006C0D41"/>
    <w:rsid w:val="006C0E10"/>
    <w:rsid w:val="006C2B36"/>
    <w:rsid w:val="006C5D61"/>
    <w:rsid w:val="006C60AB"/>
    <w:rsid w:val="006C664C"/>
    <w:rsid w:val="006D0130"/>
    <w:rsid w:val="006D43C1"/>
    <w:rsid w:val="006D4448"/>
    <w:rsid w:val="006E0399"/>
    <w:rsid w:val="006E2476"/>
    <w:rsid w:val="006E39AF"/>
    <w:rsid w:val="006F0BC2"/>
    <w:rsid w:val="006F71E9"/>
    <w:rsid w:val="006F785E"/>
    <w:rsid w:val="00703FE7"/>
    <w:rsid w:val="007057CE"/>
    <w:rsid w:val="00705F2E"/>
    <w:rsid w:val="00706905"/>
    <w:rsid w:val="00707E88"/>
    <w:rsid w:val="00710009"/>
    <w:rsid w:val="00710AAE"/>
    <w:rsid w:val="00710BA6"/>
    <w:rsid w:val="00713971"/>
    <w:rsid w:val="00732AC6"/>
    <w:rsid w:val="0073540F"/>
    <w:rsid w:val="007359DE"/>
    <w:rsid w:val="007369E0"/>
    <w:rsid w:val="007411C0"/>
    <w:rsid w:val="007428CD"/>
    <w:rsid w:val="007442F0"/>
    <w:rsid w:val="0074528D"/>
    <w:rsid w:val="00745C1E"/>
    <w:rsid w:val="00755134"/>
    <w:rsid w:val="00763C45"/>
    <w:rsid w:val="00766C04"/>
    <w:rsid w:val="00774F4F"/>
    <w:rsid w:val="0077742E"/>
    <w:rsid w:val="00790519"/>
    <w:rsid w:val="00793F3B"/>
    <w:rsid w:val="007A4A40"/>
    <w:rsid w:val="007B6808"/>
    <w:rsid w:val="007B7687"/>
    <w:rsid w:val="007D0595"/>
    <w:rsid w:val="007D4CB0"/>
    <w:rsid w:val="007F1BD8"/>
    <w:rsid w:val="00811998"/>
    <w:rsid w:val="00812B9C"/>
    <w:rsid w:val="008235D7"/>
    <w:rsid w:val="00825D11"/>
    <w:rsid w:val="0083197C"/>
    <w:rsid w:val="008323ED"/>
    <w:rsid w:val="00832645"/>
    <w:rsid w:val="00834FCA"/>
    <w:rsid w:val="0084285D"/>
    <w:rsid w:val="0085096A"/>
    <w:rsid w:val="00865E47"/>
    <w:rsid w:val="00867607"/>
    <w:rsid w:val="0088256F"/>
    <w:rsid w:val="008848E3"/>
    <w:rsid w:val="00887F9B"/>
    <w:rsid w:val="008935E7"/>
    <w:rsid w:val="00894FA4"/>
    <w:rsid w:val="008A1221"/>
    <w:rsid w:val="008A20C9"/>
    <w:rsid w:val="008A45F4"/>
    <w:rsid w:val="008B7706"/>
    <w:rsid w:val="008B7FD3"/>
    <w:rsid w:val="008C1480"/>
    <w:rsid w:val="008D26C9"/>
    <w:rsid w:val="008D3D05"/>
    <w:rsid w:val="008E146E"/>
    <w:rsid w:val="008E7E24"/>
    <w:rsid w:val="008F2794"/>
    <w:rsid w:val="008F5C70"/>
    <w:rsid w:val="00901E06"/>
    <w:rsid w:val="00906730"/>
    <w:rsid w:val="00907F7C"/>
    <w:rsid w:val="00910F8D"/>
    <w:rsid w:val="00927730"/>
    <w:rsid w:val="009311EA"/>
    <w:rsid w:val="0093362F"/>
    <w:rsid w:val="0093416D"/>
    <w:rsid w:val="00940CEF"/>
    <w:rsid w:val="00943A68"/>
    <w:rsid w:val="00944F72"/>
    <w:rsid w:val="0094732E"/>
    <w:rsid w:val="0095305E"/>
    <w:rsid w:val="00954730"/>
    <w:rsid w:val="00972AB5"/>
    <w:rsid w:val="00977EC5"/>
    <w:rsid w:val="00984B2D"/>
    <w:rsid w:val="00986A36"/>
    <w:rsid w:val="00987538"/>
    <w:rsid w:val="00997A4B"/>
    <w:rsid w:val="009A6AF4"/>
    <w:rsid w:val="009A7025"/>
    <w:rsid w:val="009A772E"/>
    <w:rsid w:val="009B26F0"/>
    <w:rsid w:val="009B4125"/>
    <w:rsid w:val="009C2D86"/>
    <w:rsid w:val="009C4615"/>
    <w:rsid w:val="009D16B5"/>
    <w:rsid w:val="009D74F6"/>
    <w:rsid w:val="009E2BAB"/>
    <w:rsid w:val="009E431A"/>
    <w:rsid w:val="009F1E99"/>
    <w:rsid w:val="009F422D"/>
    <w:rsid w:val="009F54BF"/>
    <w:rsid w:val="00A03E64"/>
    <w:rsid w:val="00A20586"/>
    <w:rsid w:val="00A23856"/>
    <w:rsid w:val="00A30C60"/>
    <w:rsid w:val="00A32504"/>
    <w:rsid w:val="00A37051"/>
    <w:rsid w:val="00A46318"/>
    <w:rsid w:val="00A464C6"/>
    <w:rsid w:val="00A607BC"/>
    <w:rsid w:val="00A6284D"/>
    <w:rsid w:val="00A6417A"/>
    <w:rsid w:val="00A649BE"/>
    <w:rsid w:val="00A65FBD"/>
    <w:rsid w:val="00A71B39"/>
    <w:rsid w:val="00A72A9A"/>
    <w:rsid w:val="00A73AA1"/>
    <w:rsid w:val="00A770C7"/>
    <w:rsid w:val="00A81F6C"/>
    <w:rsid w:val="00A83432"/>
    <w:rsid w:val="00A8462F"/>
    <w:rsid w:val="00A85730"/>
    <w:rsid w:val="00A86F04"/>
    <w:rsid w:val="00A8780A"/>
    <w:rsid w:val="00A929A7"/>
    <w:rsid w:val="00AA2D97"/>
    <w:rsid w:val="00AB01F6"/>
    <w:rsid w:val="00AB1F1B"/>
    <w:rsid w:val="00AB38AF"/>
    <w:rsid w:val="00AB5B38"/>
    <w:rsid w:val="00AC2A50"/>
    <w:rsid w:val="00AC2ADD"/>
    <w:rsid w:val="00AE5149"/>
    <w:rsid w:val="00AE6DF7"/>
    <w:rsid w:val="00B017A8"/>
    <w:rsid w:val="00B02F76"/>
    <w:rsid w:val="00B04703"/>
    <w:rsid w:val="00B31509"/>
    <w:rsid w:val="00B32E8F"/>
    <w:rsid w:val="00B35F6B"/>
    <w:rsid w:val="00B37606"/>
    <w:rsid w:val="00B50518"/>
    <w:rsid w:val="00B641C1"/>
    <w:rsid w:val="00B8092F"/>
    <w:rsid w:val="00B8335C"/>
    <w:rsid w:val="00B84FC8"/>
    <w:rsid w:val="00B91738"/>
    <w:rsid w:val="00BA4EED"/>
    <w:rsid w:val="00BA5AF8"/>
    <w:rsid w:val="00BB282C"/>
    <w:rsid w:val="00BB4D6F"/>
    <w:rsid w:val="00BC104B"/>
    <w:rsid w:val="00BC1324"/>
    <w:rsid w:val="00BD1909"/>
    <w:rsid w:val="00BD3B78"/>
    <w:rsid w:val="00BD48DF"/>
    <w:rsid w:val="00BD601A"/>
    <w:rsid w:val="00BE0631"/>
    <w:rsid w:val="00BE429C"/>
    <w:rsid w:val="00BE7A22"/>
    <w:rsid w:val="00BF06FD"/>
    <w:rsid w:val="00BF5987"/>
    <w:rsid w:val="00BF6C9A"/>
    <w:rsid w:val="00C03F97"/>
    <w:rsid w:val="00C0426C"/>
    <w:rsid w:val="00C049BC"/>
    <w:rsid w:val="00C06376"/>
    <w:rsid w:val="00C07CC5"/>
    <w:rsid w:val="00C170A1"/>
    <w:rsid w:val="00C246C5"/>
    <w:rsid w:val="00C2646B"/>
    <w:rsid w:val="00C269D1"/>
    <w:rsid w:val="00C377F3"/>
    <w:rsid w:val="00C41ED7"/>
    <w:rsid w:val="00C43C9C"/>
    <w:rsid w:val="00C52EA8"/>
    <w:rsid w:val="00C643D2"/>
    <w:rsid w:val="00C655C3"/>
    <w:rsid w:val="00C66C2F"/>
    <w:rsid w:val="00C7041D"/>
    <w:rsid w:val="00C76115"/>
    <w:rsid w:val="00C92AFC"/>
    <w:rsid w:val="00C9559D"/>
    <w:rsid w:val="00CA1487"/>
    <w:rsid w:val="00CA3B39"/>
    <w:rsid w:val="00CA445C"/>
    <w:rsid w:val="00CB00CF"/>
    <w:rsid w:val="00CB6A3C"/>
    <w:rsid w:val="00CC6A1F"/>
    <w:rsid w:val="00CD13CD"/>
    <w:rsid w:val="00CD323B"/>
    <w:rsid w:val="00CD44A9"/>
    <w:rsid w:val="00CE255C"/>
    <w:rsid w:val="00CE3D0A"/>
    <w:rsid w:val="00CE7AD7"/>
    <w:rsid w:val="00CF1290"/>
    <w:rsid w:val="00D003DF"/>
    <w:rsid w:val="00D0241C"/>
    <w:rsid w:val="00D31EA1"/>
    <w:rsid w:val="00D335C5"/>
    <w:rsid w:val="00D33E7C"/>
    <w:rsid w:val="00D40E11"/>
    <w:rsid w:val="00D45704"/>
    <w:rsid w:val="00D46E9C"/>
    <w:rsid w:val="00D56F01"/>
    <w:rsid w:val="00D60ACD"/>
    <w:rsid w:val="00D617C3"/>
    <w:rsid w:val="00D63655"/>
    <w:rsid w:val="00D71022"/>
    <w:rsid w:val="00D7508C"/>
    <w:rsid w:val="00D81F27"/>
    <w:rsid w:val="00D96A2F"/>
    <w:rsid w:val="00DA7AC7"/>
    <w:rsid w:val="00DB4640"/>
    <w:rsid w:val="00DB6AAD"/>
    <w:rsid w:val="00DB7337"/>
    <w:rsid w:val="00DC4B5E"/>
    <w:rsid w:val="00DC56A6"/>
    <w:rsid w:val="00DC6059"/>
    <w:rsid w:val="00DD0CFE"/>
    <w:rsid w:val="00DD1A90"/>
    <w:rsid w:val="00DD4A98"/>
    <w:rsid w:val="00DD7D96"/>
    <w:rsid w:val="00DE1BF0"/>
    <w:rsid w:val="00DE3588"/>
    <w:rsid w:val="00DE65AF"/>
    <w:rsid w:val="00DE7CFE"/>
    <w:rsid w:val="00E018EE"/>
    <w:rsid w:val="00E04E96"/>
    <w:rsid w:val="00E17B20"/>
    <w:rsid w:val="00E2391D"/>
    <w:rsid w:val="00E315A8"/>
    <w:rsid w:val="00E36C90"/>
    <w:rsid w:val="00E36CF2"/>
    <w:rsid w:val="00E46BBC"/>
    <w:rsid w:val="00E52DC1"/>
    <w:rsid w:val="00E53D90"/>
    <w:rsid w:val="00E57B22"/>
    <w:rsid w:val="00E61E40"/>
    <w:rsid w:val="00E6601A"/>
    <w:rsid w:val="00E67C0A"/>
    <w:rsid w:val="00E767AD"/>
    <w:rsid w:val="00E76F3B"/>
    <w:rsid w:val="00E84528"/>
    <w:rsid w:val="00E84C29"/>
    <w:rsid w:val="00E96050"/>
    <w:rsid w:val="00EA21AA"/>
    <w:rsid w:val="00EC0832"/>
    <w:rsid w:val="00EC2C94"/>
    <w:rsid w:val="00EC3DDD"/>
    <w:rsid w:val="00EE1784"/>
    <w:rsid w:val="00EE3241"/>
    <w:rsid w:val="00EF06CA"/>
    <w:rsid w:val="00EF2934"/>
    <w:rsid w:val="00EF34E7"/>
    <w:rsid w:val="00F04A4E"/>
    <w:rsid w:val="00F201B2"/>
    <w:rsid w:val="00F211F9"/>
    <w:rsid w:val="00F21F25"/>
    <w:rsid w:val="00F23E31"/>
    <w:rsid w:val="00F317D9"/>
    <w:rsid w:val="00F44744"/>
    <w:rsid w:val="00F53BCF"/>
    <w:rsid w:val="00F577C8"/>
    <w:rsid w:val="00F6251D"/>
    <w:rsid w:val="00F63367"/>
    <w:rsid w:val="00F651D8"/>
    <w:rsid w:val="00F65BE4"/>
    <w:rsid w:val="00F66DC0"/>
    <w:rsid w:val="00F675AF"/>
    <w:rsid w:val="00F7073D"/>
    <w:rsid w:val="00F76C54"/>
    <w:rsid w:val="00F838E0"/>
    <w:rsid w:val="00F86AD6"/>
    <w:rsid w:val="00F873EE"/>
    <w:rsid w:val="00F87C43"/>
    <w:rsid w:val="00F95F26"/>
    <w:rsid w:val="00FA5888"/>
    <w:rsid w:val="00FC39CD"/>
    <w:rsid w:val="00FD5B2E"/>
    <w:rsid w:val="00FD5FE5"/>
    <w:rsid w:val="00FF2928"/>
    <w:rsid w:val="035B108E"/>
    <w:rsid w:val="042F23FB"/>
    <w:rsid w:val="063E3798"/>
    <w:rsid w:val="073113B0"/>
    <w:rsid w:val="081E2479"/>
    <w:rsid w:val="089F16C6"/>
    <w:rsid w:val="08CC36C8"/>
    <w:rsid w:val="10C27230"/>
    <w:rsid w:val="121D3BF2"/>
    <w:rsid w:val="13C66CD3"/>
    <w:rsid w:val="145F34B0"/>
    <w:rsid w:val="162136CB"/>
    <w:rsid w:val="16C53D53"/>
    <w:rsid w:val="17D1137A"/>
    <w:rsid w:val="18FC1962"/>
    <w:rsid w:val="19567196"/>
    <w:rsid w:val="1D882867"/>
    <w:rsid w:val="1E85756C"/>
    <w:rsid w:val="1E9F1674"/>
    <w:rsid w:val="1F434643"/>
    <w:rsid w:val="21BA00C9"/>
    <w:rsid w:val="2314418A"/>
    <w:rsid w:val="24E15D34"/>
    <w:rsid w:val="26F26C4D"/>
    <w:rsid w:val="2AFE7817"/>
    <w:rsid w:val="2B175364"/>
    <w:rsid w:val="2BA67163"/>
    <w:rsid w:val="30283B4B"/>
    <w:rsid w:val="30917111"/>
    <w:rsid w:val="34AE1026"/>
    <w:rsid w:val="35E87EEF"/>
    <w:rsid w:val="36197C3B"/>
    <w:rsid w:val="37904553"/>
    <w:rsid w:val="392A2550"/>
    <w:rsid w:val="39420F27"/>
    <w:rsid w:val="3BE206B7"/>
    <w:rsid w:val="3D63666A"/>
    <w:rsid w:val="3FEB2F14"/>
    <w:rsid w:val="40D4366C"/>
    <w:rsid w:val="40FA5553"/>
    <w:rsid w:val="42113867"/>
    <w:rsid w:val="42AC1900"/>
    <w:rsid w:val="4636068B"/>
    <w:rsid w:val="473D4FE8"/>
    <w:rsid w:val="47F64478"/>
    <w:rsid w:val="4AC81853"/>
    <w:rsid w:val="4C62532F"/>
    <w:rsid w:val="4D3A6A18"/>
    <w:rsid w:val="4FA42846"/>
    <w:rsid w:val="50252CBD"/>
    <w:rsid w:val="50A70326"/>
    <w:rsid w:val="50F070BE"/>
    <w:rsid w:val="54AC5CD7"/>
    <w:rsid w:val="5592145D"/>
    <w:rsid w:val="585E1BA3"/>
    <w:rsid w:val="5A1D3D5C"/>
    <w:rsid w:val="5A494B51"/>
    <w:rsid w:val="5D250822"/>
    <w:rsid w:val="5EA82F3E"/>
    <w:rsid w:val="5F8800C7"/>
    <w:rsid w:val="61FB6CC8"/>
    <w:rsid w:val="642E3B90"/>
    <w:rsid w:val="6A541C66"/>
    <w:rsid w:val="6DC77589"/>
    <w:rsid w:val="71B9421D"/>
    <w:rsid w:val="74B93E7A"/>
    <w:rsid w:val="753000DB"/>
    <w:rsid w:val="75FA729D"/>
    <w:rsid w:val="7A5B3348"/>
    <w:rsid w:val="7F0636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qFormat="1" w:unhideWhenUsed="0" w:uiPriority="0" w:semiHidden="0"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6"/>
    <w:qFormat/>
    <w:uiPriority w:val="9"/>
    <w:pPr>
      <w:keepNext/>
      <w:keepLines/>
      <w:numPr>
        <w:ilvl w:val="0"/>
        <w:numId w:val="1"/>
      </w:numPr>
      <w:adjustRightInd w:val="0"/>
      <w:spacing w:before="120" w:after="120"/>
      <w:jc w:val="left"/>
      <w:outlineLvl w:val="0"/>
    </w:pPr>
    <w:rPr>
      <w:kern w:val="44"/>
      <w:sz w:val="30"/>
      <w:szCs w:val="20"/>
    </w:rPr>
  </w:style>
  <w:style w:type="paragraph" w:styleId="3">
    <w:name w:val="heading 2"/>
    <w:basedOn w:val="1"/>
    <w:next w:val="4"/>
    <w:link w:val="47"/>
    <w:qFormat/>
    <w:uiPriority w:val="9"/>
    <w:pPr>
      <w:keepNext/>
      <w:keepLines/>
      <w:numPr>
        <w:ilvl w:val="1"/>
        <w:numId w:val="1"/>
      </w:numPr>
      <w:adjustRightInd w:val="0"/>
      <w:spacing w:before="260" w:after="260" w:line="416" w:lineRule="atLeast"/>
      <w:outlineLvl w:val="1"/>
    </w:pPr>
    <w:rPr>
      <w:rFonts w:ascii="Arial" w:hAnsi="Arial" w:eastAsia="黑体"/>
      <w:b/>
      <w:kern w:val="0"/>
      <w:sz w:val="32"/>
      <w:szCs w:val="20"/>
    </w:rPr>
  </w:style>
  <w:style w:type="paragraph" w:styleId="5">
    <w:name w:val="heading 3"/>
    <w:basedOn w:val="1"/>
    <w:next w:val="1"/>
    <w:link w:val="48"/>
    <w:qFormat/>
    <w:uiPriority w:val="0"/>
    <w:pPr>
      <w:keepNext/>
      <w:keepLines/>
      <w:numPr>
        <w:ilvl w:val="2"/>
        <w:numId w:val="1"/>
      </w:numPr>
      <w:adjustRightInd w:val="0"/>
      <w:spacing w:before="260" w:after="260" w:line="416" w:lineRule="atLeast"/>
      <w:jc w:val="left"/>
      <w:outlineLvl w:val="2"/>
    </w:pPr>
    <w:rPr>
      <w:b/>
      <w:kern w:val="0"/>
      <w:sz w:val="30"/>
      <w:szCs w:val="20"/>
    </w:rPr>
  </w:style>
  <w:style w:type="paragraph" w:styleId="6">
    <w:name w:val="heading 4"/>
    <w:basedOn w:val="1"/>
    <w:next w:val="1"/>
    <w:link w:val="49"/>
    <w:qFormat/>
    <w:uiPriority w:val="0"/>
    <w:pPr>
      <w:keepNext/>
      <w:keepLines/>
      <w:numPr>
        <w:ilvl w:val="3"/>
        <w:numId w:val="1"/>
      </w:numPr>
      <w:adjustRightInd w:val="0"/>
      <w:spacing w:before="280" w:after="290" w:line="376" w:lineRule="atLeast"/>
      <w:outlineLvl w:val="3"/>
    </w:pPr>
    <w:rPr>
      <w:rFonts w:ascii="Arial" w:hAnsi="Arial" w:eastAsia="黑体"/>
      <w:b/>
      <w:bCs/>
      <w:kern w:val="0"/>
      <w:sz w:val="28"/>
      <w:szCs w:val="28"/>
    </w:rPr>
  </w:style>
  <w:style w:type="paragraph" w:styleId="7">
    <w:name w:val="heading 5"/>
    <w:basedOn w:val="1"/>
    <w:next w:val="1"/>
    <w:link w:val="50"/>
    <w:qFormat/>
    <w:uiPriority w:val="0"/>
    <w:pPr>
      <w:keepNext/>
      <w:keepLines/>
      <w:numPr>
        <w:ilvl w:val="4"/>
        <w:numId w:val="1"/>
      </w:numPr>
      <w:adjustRightInd w:val="0"/>
      <w:spacing w:before="280" w:after="290" w:line="376" w:lineRule="atLeast"/>
      <w:outlineLvl w:val="4"/>
    </w:pPr>
    <w:rPr>
      <w:b/>
      <w:bCs/>
      <w:kern w:val="0"/>
      <w:sz w:val="28"/>
      <w:szCs w:val="28"/>
    </w:rPr>
  </w:style>
  <w:style w:type="paragraph" w:styleId="8">
    <w:name w:val="heading 6"/>
    <w:basedOn w:val="1"/>
    <w:next w:val="1"/>
    <w:link w:val="51"/>
    <w:qFormat/>
    <w:uiPriority w:val="0"/>
    <w:pPr>
      <w:keepNext/>
      <w:keepLines/>
      <w:numPr>
        <w:ilvl w:val="5"/>
        <w:numId w:val="1"/>
      </w:numPr>
      <w:adjustRightInd w:val="0"/>
      <w:spacing w:before="240" w:after="64" w:line="320" w:lineRule="atLeast"/>
      <w:outlineLvl w:val="5"/>
    </w:pPr>
    <w:rPr>
      <w:rFonts w:ascii="Arial" w:hAnsi="Arial" w:eastAsia="黑体"/>
      <w:b/>
      <w:bCs/>
      <w:kern w:val="0"/>
      <w:sz w:val="24"/>
    </w:rPr>
  </w:style>
  <w:style w:type="paragraph" w:styleId="9">
    <w:name w:val="heading 7"/>
    <w:basedOn w:val="1"/>
    <w:next w:val="1"/>
    <w:link w:val="52"/>
    <w:qFormat/>
    <w:uiPriority w:val="0"/>
    <w:pPr>
      <w:keepNext/>
      <w:keepLines/>
      <w:numPr>
        <w:ilvl w:val="6"/>
        <w:numId w:val="1"/>
      </w:numPr>
      <w:adjustRightInd w:val="0"/>
      <w:spacing w:before="240" w:after="64" w:line="320" w:lineRule="atLeast"/>
      <w:outlineLvl w:val="6"/>
    </w:pPr>
    <w:rPr>
      <w:b/>
      <w:bCs/>
      <w:kern w:val="0"/>
      <w:sz w:val="24"/>
    </w:rPr>
  </w:style>
  <w:style w:type="paragraph" w:styleId="10">
    <w:name w:val="heading 8"/>
    <w:basedOn w:val="1"/>
    <w:next w:val="1"/>
    <w:link w:val="53"/>
    <w:qFormat/>
    <w:uiPriority w:val="0"/>
    <w:pPr>
      <w:keepNext/>
      <w:keepLines/>
      <w:numPr>
        <w:ilvl w:val="7"/>
        <w:numId w:val="1"/>
      </w:numPr>
      <w:adjustRightInd w:val="0"/>
      <w:spacing w:before="240" w:after="64" w:line="320" w:lineRule="atLeast"/>
      <w:outlineLvl w:val="7"/>
    </w:pPr>
    <w:rPr>
      <w:rFonts w:ascii="Arial" w:hAnsi="Arial" w:eastAsia="黑体"/>
      <w:kern w:val="0"/>
      <w:sz w:val="24"/>
    </w:rPr>
  </w:style>
  <w:style w:type="paragraph" w:styleId="11">
    <w:name w:val="heading 9"/>
    <w:basedOn w:val="1"/>
    <w:next w:val="1"/>
    <w:link w:val="54"/>
    <w:qFormat/>
    <w:uiPriority w:val="0"/>
    <w:pPr>
      <w:keepNext/>
      <w:keepLines/>
      <w:numPr>
        <w:ilvl w:val="8"/>
        <w:numId w:val="1"/>
      </w:numPr>
      <w:adjustRightInd w:val="0"/>
      <w:spacing w:before="240" w:after="64" w:line="320" w:lineRule="atLeast"/>
      <w:outlineLvl w:val="8"/>
    </w:pPr>
    <w:rPr>
      <w:rFonts w:ascii="Arial" w:hAnsi="Arial" w:eastAsia="黑体"/>
      <w:kern w:val="0"/>
      <w:szCs w:val="21"/>
    </w:rPr>
  </w:style>
  <w:style w:type="character" w:default="1" w:styleId="38">
    <w:name w:val="Default Paragraph Font"/>
    <w:semiHidden/>
    <w:unhideWhenUsed/>
    <w:qFormat/>
    <w:uiPriority w:val="1"/>
  </w:style>
  <w:style w:type="table" w:default="1" w:styleId="36">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adjustRightInd w:val="0"/>
      <w:spacing w:line="312" w:lineRule="atLeast"/>
      <w:ind w:firstLine="420" w:firstLineChars="200"/>
    </w:pPr>
    <w:rPr>
      <w:kern w:val="0"/>
      <w:szCs w:val="20"/>
    </w:rPr>
  </w:style>
  <w:style w:type="paragraph" w:styleId="12">
    <w:name w:val="Document Map"/>
    <w:basedOn w:val="1"/>
    <w:link w:val="77"/>
    <w:semiHidden/>
    <w:qFormat/>
    <w:uiPriority w:val="0"/>
    <w:pPr>
      <w:shd w:val="clear" w:color="auto" w:fill="000080"/>
    </w:pPr>
    <w:rPr>
      <w:rFonts w:asciiTheme="minorHAnsi" w:hAnsiTheme="minorHAnsi" w:eastAsiaTheme="minorEastAsia" w:cstheme="minorBidi"/>
      <w:shd w:val="clear" w:color="auto" w:fill="000080"/>
    </w:rPr>
  </w:style>
  <w:style w:type="paragraph" w:styleId="13">
    <w:name w:val="toa heading"/>
    <w:basedOn w:val="1"/>
    <w:next w:val="1"/>
    <w:semiHidden/>
    <w:qFormat/>
    <w:uiPriority w:val="0"/>
    <w:pPr>
      <w:widowControl/>
      <w:spacing w:before="120"/>
      <w:jc w:val="left"/>
    </w:pPr>
    <w:rPr>
      <w:rFonts w:ascii="Arial" w:hAnsi="Arial" w:cs="Arial"/>
      <w:kern w:val="0"/>
      <w:sz w:val="24"/>
    </w:rPr>
  </w:style>
  <w:style w:type="paragraph" w:styleId="14">
    <w:name w:val="annotation text"/>
    <w:basedOn w:val="1"/>
    <w:link w:val="55"/>
    <w:semiHidden/>
    <w:qFormat/>
    <w:uiPriority w:val="99"/>
    <w:pPr>
      <w:jc w:val="left"/>
    </w:pPr>
    <w:rPr>
      <w:rFonts w:asciiTheme="minorHAnsi" w:hAnsiTheme="minorHAnsi" w:eastAsiaTheme="minorEastAsia" w:cstheme="minorBidi"/>
      <w:szCs w:val="22"/>
    </w:rPr>
  </w:style>
  <w:style w:type="paragraph" w:styleId="15">
    <w:name w:val="Salutation"/>
    <w:basedOn w:val="1"/>
    <w:next w:val="1"/>
    <w:link w:val="63"/>
    <w:qFormat/>
    <w:uiPriority w:val="0"/>
    <w:pPr>
      <w:adjustRightInd w:val="0"/>
      <w:spacing w:line="312" w:lineRule="atLeast"/>
    </w:pPr>
    <w:rPr>
      <w:rFonts w:asciiTheme="minorHAnsi" w:hAnsiTheme="minorHAnsi" w:eastAsiaTheme="minorEastAsia" w:cstheme="minorBidi"/>
      <w:szCs w:val="22"/>
    </w:rPr>
  </w:style>
  <w:style w:type="paragraph" w:styleId="16">
    <w:name w:val="Body Text 3"/>
    <w:basedOn w:val="1"/>
    <w:link w:val="106"/>
    <w:qFormat/>
    <w:uiPriority w:val="0"/>
    <w:pPr>
      <w:spacing w:after="120"/>
    </w:pPr>
    <w:rPr>
      <w:sz w:val="16"/>
      <w:szCs w:val="16"/>
    </w:rPr>
  </w:style>
  <w:style w:type="paragraph" w:styleId="17">
    <w:name w:val="List Bullet 3"/>
    <w:basedOn w:val="1"/>
    <w:qFormat/>
    <w:uiPriority w:val="0"/>
    <w:pPr>
      <w:numPr>
        <w:ilvl w:val="0"/>
        <w:numId w:val="2"/>
      </w:numPr>
      <w:ind w:left="0" w:leftChars="172" w:hanging="899" w:hangingChars="428"/>
    </w:pPr>
  </w:style>
  <w:style w:type="paragraph" w:styleId="18">
    <w:name w:val="Body Text"/>
    <w:basedOn w:val="1"/>
    <w:link w:val="59"/>
    <w:qFormat/>
    <w:uiPriority w:val="0"/>
    <w:pPr>
      <w:spacing w:after="120"/>
    </w:pPr>
    <w:rPr>
      <w:rFonts w:asciiTheme="minorHAnsi" w:hAnsiTheme="minorHAnsi" w:eastAsiaTheme="minorEastAsia" w:cstheme="minorBidi"/>
    </w:rPr>
  </w:style>
  <w:style w:type="paragraph" w:styleId="19">
    <w:name w:val="Body Text Indent"/>
    <w:basedOn w:val="1"/>
    <w:link w:val="61"/>
    <w:qFormat/>
    <w:uiPriority w:val="0"/>
    <w:pPr>
      <w:spacing w:before="60" w:after="60"/>
      <w:ind w:firstLine="480" w:firstLineChars="200"/>
    </w:pPr>
    <w:rPr>
      <w:rFonts w:asciiTheme="minorHAnsi" w:hAnsiTheme="minorHAnsi" w:eastAsiaTheme="minorEastAsia" w:cstheme="minorBidi"/>
      <w:color w:val="000000"/>
      <w:sz w:val="24"/>
    </w:rPr>
  </w:style>
  <w:style w:type="paragraph" w:styleId="20">
    <w:name w:val="Block Text"/>
    <w:basedOn w:val="1"/>
    <w:qFormat/>
    <w:uiPriority w:val="0"/>
    <w:pPr>
      <w:spacing w:after="120"/>
      <w:ind w:left="1440" w:leftChars="700" w:right="1440" w:rightChars="700"/>
    </w:pPr>
    <w:rPr>
      <w:szCs w:val="20"/>
    </w:rPr>
  </w:style>
  <w:style w:type="paragraph" w:styleId="21">
    <w:name w:val="toc 3"/>
    <w:basedOn w:val="1"/>
    <w:next w:val="1"/>
    <w:qFormat/>
    <w:uiPriority w:val="39"/>
    <w:pPr>
      <w:tabs>
        <w:tab w:val="left" w:pos="1860"/>
        <w:tab w:val="right" w:leader="dot" w:pos="8647"/>
      </w:tabs>
      <w:ind w:firstLine="1050" w:firstLineChars="525"/>
      <w:jc w:val="center"/>
    </w:pPr>
    <w:rPr>
      <w:iCs/>
      <w:sz w:val="20"/>
      <w:szCs w:val="20"/>
    </w:rPr>
  </w:style>
  <w:style w:type="paragraph" w:styleId="22">
    <w:name w:val="Plain Text"/>
    <w:basedOn w:val="1"/>
    <w:link w:val="79"/>
    <w:qFormat/>
    <w:uiPriority w:val="0"/>
    <w:rPr>
      <w:rFonts w:ascii="宋体" w:hAnsi="Courier New"/>
      <w:szCs w:val="20"/>
    </w:rPr>
  </w:style>
  <w:style w:type="paragraph" w:styleId="23">
    <w:name w:val="Date"/>
    <w:basedOn w:val="1"/>
    <w:next w:val="1"/>
    <w:link w:val="65"/>
    <w:qFormat/>
    <w:uiPriority w:val="0"/>
    <w:pPr>
      <w:ind w:left="2500" w:leftChars="2500"/>
    </w:pPr>
    <w:rPr>
      <w:rFonts w:ascii="仿宋_GB2312" w:eastAsia="仿宋_GB2312" w:hAnsiTheme="minorHAnsi" w:cstheme="minorBidi"/>
      <w:sz w:val="24"/>
    </w:rPr>
  </w:style>
  <w:style w:type="paragraph" w:styleId="24">
    <w:name w:val="Body Text Indent 2"/>
    <w:basedOn w:val="1"/>
    <w:link w:val="73"/>
    <w:qFormat/>
    <w:uiPriority w:val="0"/>
    <w:pPr>
      <w:spacing w:line="300" w:lineRule="auto"/>
      <w:ind w:left="257" w:leftChars="257" w:hanging="480" w:hangingChars="200"/>
    </w:pPr>
    <w:rPr>
      <w:rFonts w:ascii="仿宋_GB2312" w:eastAsia="仿宋_GB2312" w:hAnsiTheme="minorHAnsi" w:cstheme="minorBidi"/>
      <w:color w:val="000000"/>
      <w:sz w:val="24"/>
    </w:rPr>
  </w:style>
  <w:style w:type="paragraph" w:styleId="25">
    <w:name w:val="Balloon Text"/>
    <w:basedOn w:val="1"/>
    <w:link w:val="82"/>
    <w:semiHidden/>
    <w:qFormat/>
    <w:uiPriority w:val="99"/>
    <w:rPr>
      <w:rFonts w:asciiTheme="minorHAnsi" w:hAnsiTheme="minorHAnsi" w:eastAsiaTheme="minorEastAsia" w:cstheme="minorBidi"/>
      <w:sz w:val="18"/>
      <w:szCs w:val="18"/>
    </w:rPr>
  </w:style>
  <w:style w:type="paragraph" w:styleId="26">
    <w:name w:val="footer"/>
    <w:basedOn w:val="1"/>
    <w:link w:val="45"/>
    <w:unhideWhenUsed/>
    <w:qFormat/>
    <w:uiPriority w:val="99"/>
    <w:pPr>
      <w:tabs>
        <w:tab w:val="center" w:pos="4153"/>
        <w:tab w:val="right" w:pos="8306"/>
      </w:tabs>
      <w:snapToGrid w:val="0"/>
      <w:jc w:val="left"/>
    </w:pPr>
    <w:rPr>
      <w:sz w:val="18"/>
      <w:szCs w:val="18"/>
    </w:rPr>
  </w:style>
  <w:style w:type="paragraph" w:styleId="27">
    <w:name w:val="header"/>
    <w:basedOn w:val="1"/>
    <w:link w:val="44"/>
    <w:unhideWhenUsed/>
    <w:qFormat/>
    <w:uiPriority w:val="99"/>
    <w:pPr>
      <w:pBdr>
        <w:bottom w:val="single" w:color="auto" w:sz="6" w:space="1"/>
      </w:pBdr>
      <w:tabs>
        <w:tab w:val="center" w:pos="4153"/>
        <w:tab w:val="right" w:pos="8306"/>
      </w:tabs>
      <w:snapToGrid w:val="0"/>
      <w:jc w:val="center"/>
    </w:pPr>
    <w:rPr>
      <w:sz w:val="18"/>
      <w:szCs w:val="18"/>
    </w:rPr>
  </w:style>
  <w:style w:type="paragraph" w:styleId="28">
    <w:name w:val="toc 1"/>
    <w:basedOn w:val="1"/>
    <w:next w:val="1"/>
    <w:semiHidden/>
    <w:qFormat/>
    <w:uiPriority w:val="0"/>
    <w:pPr>
      <w:numPr>
        <w:ilvl w:val="0"/>
        <w:numId w:val="3"/>
      </w:numPr>
      <w:spacing w:line="440" w:lineRule="exact"/>
      <w:outlineLvl w:val="2"/>
    </w:pPr>
    <w:rPr>
      <w:rFonts w:ascii="宋体" w:hAnsi="宋体"/>
      <w:b/>
      <w:bCs/>
      <w:caps/>
      <w:sz w:val="24"/>
    </w:rPr>
  </w:style>
  <w:style w:type="paragraph" w:styleId="29">
    <w:name w:val="Body Text Indent 3"/>
    <w:basedOn w:val="1"/>
    <w:link w:val="75"/>
    <w:qFormat/>
    <w:uiPriority w:val="0"/>
    <w:pPr>
      <w:snapToGrid w:val="0"/>
      <w:spacing w:line="500" w:lineRule="exact"/>
      <w:ind w:firstLine="480" w:firstLineChars="200"/>
    </w:pPr>
    <w:rPr>
      <w:rFonts w:ascii="Arial" w:hAnsi="Arial" w:eastAsia="仿宋_GB2312" w:cstheme="minorBidi"/>
      <w:sz w:val="24"/>
    </w:rPr>
  </w:style>
  <w:style w:type="paragraph" w:styleId="30">
    <w:name w:val="toc 2"/>
    <w:basedOn w:val="1"/>
    <w:next w:val="1"/>
    <w:qFormat/>
    <w:uiPriority w:val="39"/>
    <w:pPr>
      <w:tabs>
        <w:tab w:val="left" w:pos="1470"/>
        <w:tab w:val="right" w:leader="dot" w:pos="8647"/>
      </w:tabs>
      <w:ind w:left="210" w:firstLine="448"/>
      <w:jc w:val="left"/>
      <w:outlineLvl w:val="1"/>
    </w:pPr>
    <w:rPr>
      <w:rFonts w:hAnsi="宋体"/>
      <w:b/>
      <w:smallCaps/>
      <w:sz w:val="20"/>
      <w:szCs w:val="20"/>
    </w:rPr>
  </w:style>
  <w:style w:type="paragraph" w:styleId="31">
    <w:name w:val="Body Text 2"/>
    <w:basedOn w:val="1"/>
    <w:link w:val="71"/>
    <w:qFormat/>
    <w:uiPriority w:val="0"/>
    <w:pPr>
      <w:spacing w:after="120" w:line="480" w:lineRule="auto"/>
    </w:pPr>
    <w:rPr>
      <w:rFonts w:asciiTheme="minorHAnsi" w:hAnsiTheme="minorHAnsi" w:eastAsiaTheme="minorEastAsia" w:cstheme="minorBidi"/>
    </w:rPr>
  </w:style>
  <w:style w:type="paragraph" w:styleId="3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33">
    <w:name w:val="annotation subject"/>
    <w:basedOn w:val="14"/>
    <w:next w:val="14"/>
    <w:link w:val="80"/>
    <w:semiHidden/>
    <w:qFormat/>
    <w:uiPriority w:val="99"/>
    <w:rPr>
      <w:b/>
      <w:bCs/>
    </w:rPr>
  </w:style>
  <w:style w:type="paragraph" w:styleId="34">
    <w:name w:val="Body Text First Indent"/>
    <w:basedOn w:val="18"/>
    <w:link w:val="67"/>
    <w:qFormat/>
    <w:uiPriority w:val="0"/>
    <w:pPr>
      <w:ind w:firstLine="420" w:firstLineChars="100"/>
    </w:pPr>
  </w:style>
  <w:style w:type="paragraph" w:styleId="35">
    <w:name w:val="Body Text First Indent 2"/>
    <w:basedOn w:val="19"/>
    <w:link w:val="69"/>
    <w:qFormat/>
    <w:uiPriority w:val="0"/>
    <w:pPr>
      <w:spacing w:before="0" w:after="120"/>
      <w:ind w:left="200" w:leftChars="200" w:firstLine="420"/>
    </w:pPr>
    <w:rPr>
      <w:sz w:val="21"/>
    </w:rPr>
  </w:style>
  <w:style w:type="table" w:styleId="37">
    <w:name w:val="Table Grid"/>
    <w:basedOn w:val="3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9">
    <w:name w:val="Strong"/>
    <w:qFormat/>
    <w:uiPriority w:val="0"/>
    <w:rPr>
      <w:b/>
      <w:bCs/>
    </w:rPr>
  </w:style>
  <w:style w:type="character" w:styleId="40">
    <w:name w:val="page number"/>
    <w:basedOn w:val="38"/>
    <w:qFormat/>
    <w:uiPriority w:val="0"/>
  </w:style>
  <w:style w:type="character" w:styleId="41">
    <w:name w:val="Emphasis"/>
    <w:qFormat/>
    <w:uiPriority w:val="20"/>
    <w:rPr>
      <w:color w:val="CC0000"/>
    </w:rPr>
  </w:style>
  <w:style w:type="character" w:styleId="42">
    <w:name w:val="Hyperlink"/>
    <w:qFormat/>
    <w:uiPriority w:val="99"/>
    <w:rPr>
      <w:color w:val="0000FF"/>
      <w:u w:val="single"/>
    </w:rPr>
  </w:style>
  <w:style w:type="character" w:styleId="43">
    <w:name w:val="annotation reference"/>
    <w:semiHidden/>
    <w:qFormat/>
    <w:uiPriority w:val="99"/>
    <w:rPr>
      <w:sz w:val="21"/>
      <w:szCs w:val="21"/>
    </w:rPr>
  </w:style>
  <w:style w:type="character" w:customStyle="1" w:styleId="44">
    <w:name w:val="页眉 字符"/>
    <w:basedOn w:val="38"/>
    <w:link w:val="27"/>
    <w:qFormat/>
    <w:uiPriority w:val="99"/>
    <w:rPr>
      <w:sz w:val="18"/>
      <w:szCs w:val="18"/>
    </w:rPr>
  </w:style>
  <w:style w:type="character" w:customStyle="1" w:styleId="45">
    <w:name w:val="页脚 字符"/>
    <w:basedOn w:val="38"/>
    <w:link w:val="26"/>
    <w:qFormat/>
    <w:uiPriority w:val="99"/>
    <w:rPr>
      <w:sz w:val="18"/>
      <w:szCs w:val="18"/>
    </w:rPr>
  </w:style>
  <w:style w:type="character" w:customStyle="1" w:styleId="46">
    <w:name w:val="标题 1 字符"/>
    <w:basedOn w:val="38"/>
    <w:link w:val="2"/>
    <w:qFormat/>
    <w:uiPriority w:val="9"/>
    <w:rPr>
      <w:rFonts w:ascii="Times New Roman" w:hAnsi="Times New Roman" w:eastAsia="宋体" w:cs="Times New Roman"/>
      <w:kern w:val="44"/>
      <w:sz w:val="30"/>
      <w:szCs w:val="20"/>
    </w:rPr>
  </w:style>
  <w:style w:type="character" w:customStyle="1" w:styleId="47">
    <w:name w:val="标题 2 字符"/>
    <w:basedOn w:val="38"/>
    <w:link w:val="3"/>
    <w:qFormat/>
    <w:uiPriority w:val="9"/>
    <w:rPr>
      <w:rFonts w:ascii="Arial" w:hAnsi="Arial" w:eastAsia="黑体" w:cs="Times New Roman"/>
      <w:b/>
      <w:kern w:val="0"/>
      <w:sz w:val="32"/>
      <w:szCs w:val="20"/>
    </w:rPr>
  </w:style>
  <w:style w:type="character" w:customStyle="1" w:styleId="48">
    <w:name w:val="标题 3 字符"/>
    <w:basedOn w:val="38"/>
    <w:link w:val="5"/>
    <w:qFormat/>
    <w:uiPriority w:val="0"/>
    <w:rPr>
      <w:rFonts w:ascii="Times New Roman" w:hAnsi="Times New Roman" w:eastAsia="宋体" w:cs="Times New Roman"/>
      <w:b/>
      <w:kern w:val="0"/>
      <w:sz w:val="30"/>
      <w:szCs w:val="20"/>
    </w:rPr>
  </w:style>
  <w:style w:type="character" w:customStyle="1" w:styleId="49">
    <w:name w:val="标题 4 字符"/>
    <w:basedOn w:val="38"/>
    <w:link w:val="6"/>
    <w:qFormat/>
    <w:uiPriority w:val="0"/>
    <w:rPr>
      <w:rFonts w:ascii="Arial" w:hAnsi="Arial" w:eastAsia="黑体" w:cs="Times New Roman"/>
      <w:b/>
      <w:bCs/>
      <w:kern w:val="0"/>
      <w:sz w:val="28"/>
      <w:szCs w:val="28"/>
    </w:rPr>
  </w:style>
  <w:style w:type="character" w:customStyle="1" w:styleId="50">
    <w:name w:val="标题 5 字符"/>
    <w:basedOn w:val="38"/>
    <w:link w:val="7"/>
    <w:qFormat/>
    <w:uiPriority w:val="0"/>
    <w:rPr>
      <w:rFonts w:ascii="Times New Roman" w:hAnsi="Times New Roman" w:eastAsia="宋体" w:cs="Times New Roman"/>
      <w:b/>
      <w:bCs/>
      <w:kern w:val="0"/>
      <w:sz w:val="28"/>
      <w:szCs w:val="28"/>
    </w:rPr>
  </w:style>
  <w:style w:type="character" w:customStyle="1" w:styleId="51">
    <w:name w:val="标题 6 字符"/>
    <w:basedOn w:val="38"/>
    <w:link w:val="8"/>
    <w:qFormat/>
    <w:uiPriority w:val="0"/>
    <w:rPr>
      <w:rFonts w:ascii="Arial" w:hAnsi="Arial" w:eastAsia="黑体" w:cs="Times New Roman"/>
      <w:b/>
      <w:bCs/>
      <w:kern w:val="0"/>
      <w:sz w:val="24"/>
      <w:szCs w:val="24"/>
    </w:rPr>
  </w:style>
  <w:style w:type="character" w:customStyle="1" w:styleId="52">
    <w:name w:val="标题 7 字符"/>
    <w:basedOn w:val="38"/>
    <w:link w:val="9"/>
    <w:qFormat/>
    <w:uiPriority w:val="0"/>
    <w:rPr>
      <w:rFonts w:ascii="Times New Roman" w:hAnsi="Times New Roman" w:eastAsia="宋体" w:cs="Times New Roman"/>
      <w:b/>
      <w:bCs/>
      <w:kern w:val="0"/>
      <w:sz w:val="24"/>
      <w:szCs w:val="24"/>
    </w:rPr>
  </w:style>
  <w:style w:type="character" w:customStyle="1" w:styleId="53">
    <w:name w:val="标题 8 字符"/>
    <w:basedOn w:val="38"/>
    <w:link w:val="10"/>
    <w:qFormat/>
    <w:uiPriority w:val="0"/>
    <w:rPr>
      <w:rFonts w:ascii="Arial" w:hAnsi="Arial" w:eastAsia="黑体" w:cs="Times New Roman"/>
      <w:kern w:val="0"/>
      <w:sz w:val="24"/>
      <w:szCs w:val="24"/>
    </w:rPr>
  </w:style>
  <w:style w:type="character" w:customStyle="1" w:styleId="54">
    <w:name w:val="标题 9 字符"/>
    <w:basedOn w:val="38"/>
    <w:link w:val="11"/>
    <w:qFormat/>
    <w:uiPriority w:val="0"/>
    <w:rPr>
      <w:rFonts w:ascii="Arial" w:hAnsi="Arial" w:eastAsia="黑体" w:cs="Times New Roman"/>
      <w:kern w:val="0"/>
      <w:szCs w:val="21"/>
    </w:rPr>
  </w:style>
  <w:style w:type="character" w:customStyle="1" w:styleId="55">
    <w:name w:val="批注文字 字符"/>
    <w:link w:val="14"/>
    <w:semiHidden/>
    <w:qFormat/>
    <w:locked/>
    <w:uiPriority w:val="99"/>
  </w:style>
  <w:style w:type="character" w:customStyle="1" w:styleId="56">
    <w:name w:val="批注文字 Char1"/>
    <w:basedOn w:val="38"/>
    <w:semiHidden/>
    <w:qFormat/>
    <w:uiPriority w:val="99"/>
    <w:rPr>
      <w:rFonts w:ascii="Times New Roman" w:hAnsi="Times New Roman" w:eastAsia="宋体" w:cs="Times New Roman"/>
      <w:szCs w:val="24"/>
    </w:rPr>
  </w:style>
  <w:style w:type="character" w:customStyle="1" w:styleId="57">
    <w:name w:val="页眉 Char1"/>
    <w:basedOn w:val="38"/>
    <w:semiHidden/>
    <w:qFormat/>
    <w:uiPriority w:val="99"/>
    <w:rPr>
      <w:rFonts w:ascii="Times New Roman" w:hAnsi="Times New Roman" w:eastAsia="宋体" w:cs="Times New Roman"/>
      <w:sz w:val="18"/>
      <w:szCs w:val="18"/>
    </w:rPr>
  </w:style>
  <w:style w:type="character" w:customStyle="1" w:styleId="58">
    <w:name w:val="页脚 Char1"/>
    <w:basedOn w:val="38"/>
    <w:semiHidden/>
    <w:qFormat/>
    <w:uiPriority w:val="99"/>
    <w:rPr>
      <w:rFonts w:ascii="Times New Roman" w:hAnsi="Times New Roman" w:eastAsia="宋体" w:cs="Times New Roman"/>
      <w:sz w:val="18"/>
      <w:szCs w:val="18"/>
    </w:rPr>
  </w:style>
  <w:style w:type="character" w:customStyle="1" w:styleId="59">
    <w:name w:val="正文文本 字符"/>
    <w:link w:val="18"/>
    <w:qFormat/>
    <w:locked/>
    <w:uiPriority w:val="0"/>
    <w:rPr>
      <w:szCs w:val="24"/>
    </w:rPr>
  </w:style>
  <w:style w:type="character" w:customStyle="1" w:styleId="60">
    <w:name w:val="正文文本 Char1"/>
    <w:basedOn w:val="38"/>
    <w:semiHidden/>
    <w:qFormat/>
    <w:uiPriority w:val="99"/>
    <w:rPr>
      <w:rFonts w:ascii="Times New Roman" w:hAnsi="Times New Roman" w:eastAsia="宋体" w:cs="Times New Roman"/>
      <w:szCs w:val="24"/>
    </w:rPr>
  </w:style>
  <w:style w:type="character" w:customStyle="1" w:styleId="61">
    <w:name w:val="正文文本缩进 字符"/>
    <w:link w:val="19"/>
    <w:qFormat/>
    <w:locked/>
    <w:uiPriority w:val="0"/>
    <w:rPr>
      <w:color w:val="000000"/>
      <w:sz w:val="24"/>
      <w:szCs w:val="24"/>
    </w:rPr>
  </w:style>
  <w:style w:type="character" w:customStyle="1" w:styleId="62">
    <w:name w:val="正文文本缩进 Char1"/>
    <w:basedOn w:val="38"/>
    <w:semiHidden/>
    <w:qFormat/>
    <w:uiPriority w:val="99"/>
    <w:rPr>
      <w:rFonts w:ascii="Times New Roman" w:hAnsi="Times New Roman" w:eastAsia="宋体" w:cs="Times New Roman"/>
      <w:szCs w:val="24"/>
    </w:rPr>
  </w:style>
  <w:style w:type="character" w:customStyle="1" w:styleId="63">
    <w:name w:val="称呼 字符"/>
    <w:link w:val="15"/>
    <w:qFormat/>
    <w:locked/>
    <w:uiPriority w:val="0"/>
  </w:style>
  <w:style w:type="character" w:customStyle="1" w:styleId="64">
    <w:name w:val="称呼 Char1"/>
    <w:basedOn w:val="38"/>
    <w:semiHidden/>
    <w:qFormat/>
    <w:uiPriority w:val="99"/>
    <w:rPr>
      <w:rFonts w:ascii="Times New Roman" w:hAnsi="Times New Roman" w:eastAsia="宋体" w:cs="Times New Roman"/>
      <w:szCs w:val="24"/>
    </w:rPr>
  </w:style>
  <w:style w:type="character" w:customStyle="1" w:styleId="65">
    <w:name w:val="日期 字符"/>
    <w:link w:val="23"/>
    <w:qFormat/>
    <w:locked/>
    <w:uiPriority w:val="0"/>
    <w:rPr>
      <w:rFonts w:ascii="仿宋_GB2312" w:eastAsia="仿宋_GB2312"/>
      <w:sz w:val="24"/>
      <w:szCs w:val="24"/>
    </w:rPr>
  </w:style>
  <w:style w:type="character" w:customStyle="1" w:styleId="66">
    <w:name w:val="日期 Char1"/>
    <w:basedOn w:val="38"/>
    <w:semiHidden/>
    <w:qFormat/>
    <w:uiPriority w:val="99"/>
    <w:rPr>
      <w:rFonts w:ascii="Times New Roman" w:hAnsi="Times New Roman" w:eastAsia="宋体" w:cs="Times New Roman"/>
      <w:szCs w:val="24"/>
    </w:rPr>
  </w:style>
  <w:style w:type="character" w:customStyle="1" w:styleId="67">
    <w:name w:val="正文首行缩进 字符"/>
    <w:basedOn w:val="59"/>
    <w:link w:val="34"/>
    <w:qFormat/>
    <w:locked/>
    <w:uiPriority w:val="0"/>
    <w:rPr>
      <w:szCs w:val="24"/>
    </w:rPr>
  </w:style>
  <w:style w:type="character" w:customStyle="1" w:styleId="68">
    <w:name w:val="正文首行缩进 Char1"/>
    <w:basedOn w:val="60"/>
    <w:semiHidden/>
    <w:qFormat/>
    <w:uiPriority w:val="99"/>
    <w:rPr>
      <w:rFonts w:ascii="Times New Roman" w:hAnsi="Times New Roman" w:eastAsia="宋体" w:cs="Times New Roman"/>
      <w:szCs w:val="24"/>
    </w:rPr>
  </w:style>
  <w:style w:type="character" w:customStyle="1" w:styleId="69">
    <w:name w:val="正文首行缩进 2 字符"/>
    <w:link w:val="35"/>
    <w:qFormat/>
    <w:locked/>
    <w:uiPriority w:val="0"/>
    <w:rPr>
      <w:color w:val="000000"/>
      <w:szCs w:val="24"/>
    </w:rPr>
  </w:style>
  <w:style w:type="character" w:customStyle="1" w:styleId="70">
    <w:name w:val="正文首行缩进 2 Char1"/>
    <w:basedOn w:val="62"/>
    <w:semiHidden/>
    <w:qFormat/>
    <w:uiPriority w:val="99"/>
    <w:rPr>
      <w:rFonts w:ascii="Times New Roman" w:hAnsi="Times New Roman" w:eastAsia="宋体" w:cs="Times New Roman"/>
      <w:szCs w:val="24"/>
    </w:rPr>
  </w:style>
  <w:style w:type="character" w:customStyle="1" w:styleId="71">
    <w:name w:val="正文文本 2 字符"/>
    <w:link w:val="31"/>
    <w:qFormat/>
    <w:locked/>
    <w:uiPriority w:val="0"/>
    <w:rPr>
      <w:szCs w:val="24"/>
    </w:rPr>
  </w:style>
  <w:style w:type="character" w:customStyle="1" w:styleId="72">
    <w:name w:val="正文文本 2 Char1"/>
    <w:basedOn w:val="38"/>
    <w:semiHidden/>
    <w:qFormat/>
    <w:uiPriority w:val="99"/>
    <w:rPr>
      <w:rFonts w:ascii="Times New Roman" w:hAnsi="Times New Roman" w:eastAsia="宋体" w:cs="Times New Roman"/>
      <w:szCs w:val="24"/>
    </w:rPr>
  </w:style>
  <w:style w:type="character" w:customStyle="1" w:styleId="73">
    <w:name w:val="正文文本缩进 2 字符"/>
    <w:link w:val="24"/>
    <w:qFormat/>
    <w:locked/>
    <w:uiPriority w:val="0"/>
    <w:rPr>
      <w:rFonts w:ascii="仿宋_GB2312" w:eastAsia="仿宋_GB2312"/>
      <w:color w:val="000000"/>
      <w:sz w:val="24"/>
      <w:szCs w:val="24"/>
    </w:rPr>
  </w:style>
  <w:style w:type="character" w:customStyle="1" w:styleId="74">
    <w:name w:val="正文文本缩进 2 Char1"/>
    <w:basedOn w:val="38"/>
    <w:semiHidden/>
    <w:qFormat/>
    <w:uiPriority w:val="99"/>
    <w:rPr>
      <w:rFonts w:ascii="Times New Roman" w:hAnsi="Times New Roman" w:eastAsia="宋体" w:cs="Times New Roman"/>
      <w:szCs w:val="24"/>
    </w:rPr>
  </w:style>
  <w:style w:type="character" w:customStyle="1" w:styleId="75">
    <w:name w:val="正文文本缩进 3 字符"/>
    <w:link w:val="29"/>
    <w:qFormat/>
    <w:locked/>
    <w:uiPriority w:val="0"/>
    <w:rPr>
      <w:rFonts w:ascii="Arial" w:hAnsi="Arial" w:eastAsia="仿宋_GB2312"/>
      <w:sz w:val="24"/>
      <w:szCs w:val="24"/>
    </w:rPr>
  </w:style>
  <w:style w:type="character" w:customStyle="1" w:styleId="76">
    <w:name w:val="正文文本缩进 3 Char1"/>
    <w:basedOn w:val="38"/>
    <w:semiHidden/>
    <w:qFormat/>
    <w:uiPriority w:val="99"/>
    <w:rPr>
      <w:rFonts w:ascii="Times New Roman" w:hAnsi="Times New Roman" w:eastAsia="宋体" w:cs="Times New Roman"/>
      <w:sz w:val="16"/>
      <w:szCs w:val="16"/>
    </w:rPr>
  </w:style>
  <w:style w:type="character" w:customStyle="1" w:styleId="77">
    <w:name w:val="文档结构图 字符"/>
    <w:link w:val="12"/>
    <w:semiHidden/>
    <w:qFormat/>
    <w:locked/>
    <w:uiPriority w:val="0"/>
    <w:rPr>
      <w:szCs w:val="24"/>
      <w:shd w:val="clear" w:color="auto" w:fill="000080"/>
    </w:rPr>
  </w:style>
  <w:style w:type="character" w:customStyle="1" w:styleId="78">
    <w:name w:val="文档结构图 Char1"/>
    <w:basedOn w:val="38"/>
    <w:semiHidden/>
    <w:qFormat/>
    <w:uiPriority w:val="99"/>
    <w:rPr>
      <w:rFonts w:ascii="宋体" w:hAnsi="Times New Roman" w:eastAsia="宋体" w:cs="Times New Roman"/>
      <w:sz w:val="18"/>
      <w:szCs w:val="18"/>
    </w:rPr>
  </w:style>
  <w:style w:type="character" w:customStyle="1" w:styleId="79">
    <w:name w:val="纯文本 字符"/>
    <w:basedOn w:val="38"/>
    <w:link w:val="22"/>
    <w:qFormat/>
    <w:uiPriority w:val="0"/>
    <w:rPr>
      <w:rFonts w:ascii="宋体" w:hAnsi="Courier New" w:eastAsia="宋体" w:cs="Times New Roman"/>
      <w:szCs w:val="20"/>
    </w:rPr>
  </w:style>
  <w:style w:type="character" w:customStyle="1" w:styleId="80">
    <w:name w:val="批注主题 字符"/>
    <w:link w:val="33"/>
    <w:semiHidden/>
    <w:qFormat/>
    <w:locked/>
    <w:uiPriority w:val="99"/>
    <w:rPr>
      <w:b/>
      <w:bCs/>
    </w:rPr>
  </w:style>
  <w:style w:type="character" w:customStyle="1" w:styleId="81">
    <w:name w:val="批注主题 Char1"/>
    <w:basedOn w:val="56"/>
    <w:semiHidden/>
    <w:qFormat/>
    <w:uiPriority w:val="99"/>
    <w:rPr>
      <w:rFonts w:ascii="Times New Roman" w:hAnsi="Times New Roman" w:eastAsia="宋体" w:cs="Times New Roman"/>
      <w:b/>
      <w:bCs/>
      <w:szCs w:val="24"/>
    </w:rPr>
  </w:style>
  <w:style w:type="character" w:customStyle="1" w:styleId="82">
    <w:name w:val="批注框文本 字符"/>
    <w:link w:val="25"/>
    <w:semiHidden/>
    <w:qFormat/>
    <w:locked/>
    <w:uiPriority w:val="99"/>
    <w:rPr>
      <w:sz w:val="18"/>
      <w:szCs w:val="18"/>
    </w:rPr>
  </w:style>
  <w:style w:type="character" w:customStyle="1" w:styleId="83">
    <w:name w:val="批注框文本 Char1"/>
    <w:basedOn w:val="38"/>
    <w:semiHidden/>
    <w:qFormat/>
    <w:uiPriority w:val="99"/>
    <w:rPr>
      <w:rFonts w:ascii="Times New Roman" w:hAnsi="Times New Roman" w:eastAsia="宋体" w:cs="Times New Roman"/>
      <w:sz w:val="18"/>
      <w:szCs w:val="18"/>
    </w:rPr>
  </w:style>
  <w:style w:type="paragraph" w:customStyle="1" w:styleId="84">
    <w:name w:val="(1)"/>
    <w:basedOn w:val="1"/>
    <w:qFormat/>
    <w:uiPriority w:val="0"/>
    <w:pPr>
      <w:snapToGrid w:val="0"/>
      <w:spacing w:line="500" w:lineRule="exact"/>
      <w:ind w:left="100" w:leftChars="100" w:right="100" w:rightChars="100"/>
    </w:pPr>
    <w:rPr>
      <w:rFonts w:ascii="仿宋_GB2312" w:hAnsi="Arial" w:eastAsia="仿宋_GB2312"/>
      <w:sz w:val="24"/>
    </w:rPr>
  </w:style>
  <w:style w:type="paragraph" w:customStyle="1" w:styleId="85">
    <w:name w:val="样式1"/>
    <w:basedOn w:val="1"/>
    <w:qFormat/>
    <w:uiPriority w:val="0"/>
    <w:pPr>
      <w:adjustRightInd w:val="0"/>
      <w:spacing w:line="420" w:lineRule="auto"/>
      <w:jc w:val="center"/>
    </w:pPr>
    <w:rPr>
      <w:rFonts w:ascii="宋体"/>
      <w:kern w:val="0"/>
      <w:sz w:val="24"/>
      <w:szCs w:val="20"/>
    </w:rPr>
  </w:style>
  <w:style w:type="paragraph" w:customStyle="1" w:styleId="86">
    <w:name w:val="1-大标题"/>
    <w:basedOn w:val="1"/>
    <w:qFormat/>
    <w:uiPriority w:val="0"/>
    <w:pPr>
      <w:widowControl/>
      <w:adjustRightInd w:val="0"/>
      <w:snapToGrid w:val="0"/>
      <w:spacing w:before="100" w:beforeAutospacing="1" w:after="100" w:afterAutospacing="1" w:line="300" w:lineRule="auto"/>
      <w:jc w:val="center"/>
    </w:pPr>
    <w:rPr>
      <w:rFonts w:ascii="Times" w:hAnsi="Times" w:eastAsia="黑体"/>
      <w:spacing w:val="20"/>
      <w:kern w:val="0"/>
      <w:sz w:val="40"/>
      <w:szCs w:val="20"/>
    </w:rPr>
  </w:style>
  <w:style w:type="paragraph" w:customStyle="1" w:styleId="87">
    <w:name w:val="样式 四号 首行缩进:  1.01 厘米"/>
    <w:basedOn w:val="1"/>
    <w:qFormat/>
    <w:uiPriority w:val="0"/>
    <w:pPr>
      <w:numPr>
        <w:ilvl w:val="0"/>
        <w:numId w:val="4"/>
      </w:numPr>
    </w:pPr>
    <w:rPr>
      <w:sz w:val="28"/>
      <w:szCs w:val="20"/>
    </w:rPr>
  </w:style>
  <w:style w:type="paragraph" w:customStyle="1" w:styleId="88">
    <w:name w:val="样式 标题 1H1合同标题 + 小三"/>
    <w:basedOn w:val="2"/>
    <w:qFormat/>
    <w:uiPriority w:val="0"/>
    <w:pPr>
      <w:widowControl/>
      <w:numPr>
        <w:numId w:val="5"/>
      </w:numPr>
      <w:tabs>
        <w:tab w:val="left" w:pos="432"/>
      </w:tabs>
      <w:snapToGrid w:val="0"/>
      <w:spacing w:after="240" w:line="240" w:lineRule="atLeast"/>
    </w:pPr>
    <w:rPr>
      <w:rFonts w:eastAsia="黑体"/>
      <w:b/>
      <w:bCs/>
      <w:spacing w:val="10"/>
      <w:kern w:val="2"/>
    </w:rPr>
  </w:style>
  <w:style w:type="paragraph" w:customStyle="1" w:styleId="89">
    <w:name w:val="小标题"/>
    <w:basedOn w:val="1"/>
    <w:next w:val="4"/>
    <w:qFormat/>
    <w:uiPriority w:val="0"/>
    <w:pPr>
      <w:numPr>
        <w:ilvl w:val="0"/>
        <w:numId w:val="6"/>
      </w:numPr>
      <w:spacing w:line="360" w:lineRule="auto"/>
    </w:pPr>
    <w:rPr>
      <w:b/>
    </w:rPr>
  </w:style>
  <w:style w:type="paragraph" w:customStyle="1" w:styleId="90">
    <w:name w:val="USE 1"/>
    <w:basedOn w:val="1"/>
    <w:qFormat/>
    <w:uiPriority w:val="0"/>
    <w:pPr>
      <w:spacing w:line="200" w:lineRule="atLeast"/>
      <w:jc w:val="left"/>
    </w:pPr>
    <w:rPr>
      <w:rFonts w:ascii="宋体" w:hAnsi="宋体"/>
      <w:b/>
      <w:sz w:val="24"/>
      <w:szCs w:val="28"/>
    </w:rPr>
  </w:style>
  <w:style w:type="paragraph" w:customStyle="1" w:styleId="91">
    <w:name w:val="p_margin"/>
    <w:qFormat/>
    <w:uiPriority w:val="0"/>
    <w:pPr>
      <w:tabs>
        <w:tab w:val="left" w:pos="-720"/>
      </w:tabs>
      <w:suppressAutoHyphens/>
      <w:jc w:val="both"/>
    </w:pPr>
    <w:rPr>
      <w:rFonts w:ascii="CG Times" w:hAnsi="CG Times" w:eastAsia="宋体" w:cs="Times New Roman"/>
      <w:spacing w:val="-3"/>
      <w:sz w:val="24"/>
      <w:lang w:val="en-US" w:eastAsia="en-US" w:bidi="ar-SA"/>
    </w:rPr>
  </w:style>
  <w:style w:type="paragraph" w:customStyle="1" w:styleId="92">
    <w:name w:val="Char1 Char Char Char"/>
    <w:basedOn w:val="1"/>
    <w:qFormat/>
    <w:uiPriority w:val="0"/>
    <w:pPr>
      <w:spacing w:line="360" w:lineRule="auto"/>
      <w:ind w:firstLine="200" w:firstLineChars="200"/>
    </w:pPr>
    <w:rPr>
      <w:rFonts w:ascii="宋体" w:hAnsi="宋体" w:cs="宋体"/>
      <w:sz w:val="24"/>
    </w:rPr>
  </w:style>
  <w:style w:type="paragraph" w:customStyle="1" w:styleId="93">
    <w:name w:val="默认段落字体 Para Char"/>
    <w:basedOn w:val="1"/>
    <w:qFormat/>
    <w:uiPriority w:val="0"/>
    <w:rPr>
      <w:sz w:val="24"/>
    </w:rPr>
  </w:style>
  <w:style w:type="character" w:customStyle="1" w:styleId="94">
    <w:name w:val="正 文 1 Char1"/>
    <w:semiHidden/>
    <w:qFormat/>
    <w:locked/>
    <w:uiPriority w:val="0"/>
    <w:rPr>
      <w:rFonts w:ascii="宋体" w:hAnsi="Courier New" w:eastAsia="宋体"/>
      <w:kern w:val="2"/>
      <w:sz w:val="21"/>
      <w:lang w:val="en-US" w:eastAsia="zh-CN" w:bidi="ar-SA"/>
    </w:rPr>
  </w:style>
  <w:style w:type="character" w:customStyle="1" w:styleId="95">
    <w:name w:val="节标题 1.1 Char"/>
    <w:qFormat/>
    <w:locked/>
    <w:uiPriority w:val="0"/>
    <w:rPr>
      <w:rFonts w:ascii="Arial" w:hAnsi="Arial" w:eastAsia="黑体"/>
      <w:b/>
      <w:sz w:val="32"/>
      <w:lang w:val="en-US" w:eastAsia="zh-CN" w:bidi="ar-SA"/>
    </w:rPr>
  </w:style>
  <w:style w:type="character" w:customStyle="1" w:styleId="96">
    <w:name w:val="Char Char8"/>
    <w:qFormat/>
    <w:locked/>
    <w:uiPriority w:val="0"/>
    <w:rPr>
      <w:rFonts w:ascii="仿宋_GB2312" w:eastAsia="仿宋_GB2312"/>
      <w:kern w:val="2"/>
      <w:sz w:val="24"/>
      <w:szCs w:val="24"/>
      <w:lang w:bidi="ar-SA"/>
    </w:rPr>
  </w:style>
  <w:style w:type="character" w:customStyle="1" w:styleId="97">
    <w:name w:val="条标题1.1.1 Char1"/>
    <w:qFormat/>
    <w:locked/>
    <w:uiPriority w:val="0"/>
    <w:rPr>
      <w:rFonts w:eastAsia="宋体"/>
      <w:b/>
      <w:sz w:val="30"/>
      <w:lang w:val="en-US" w:eastAsia="zh-CN" w:bidi="ar-SA"/>
    </w:rPr>
  </w:style>
  <w:style w:type="paragraph" w:customStyle="1" w:styleId="98">
    <w:name w:val="Char"/>
    <w:basedOn w:val="1"/>
    <w:qFormat/>
    <w:uiPriority w:val="0"/>
  </w:style>
  <w:style w:type="paragraph" w:customStyle="1" w:styleId="99">
    <w:name w:val="样式2"/>
    <w:basedOn w:val="1"/>
    <w:link w:val="104"/>
    <w:qFormat/>
    <w:uiPriority w:val="0"/>
    <w:pPr>
      <w:numPr>
        <w:ilvl w:val="0"/>
        <w:numId w:val="7"/>
      </w:numPr>
      <w:spacing w:line="360" w:lineRule="auto"/>
      <w:ind w:left="0" w:firstLine="566" w:firstLineChars="236"/>
      <w:jc w:val="left"/>
    </w:pPr>
    <w:rPr>
      <w:sz w:val="24"/>
    </w:rPr>
  </w:style>
  <w:style w:type="paragraph" w:customStyle="1" w:styleId="100">
    <w:name w:val="Char Char"/>
    <w:basedOn w:val="1"/>
    <w:qFormat/>
    <w:uiPriority w:val="0"/>
    <w:rPr>
      <w:rFonts w:ascii="Tahoma" w:hAnsi="Tahoma"/>
      <w:sz w:val="24"/>
      <w:szCs w:val="20"/>
    </w:rPr>
  </w:style>
  <w:style w:type="paragraph" w:styleId="101">
    <w:name w:val="List Paragraph"/>
    <w:basedOn w:val="1"/>
    <w:link w:val="103"/>
    <w:qFormat/>
    <w:uiPriority w:val="34"/>
    <w:pPr>
      <w:ind w:firstLine="420" w:firstLineChars="200"/>
    </w:pPr>
  </w:style>
  <w:style w:type="paragraph" w:customStyle="1" w:styleId="102">
    <w:name w:val="TOC 标题1"/>
    <w:basedOn w:val="2"/>
    <w:next w:val="1"/>
    <w:unhideWhenUsed/>
    <w:qFormat/>
    <w:uiPriority w:val="39"/>
    <w:pPr>
      <w:widowControl/>
      <w:numPr>
        <w:numId w:val="0"/>
      </w:numPr>
      <w:adjustRightInd/>
      <w:spacing w:before="480" w:after="0" w:line="276" w:lineRule="auto"/>
      <w:outlineLvl w:val="9"/>
    </w:pPr>
    <w:rPr>
      <w:rFonts w:asciiTheme="majorHAnsi" w:hAnsiTheme="majorHAnsi" w:eastAsiaTheme="majorEastAsia" w:cstheme="majorBidi"/>
      <w:b/>
      <w:bCs/>
      <w:color w:val="376092" w:themeColor="accent1" w:themeShade="BF"/>
      <w:kern w:val="0"/>
      <w:sz w:val="28"/>
      <w:szCs w:val="28"/>
    </w:rPr>
  </w:style>
  <w:style w:type="character" w:customStyle="1" w:styleId="103">
    <w:name w:val="列出段落 字符"/>
    <w:link w:val="101"/>
    <w:qFormat/>
    <w:uiPriority w:val="0"/>
    <w:rPr>
      <w:rFonts w:ascii="Times New Roman" w:hAnsi="Times New Roman" w:eastAsia="宋体" w:cs="Times New Roman"/>
      <w:szCs w:val="24"/>
    </w:rPr>
  </w:style>
  <w:style w:type="character" w:customStyle="1" w:styleId="104">
    <w:name w:val="样式2 Char1"/>
    <w:link w:val="99"/>
    <w:qFormat/>
    <w:uiPriority w:val="0"/>
    <w:rPr>
      <w:rFonts w:ascii="Times New Roman" w:hAnsi="Times New Roman" w:eastAsia="宋体" w:cs="Times New Roman"/>
      <w:sz w:val="24"/>
      <w:szCs w:val="24"/>
    </w:rPr>
  </w:style>
  <w:style w:type="character" w:customStyle="1" w:styleId="105">
    <w:name w:val="纯文本 Char1"/>
    <w:basedOn w:val="38"/>
    <w:semiHidden/>
    <w:qFormat/>
    <w:uiPriority w:val="99"/>
    <w:rPr>
      <w:rFonts w:ascii="宋体" w:hAnsi="Courier New" w:eastAsia="宋体" w:cs="Courier New"/>
      <w:szCs w:val="21"/>
    </w:rPr>
  </w:style>
  <w:style w:type="character" w:customStyle="1" w:styleId="106">
    <w:name w:val="正文文本 3 字符"/>
    <w:basedOn w:val="38"/>
    <w:link w:val="16"/>
    <w:qFormat/>
    <w:uiPriority w:val="0"/>
    <w:rPr>
      <w:rFonts w:ascii="Times New Roman" w:hAnsi="Times New Roman" w:eastAsia="宋体" w:cs="Times New Roman"/>
      <w:sz w:val="16"/>
      <w:szCs w:val="16"/>
    </w:rPr>
  </w:style>
  <w:style w:type="paragraph" w:customStyle="1" w:styleId="107">
    <w:name w:val="Char Char Char Char Char Char1 Char Char Char Char"/>
    <w:basedOn w:val="1"/>
    <w:semiHidden/>
    <w:qFormat/>
    <w:uiPriority w:val="0"/>
    <w:pPr>
      <w:widowControl/>
      <w:spacing w:after="160" w:line="240" w:lineRule="exact"/>
      <w:jc w:val="left"/>
    </w:pPr>
    <w:rPr>
      <w:rFonts w:ascii="Verdana" w:hAnsi="Verdana"/>
      <w:b/>
      <w:bCs/>
      <w:snapToGrid w:val="0"/>
      <w:kern w:val="0"/>
      <w:sz w:val="20"/>
      <w:szCs w:val="20"/>
      <w:lang w:eastAsia="en-US"/>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F7A726-FC65-4E65-B5B9-47CB4505B5BF}">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41</Pages>
  <Words>10114</Words>
  <Characters>10289</Characters>
  <Lines>232</Lines>
  <Paragraphs>65</Paragraphs>
  <TotalTime>17</TotalTime>
  <ScaleCrop>false</ScaleCrop>
  <LinksUpToDate>false</LinksUpToDate>
  <CharactersWithSpaces>10436</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2019-07-21T14:45:00Z</dcterms:created>
  <dc:creator>辛颖(xinying)</dc:creator>
  <cp:lastModifiedBy>HB-GL-QCH</cp:lastModifiedBy>
  <dcterms:modified xsi:type="dcterms:W3CDTF">2026-07-13T09:19:17Z</dcterms:modified>
  <dc:title>桂林市深能环保有限公司2026年飞灰稳定化处理承包合同</dc:title>
  <cp:revision>159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382A7ADBC15B4EE5AA5B8DC607CBFB9E</vt:lpwstr>
  </property>
  <property fmtid="{D5CDD505-2E9C-101B-9397-08002B2CF9AE}" pid="4" name="KSOTemplateDocerSaveRecord">
    <vt:lpwstr>eyJoZGlkIjoiZjQ5NGMzYzc5MWU4ODdkZTkyYzI1M2Q2MTc0Mjk2YjIiLCJ1c2VySWQiOiIxNTEwNzU1OTUxIn0=</vt:lpwstr>
  </property>
</Properties>
</file>