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BF4BC">
      <w:pPr>
        <w:spacing w:before="100" w:beforeAutospacing="1" w:after="100" w:afterAutospacing="1" w:line="480" w:lineRule="auto"/>
        <w:jc w:val="center"/>
        <w:rPr>
          <w:rFonts w:hint="default" w:ascii="宋体" w:hAnsi="宋体"/>
          <w:b/>
          <w:sz w:val="44"/>
          <w:szCs w:val="44"/>
          <w:lang w:val="en-US" w:eastAsia="zh-CN"/>
        </w:rPr>
      </w:pPr>
      <w:r>
        <w:rPr>
          <w:rFonts w:hint="eastAsia" w:ascii="宋体" w:hAnsi="宋体"/>
          <w:b/>
          <w:sz w:val="44"/>
          <w:szCs w:val="44"/>
          <w:lang w:val="en-US" w:eastAsia="zh-CN"/>
        </w:rPr>
        <w:t>1</w:t>
      </w:r>
      <w:bookmarkStart w:id="37" w:name="_GoBack"/>
      <w:bookmarkEnd w:id="37"/>
    </w:p>
    <w:p w14:paraId="7B309971">
      <w:pPr>
        <w:spacing w:before="100" w:beforeAutospacing="1" w:after="100" w:afterAutospacing="1" w:line="480" w:lineRule="auto"/>
        <w:jc w:val="center"/>
        <w:rPr>
          <w:rFonts w:hint="eastAsia" w:ascii="宋体" w:hAnsi="宋体"/>
          <w:b/>
          <w:sz w:val="44"/>
          <w:szCs w:val="44"/>
          <w:lang w:val="en-US" w:eastAsia="zh-CN"/>
        </w:rPr>
      </w:pPr>
    </w:p>
    <w:p w14:paraId="5AA1DFAE">
      <w:pPr>
        <w:spacing w:before="100" w:beforeAutospacing="1" w:after="100" w:afterAutospacing="1" w:line="480" w:lineRule="auto"/>
        <w:jc w:val="center"/>
        <w:rPr>
          <w:rFonts w:hint="eastAsia" w:ascii="宋体" w:hAnsi="宋体"/>
          <w:b/>
          <w:sz w:val="44"/>
          <w:szCs w:val="44"/>
          <w:lang w:val="en-US" w:eastAsia="zh-CN"/>
        </w:rPr>
      </w:pPr>
    </w:p>
    <w:p w14:paraId="7F9745AB">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宋体" w:hAnsi="宋体"/>
          <w:b/>
          <w:sz w:val="44"/>
          <w:szCs w:val="44"/>
          <w:lang w:val="en-US" w:eastAsia="zh-CN"/>
        </w:rPr>
      </w:pPr>
    </w:p>
    <w:p w14:paraId="0231D1E3">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宋体" w:hAnsi="宋体"/>
          <w:b/>
          <w:sz w:val="44"/>
          <w:szCs w:val="44"/>
          <w:lang w:val="en-US" w:eastAsia="zh-CN"/>
        </w:rPr>
      </w:pPr>
      <w:r>
        <w:rPr>
          <w:rFonts w:hint="eastAsia" w:ascii="宋体" w:hAnsi="宋体"/>
          <w:b/>
          <w:sz w:val="44"/>
          <w:szCs w:val="44"/>
          <w:lang w:val="en-US" w:eastAsia="zh-CN"/>
        </w:rPr>
        <w:t>梅林海关南地块超充示范站项目预装式</w:t>
      </w:r>
    </w:p>
    <w:p w14:paraId="27694FCA">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宋体" w:hAnsi="宋体"/>
          <w:b/>
          <w:sz w:val="44"/>
          <w:szCs w:val="44"/>
        </w:rPr>
      </w:pPr>
      <w:r>
        <w:rPr>
          <w:rFonts w:hint="eastAsia" w:ascii="宋体" w:hAnsi="宋体"/>
          <w:b/>
          <w:sz w:val="44"/>
          <w:szCs w:val="44"/>
          <w:lang w:val="en-US" w:eastAsia="zh-CN"/>
        </w:rPr>
        <w:t>变电站及配套报装采购</w:t>
      </w:r>
      <w:r>
        <w:rPr>
          <w:rFonts w:hint="eastAsia" w:ascii="宋体" w:hAnsi="宋体"/>
          <w:b/>
          <w:sz w:val="44"/>
          <w:szCs w:val="44"/>
        </w:rPr>
        <w:t>招标文件</w:t>
      </w:r>
    </w:p>
    <w:p w14:paraId="253878EB">
      <w:pPr>
        <w:pStyle w:val="8"/>
        <w:spacing w:before="100" w:beforeAutospacing="1" w:after="100" w:afterAutospacing="1"/>
        <w:jc w:val="center"/>
        <w:rPr>
          <w:rFonts w:hint="eastAsia" w:hAnsi="宋体"/>
          <w:b/>
          <w:bCs/>
          <w:sz w:val="28"/>
        </w:rPr>
      </w:pPr>
      <w:r>
        <w:rPr>
          <w:rFonts w:hint="eastAsia" w:hAnsi="宋体"/>
          <w:b/>
          <w:bCs/>
          <w:sz w:val="28"/>
        </w:rPr>
        <w:t xml:space="preserve"> </w:t>
      </w:r>
    </w:p>
    <w:p w14:paraId="5959D8A6">
      <w:pPr>
        <w:rPr>
          <w:rFonts w:hint="eastAsia" w:hAnsi="宋体"/>
          <w:b/>
          <w:bCs/>
          <w:sz w:val="28"/>
        </w:rPr>
      </w:pPr>
    </w:p>
    <w:p w14:paraId="07A045B1">
      <w:pPr>
        <w:pStyle w:val="2"/>
      </w:pPr>
    </w:p>
    <w:p w14:paraId="1204C184">
      <w:pPr>
        <w:pStyle w:val="8"/>
        <w:spacing w:before="100" w:beforeAutospacing="1" w:after="100" w:afterAutospacing="1"/>
        <w:rPr>
          <w:rFonts w:hint="eastAsia" w:hAnsi="宋体"/>
          <w:sz w:val="24"/>
        </w:rPr>
      </w:pPr>
    </w:p>
    <w:p w14:paraId="434A3606">
      <w:pPr>
        <w:spacing w:before="100" w:beforeAutospacing="1" w:after="100" w:afterAutospacing="1" w:line="480" w:lineRule="auto"/>
        <w:ind w:left="2351" w:leftChars="394" w:hanging="1524" w:hangingChars="542"/>
        <w:rPr>
          <w:rFonts w:hint="default" w:ascii="宋体" w:hAnsi="宋体" w:eastAsia="宋体" w:cs="宋体"/>
          <w:b/>
          <w:bCs/>
          <w:sz w:val="28"/>
          <w:szCs w:val="28"/>
          <w:u w:val="single"/>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u w:val="single"/>
          <w:lang w:val="en-US" w:eastAsia="zh-CN"/>
        </w:rPr>
        <w:t xml:space="preserve"> 梅林海关南地块超充示范站项目预装式变电站及配套报装</w:t>
      </w:r>
      <w:r>
        <w:rPr>
          <w:rFonts w:hint="eastAsia" w:ascii="宋体" w:hAnsi="宋体" w:cs="宋体"/>
          <w:b/>
          <w:bCs/>
          <w:sz w:val="28"/>
          <w:szCs w:val="28"/>
          <w:u w:val="single"/>
          <w:lang w:val="en-US" w:eastAsia="zh-CN"/>
        </w:rPr>
        <w:t>采购</w:t>
      </w:r>
    </w:p>
    <w:p w14:paraId="5CFE7179">
      <w:pPr>
        <w:spacing w:before="100" w:beforeAutospacing="1" w:after="100" w:afterAutospacing="1" w:line="480" w:lineRule="auto"/>
        <w:ind w:left="2069" w:leftChars="394" w:hanging="1242" w:hangingChars="442"/>
        <w:rPr>
          <w:rFonts w:hint="eastAsia" w:ascii="宋体" w:hAnsi="宋体"/>
          <w:b/>
          <w:bCs/>
          <w:sz w:val="28"/>
          <w:szCs w:val="28"/>
          <w:u w:val="single"/>
        </w:rPr>
      </w:pPr>
      <w:r>
        <w:rPr>
          <w:rFonts w:hint="eastAsia" w:ascii="宋体" w:hAnsi="宋体" w:eastAsia="宋体" w:cs="宋体"/>
          <w:b/>
          <w:bCs/>
          <w:sz w:val="28"/>
          <w:szCs w:val="28"/>
        </w:rPr>
        <w:t>招 标 人：</w:t>
      </w:r>
      <w:r>
        <w:rPr>
          <w:rFonts w:hint="eastAsia" w:ascii="宋体" w:hAnsi="宋体" w:eastAsia="宋体" w:cs="宋体"/>
          <w:b/>
          <w:bCs/>
          <w:sz w:val="28"/>
          <w:szCs w:val="28"/>
          <w:u w:val="single"/>
        </w:rPr>
        <w:t xml:space="preserve">深圳市鹏城产业服务有限公司 </w:t>
      </w:r>
      <w:r>
        <w:rPr>
          <w:rFonts w:hint="eastAsia" w:ascii="宋体" w:hAnsi="宋体"/>
          <w:b/>
          <w:bCs/>
          <w:sz w:val="28"/>
          <w:szCs w:val="28"/>
          <w:u w:val="single"/>
        </w:rPr>
        <w:tab/>
      </w:r>
    </w:p>
    <w:p w14:paraId="06D4516A">
      <w:pPr>
        <w:pStyle w:val="8"/>
        <w:spacing w:before="100" w:beforeAutospacing="1" w:after="100" w:afterAutospacing="1"/>
        <w:ind w:left="2"/>
        <w:jc w:val="center"/>
        <w:rPr>
          <w:rFonts w:hint="eastAsia" w:hAnsi="宋体"/>
          <w:b/>
          <w:bCs/>
          <w:sz w:val="28"/>
          <w:szCs w:val="28"/>
        </w:rPr>
      </w:pPr>
    </w:p>
    <w:p w14:paraId="1409B880">
      <w:pPr>
        <w:pStyle w:val="8"/>
        <w:spacing w:before="100" w:beforeAutospacing="1" w:after="100" w:afterAutospacing="1"/>
        <w:ind w:left="2"/>
        <w:jc w:val="center"/>
        <w:rPr>
          <w:rFonts w:hint="eastAsia" w:hAnsi="宋体"/>
          <w:b/>
          <w:bCs/>
          <w:sz w:val="28"/>
          <w:szCs w:val="28"/>
        </w:rPr>
      </w:pPr>
    </w:p>
    <w:p w14:paraId="439D8A60">
      <w:pPr>
        <w:ind w:firstLine="2811" w:firstLineChars="1000"/>
        <w:rPr>
          <w:rFonts w:hint="eastAsia" w:hAnsi="宋体"/>
          <w:b/>
          <w:bCs/>
          <w:sz w:val="28"/>
          <w:szCs w:val="28"/>
        </w:rPr>
      </w:pPr>
      <w:r>
        <w:rPr>
          <w:rFonts w:hint="eastAsia" w:hAnsi="宋体"/>
          <w:b/>
          <w:bCs/>
          <w:sz w:val="28"/>
          <w:szCs w:val="28"/>
        </w:rPr>
        <w:t>二○二</w:t>
      </w:r>
      <w:r>
        <w:rPr>
          <w:rFonts w:hint="eastAsia" w:hAnsi="宋体"/>
          <w:b/>
          <w:bCs/>
          <w:sz w:val="28"/>
          <w:szCs w:val="28"/>
          <w:lang w:val="en-US" w:eastAsia="zh-CN"/>
        </w:rPr>
        <w:t>六</w:t>
      </w:r>
      <w:r>
        <w:rPr>
          <w:rFonts w:hint="eastAsia" w:hAnsi="宋体"/>
          <w:b/>
          <w:bCs/>
          <w:sz w:val="28"/>
          <w:szCs w:val="28"/>
        </w:rPr>
        <w:t>年</w:t>
      </w:r>
      <w:r>
        <w:rPr>
          <w:rFonts w:hint="eastAsia" w:hAnsi="宋体"/>
          <w:b/>
          <w:bCs/>
          <w:sz w:val="28"/>
          <w:szCs w:val="28"/>
          <w:lang w:val="en-US" w:eastAsia="zh-CN"/>
        </w:rPr>
        <w:t>六</w:t>
      </w:r>
      <w:r>
        <w:rPr>
          <w:rFonts w:hint="eastAsia" w:hAnsi="宋体"/>
          <w:b/>
          <w:bCs/>
          <w:sz w:val="28"/>
          <w:szCs w:val="28"/>
        </w:rPr>
        <w:t>月</w:t>
      </w:r>
    </w:p>
    <w:p w14:paraId="0CE41AC7">
      <w:pPr>
        <w:pStyle w:val="2"/>
        <w:rPr>
          <w:rFonts w:hint="eastAsia" w:hAnsi="宋体"/>
          <w:b/>
          <w:bCs/>
          <w:sz w:val="28"/>
          <w:szCs w:val="28"/>
        </w:rPr>
      </w:pPr>
    </w:p>
    <w:p w14:paraId="7ABAEE11">
      <w:pPr>
        <w:keepNext/>
        <w:keepLines/>
        <w:spacing w:line="360" w:lineRule="auto"/>
        <w:ind w:firstLine="803" w:firstLineChars="200"/>
        <w:jc w:val="center"/>
        <w:outlineLvl w:val="0"/>
        <w:rPr>
          <w:rFonts w:hint="eastAsia" w:ascii="仿宋_GB2312" w:hAnsi="仿宋_GB2312" w:eastAsia="仿宋_GB2312" w:cs="仿宋_GB2312"/>
          <w:b/>
          <w:bCs/>
          <w:color w:val="000000"/>
          <w:kern w:val="44"/>
          <w:sz w:val="40"/>
          <w:szCs w:val="40"/>
        </w:rPr>
      </w:pPr>
      <w:r>
        <w:rPr>
          <w:rFonts w:hint="eastAsia" w:ascii="仿宋_GB2312" w:hAnsi="仿宋_GB2312" w:eastAsia="仿宋_GB2312" w:cs="仿宋_GB2312"/>
          <w:b/>
          <w:bCs/>
          <w:color w:val="000000"/>
          <w:kern w:val="44"/>
          <w:sz w:val="40"/>
          <w:szCs w:val="40"/>
        </w:rPr>
        <w:t>投标邀请函</w:t>
      </w:r>
    </w:p>
    <w:p w14:paraId="5EE45645">
      <w:pPr>
        <w:keepNext/>
        <w:keepLines/>
        <w:spacing w:line="360" w:lineRule="auto"/>
        <w:ind w:firstLine="803" w:firstLineChars="200"/>
        <w:jc w:val="center"/>
        <w:outlineLvl w:val="0"/>
        <w:rPr>
          <w:rFonts w:hint="eastAsia" w:ascii="仿宋_GB2312" w:hAnsi="仿宋_GB2312" w:eastAsia="仿宋_GB2312" w:cs="仿宋_GB2312"/>
          <w:b/>
          <w:bCs/>
          <w:color w:val="000000"/>
          <w:kern w:val="44"/>
          <w:sz w:val="40"/>
          <w:szCs w:val="40"/>
        </w:rPr>
      </w:pPr>
    </w:p>
    <w:p w14:paraId="70F930BE">
      <w:pPr>
        <w:pStyle w:val="8"/>
        <w:tabs>
          <w:tab w:val="right" w:pos="8730"/>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ab/>
      </w:r>
    </w:p>
    <w:p w14:paraId="2F3C1764">
      <w:pPr>
        <w:pStyle w:val="8"/>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一、现拟对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梅林海关南地块超充示范站项目预装式变电站及配套报装采购</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进行邀请招标。</w:t>
      </w:r>
    </w:p>
    <w:p w14:paraId="76D276CF">
      <w:pPr>
        <w:pStyle w:val="8"/>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二、贵公司资格审查已经合格，特邀请贵公司参加本次招标。</w:t>
      </w:r>
    </w:p>
    <w:p w14:paraId="50277F0B">
      <w:pPr>
        <w:pStyle w:val="8"/>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三、若贵公司有意参加投标，可以从本招标单位获取更详细资料，并按招标文件的要求参加投标。</w:t>
      </w:r>
    </w:p>
    <w:p w14:paraId="4042246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四、请凭本邀请书于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月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日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时前</w:t>
      </w:r>
      <w:r>
        <w:rPr>
          <w:rFonts w:hint="eastAsia" w:ascii="仿宋_GB2312" w:hAnsi="仿宋_GB2312" w:eastAsia="仿宋_GB2312" w:cs="仿宋_GB2312"/>
          <w:sz w:val="32"/>
          <w:szCs w:val="32"/>
        </w:rPr>
        <w:t>到</w:t>
      </w:r>
      <w:r>
        <w:rPr>
          <w:rFonts w:hint="eastAsia" w:ascii="仿宋_GB2312" w:hAnsi="仿宋_GB2312" w:eastAsia="仿宋_GB2312" w:cs="仿宋_GB2312"/>
          <w:sz w:val="32"/>
          <w:szCs w:val="32"/>
          <w:u w:val="single"/>
        </w:rPr>
        <w:t>深圳市龙华区</w:t>
      </w:r>
      <w:r>
        <w:rPr>
          <w:rFonts w:hint="eastAsia" w:ascii="仿宋_GB2312" w:hAnsi="仿宋_GB2312" w:eastAsia="仿宋_GB2312" w:cs="仿宋_GB2312"/>
          <w:sz w:val="32"/>
          <w:szCs w:val="32"/>
          <w:u w:val="single"/>
          <w:lang w:val="en-US" w:eastAsia="zh-CN"/>
        </w:rPr>
        <w:t>大浪街道福龙路恒大时尚慧谷3栋4楼</w:t>
      </w:r>
      <w:r>
        <w:rPr>
          <w:rFonts w:hint="eastAsia" w:ascii="仿宋_GB2312" w:hAnsi="仿宋_GB2312" w:eastAsia="仿宋_GB2312" w:cs="仿宋_GB2312"/>
          <w:sz w:val="32"/>
          <w:szCs w:val="32"/>
        </w:rPr>
        <w:t>或电邮索取电子招标文件资料。</w:t>
      </w:r>
    </w:p>
    <w:p w14:paraId="164CAA5A">
      <w:pPr>
        <w:pStyle w:val="8"/>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五、送交投标文件截止时间为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月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日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时</w:t>
      </w:r>
      <w:r>
        <w:rPr>
          <w:rFonts w:hint="eastAsia" w:ascii="仿宋_GB2312" w:hAnsi="仿宋_GB2312" w:eastAsia="仿宋_GB2312" w:cs="仿宋_GB2312"/>
          <w:sz w:val="32"/>
          <w:szCs w:val="32"/>
        </w:rPr>
        <w:t xml:space="preserve">，请在截止时间前将投标文件（密封）送交到 </w:t>
      </w:r>
      <w:r>
        <w:rPr>
          <w:rFonts w:hint="eastAsia" w:ascii="仿宋_GB2312" w:hAnsi="仿宋_GB2312" w:eastAsia="仿宋_GB2312" w:cs="仿宋_GB2312"/>
          <w:sz w:val="32"/>
          <w:szCs w:val="32"/>
          <w:u w:val="single"/>
        </w:rPr>
        <w:t xml:space="preserve">                           深圳市龙华区</w:t>
      </w:r>
      <w:r>
        <w:rPr>
          <w:rFonts w:hint="eastAsia" w:ascii="仿宋_GB2312" w:hAnsi="仿宋_GB2312" w:eastAsia="仿宋_GB2312" w:cs="仿宋_GB2312"/>
          <w:sz w:val="32"/>
          <w:szCs w:val="32"/>
          <w:u w:val="single"/>
          <w:lang w:val="en-US" w:eastAsia="zh-CN"/>
        </w:rPr>
        <w:t>大浪街道福龙路恒大时尚慧谷3栋4楼</w:t>
      </w:r>
      <w:r>
        <w:rPr>
          <w:rFonts w:hint="eastAsia" w:ascii="仿宋_GB2312" w:hAnsi="仿宋_GB2312" w:eastAsia="仿宋_GB2312" w:cs="仿宋_GB2312"/>
          <w:sz w:val="32"/>
          <w:szCs w:val="32"/>
          <w:u w:val="single"/>
        </w:rPr>
        <w:t>。</w:t>
      </w:r>
    </w:p>
    <w:p w14:paraId="1BDC6347">
      <w:pPr>
        <w:pStyle w:val="8"/>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六、如对本次活动有任何投诉，请致电我司监督电话0755-23332391。</w:t>
      </w:r>
    </w:p>
    <w:p w14:paraId="41351D28">
      <w:pPr>
        <w:pStyle w:val="8"/>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七、取得本招标文件的正式投标人，如不递交投标文件，应于收到此邀请书48小时内书面通知招标人，并说明弃权原因。</w:t>
      </w:r>
    </w:p>
    <w:p w14:paraId="7DB615C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八、投标文件组成：</w:t>
      </w:r>
    </w:p>
    <w:p w14:paraId="06C9165A">
      <w:pPr>
        <w:pStyle w:val="13"/>
        <w:tabs>
          <w:tab w:val="left" w:pos="776"/>
        </w:tabs>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1.投标函（格式见附件一）</w:t>
      </w:r>
    </w:p>
    <w:p w14:paraId="4BA00551">
      <w:pPr>
        <w:pStyle w:val="13"/>
        <w:tabs>
          <w:tab w:val="left" w:pos="776"/>
        </w:tabs>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2.法定代表人资格证明书（格式见附件二）</w:t>
      </w:r>
    </w:p>
    <w:p w14:paraId="2E812142">
      <w:pPr>
        <w:pStyle w:val="13"/>
        <w:tabs>
          <w:tab w:val="left" w:pos="776"/>
        </w:tabs>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3.法人代表人授权委托书（格式见附件三）</w:t>
      </w:r>
    </w:p>
    <w:p w14:paraId="3374656E">
      <w:pPr>
        <w:pStyle w:val="13"/>
        <w:tabs>
          <w:tab w:val="left" w:pos="776"/>
        </w:tabs>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4.供应商资格证明文件（格式见附件四）</w:t>
      </w:r>
    </w:p>
    <w:p w14:paraId="0F971CA3">
      <w:pPr>
        <w:pStyle w:val="13"/>
        <w:tabs>
          <w:tab w:val="left" w:pos="776"/>
        </w:tabs>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5.服务实施方案及报价（格式见附件五）</w:t>
      </w:r>
    </w:p>
    <w:p w14:paraId="32FEC24E">
      <w:pPr>
        <w:pStyle w:val="13"/>
        <w:tabs>
          <w:tab w:val="left" w:pos="776"/>
        </w:tabs>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6.其他文件和资料（格式见附件六）</w:t>
      </w:r>
    </w:p>
    <w:p w14:paraId="7517534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九、联系人及联系方式</w:t>
      </w:r>
    </w:p>
    <w:p w14:paraId="0665690B">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联系人：</w:t>
      </w:r>
      <w:r>
        <w:rPr>
          <w:rFonts w:hint="eastAsia" w:ascii="仿宋_GB2312" w:hAnsi="仿宋_GB2312" w:eastAsia="仿宋_GB2312" w:cs="仿宋_GB2312"/>
          <w:sz w:val="32"/>
          <w:szCs w:val="32"/>
          <w:lang w:val="en-US" w:eastAsia="zh-CN"/>
        </w:rPr>
        <w:t>高媛</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lang w:val="en-US" w:eastAsia="zh-CN"/>
        </w:rPr>
        <w:t>13058100117</w:t>
      </w:r>
    </w:p>
    <w:p w14:paraId="4D5C8339">
      <w:pPr>
        <w:spacing w:line="560" w:lineRule="exact"/>
        <w:rPr>
          <w:rFonts w:hint="eastAsia" w:ascii="仿宋_GB2312" w:hAnsi="仿宋_GB2312" w:eastAsia="仿宋_GB2312" w:cs="仿宋_GB2312"/>
          <w:sz w:val="32"/>
          <w:szCs w:val="32"/>
        </w:rPr>
      </w:pPr>
    </w:p>
    <w:p w14:paraId="39A3FEBD">
      <w:pPr>
        <w:spacing w:line="400" w:lineRule="exact"/>
        <w:ind w:firstLine="640" w:firstLineChars="200"/>
        <w:rPr>
          <w:rFonts w:hint="eastAsia" w:ascii="仿宋_GB2312" w:hAnsi="仿宋_GB2312" w:eastAsia="仿宋_GB2312" w:cs="仿宋_GB2312"/>
          <w:sz w:val="32"/>
          <w:szCs w:val="32"/>
        </w:rPr>
      </w:pPr>
    </w:p>
    <w:p w14:paraId="78447B61">
      <w:pPr>
        <w:pStyle w:val="14"/>
        <w:spacing w:line="560" w:lineRule="exact"/>
        <w:ind w:firstLine="960" w:firstLineChars="300"/>
        <w:jc w:val="right"/>
        <w:rPr>
          <w:rFonts w:hint="eastAsia"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 xml:space="preserve">      深圳市鹏城产业服务有限公司</w:t>
      </w:r>
    </w:p>
    <w:p w14:paraId="03540BE3">
      <w:pPr>
        <w:spacing w:line="560" w:lineRule="exact"/>
        <w:ind w:right="480"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p w14:paraId="29ACF76C">
      <w:r>
        <w:br w:type="page"/>
      </w:r>
    </w:p>
    <w:p w14:paraId="6E368E7F">
      <w:pPr>
        <w:pageBreakBefore/>
        <w:spacing w:line="400" w:lineRule="exact"/>
        <w:ind w:firstLine="643" w:firstLineChars="200"/>
        <w:jc w:val="center"/>
        <w:rPr>
          <w:rFonts w:ascii="Arial" w:hAnsi="Arial" w:eastAsia="黑体" w:cs="Times New Roman"/>
          <w:b/>
          <w:bCs/>
          <w:sz w:val="32"/>
          <w:szCs w:val="32"/>
        </w:rPr>
      </w:pPr>
      <w:r>
        <w:rPr>
          <w:rFonts w:hint="eastAsia" w:ascii="Arial" w:hAnsi="Arial" w:eastAsia="黑体" w:cs="Times New Roman"/>
          <w:b/>
          <w:bCs/>
          <w:sz w:val="32"/>
          <w:szCs w:val="32"/>
        </w:rPr>
        <w:t>投标须知</w:t>
      </w:r>
      <w:bookmarkStart w:id="0" w:name="_Toc38943414"/>
    </w:p>
    <w:bookmarkEnd w:id="0"/>
    <w:p w14:paraId="099052F7">
      <w:pPr>
        <w:pStyle w:val="2"/>
      </w:pPr>
    </w:p>
    <w:tbl>
      <w:tblPr>
        <w:tblStyle w:val="10"/>
        <w:tblW w:w="10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8890"/>
      </w:tblGrid>
      <w:tr w14:paraId="0AF0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403" w:type="dxa"/>
            <w:shd w:val="clear" w:color="000000" w:fill="FFFFFF"/>
            <w:vAlign w:val="center"/>
          </w:tcPr>
          <w:p w14:paraId="07EE9393">
            <w:pPr>
              <w:autoSpaceDE w:val="0"/>
              <w:autoSpaceDN w:val="0"/>
              <w:adjustRightInd w:val="0"/>
              <w:spacing w:line="320" w:lineRule="exact"/>
              <w:jc w:val="center"/>
              <w:rPr>
                <w:rFonts w:hint="eastAsia" w:ascii="宋体" w:hAnsi="宋体" w:cs="宋体"/>
                <w:bCs/>
                <w:kern w:val="0"/>
                <w:szCs w:val="21"/>
                <w:lang w:val="zh-CN"/>
              </w:rPr>
            </w:pPr>
            <w:bookmarkStart w:id="1" w:name="OLE_LINK3" w:colFirst="1" w:colLast="1"/>
            <w:r>
              <w:rPr>
                <w:rFonts w:hint="eastAsia" w:ascii="宋体" w:hAnsi="宋体" w:cs="宋体"/>
                <w:bCs/>
                <w:kern w:val="0"/>
                <w:szCs w:val="21"/>
                <w:lang w:val="zh-CN"/>
              </w:rPr>
              <w:t>项目名称</w:t>
            </w:r>
          </w:p>
        </w:tc>
        <w:tc>
          <w:tcPr>
            <w:tcW w:w="8890" w:type="dxa"/>
            <w:shd w:val="clear" w:color="000000" w:fill="FFFFFF"/>
            <w:vAlign w:val="center"/>
          </w:tcPr>
          <w:p w14:paraId="55293225">
            <w:pPr>
              <w:autoSpaceDE w:val="0"/>
              <w:autoSpaceDN w:val="0"/>
              <w:adjustRightInd w:val="0"/>
              <w:spacing w:line="320" w:lineRule="exact"/>
              <w:rPr>
                <w:rFonts w:hint="default" w:ascii="宋体" w:hAnsi="宋体" w:cs="宋体"/>
                <w:bCs/>
                <w:kern w:val="0"/>
                <w:szCs w:val="21"/>
                <w:lang w:val="en-US"/>
              </w:rPr>
            </w:pPr>
            <w:r>
              <w:rPr>
                <w:rFonts w:hint="eastAsia" w:ascii="宋体" w:hAnsi="宋体" w:cs="宋体"/>
                <w:bCs/>
                <w:kern w:val="0"/>
                <w:szCs w:val="21"/>
                <w:highlight w:val="none"/>
                <w:lang w:val="en-US" w:eastAsia="zh-CN"/>
              </w:rPr>
              <w:t>梅林海关南地块超充示范站项目预装式变电站及配套报装采购</w:t>
            </w:r>
          </w:p>
        </w:tc>
      </w:tr>
      <w:bookmarkEnd w:id="1"/>
      <w:tr w14:paraId="20F5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03" w:type="dxa"/>
            <w:shd w:val="clear" w:color="000000" w:fill="FFFFFF"/>
            <w:vAlign w:val="center"/>
          </w:tcPr>
          <w:p w14:paraId="7CD6DFB3">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采购方式</w:t>
            </w:r>
          </w:p>
        </w:tc>
        <w:tc>
          <w:tcPr>
            <w:tcW w:w="8890" w:type="dxa"/>
            <w:shd w:val="clear" w:color="000000" w:fill="FFFFFF"/>
            <w:vAlign w:val="center"/>
          </w:tcPr>
          <w:p w14:paraId="6E35ED67">
            <w:pPr>
              <w:autoSpaceDE w:val="0"/>
              <w:autoSpaceDN w:val="0"/>
              <w:adjustRightInd w:val="0"/>
              <w:spacing w:line="320" w:lineRule="exact"/>
              <w:rPr>
                <w:rFonts w:hint="eastAsia" w:ascii="宋体" w:hAnsi="宋体" w:cs="宋体"/>
                <w:bCs/>
                <w:kern w:val="0"/>
                <w:szCs w:val="21"/>
                <w:lang w:val="zh-CN"/>
              </w:rPr>
            </w:pPr>
            <w:r>
              <w:rPr>
                <w:rFonts w:hint="eastAsia" w:ascii="宋体" w:hAnsi="宋体" w:cs="宋体"/>
                <w:bCs/>
                <w:kern w:val="0"/>
                <w:szCs w:val="21"/>
                <w:lang w:val="zh-CN"/>
              </w:rPr>
              <w:t>邀请招标</w:t>
            </w:r>
          </w:p>
        </w:tc>
      </w:tr>
      <w:tr w14:paraId="1C04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03" w:type="dxa"/>
            <w:shd w:val="clear" w:color="000000" w:fill="FFFFFF"/>
            <w:vAlign w:val="center"/>
          </w:tcPr>
          <w:p w14:paraId="014B00A4">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评标方法</w:t>
            </w:r>
          </w:p>
        </w:tc>
        <w:tc>
          <w:tcPr>
            <w:tcW w:w="8890" w:type="dxa"/>
            <w:shd w:val="clear" w:color="000000" w:fill="FFFFFF"/>
            <w:vAlign w:val="center"/>
          </w:tcPr>
          <w:p w14:paraId="436522B5">
            <w:pPr>
              <w:autoSpaceDE w:val="0"/>
              <w:autoSpaceDN w:val="0"/>
              <w:adjustRightInd w:val="0"/>
              <w:spacing w:line="320" w:lineRule="exact"/>
              <w:rPr>
                <w:rFonts w:hint="eastAsia" w:ascii="宋体" w:hAnsi="宋体" w:cs="宋体"/>
                <w:bCs/>
                <w:kern w:val="0"/>
                <w:szCs w:val="21"/>
                <w:lang w:val="zh-CN"/>
              </w:rPr>
            </w:pPr>
            <w:r>
              <w:rPr>
                <w:rFonts w:hint="eastAsia" w:ascii="宋体" w:cs="宋体"/>
                <w:kern w:val="0"/>
                <w:szCs w:val="21"/>
                <w:lang w:val="en-US" w:eastAsia="zh-CN"/>
              </w:rPr>
              <w:t>最</w:t>
            </w:r>
            <w:r>
              <w:rPr>
                <w:rFonts w:hint="eastAsia" w:ascii="宋体" w:hAnsi="Calibri" w:cs="宋体"/>
                <w:kern w:val="0"/>
                <w:szCs w:val="21"/>
              </w:rPr>
              <w:t>低价中标</w:t>
            </w:r>
          </w:p>
        </w:tc>
      </w:tr>
      <w:tr w14:paraId="522A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403" w:type="dxa"/>
            <w:shd w:val="clear" w:color="000000" w:fill="FFFFFF"/>
            <w:vAlign w:val="center"/>
          </w:tcPr>
          <w:p w14:paraId="14BFF828">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资金来源</w:t>
            </w:r>
          </w:p>
        </w:tc>
        <w:tc>
          <w:tcPr>
            <w:tcW w:w="8890" w:type="dxa"/>
            <w:shd w:val="clear" w:color="000000" w:fill="FFFFFF"/>
            <w:vAlign w:val="center"/>
          </w:tcPr>
          <w:p w14:paraId="3CDBEA61">
            <w:pPr>
              <w:autoSpaceDE w:val="0"/>
              <w:autoSpaceDN w:val="0"/>
              <w:adjustRightInd w:val="0"/>
              <w:spacing w:line="320" w:lineRule="exact"/>
              <w:rPr>
                <w:rFonts w:hint="eastAsia" w:ascii="宋体" w:hAnsi="宋体" w:cs="宋体"/>
                <w:bCs/>
                <w:kern w:val="0"/>
                <w:szCs w:val="21"/>
              </w:rPr>
            </w:pPr>
            <w:r>
              <w:rPr>
                <w:rFonts w:hint="eastAsia" w:ascii="宋体" w:hAnsi="宋体" w:cs="宋体"/>
                <w:bCs/>
                <w:kern w:val="0"/>
                <w:szCs w:val="21"/>
              </w:rPr>
              <w:t>公司自有资金</w:t>
            </w:r>
          </w:p>
        </w:tc>
      </w:tr>
      <w:tr w14:paraId="3834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403" w:type="dxa"/>
            <w:shd w:val="clear" w:color="000000" w:fill="FFFFFF"/>
            <w:vAlign w:val="center"/>
          </w:tcPr>
          <w:p w14:paraId="6ADF04D0">
            <w:pPr>
              <w:jc w:val="center"/>
              <w:rPr>
                <w:rFonts w:hint="eastAsia" w:ascii="宋体" w:hAnsi="宋体" w:cs="宋体" w:eastAsiaTheme="minorEastAsia"/>
                <w:bCs/>
                <w:kern w:val="0"/>
                <w:sz w:val="21"/>
                <w:szCs w:val="21"/>
                <w:lang w:val="zh-CN" w:eastAsia="zh-CN" w:bidi="ar-SA"/>
              </w:rPr>
            </w:pPr>
            <w:r>
              <w:rPr>
                <w:rFonts w:hint="eastAsia" w:ascii="宋体" w:hAnsi="宋体" w:cs="宋体" w:eastAsiaTheme="minorEastAsia"/>
                <w:bCs/>
                <w:kern w:val="0"/>
                <w:sz w:val="21"/>
                <w:szCs w:val="21"/>
                <w:lang w:val="zh-CN" w:eastAsia="zh-CN" w:bidi="ar-SA"/>
              </w:rPr>
              <w:t>招标范围</w:t>
            </w:r>
          </w:p>
        </w:tc>
        <w:tc>
          <w:tcPr>
            <w:tcW w:w="8890" w:type="dxa"/>
            <w:shd w:val="clear" w:color="000000" w:fill="FFFFFF"/>
            <w:vAlign w:val="center"/>
          </w:tcPr>
          <w:p w14:paraId="7E6290DE">
            <w:pPr>
              <w:rPr>
                <w:rFonts w:hint="eastAsia" w:ascii="宋体" w:hAnsi="宋体" w:cs="宋体" w:eastAsiaTheme="minorEastAsia"/>
                <w:bCs/>
                <w:kern w:val="0"/>
                <w:sz w:val="21"/>
                <w:szCs w:val="21"/>
                <w:lang w:val="en-US" w:eastAsia="zh-CN" w:bidi="ar-SA"/>
              </w:rPr>
            </w:pPr>
            <w:r>
              <w:rPr>
                <w:rFonts w:hint="eastAsia" w:ascii="宋体" w:hAnsi="宋体" w:cs="宋体" w:eastAsiaTheme="minorEastAsia"/>
                <w:bCs/>
                <w:kern w:val="0"/>
                <w:sz w:val="21"/>
                <w:szCs w:val="21"/>
                <w:lang w:val="en-US" w:eastAsia="zh-CN" w:bidi="ar-SA"/>
              </w:rPr>
              <w:t>装配四台1250kVA 预装式变电站，同步办理项目长期用水报装及配套安装施工</w:t>
            </w:r>
          </w:p>
        </w:tc>
      </w:tr>
      <w:tr w14:paraId="022C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403" w:type="dxa"/>
            <w:shd w:val="clear" w:color="000000" w:fill="FFFFFF"/>
            <w:vAlign w:val="center"/>
          </w:tcPr>
          <w:p w14:paraId="37112F0E">
            <w:pPr>
              <w:pStyle w:val="8"/>
              <w:spacing w:before="100" w:beforeAutospacing="1" w:after="100" w:afterAutospacing="1" w:line="0" w:lineRule="atLeast"/>
              <w:jc w:val="center"/>
              <w:rPr>
                <w:rFonts w:hint="eastAsia" w:hAnsi="宋体" w:cs="宋体"/>
                <w:bCs/>
                <w:kern w:val="0"/>
              </w:rPr>
            </w:pPr>
            <w:r>
              <w:rPr>
                <w:rFonts w:hint="eastAsia" w:hAnsi="宋体" w:cs="宋体"/>
                <w:bCs/>
                <w:kern w:val="0"/>
              </w:rPr>
              <w:t>项目主要</w:t>
            </w:r>
          </w:p>
          <w:p w14:paraId="2C3D57A8">
            <w:pPr>
              <w:pStyle w:val="8"/>
              <w:spacing w:before="100" w:beforeAutospacing="1" w:after="100" w:afterAutospacing="1" w:line="0" w:lineRule="atLeast"/>
              <w:jc w:val="center"/>
              <w:rPr>
                <w:rFonts w:hint="eastAsia" w:hAnsi="宋体" w:cs="宋体"/>
                <w:bCs/>
                <w:kern w:val="0"/>
              </w:rPr>
            </w:pPr>
            <w:r>
              <w:rPr>
                <w:rFonts w:hint="eastAsia" w:hAnsi="宋体" w:cs="宋体"/>
                <w:bCs/>
                <w:kern w:val="0"/>
              </w:rPr>
              <w:t>内容</w:t>
            </w:r>
          </w:p>
        </w:tc>
        <w:tc>
          <w:tcPr>
            <w:tcW w:w="8890" w:type="dxa"/>
            <w:shd w:val="clear" w:color="000000" w:fill="FFFFFF"/>
          </w:tcPr>
          <w:p w14:paraId="6BAB2A51">
            <w:pPr>
              <w:rPr>
                <w:rFonts w:hint="eastAsia" w:ascii="宋体" w:hAnsi="宋体" w:cs="宋体" w:eastAsiaTheme="minorEastAsia"/>
                <w:bCs/>
                <w:kern w:val="0"/>
                <w:sz w:val="21"/>
                <w:szCs w:val="21"/>
                <w:lang w:val="en-US" w:eastAsia="zh-CN" w:bidi="ar-SA"/>
              </w:rPr>
            </w:pPr>
            <w:r>
              <w:rPr>
                <w:rFonts w:hint="eastAsia" w:ascii="宋体" w:hAnsi="宋体" w:cs="宋体" w:eastAsiaTheme="minorEastAsia"/>
                <w:bCs/>
                <w:kern w:val="0"/>
                <w:sz w:val="21"/>
                <w:szCs w:val="21"/>
                <w:lang w:val="en-US" w:eastAsia="zh-CN" w:bidi="ar-SA"/>
              </w:rPr>
              <w:t>1.工程施工及整体责任要求</w:t>
            </w:r>
          </w:p>
          <w:p w14:paraId="555632E6">
            <w:pPr>
              <w:rPr>
                <w:rFonts w:hint="eastAsia" w:ascii="宋体" w:hAnsi="宋体" w:cs="宋体" w:eastAsiaTheme="minorEastAsia"/>
                <w:bCs/>
                <w:kern w:val="0"/>
                <w:sz w:val="21"/>
                <w:szCs w:val="21"/>
                <w:lang w:val="en-US" w:eastAsia="zh-CN" w:bidi="ar-SA"/>
              </w:rPr>
            </w:pPr>
            <w:r>
              <w:rPr>
                <w:rFonts w:hint="eastAsia" w:ascii="宋体" w:hAnsi="宋体" w:cs="宋体" w:eastAsiaTheme="minorEastAsia"/>
                <w:bCs/>
                <w:kern w:val="0"/>
                <w:sz w:val="21"/>
                <w:szCs w:val="21"/>
                <w:lang w:val="en-US" w:eastAsia="zh-CN" w:bidi="ar-SA"/>
              </w:rPr>
              <w:t>承包人负责四台1250kVA预装式变电站的设备采购、运输、现场安装、系统调试、电气试验、供电主管部门报装报验及验收、操作人员技术培训、质保期售后服务；同步实施箱变基础土建施工、高压侧电缆采购敷设及安装等全链条工作。承包人须对本分项工程的工程质量、施工安全、建设工期、竣工资料整编、主材及设备送检检测等内容承担全部责任。</w:t>
            </w:r>
          </w:p>
          <w:p w14:paraId="4CF7C8C5">
            <w:pPr>
              <w:rPr>
                <w:rFonts w:hint="eastAsia" w:ascii="宋体" w:hAnsi="宋体" w:cs="宋体" w:eastAsiaTheme="minorEastAsia"/>
                <w:bCs/>
                <w:kern w:val="0"/>
                <w:sz w:val="21"/>
                <w:szCs w:val="21"/>
                <w:lang w:val="en-US" w:eastAsia="zh-CN" w:bidi="ar-SA"/>
              </w:rPr>
            </w:pPr>
            <w:r>
              <w:rPr>
                <w:rFonts w:hint="eastAsia" w:ascii="宋体" w:hAnsi="宋体" w:cs="宋体" w:eastAsiaTheme="minorEastAsia"/>
                <w:bCs/>
                <w:kern w:val="0"/>
                <w:sz w:val="21"/>
                <w:szCs w:val="21"/>
                <w:lang w:val="en-US" w:eastAsia="zh-CN" w:bidi="ar-SA"/>
              </w:rPr>
              <w:t>2.场地配套辅助施工内容</w:t>
            </w:r>
          </w:p>
          <w:p w14:paraId="4B8940E9">
            <w:pPr>
              <w:rPr>
                <w:rFonts w:hint="eastAsia" w:ascii="宋体" w:hAnsi="宋体" w:cs="宋体" w:eastAsiaTheme="minorEastAsia"/>
                <w:bCs/>
                <w:kern w:val="0"/>
                <w:sz w:val="21"/>
                <w:szCs w:val="21"/>
                <w:lang w:val="en-US" w:eastAsia="zh-CN" w:bidi="ar-SA"/>
              </w:rPr>
            </w:pPr>
            <w:r>
              <w:rPr>
                <w:rFonts w:hint="eastAsia" w:ascii="宋体" w:hAnsi="宋体" w:cs="宋体" w:eastAsiaTheme="minorEastAsia"/>
                <w:bCs/>
                <w:kern w:val="0"/>
                <w:sz w:val="21"/>
                <w:szCs w:val="21"/>
                <w:lang w:val="en-US" w:eastAsia="zh-CN" w:bidi="ar-SA"/>
              </w:rPr>
              <w:t>包括但不限于项目施工全周期所需场地内外配套辅助工作：施工临时用电、通讯接驳、施工道路开通与维护；施工区域内障碍物、构筑物拆除清理、渣土及建筑垃圾外运、施工完成后场地平整与原貌恢复等全部相关工作。</w:t>
            </w:r>
          </w:p>
          <w:p w14:paraId="2196F414">
            <w:pPr>
              <w:rPr>
                <w:rFonts w:hint="eastAsia" w:ascii="宋体" w:hAnsi="宋体" w:cs="宋体" w:eastAsiaTheme="minorEastAsia"/>
                <w:bCs/>
                <w:kern w:val="0"/>
                <w:sz w:val="21"/>
                <w:szCs w:val="21"/>
                <w:lang w:val="en-US" w:eastAsia="zh-CN" w:bidi="ar-SA"/>
              </w:rPr>
            </w:pPr>
            <w:r>
              <w:rPr>
                <w:rFonts w:hint="eastAsia" w:ascii="宋体" w:hAnsi="宋体" w:cs="宋体" w:eastAsiaTheme="minorEastAsia"/>
                <w:bCs/>
                <w:kern w:val="0"/>
                <w:sz w:val="21"/>
                <w:szCs w:val="21"/>
                <w:lang w:val="en-US" w:eastAsia="zh-CN" w:bidi="ar-SA"/>
              </w:rPr>
              <w:t>3.项目正式长期用水配套专项工程</w:t>
            </w:r>
          </w:p>
          <w:p w14:paraId="3B8E1F3C">
            <w:pPr>
              <w:rPr>
                <w:rFonts w:hint="eastAsia"/>
                <w:lang w:val="en-US" w:eastAsia="zh-CN"/>
              </w:rPr>
            </w:pPr>
            <w:r>
              <w:rPr>
                <w:rFonts w:hint="eastAsia" w:ascii="宋体" w:hAnsi="宋体" w:cs="宋体" w:eastAsiaTheme="minorEastAsia"/>
                <w:bCs/>
                <w:kern w:val="0"/>
                <w:sz w:val="21"/>
                <w:szCs w:val="21"/>
                <w:lang w:val="en-US" w:eastAsia="zh-CN" w:bidi="ar-SA"/>
              </w:rPr>
              <w:t>本项目用水为项目正式长期用水，区别于施工临时用水，主要服务于超充示范站建成后日常运营、设备运维、场地配套等长期常态化用水需求，相关报装、施工、费用全部由承包人负责。</w:t>
            </w:r>
          </w:p>
        </w:tc>
      </w:tr>
      <w:tr w14:paraId="43B4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403" w:type="dxa"/>
            <w:shd w:val="clear" w:color="000000" w:fill="FFFFFF"/>
            <w:vAlign w:val="center"/>
          </w:tcPr>
          <w:p w14:paraId="6BA19BC9">
            <w:pPr>
              <w:pStyle w:val="8"/>
              <w:spacing w:before="100" w:beforeAutospacing="1" w:after="100" w:afterAutospacing="1" w:line="0" w:lineRule="atLeast"/>
              <w:jc w:val="center"/>
              <w:rPr>
                <w:rFonts w:hint="eastAsia" w:hAnsi="宋体" w:cs="宋体"/>
                <w:bCs/>
                <w:kern w:val="0"/>
                <w:lang w:val="zh-CN"/>
              </w:rPr>
            </w:pPr>
            <w:r>
              <w:rPr>
                <w:rFonts w:hint="eastAsia" w:hAnsi="宋体" w:cs="宋体"/>
                <w:bCs/>
                <w:kern w:val="0"/>
                <w:lang w:val="zh-CN"/>
              </w:rPr>
              <w:t>投标人</w:t>
            </w:r>
          </w:p>
          <w:p w14:paraId="7E8468A9">
            <w:pPr>
              <w:pStyle w:val="8"/>
              <w:spacing w:before="100" w:beforeAutospacing="1" w:after="100" w:afterAutospacing="1" w:line="0" w:lineRule="atLeast"/>
              <w:jc w:val="center"/>
              <w:rPr>
                <w:rFonts w:hint="eastAsia" w:hAnsi="宋体" w:cs="宋体"/>
                <w:bCs/>
                <w:kern w:val="0"/>
                <w:lang w:val="zh-CN"/>
              </w:rPr>
            </w:pPr>
            <w:r>
              <w:rPr>
                <w:rFonts w:hint="eastAsia" w:hAnsi="宋体" w:cs="宋体"/>
                <w:bCs/>
                <w:kern w:val="0"/>
                <w:lang w:val="zh-CN"/>
              </w:rPr>
              <w:t>资格要求</w:t>
            </w:r>
          </w:p>
        </w:tc>
        <w:tc>
          <w:tcPr>
            <w:tcW w:w="8890" w:type="dxa"/>
            <w:shd w:val="clear" w:color="000000" w:fill="FFFFFF"/>
            <w:vAlign w:val="center"/>
          </w:tcPr>
          <w:p w14:paraId="32D4D533">
            <w:pPr>
              <w:autoSpaceDE w:val="0"/>
              <w:autoSpaceDN w:val="0"/>
              <w:adjustRightInd w:val="0"/>
              <w:spacing w:line="320" w:lineRule="exact"/>
              <w:rPr>
                <w:rFonts w:hint="eastAsia" w:ascii="宋体" w:hAnsi="宋体" w:cs="宋体"/>
                <w:bCs/>
                <w:kern w:val="0"/>
                <w:szCs w:val="21"/>
              </w:rPr>
            </w:pPr>
            <w:r>
              <w:rPr>
                <w:rFonts w:hint="eastAsia" w:ascii="宋体" w:hAnsi="宋体" w:cs="宋体"/>
                <w:bCs/>
                <w:kern w:val="0"/>
                <w:szCs w:val="21"/>
              </w:rPr>
              <w:t>1.投标人须是在中华人民共和国境内注册，具有独立法人资格或是具有独立承担民事责任能力的其它组织；</w:t>
            </w:r>
          </w:p>
          <w:p w14:paraId="7A391653">
            <w:pPr>
              <w:autoSpaceDE w:val="0"/>
              <w:autoSpaceDN w:val="0"/>
              <w:adjustRightInd w:val="0"/>
              <w:spacing w:line="320" w:lineRule="exact"/>
              <w:rPr>
                <w:rFonts w:hint="eastAsia" w:ascii="宋体" w:hAnsi="宋体" w:cs="宋体"/>
                <w:bCs/>
                <w:kern w:val="0"/>
                <w:szCs w:val="21"/>
              </w:rPr>
            </w:pPr>
            <w:r>
              <w:rPr>
                <w:rFonts w:hint="eastAsia" w:ascii="宋体" w:hAnsi="宋体" w:cs="宋体"/>
                <w:bCs/>
                <w:kern w:val="0"/>
                <w:szCs w:val="21"/>
              </w:rPr>
              <w:t>2.投标人须具备电力工程施工总承包三级及以上或输变电工程专业承包三级及以上；同时具备《承装（修、试）电力设施许可证》五级及以上；</w:t>
            </w:r>
          </w:p>
          <w:p w14:paraId="3DCB8F5E">
            <w:pPr>
              <w:autoSpaceDE w:val="0"/>
              <w:autoSpaceDN w:val="0"/>
              <w:adjustRightInd w:val="0"/>
              <w:spacing w:line="320" w:lineRule="exact"/>
              <w:rPr>
                <w:rFonts w:hint="eastAsia" w:ascii="宋体" w:hAnsi="宋体" w:cs="宋体"/>
                <w:bCs/>
                <w:kern w:val="0"/>
                <w:szCs w:val="21"/>
              </w:rPr>
            </w:pPr>
            <w:r>
              <w:rPr>
                <w:rFonts w:hint="eastAsia" w:ascii="宋体" w:hAnsi="宋体" w:cs="宋体"/>
                <w:bCs/>
                <w:kern w:val="0"/>
                <w:szCs w:val="21"/>
              </w:rPr>
              <w:t>3.参与本项目投标前三年内，在经营活动中没有重大违法记录（在《投标及履约承诺函》中作出声明）；</w:t>
            </w:r>
          </w:p>
          <w:p w14:paraId="0885B0AF">
            <w:pPr>
              <w:autoSpaceDE w:val="0"/>
              <w:autoSpaceDN w:val="0"/>
              <w:adjustRightInd w:val="0"/>
              <w:spacing w:line="320" w:lineRule="exact"/>
              <w:rPr>
                <w:rFonts w:hint="eastAsia" w:ascii="宋体" w:hAnsi="宋体" w:cs="宋体"/>
                <w:bCs/>
                <w:kern w:val="0"/>
                <w:szCs w:val="21"/>
              </w:rPr>
            </w:pPr>
            <w:r>
              <w:rPr>
                <w:rFonts w:hint="eastAsia" w:ascii="宋体" w:hAnsi="宋体" w:cs="宋体"/>
                <w:bCs/>
                <w:kern w:val="0"/>
                <w:szCs w:val="21"/>
              </w:rPr>
              <w:t>4.参与本项目招标活动时不存在被有关部门禁止参与采购活动且在有效期内的情况（在《投标及履约承诺函》中作出声明）；</w:t>
            </w:r>
          </w:p>
          <w:p w14:paraId="76E9AB56">
            <w:pPr>
              <w:autoSpaceDE w:val="0"/>
              <w:autoSpaceDN w:val="0"/>
              <w:adjustRightInd w:val="0"/>
              <w:spacing w:line="320" w:lineRule="exact"/>
              <w:rPr>
                <w:rFonts w:hint="eastAsia" w:ascii="宋体" w:hAnsi="宋体" w:cs="宋体"/>
                <w:bCs/>
                <w:kern w:val="0"/>
                <w:szCs w:val="21"/>
              </w:rPr>
            </w:pPr>
            <w:r>
              <w:rPr>
                <w:rFonts w:hint="eastAsia" w:ascii="宋体" w:hAnsi="宋体" w:cs="宋体"/>
                <w:bCs/>
                <w:kern w:val="0"/>
                <w:szCs w:val="21"/>
              </w:rPr>
              <w:t>5.具备《中华人民共和国政府采购法》第二十二条第一款的条件（在《投标及履约承诺函》中作出声明）；</w:t>
            </w:r>
          </w:p>
          <w:p w14:paraId="354F0E54">
            <w:pPr>
              <w:autoSpaceDE w:val="0"/>
              <w:autoSpaceDN w:val="0"/>
              <w:adjustRightInd w:val="0"/>
              <w:spacing w:line="320" w:lineRule="exact"/>
              <w:rPr>
                <w:rFonts w:hint="eastAsia" w:ascii="宋体" w:hAnsi="宋体" w:cs="宋体"/>
                <w:bCs/>
                <w:kern w:val="0"/>
                <w:szCs w:val="21"/>
              </w:rPr>
            </w:pPr>
            <w:r>
              <w:rPr>
                <w:rFonts w:hint="eastAsia" w:ascii="宋体" w:hAnsi="宋体" w:cs="宋体"/>
                <w:bCs/>
                <w:kern w:val="0"/>
                <w:szCs w:val="21"/>
              </w:rPr>
              <w:t>6.未被列入失信被执行人、重大税收违法案件当事人名单、政府采购严重违法失信行为记录名单（在《投标及履约承诺函》中作出声明）；</w:t>
            </w:r>
          </w:p>
          <w:p w14:paraId="4ABA3AB9">
            <w:pPr>
              <w:autoSpaceDE w:val="0"/>
              <w:autoSpaceDN w:val="0"/>
              <w:adjustRightInd w:val="0"/>
              <w:spacing w:line="320" w:lineRule="exact"/>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7.单位负责人为同一人或者存在直接控股、管理关系的不同投标人，不得同时参加本项目投标（在《投标及履约承诺函》中作出声明）；</w:t>
            </w:r>
          </w:p>
          <w:p w14:paraId="3F337A52">
            <w:pPr>
              <w:autoSpaceDE w:val="0"/>
              <w:autoSpaceDN w:val="0"/>
              <w:adjustRightInd w:val="0"/>
              <w:spacing w:line="320" w:lineRule="exact"/>
              <w:rPr>
                <w:rFonts w:hAnsi="Calibri" w:eastAsia="宋体" w:cs="宋体"/>
                <w:kern w:val="0"/>
              </w:rPr>
            </w:pPr>
            <w:r>
              <w:rPr>
                <w:rFonts w:hint="eastAsia" w:ascii="宋体" w:hAnsi="宋体" w:cs="宋体"/>
                <w:bCs/>
                <w:kern w:val="0"/>
                <w:szCs w:val="21"/>
              </w:rPr>
              <w:t>8.本项目不接受联合体投标。</w:t>
            </w:r>
          </w:p>
        </w:tc>
      </w:tr>
      <w:tr w14:paraId="7081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shd w:val="clear" w:color="000000" w:fill="FFFFFF"/>
            <w:vAlign w:val="center"/>
          </w:tcPr>
          <w:p w14:paraId="437658FB">
            <w:pPr>
              <w:pStyle w:val="8"/>
              <w:spacing w:before="100" w:beforeAutospacing="1" w:after="100" w:afterAutospacing="1" w:line="0" w:lineRule="atLeast"/>
              <w:jc w:val="center"/>
              <w:rPr>
                <w:rFonts w:hint="eastAsia" w:hAnsi="宋体" w:cs="宋体" w:eastAsiaTheme="minorEastAsia"/>
                <w:bCs/>
                <w:kern w:val="0"/>
              </w:rPr>
            </w:pPr>
            <w:r>
              <w:rPr>
                <w:rFonts w:hint="eastAsia" w:hAnsi="宋体" w:cs="宋体" w:eastAsiaTheme="minorEastAsia"/>
                <w:bCs/>
                <w:kern w:val="0"/>
              </w:rPr>
              <w:t>服务期限</w:t>
            </w:r>
          </w:p>
        </w:tc>
        <w:tc>
          <w:tcPr>
            <w:tcW w:w="8890" w:type="dxa"/>
            <w:shd w:val="clear" w:color="000000" w:fill="FFFFFF"/>
            <w:vAlign w:val="center"/>
          </w:tcPr>
          <w:p w14:paraId="274EF800">
            <w:pPr>
              <w:autoSpaceDE w:val="0"/>
              <w:autoSpaceDN w:val="0"/>
              <w:adjustRightInd w:val="0"/>
              <w:spacing w:line="320" w:lineRule="exact"/>
              <w:rPr>
                <w:rFonts w:hint="eastAsia" w:ascii="宋体" w:hAnsi="宋体" w:cs="宋体"/>
                <w:bCs/>
                <w:kern w:val="0"/>
                <w:szCs w:val="21"/>
              </w:rPr>
            </w:pPr>
          </w:p>
          <w:p w14:paraId="3A959D11">
            <w:pPr>
              <w:autoSpaceDE w:val="0"/>
              <w:autoSpaceDN w:val="0"/>
              <w:adjustRightInd w:val="0"/>
              <w:spacing w:line="320" w:lineRule="exact"/>
              <w:rPr>
                <w:rFonts w:hint="default" w:ascii="宋体" w:hAnsi="宋体" w:cs="宋体"/>
                <w:bCs/>
                <w:kern w:val="0"/>
                <w:szCs w:val="21"/>
                <w:lang w:val="en-US" w:eastAsia="zh-CN"/>
              </w:rPr>
            </w:pPr>
            <w:r>
              <w:rPr>
                <w:rFonts w:hint="eastAsia" w:ascii="宋体" w:hAnsi="宋体" w:cs="宋体"/>
                <w:bCs/>
                <w:kern w:val="0"/>
                <w:szCs w:val="21"/>
              </w:rPr>
              <w:t>合同签订后40个日历天内完成全部安装、调试及通水通电验收等相关工作</w:t>
            </w:r>
            <w:r>
              <w:rPr>
                <w:rFonts w:hint="eastAsia" w:ascii="宋体" w:hAnsi="宋体" w:cs="宋体"/>
                <w:bCs/>
                <w:kern w:val="0"/>
                <w:szCs w:val="21"/>
                <w:lang w:val="en-US" w:eastAsia="zh-CN"/>
              </w:rPr>
              <w:t>。</w:t>
            </w:r>
          </w:p>
          <w:p w14:paraId="3E2A74ED">
            <w:pPr>
              <w:pStyle w:val="8"/>
              <w:spacing w:line="240" w:lineRule="exact"/>
              <w:rPr>
                <w:rFonts w:hint="eastAsia" w:hAnsi="宋体" w:cs="宋体" w:eastAsiaTheme="minorEastAsia"/>
                <w:bCs/>
                <w:kern w:val="0"/>
              </w:rPr>
            </w:pPr>
          </w:p>
        </w:tc>
      </w:tr>
      <w:tr w14:paraId="7C36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03" w:type="dxa"/>
            <w:shd w:val="clear" w:color="000000" w:fill="FFFFFF"/>
            <w:vAlign w:val="center"/>
          </w:tcPr>
          <w:p w14:paraId="38D4E5E9">
            <w:pPr>
              <w:pStyle w:val="8"/>
              <w:spacing w:before="100" w:beforeAutospacing="1" w:after="100" w:afterAutospacing="1" w:line="0" w:lineRule="atLeast"/>
              <w:jc w:val="center"/>
              <w:rPr>
                <w:rFonts w:hint="eastAsia" w:hAnsi="宋体" w:cs="宋体"/>
                <w:bCs/>
                <w:kern w:val="0"/>
              </w:rPr>
            </w:pPr>
            <w:r>
              <w:rPr>
                <w:rFonts w:hint="eastAsia" w:hAnsi="宋体" w:cs="宋体"/>
                <w:bCs/>
                <w:kern w:val="0"/>
              </w:rPr>
              <w:t>投标文件份 数</w:t>
            </w:r>
          </w:p>
        </w:tc>
        <w:tc>
          <w:tcPr>
            <w:tcW w:w="8890" w:type="dxa"/>
            <w:shd w:val="clear" w:color="000000" w:fill="FFFFFF"/>
            <w:vAlign w:val="center"/>
          </w:tcPr>
          <w:p w14:paraId="5295D8B2">
            <w:pPr>
              <w:pStyle w:val="8"/>
              <w:spacing w:line="240" w:lineRule="exact"/>
              <w:rPr>
                <w:rFonts w:hAnsi="Calibri" w:cs="宋体"/>
                <w:kern w:val="0"/>
              </w:rPr>
            </w:pPr>
            <w:r>
              <w:rPr>
                <w:rFonts w:hint="eastAsia" w:hAnsi="Calibri" w:cs="宋体"/>
                <w:kern w:val="0"/>
              </w:rPr>
              <w:t>投标文件一式</w:t>
            </w:r>
            <w:r>
              <w:rPr>
                <w:rFonts w:hint="eastAsia" w:hAnsi="Calibri" w:cs="宋体"/>
                <w:kern w:val="0"/>
                <w:lang w:val="en-US" w:eastAsia="zh-CN"/>
              </w:rPr>
              <w:t>3</w:t>
            </w:r>
            <w:r>
              <w:rPr>
                <w:rFonts w:hint="eastAsia" w:hAnsi="Calibri" w:cs="宋体"/>
                <w:kern w:val="0"/>
              </w:rPr>
              <w:t>份（含电子版盖章标书1份），投标文件的组成严格按“投标邀请函第八条”，标书文件需袋装密封、盖章（未密封、盖章投标文件，投标作废）。</w:t>
            </w:r>
          </w:p>
        </w:tc>
      </w:tr>
      <w:tr w14:paraId="1A06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403" w:type="dxa"/>
            <w:shd w:val="clear" w:color="000000" w:fill="FFFFFF"/>
            <w:vAlign w:val="center"/>
          </w:tcPr>
          <w:p w14:paraId="3282EBBD">
            <w:pPr>
              <w:pStyle w:val="8"/>
              <w:spacing w:before="100" w:beforeAutospacing="1" w:after="100" w:afterAutospacing="1" w:line="0" w:lineRule="atLeast"/>
              <w:jc w:val="center"/>
              <w:rPr>
                <w:rFonts w:hint="eastAsia" w:hAnsi="宋体" w:cs="宋体"/>
                <w:bCs/>
                <w:kern w:val="0"/>
              </w:rPr>
            </w:pPr>
            <w:r>
              <w:rPr>
                <w:rFonts w:hint="eastAsia" w:hAnsi="宋体" w:cs="宋体"/>
                <w:bCs/>
                <w:kern w:val="0"/>
              </w:rPr>
              <w:t>合同付款</w:t>
            </w:r>
          </w:p>
        </w:tc>
        <w:tc>
          <w:tcPr>
            <w:tcW w:w="8890" w:type="dxa"/>
            <w:shd w:val="clear" w:color="000000" w:fill="FFFFFF"/>
            <w:vAlign w:val="center"/>
          </w:tcPr>
          <w:p w14:paraId="49FBB618">
            <w:pPr>
              <w:pStyle w:val="8"/>
              <w:spacing w:line="240" w:lineRule="exact"/>
              <w:rPr>
                <w:rFonts w:hAnsi="Calibri" w:cs="宋体"/>
                <w:kern w:val="0"/>
              </w:rPr>
            </w:pPr>
            <w:r>
              <w:rPr>
                <w:rFonts w:hint="eastAsia" w:hAnsi="Calibri" w:cs="宋体"/>
                <w:kern w:val="0"/>
              </w:rPr>
              <w:t>由深圳市鹏城产业服务有限公司支付</w:t>
            </w:r>
          </w:p>
        </w:tc>
      </w:tr>
      <w:tr w14:paraId="467B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403" w:type="dxa"/>
            <w:shd w:val="clear" w:color="000000" w:fill="FFFFFF"/>
            <w:vAlign w:val="center"/>
          </w:tcPr>
          <w:p w14:paraId="63F2AE4B">
            <w:pPr>
              <w:autoSpaceDE w:val="0"/>
              <w:autoSpaceDN w:val="0"/>
              <w:adjustRightInd w:val="0"/>
              <w:spacing w:line="320" w:lineRule="exact"/>
              <w:jc w:val="center"/>
              <w:rPr>
                <w:rFonts w:hint="eastAsia" w:ascii="宋体" w:hAnsi="宋体" w:eastAsia="宋体" w:cs="宋体"/>
                <w:bCs/>
                <w:kern w:val="0"/>
                <w:szCs w:val="21"/>
                <w:lang w:val="zh-CN"/>
              </w:rPr>
            </w:pPr>
            <w:r>
              <w:rPr>
                <w:rFonts w:hint="eastAsia" w:ascii="宋体" w:hAnsi="宋体" w:eastAsia="宋体" w:cs="宋体"/>
                <w:bCs/>
                <w:kern w:val="0"/>
                <w:szCs w:val="21"/>
                <w:lang w:val="zh-CN"/>
              </w:rPr>
              <w:t>投标递交截止时间</w:t>
            </w:r>
          </w:p>
        </w:tc>
        <w:tc>
          <w:tcPr>
            <w:tcW w:w="8890" w:type="dxa"/>
            <w:shd w:val="clear" w:color="000000" w:fill="FFFFFF"/>
          </w:tcPr>
          <w:p w14:paraId="4531862E">
            <w:pPr>
              <w:autoSpaceDE w:val="0"/>
              <w:autoSpaceDN w:val="0"/>
              <w:adjustRightInd w:val="0"/>
              <w:spacing w:line="320" w:lineRule="exact"/>
              <w:jc w:val="left"/>
              <w:rPr>
                <w:rFonts w:hint="eastAsia" w:ascii="宋体" w:hAnsi="宋体" w:cs="宋体"/>
                <w:bCs/>
                <w:kern w:val="0"/>
                <w:szCs w:val="21"/>
                <w:highlight w:val="none"/>
                <w:lang w:val="zh-CN"/>
              </w:rPr>
            </w:pPr>
            <w:r>
              <w:rPr>
                <w:rFonts w:hint="eastAsia" w:ascii="宋体" w:hAnsi="宋体" w:cs="宋体"/>
                <w:bCs/>
                <w:kern w:val="0"/>
                <w:szCs w:val="21"/>
                <w:highlight w:val="none"/>
                <w:u w:val="single"/>
                <w:lang w:val="en-US" w:eastAsia="zh-CN"/>
              </w:rPr>
              <w:t xml:space="preserve"> </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lang w:val="zh-CN"/>
              </w:rPr>
              <w:t>年</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u w:val="single"/>
                <w:lang w:val="en-US" w:eastAsia="zh-CN"/>
              </w:rPr>
              <w:t xml:space="preserve"> </w:t>
            </w:r>
            <w:r>
              <w:rPr>
                <w:rFonts w:hint="eastAsia" w:ascii="宋体" w:hAnsi="宋体" w:cs="宋体"/>
                <w:bCs/>
                <w:kern w:val="0"/>
                <w:szCs w:val="21"/>
                <w:highlight w:val="none"/>
                <w:lang w:val="zh-CN"/>
              </w:rPr>
              <w:t>月</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u w:val="single"/>
                <w:lang w:val="en-US" w:eastAsia="zh-CN"/>
              </w:rPr>
              <w:t xml:space="preserve"> </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lang w:val="zh-CN"/>
              </w:rPr>
              <w:t>日</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u w:val="single"/>
                <w:lang w:val="en-US" w:eastAsia="zh-CN"/>
              </w:rPr>
              <w:t xml:space="preserve"> </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时</w:t>
            </w:r>
            <w:r>
              <w:rPr>
                <w:rFonts w:hint="eastAsia" w:ascii="宋体" w:hAnsi="宋体" w:cs="宋体"/>
                <w:bCs/>
                <w:kern w:val="0"/>
                <w:szCs w:val="21"/>
                <w:highlight w:val="none"/>
                <w:u w:val="single"/>
              </w:rPr>
              <w:t xml:space="preserve"> 00 </w:t>
            </w:r>
            <w:r>
              <w:rPr>
                <w:rFonts w:hint="eastAsia" w:ascii="宋体" w:hAnsi="宋体" w:cs="宋体"/>
                <w:bCs/>
                <w:kern w:val="0"/>
                <w:szCs w:val="21"/>
                <w:highlight w:val="none"/>
              </w:rPr>
              <w:t>分</w:t>
            </w:r>
            <w:r>
              <w:rPr>
                <w:rFonts w:hint="eastAsia" w:ascii="宋体" w:hAnsi="宋体" w:cs="宋体"/>
                <w:bCs/>
                <w:kern w:val="0"/>
                <w:szCs w:val="21"/>
                <w:highlight w:val="none"/>
                <w:lang w:val="zh-CN"/>
              </w:rPr>
              <w:t>（北京时间）</w:t>
            </w:r>
          </w:p>
          <w:p w14:paraId="74F6D279">
            <w:pPr>
              <w:autoSpaceDE w:val="0"/>
              <w:autoSpaceDN w:val="0"/>
              <w:adjustRightInd w:val="0"/>
              <w:spacing w:line="320" w:lineRule="exact"/>
              <w:jc w:val="left"/>
              <w:rPr>
                <w:rFonts w:hint="eastAsia" w:ascii="宋体" w:hAnsi="宋体" w:cs="宋体"/>
                <w:bCs/>
                <w:kern w:val="0"/>
                <w:szCs w:val="21"/>
                <w:lang w:val="zh-CN"/>
              </w:rPr>
            </w:pPr>
            <w:r>
              <w:rPr>
                <w:rFonts w:hint="eastAsia" w:ascii="宋体" w:hAnsi="宋体" w:cs="宋体"/>
                <w:bCs/>
                <w:kern w:val="0"/>
                <w:szCs w:val="21"/>
                <w:highlight w:val="none"/>
                <w:lang w:val="zh-CN"/>
              </w:rPr>
              <w:t>电报、传真形式的投标概不接受。</w:t>
            </w:r>
          </w:p>
        </w:tc>
      </w:tr>
      <w:tr w14:paraId="4CDA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03" w:type="dxa"/>
            <w:shd w:val="clear" w:color="000000" w:fill="FFFFFF"/>
            <w:vAlign w:val="center"/>
          </w:tcPr>
          <w:p w14:paraId="76913E66">
            <w:pPr>
              <w:autoSpaceDE w:val="0"/>
              <w:autoSpaceDN w:val="0"/>
              <w:adjustRightInd w:val="0"/>
              <w:spacing w:line="320" w:lineRule="exact"/>
              <w:jc w:val="center"/>
              <w:rPr>
                <w:rFonts w:hint="eastAsia" w:ascii="宋体" w:hAnsi="宋体" w:eastAsia="宋体" w:cs="宋体"/>
                <w:bCs/>
                <w:kern w:val="0"/>
                <w:szCs w:val="21"/>
                <w:lang w:val="zh-CN"/>
              </w:rPr>
            </w:pPr>
            <w:r>
              <w:rPr>
                <w:rFonts w:hint="eastAsia" w:ascii="宋体" w:hAnsi="宋体" w:eastAsia="宋体" w:cs="宋体"/>
                <w:bCs/>
                <w:kern w:val="0"/>
                <w:szCs w:val="21"/>
                <w:lang w:val="zh-CN"/>
              </w:rPr>
              <w:t>开标时间</w:t>
            </w:r>
          </w:p>
        </w:tc>
        <w:tc>
          <w:tcPr>
            <w:tcW w:w="8890" w:type="dxa"/>
            <w:shd w:val="clear" w:color="000000" w:fill="FFFFFF"/>
            <w:vAlign w:val="center"/>
          </w:tcPr>
          <w:p w14:paraId="5F583105">
            <w:pPr>
              <w:autoSpaceDE w:val="0"/>
              <w:autoSpaceDN w:val="0"/>
              <w:adjustRightInd w:val="0"/>
              <w:spacing w:line="320" w:lineRule="exact"/>
              <w:rPr>
                <w:rFonts w:hint="eastAsia" w:ascii="宋体" w:hAnsi="宋体" w:cs="宋体"/>
                <w:bCs/>
                <w:kern w:val="0"/>
                <w:szCs w:val="21"/>
                <w:lang w:val="zh-CN"/>
              </w:rPr>
            </w:pPr>
            <w:r>
              <w:rPr>
                <w:rFonts w:hint="eastAsia" w:ascii="宋体" w:hAnsi="宋体" w:cs="宋体"/>
                <w:bCs/>
                <w:kern w:val="0"/>
                <w:szCs w:val="21"/>
                <w:u w:val="single"/>
                <w:lang w:val="en-US" w:eastAsia="zh-CN"/>
              </w:rPr>
              <w:t xml:space="preserve">    </w:t>
            </w:r>
            <w:r>
              <w:rPr>
                <w:rFonts w:hint="eastAsia" w:ascii="宋体" w:hAnsi="宋体" w:cs="宋体"/>
                <w:bCs/>
                <w:kern w:val="0"/>
                <w:szCs w:val="21"/>
                <w:u w:val="single"/>
                <w:lang w:val="zh-CN"/>
              </w:rPr>
              <w:t xml:space="preserve">年 </w:t>
            </w:r>
            <w:r>
              <w:rPr>
                <w:rFonts w:hint="eastAsia" w:ascii="宋体" w:hAnsi="宋体" w:cs="宋体"/>
                <w:bCs/>
                <w:kern w:val="0"/>
                <w:szCs w:val="21"/>
                <w:u w:val="single"/>
                <w:lang w:val="en-US" w:eastAsia="zh-CN"/>
              </w:rPr>
              <w:t xml:space="preserve">  </w:t>
            </w:r>
            <w:r>
              <w:rPr>
                <w:rFonts w:hint="eastAsia" w:ascii="宋体" w:hAnsi="宋体" w:cs="宋体"/>
                <w:bCs/>
                <w:kern w:val="0"/>
                <w:szCs w:val="21"/>
                <w:u w:val="single"/>
              </w:rPr>
              <w:t xml:space="preserve"> </w:t>
            </w:r>
            <w:r>
              <w:rPr>
                <w:rFonts w:hint="eastAsia" w:ascii="宋体" w:hAnsi="宋体" w:cs="宋体"/>
                <w:bCs/>
                <w:kern w:val="0"/>
                <w:szCs w:val="21"/>
                <w:u w:val="single"/>
                <w:lang w:val="zh-CN"/>
              </w:rPr>
              <w:t>月</w:t>
            </w:r>
            <w:r>
              <w:rPr>
                <w:rFonts w:hint="eastAsia" w:ascii="宋体" w:hAnsi="宋体" w:cs="宋体"/>
                <w:bCs/>
                <w:kern w:val="0"/>
                <w:szCs w:val="21"/>
                <w:u w:val="single"/>
              </w:rPr>
              <w:t xml:space="preserve"> </w:t>
            </w:r>
            <w:r>
              <w:rPr>
                <w:rFonts w:hint="eastAsia" w:ascii="宋体" w:hAnsi="宋体" w:cs="宋体"/>
                <w:bCs/>
                <w:kern w:val="0"/>
                <w:szCs w:val="21"/>
                <w:u w:val="single"/>
                <w:lang w:val="en-US" w:eastAsia="zh-CN"/>
              </w:rPr>
              <w:t xml:space="preserve">  </w:t>
            </w:r>
            <w:r>
              <w:rPr>
                <w:rFonts w:hint="eastAsia" w:ascii="宋体" w:hAnsi="宋体" w:cs="宋体"/>
                <w:bCs/>
                <w:kern w:val="0"/>
                <w:szCs w:val="21"/>
                <w:u w:val="single"/>
              </w:rPr>
              <w:t xml:space="preserve"> </w:t>
            </w:r>
            <w:r>
              <w:rPr>
                <w:rFonts w:hint="eastAsia" w:ascii="宋体" w:hAnsi="宋体" w:cs="宋体"/>
                <w:bCs/>
                <w:kern w:val="0"/>
                <w:szCs w:val="21"/>
                <w:u w:val="single"/>
                <w:lang w:val="zh-CN"/>
              </w:rPr>
              <w:t>日</w:t>
            </w:r>
            <w:r>
              <w:rPr>
                <w:rFonts w:hint="eastAsia" w:ascii="宋体" w:hAnsi="宋体" w:cs="宋体"/>
                <w:bCs/>
                <w:kern w:val="0"/>
                <w:szCs w:val="21"/>
                <w:u w:val="single"/>
              </w:rPr>
              <w:t xml:space="preserve">  </w:t>
            </w:r>
            <w:r>
              <w:rPr>
                <w:rFonts w:hint="eastAsia" w:ascii="宋体" w:hAnsi="宋体" w:cs="宋体"/>
                <w:bCs/>
                <w:kern w:val="0"/>
                <w:szCs w:val="21"/>
                <w:u w:val="single"/>
                <w:lang w:val="en-US" w:eastAsia="zh-CN"/>
              </w:rPr>
              <w:t xml:space="preserve">   </w:t>
            </w:r>
            <w:r>
              <w:rPr>
                <w:rFonts w:hint="eastAsia" w:ascii="宋体" w:hAnsi="宋体" w:cs="宋体"/>
                <w:bCs/>
                <w:kern w:val="0"/>
                <w:szCs w:val="21"/>
                <w:u w:val="single"/>
              </w:rPr>
              <w:t xml:space="preserve"> </w:t>
            </w:r>
            <w:r>
              <w:rPr>
                <w:rFonts w:hint="eastAsia" w:ascii="宋体" w:hAnsi="宋体" w:cs="宋体"/>
                <w:bCs/>
                <w:kern w:val="0"/>
                <w:szCs w:val="21"/>
                <w:u w:val="single"/>
                <w:lang w:val="zh-CN"/>
              </w:rPr>
              <w:t xml:space="preserve"> 时 </w:t>
            </w:r>
            <w:r>
              <w:rPr>
                <w:rFonts w:hint="eastAsia" w:ascii="宋体" w:hAnsi="宋体" w:cs="宋体"/>
                <w:bCs/>
                <w:kern w:val="0"/>
                <w:szCs w:val="21"/>
                <w:u w:val="single"/>
                <w:lang w:val="en-US" w:eastAsia="zh-CN"/>
              </w:rPr>
              <w:t xml:space="preserve">   </w:t>
            </w:r>
            <w:r>
              <w:rPr>
                <w:rFonts w:hint="eastAsia" w:ascii="宋体" w:hAnsi="宋体" w:cs="宋体"/>
                <w:bCs/>
                <w:kern w:val="0"/>
                <w:szCs w:val="21"/>
                <w:u w:val="single"/>
                <w:lang w:val="zh-CN"/>
              </w:rPr>
              <w:t xml:space="preserve"> 分</w:t>
            </w:r>
          </w:p>
        </w:tc>
      </w:tr>
      <w:tr w14:paraId="54BC6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03" w:type="dxa"/>
            <w:shd w:val="clear" w:color="000000" w:fill="FFFFFF"/>
            <w:vAlign w:val="center"/>
          </w:tcPr>
          <w:p w14:paraId="4A1DD766">
            <w:pPr>
              <w:autoSpaceDE w:val="0"/>
              <w:autoSpaceDN w:val="0"/>
              <w:adjustRightInd w:val="0"/>
              <w:spacing w:line="320" w:lineRule="exact"/>
              <w:jc w:val="center"/>
              <w:rPr>
                <w:rFonts w:hint="eastAsia" w:ascii="宋体" w:hAnsi="宋体" w:eastAsia="宋体" w:cs="宋体"/>
                <w:bCs/>
                <w:kern w:val="0"/>
                <w:szCs w:val="21"/>
                <w:lang w:val="zh-CN"/>
              </w:rPr>
            </w:pPr>
            <w:r>
              <w:rPr>
                <w:rFonts w:hint="eastAsia" w:ascii="宋体" w:hAnsi="宋体" w:eastAsia="宋体" w:cs="宋体"/>
                <w:bCs/>
                <w:kern w:val="0"/>
                <w:szCs w:val="21"/>
                <w:lang w:val="zh-CN"/>
              </w:rPr>
              <w:t>投标地点</w:t>
            </w:r>
          </w:p>
        </w:tc>
        <w:tc>
          <w:tcPr>
            <w:tcW w:w="8890" w:type="dxa"/>
            <w:shd w:val="clear" w:color="000000" w:fill="FFFFFF"/>
            <w:vAlign w:val="center"/>
          </w:tcPr>
          <w:p w14:paraId="68CB7112">
            <w:pPr>
              <w:autoSpaceDE w:val="0"/>
              <w:autoSpaceDN w:val="0"/>
              <w:adjustRightInd w:val="0"/>
              <w:spacing w:line="320" w:lineRule="exact"/>
              <w:rPr>
                <w:rFonts w:hint="eastAsia" w:ascii="宋体" w:hAnsi="宋体" w:cs="宋体"/>
                <w:bCs/>
                <w:kern w:val="0"/>
                <w:szCs w:val="21"/>
              </w:rPr>
            </w:pPr>
            <w:r>
              <w:rPr>
                <w:rFonts w:hint="eastAsia" w:ascii="宋体" w:hAnsi="宋体" w:cs="宋体"/>
                <w:bCs/>
                <w:kern w:val="0"/>
                <w:szCs w:val="21"/>
                <w:lang w:val="zh-CN"/>
              </w:rPr>
              <w:t>地址：</w:t>
            </w:r>
            <w:r>
              <w:rPr>
                <w:rFonts w:hint="eastAsia" w:ascii="宋体" w:hAnsi="Calibri" w:cs="宋体"/>
                <w:color w:val="auto"/>
                <w:kern w:val="0"/>
                <w:szCs w:val="21"/>
              </w:rPr>
              <w:t>深圳市龙华区</w:t>
            </w:r>
            <w:r>
              <w:rPr>
                <w:rFonts w:hint="eastAsia" w:ascii="宋体" w:hAnsi="Calibri" w:cs="宋体"/>
                <w:color w:val="auto"/>
                <w:kern w:val="0"/>
                <w:szCs w:val="21"/>
                <w:lang w:val="en-US" w:eastAsia="zh-CN"/>
              </w:rPr>
              <w:t>大浪街道福龙路恒大时尚慧谷3栋4楼</w:t>
            </w:r>
          </w:p>
        </w:tc>
      </w:tr>
      <w:tr w14:paraId="53CB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403" w:type="dxa"/>
            <w:shd w:val="clear" w:color="000000" w:fill="FFFFFF"/>
            <w:vAlign w:val="center"/>
          </w:tcPr>
          <w:p w14:paraId="6CC60F4F">
            <w:pPr>
              <w:autoSpaceDE w:val="0"/>
              <w:autoSpaceDN w:val="0"/>
              <w:adjustRightInd w:val="0"/>
              <w:spacing w:line="320" w:lineRule="exact"/>
              <w:jc w:val="center"/>
              <w:rPr>
                <w:rFonts w:hint="eastAsia" w:ascii="宋体" w:hAnsi="宋体" w:eastAsia="宋体" w:cs="宋体"/>
                <w:bCs/>
                <w:kern w:val="0"/>
                <w:szCs w:val="21"/>
                <w:lang w:val="zh-CN"/>
              </w:rPr>
            </w:pPr>
            <w:r>
              <w:rPr>
                <w:rFonts w:hint="eastAsia" w:ascii="宋体" w:hAnsi="宋体" w:eastAsia="宋体" w:cs="宋体"/>
                <w:bCs/>
                <w:kern w:val="0"/>
                <w:szCs w:val="21"/>
                <w:lang w:val="zh-CN"/>
              </w:rPr>
              <w:t>采购人及联系电话</w:t>
            </w:r>
          </w:p>
        </w:tc>
        <w:tc>
          <w:tcPr>
            <w:tcW w:w="8890" w:type="dxa"/>
            <w:shd w:val="clear" w:color="000000" w:fill="FFFFFF"/>
          </w:tcPr>
          <w:p w14:paraId="2866616D">
            <w:pPr>
              <w:autoSpaceDE w:val="0"/>
              <w:autoSpaceDN w:val="0"/>
              <w:adjustRightInd w:val="0"/>
              <w:spacing w:line="320" w:lineRule="exact"/>
              <w:jc w:val="left"/>
              <w:rPr>
                <w:rFonts w:hint="eastAsia" w:ascii="宋体" w:hAnsi="宋体" w:eastAsia="宋体" w:cs="宋体"/>
                <w:bCs/>
                <w:kern w:val="0"/>
                <w:szCs w:val="21"/>
                <w:lang w:val="en-US" w:eastAsia="zh-CN"/>
              </w:rPr>
            </w:pPr>
            <w:r>
              <w:rPr>
                <w:rFonts w:hint="eastAsia" w:ascii="宋体" w:hAnsi="宋体" w:cs="宋体"/>
                <w:bCs/>
                <w:kern w:val="0"/>
                <w:szCs w:val="21"/>
                <w:lang w:val="zh-CN"/>
              </w:rPr>
              <w:t>联</w:t>
            </w:r>
            <w:r>
              <w:rPr>
                <w:rFonts w:hint="eastAsia" w:ascii="宋体" w:hAnsi="宋体" w:cs="宋体"/>
                <w:bCs/>
                <w:kern w:val="0"/>
                <w:szCs w:val="21"/>
              </w:rPr>
              <w:t xml:space="preserve"> </w:t>
            </w:r>
            <w:r>
              <w:rPr>
                <w:rFonts w:hint="eastAsia" w:ascii="宋体" w:hAnsi="宋体" w:cs="宋体"/>
                <w:bCs/>
                <w:kern w:val="0"/>
                <w:szCs w:val="21"/>
                <w:lang w:val="zh-CN"/>
              </w:rPr>
              <w:t>系</w:t>
            </w:r>
            <w:r>
              <w:rPr>
                <w:rFonts w:hint="eastAsia" w:ascii="宋体" w:hAnsi="宋体" w:cs="宋体"/>
                <w:bCs/>
                <w:kern w:val="0"/>
                <w:szCs w:val="21"/>
              </w:rPr>
              <w:t xml:space="preserve"> </w:t>
            </w:r>
            <w:r>
              <w:rPr>
                <w:rFonts w:hint="eastAsia" w:ascii="宋体" w:hAnsi="宋体" w:cs="宋体"/>
                <w:bCs/>
                <w:kern w:val="0"/>
                <w:szCs w:val="21"/>
                <w:lang w:val="zh-CN"/>
              </w:rPr>
              <w:t>人：</w:t>
            </w:r>
            <w:r>
              <w:rPr>
                <w:rFonts w:hint="eastAsia" w:ascii="宋体" w:hAnsi="宋体" w:cs="宋体"/>
                <w:bCs/>
                <w:kern w:val="0"/>
                <w:szCs w:val="21"/>
                <w:lang w:val="en-US" w:eastAsia="zh-CN"/>
              </w:rPr>
              <w:t>高媛</w:t>
            </w:r>
          </w:p>
          <w:p w14:paraId="34924156">
            <w:pPr>
              <w:autoSpaceDE w:val="0"/>
              <w:autoSpaceDN w:val="0"/>
              <w:adjustRightInd w:val="0"/>
              <w:spacing w:line="320" w:lineRule="exact"/>
              <w:jc w:val="left"/>
              <w:rPr>
                <w:rFonts w:hint="default" w:ascii="宋体" w:hAnsi="宋体" w:eastAsia="宋体" w:cs="宋体"/>
                <w:bCs/>
                <w:kern w:val="0"/>
                <w:szCs w:val="21"/>
                <w:lang w:val="en-US" w:eastAsia="zh-CN"/>
              </w:rPr>
            </w:pPr>
            <w:r>
              <w:rPr>
                <w:rFonts w:hint="eastAsia" w:ascii="宋体" w:hAnsi="宋体" w:cs="宋体"/>
                <w:bCs/>
                <w:kern w:val="0"/>
                <w:szCs w:val="21"/>
                <w:lang w:val="zh-CN"/>
              </w:rPr>
              <w:t>联系电话：</w:t>
            </w:r>
            <w:r>
              <w:rPr>
                <w:rFonts w:hint="eastAsia" w:ascii="宋体" w:hAnsi="宋体" w:cs="宋体"/>
                <w:bCs/>
                <w:kern w:val="0"/>
                <w:szCs w:val="21"/>
                <w:lang w:val="en-US" w:eastAsia="zh-CN"/>
              </w:rPr>
              <w:t>13058100117</w:t>
            </w:r>
          </w:p>
        </w:tc>
      </w:tr>
      <w:tr w14:paraId="1209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403" w:type="dxa"/>
            <w:shd w:val="clear" w:color="000000" w:fill="FFFFFF"/>
            <w:vAlign w:val="center"/>
          </w:tcPr>
          <w:p w14:paraId="1B3CA8CC">
            <w:pPr>
              <w:autoSpaceDE w:val="0"/>
              <w:autoSpaceDN w:val="0"/>
              <w:adjustRightInd w:val="0"/>
              <w:spacing w:line="320" w:lineRule="exact"/>
              <w:jc w:val="center"/>
              <w:rPr>
                <w:rFonts w:hint="eastAsia" w:ascii="宋体" w:hAnsi="宋体" w:eastAsia="宋体" w:cs="宋体"/>
                <w:bCs/>
                <w:kern w:val="0"/>
                <w:szCs w:val="21"/>
                <w:lang w:val="zh-CN"/>
              </w:rPr>
            </w:pPr>
            <w:r>
              <w:rPr>
                <w:rFonts w:hint="eastAsia" w:ascii="宋体" w:hAnsi="宋体" w:eastAsia="宋体" w:cs="宋体"/>
                <w:bCs/>
                <w:kern w:val="0"/>
                <w:szCs w:val="21"/>
                <w:lang w:val="zh-CN"/>
              </w:rPr>
              <w:t>投标限价</w:t>
            </w:r>
          </w:p>
        </w:tc>
        <w:tc>
          <w:tcPr>
            <w:tcW w:w="8890" w:type="dxa"/>
            <w:shd w:val="clear" w:color="000000" w:fill="FFFFFF"/>
            <w:vAlign w:val="center"/>
          </w:tcPr>
          <w:p w14:paraId="0479C1C0">
            <w:pPr>
              <w:autoSpaceDE w:val="0"/>
              <w:autoSpaceDN w:val="0"/>
              <w:adjustRightInd w:val="0"/>
              <w:spacing w:line="320" w:lineRule="exact"/>
              <w:rPr>
                <w:rFonts w:ascii="宋体" w:hAnsi="Calibri" w:cs="宋体"/>
                <w:color w:val="FF0000"/>
                <w:kern w:val="0"/>
                <w:szCs w:val="21"/>
                <w:lang w:val="zh-CN"/>
              </w:rPr>
            </w:pPr>
            <w:r>
              <w:rPr>
                <w:rFonts w:hint="eastAsia" w:ascii="宋体" w:hAnsi="Calibri" w:cs="宋体"/>
                <w:kern w:val="0"/>
                <w:szCs w:val="21"/>
                <w:highlight w:val="none"/>
              </w:rPr>
              <w:t>本次招标控制价为</w:t>
            </w:r>
            <w:r>
              <w:rPr>
                <w:rFonts w:hint="eastAsia" w:ascii="宋体" w:hAnsi="Calibri" w:cs="宋体"/>
                <w:kern w:val="0"/>
                <w:szCs w:val="21"/>
                <w:highlight w:val="none"/>
                <w:u w:val="single"/>
              </w:rPr>
              <w:t xml:space="preserve">1,458,978.00 </w:t>
            </w:r>
            <w:r>
              <w:rPr>
                <w:rFonts w:hint="eastAsia" w:ascii="宋体" w:hAnsi="Calibri" w:cs="宋体"/>
                <w:kern w:val="0"/>
                <w:szCs w:val="21"/>
                <w:highlight w:val="none"/>
              </w:rPr>
              <w:t>元，报价为含税总价包干价，适用税率 13%，中标供应商须开具增值税专用发票。投标报价超出招标控制价的，按无效投标处理。</w:t>
            </w:r>
          </w:p>
        </w:tc>
      </w:tr>
      <w:tr w14:paraId="278C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1403" w:type="dxa"/>
            <w:shd w:val="clear" w:color="000000" w:fill="FFFFFF"/>
            <w:vAlign w:val="center"/>
          </w:tcPr>
          <w:p w14:paraId="72DCC590">
            <w:pPr>
              <w:autoSpaceDE w:val="0"/>
              <w:autoSpaceDN w:val="0"/>
              <w:adjustRightInd w:val="0"/>
              <w:spacing w:line="320" w:lineRule="exact"/>
              <w:jc w:val="center"/>
              <w:rPr>
                <w:rFonts w:hint="eastAsia" w:ascii="宋体" w:hAnsi="宋体" w:eastAsia="宋体" w:cs="宋体"/>
                <w:bCs/>
                <w:kern w:val="0"/>
                <w:szCs w:val="21"/>
                <w:lang w:val="zh-CN"/>
              </w:rPr>
            </w:pPr>
            <w:r>
              <w:rPr>
                <w:rFonts w:hint="eastAsia" w:ascii="宋体" w:hAnsi="宋体" w:eastAsia="宋体" w:cs="宋体"/>
                <w:bCs/>
                <w:kern w:val="0"/>
                <w:szCs w:val="21"/>
                <w:lang w:val="zh-CN"/>
              </w:rPr>
              <w:t>付款方式</w:t>
            </w:r>
          </w:p>
        </w:tc>
        <w:tc>
          <w:tcPr>
            <w:tcW w:w="8890" w:type="dxa"/>
            <w:shd w:val="clear" w:color="000000" w:fill="FFFFFF"/>
            <w:vAlign w:val="center"/>
          </w:tcPr>
          <w:p w14:paraId="39B67AF0">
            <w:pPr>
              <w:autoSpaceDE w:val="0"/>
              <w:autoSpaceDN w:val="0"/>
              <w:adjustRightInd w:val="0"/>
              <w:spacing w:line="320" w:lineRule="exact"/>
              <w:rPr>
                <w:rFonts w:hint="eastAsia" w:cs="Times New Roman"/>
                <w:szCs w:val="21"/>
                <w:lang w:val="en-US" w:eastAsia="zh-CN"/>
              </w:rPr>
            </w:pPr>
            <w:r>
              <w:rPr>
                <w:rFonts w:hint="eastAsia" w:cs="Times New Roman"/>
                <w:szCs w:val="21"/>
                <w:lang w:val="en-US" w:eastAsia="zh-CN"/>
              </w:rPr>
              <w:t>1.预付款：承包人开具符合发包人要求的增值税专用发票及提交完整请款资料后，经发包人审核无误后支付至合同暂定总价的20%作为首期预付款。</w:t>
            </w:r>
          </w:p>
          <w:p w14:paraId="01DC8F08">
            <w:pPr>
              <w:autoSpaceDE w:val="0"/>
              <w:autoSpaceDN w:val="0"/>
              <w:adjustRightInd w:val="0"/>
              <w:spacing w:line="320" w:lineRule="exact"/>
              <w:rPr>
                <w:rFonts w:hint="eastAsia" w:cs="Times New Roman"/>
                <w:szCs w:val="21"/>
                <w:lang w:val="en-US" w:eastAsia="zh-CN"/>
              </w:rPr>
            </w:pPr>
            <w:r>
              <w:rPr>
                <w:rFonts w:hint="eastAsia" w:cs="Times New Roman"/>
                <w:szCs w:val="21"/>
                <w:lang w:val="en-US" w:eastAsia="zh-CN"/>
              </w:rPr>
              <w:t>2.结算款：项目验收合格后，承包人按发包人要求提交付款申请、全套资料及足额合法的增值税专用发票。发包人完成内部审批后14个工作日内办理付款，前期已支付预付款计入本次累计基础款，不再重复支付。</w:t>
            </w:r>
          </w:p>
          <w:p w14:paraId="7B41B73F">
            <w:pPr>
              <w:autoSpaceDE w:val="0"/>
              <w:autoSpaceDN w:val="0"/>
              <w:adjustRightInd w:val="0"/>
              <w:spacing w:line="320" w:lineRule="exact"/>
              <w:rPr>
                <w:rFonts w:hint="eastAsia" w:cs="Times New Roman"/>
                <w:szCs w:val="21"/>
                <w:lang w:val="en-US" w:eastAsia="zh-CN"/>
              </w:rPr>
            </w:pPr>
            <w:r>
              <w:rPr>
                <w:rFonts w:hint="eastAsia" w:cs="Times New Roman"/>
                <w:szCs w:val="21"/>
                <w:lang w:val="en-US" w:eastAsia="zh-CN"/>
              </w:rPr>
              <w:t>本次累计付款最高至合同总价的97%，该部分款项按87%基础款、10%绩效考评款划分（考评标准参照发包人内部履约评价文件）。若承包人绩效考评未达标，发包人将按规定扣除相应款项，实际付款金额以考评结果为准。</w:t>
            </w:r>
          </w:p>
          <w:p w14:paraId="464C810A">
            <w:pPr>
              <w:autoSpaceDE w:val="0"/>
              <w:autoSpaceDN w:val="0"/>
              <w:adjustRightInd w:val="0"/>
              <w:spacing w:line="320" w:lineRule="exact"/>
              <w:rPr>
                <w:rFonts w:ascii="宋体" w:hAnsi="Calibri" w:cs="宋体"/>
                <w:color w:val="FF0000"/>
                <w:kern w:val="0"/>
                <w:szCs w:val="21"/>
                <w:lang w:val="zh-CN"/>
              </w:rPr>
            </w:pPr>
            <w:r>
              <w:rPr>
                <w:rFonts w:hint="eastAsia" w:cs="Times New Roman"/>
                <w:szCs w:val="21"/>
                <w:lang w:val="en-US" w:eastAsia="zh-CN"/>
              </w:rPr>
              <w:t>3.质保金：合同总价剩余3%作为质量保证金，待质保期满且承包人履约合格后，发包人按约定无息返还。</w:t>
            </w:r>
          </w:p>
        </w:tc>
      </w:tr>
      <w:tr w14:paraId="4A1D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403" w:type="dxa"/>
            <w:shd w:val="clear" w:color="000000" w:fill="FFFFFF"/>
            <w:vAlign w:val="center"/>
          </w:tcPr>
          <w:p w14:paraId="397A25B0">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投标保证金</w:t>
            </w:r>
          </w:p>
        </w:tc>
        <w:tc>
          <w:tcPr>
            <w:tcW w:w="8890" w:type="dxa"/>
            <w:shd w:val="clear" w:color="000000" w:fill="FFFFFF"/>
            <w:vAlign w:val="center"/>
          </w:tcPr>
          <w:p w14:paraId="0D4EB58B">
            <w:pPr>
              <w:autoSpaceDE w:val="0"/>
              <w:autoSpaceDN w:val="0"/>
              <w:adjustRightInd w:val="0"/>
              <w:spacing w:line="320" w:lineRule="exact"/>
              <w:rPr>
                <w:rFonts w:hint="eastAsia" w:ascii="宋体" w:hAnsi="宋体" w:cs="宋体"/>
                <w:bCs/>
                <w:color w:val="FF0000"/>
                <w:kern w:val="0"/>
                <w:szCs w:val="21"/>
                <w:lang w:val="zh-CN"/>
              </w:rPr>
            </w:pPr>
            <w:r>
              <w:rPr>
                <w:rFonts w:hint="eastAsia" w:ascii="宋体" w:hAnsi="宋体" w:cs="宋体"/>
                <w:bCs/>
                <w:kern w:val="0"/>
                <w:szCs w:val="21"/>
                <w:lang w:val="zh-CN"/>
              </w:rPr>
              <w:t>不适用</w:t>
            </w:r>
          </w:p>
        </w:tc>
      </w:tr>
      <w:tr w14:paraId="1105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403" w:type="dxa"/>
            <w:shd w:val="clear" w:color="000000" w:fill="FFFFFF"/>
            <w:vAlign w:val="center"/>
          </w:tcPr>
          <w:p w14:paraId="5E1BE5F5">
            <w:pPr>
              <w:jc w:val="center"/>
              <w:rPr>
                <w:szCs w:val="21"/>
              </w:rPr>
            </w:pPr>
            <w:r>
              <w:rPr>
                <w:rFonts w:hint="eastAsia"/>
                <w:szCs w:val="21"/>
              </w:rPr>
              <w:t>其他要求</w:t>
            </w:r>
          </w:p>
        </w:tc>
        <w:tc>
          <w:tcPr>
            <w:tcW w:w="8890" w:type="dxa"/>
            <w:shd w:val="clear" w:color="000000" w:fill="FFFFFF"/>
          </w:tcPr>
          <w:p w14:paraId="1E9871A3">
            <w:pPr>
              <w:rPr>
                <w:szCs w:val="21"/>
              </w:rPr>
            </w:pPr>
            <w:r>
              <w:rPr>
                <w:rFonts w:hint="eastAsia"/>
                <w:szCs w:val="21"/>
              </w:rPr>
              <w:t>投标人必须保证投标时所报资料真实有效，招标人保留对资料的核查权力，一旦发现资料有虚假现象将移交有关部门处理。</w:t>
            </w:r>
          </w:p>
        </w:tc>
      </w:tr>
      <w:tr w14:paraId="4335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03" w:type="dxa"/>
            <w:shd w:val="clear" w:color="000000" w:fill="FFFFFF"/>
            <w:vAlign w:val="center"/>
          </w:tcPr>
          <w:p w14:paraId="453D40AF">
            <w:pPr>
              <w:jc w:val="center"/>
              <w:rPr>
                <w:szCs w:val="21"/>
              </w:rPr>
            </w:pPr>
            <w:r>
              <w:rPr>
                <w:rFonts w:hint="eastAsia"/>
                <w:szCs w:val="21"/>
              </w:rPr>
              <w:t>定义说明</w:t>
            </w:r>
          </w:p>
        </w:tc>
        <w:tc>
          <w:tcPr>
            <w:tcW w:w="8890" w:type="dxa"/>
            <w:shd w:val="clear" w:color="000000" w:fill="FFFFFF"/>
          </w:tcPr>
          <w:p w14:paraId="3B0953D3">
            <w:pPr>
              <w:autoSpaceDE w:val="0"/>
              <w:autoSpaceDN w:val="0"/>
              <w:adjustRightInd w:val="0"/>
              <w:spacing w:line="320" w:lineRule="exact"/>
              <w:jc w:val="left"/>
              <w:rPr>
                <w:rFonts w:hint="eastAsia" w:ascii="宋体" w:hAnsi="宋体" w:cs="宋体"/>
                <w:bCs/>
                <w:kern w:val="0"/>
                <w:szCs w:val="21"/>
              </w:rPr>
            </w:pPr>
            <w:r>
              <w:rPr>
                <w:rFonts w:hint="eastAsia"/>
                <w:szCs w:val="21"/>
              </w:rPr>
              <w:t>本招标文件中所列“招标人” 、“采购人”均指——</w:t>
            </w:r>
            <w:r>
              <w:rPr>
                <w:rFonts w:hint="eastAsia" w:ascii="宋体" w:hAnsi="宋体" w:cs="宋体"/>
                <w:bCs/>
                <w:kern w:val="0"/>
                <w:szCs w:val="21"/>
                <w:lang w:val="zh-CN"/>
              </w:rPr>
              <w:t>深圳市</w:t>
            </w:r>
            <w:r>
              <w:rPr>
                <w:rFonts w:hint="eastAsia" w:ascii="宋体" w:hAnsi="宋体" w:cs="宋体"/>
                <w:bCs/>
                <w:kern w:val="0"/>
                <w:szCs w:val="21"/>
              </w:rPr>
              <w:t>鹏城</w:t>
            </w:r>
            <w:r>
              <w:rPr>
                <w:rFonts w:hint="eastAsia" w:ascii="宋体" w:hAnsi="宋体" w:cs="宋体"/>
                <w:bCs/>
                <w:kern w:val="0"/>
                <w:szCs w:val="21"/>
                <w:lang w:val="zh-CN"/>
              </w:rPr>
              <w:t>产业服务有限公司</w:t>
            </w:r>
            <w:r>
              <w:rPr>
                <w:rFonts w:hint="eastAsia"/>
                <w:szCs w:val="21"/>
              </w:rPr>
              <w:t xml:space="preserve">   </w:t>
            </w:r>
          </w:p>
        </w:tc>
      </w:tr>
      <w:tr w14:paraId="0B2C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03" w:type="dxa"/>
            <w:shd w:val="clear" w:color="000000" w:fill="FFFFFF"/>
            <w:vAlign w:val="center"/>
          </w:tcPr>
          <w:p w14:paraId="254B0160">
            <w:pPr>
              <w:autoSpaceDE w:val="0"/>
              <w:autoSpaceDN w:val="0"/>
              <w:adjustRightInd w:val="0"/>
              <w:spacing w:line="320" w:lineRule="exact"/>
              <w:jc w:val="center"/>
              <w:rPr>
                <w:rFonts w:hint="eastAsia" w:ascii="宋体" w:hAnsi="宋体" w:cs="宋体"/>
                <w:bCs/>
                <w:kern w:val="0"/>
                <w:szCs w:val="21"/>
                <w:lang w:val="zh-CN"/>
              </w:rPr>
            </w:pPr>
            <w:r>
              <w:rPr>
                <w:rFonts w:hint="eastAsia" w:ascii="宋体" w:hAnsi="宋体" w:cs="宋体"/>
                <w:bCs/>
                <w:kern w:val="0"/>
                <w:szCs w:val="21"/>
                <w:lang w:val="zh-CN"/>
              </w:rPr>
              <w:t>其他事项</w:t>
            </w:r>
          </w:p>
        </w:tc>
        <w:tc>
          <w:tcPr>
            <w:tcW w:w="8890" w:type="dxa"/>
            <w:shd w:val="clear" w:color="000000" w:fill="FFFFFF"/>
            <w:vAlign w:val="center"/>
          </w:tcPr>
          <w:p w14:paraId="6F6F0391">
            <w:pPr>
              <w:autoSpaceDE w:val="0"/>
              <w:autoSpaceDN w:val="0"/>
              <w:adjustRightInd w:val="0"/>
              <w:spacing w:line="320" w:lineRule="exact"/>
              <w:rPr>
                <w:rFonts w:hint="eastAsia" w:ascii="宋体" w:hAnsi="宋体" w:cs="宋体"/>
                <w:bCs/>
                <w:color w:val="FF0000"/>
                <w:kern w:val="0"/>
                <w:szCs w:val="21"/>
                <w:lang w:val="zh-CN"/>
              </w:rPr>
            </w:pPr>
            <w:r>
              <w:rPr>
                <w:rFonts w:hint="eastAsia" w:ascii="宋体" w:hAnsi="宋体" w:cs="宋体"/>
                <w:bCs/>
                <w:kern w:val="0"/>
                <w:szCs w:val="21"/>
                <w:lang w:val="zh-CN"/>
              </w:rPr>
              <w:t>无</w:t>
            </w:r>
          </w:p>
        </w:tc>
      </w:tr>
    </w:tbl>
    <w:p w14:paraId="54757531">
      <w:r>
        <w:br w:type="page"/>
      </w:r>
    </w:p>
    <w:p w14:paraId="363C8AC4">
      <w:pPr>
        <w:pStyle w:val="2"/>
        <w:keepNext w:val="0"/>
        <w:keepLines w:val="0"/>
        <w:pageBreakBefore w:val="0"/>
        <w:widowControl w:val="0"/>
        <w:wordWrap/>
        <w:overflowPunct/>
        <w:topLinePunct w:val="0"/>
        <w:bidi w:val="0"/>
        <w:spacing w:line="560" w:lineRule="exact"/>
        <w:jc w:val="center"/>
        <w:rPr>
          <w:rFonts w:ascii="仿宋_GB2312" w:hAnsi="仿宋" w:eastAsia="仿宋_GB2312"/>
          <w:bCs w:val="0"/>
          <w:sz w:val="22"/>
          <w:szCs w:val="24"/>
        </w:rPr>
      </w:pPr>
      <w:r>
        <w:rPr>
          <w:rFonts w:hint="eastAsia"/>
          <w:b/>
          <w:bCs/>
          <w:sz w:val="36"/>
          <w:szCs w:val="40"/>
          <w:lang w:val="en-US" w:eastAsia="zh-CN"/>
        </w:rPr>
        <w:t>技术任务书</w:t>
      </w:r>
    </w:p>
    <w:p w14:paraId="2CBD53B0">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101" w:line="560" w:lineRule="exact"/>
        <w:ind w:left="630" w:leftChars="0" w:firstLineChars="0"/>
        <w:jc w:val="left"/>
        <w:textAlignment w:val="baseline"/>
        <w:outlineLvl w:val="0"/>
        <w:rPr>
          <w:rFonts w:ascii="宋体" w:hAnsi="宋体" w:eastAsia="宋体" w:cs="宋体"/>
          <w:b/>
          <w:bCs/>
          <w:spacing w:val="2"/>
          <w:sz w:val="31"/>
          <w:szCs w:val="31"/>
        </w:rPr>
      </w:pPr>
      <w:bookmarkStart w:id="2" w:name="_Toc293"/>
      <w:r>
        <w:rPr>
          <w:rFonts w:ascii="宋体" w:hAnsi="宋体" w:eastAsia="宋体" w:cs="宋体"/>
          <w:b/>
          <w:bCs/>
          <w:spacing w:val="2"/>
          <w:sz w:val="31"/>
          <w:szCs w:val="31"/>
        </w:rPr>
        <w:t>项目概况</w:t>
      </w:r>
      <w:bookmarkEnd w:id="2"/>
    </w:p>
    <w:p w14:paraId="1F0C98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梅林海关南地块超充示范站项目占地面积约 5339.34㎡，地块毗邻南坪快速出入口，系区级重点建设项目。为保障项目建成后的充电用电稳定供应，计划购置并布设 4 台 1250kVA 预装式变电站，同步办理项目长期用水报装及配套安装施工。</w:t>
      </w:r>
    </w:p>
    <w:p w14:paraId="772FFFC1">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101" w:line="560" w:lineRule="exact"/>
        <w:ind w:left="630" w:leftChars="0" w:firstLineChars="0"/>
        <w:jc w:val="left"/>
        <w:textAlignment w:val="baseline"/>
        <w:outlineLvl w:val="0"/>
        <w:rPr>
          <w:rFonts w:hint="default" w:ascii="宋体" w:hAnsi="宋体" w:eastAsia="宋体" w:cs="宋体"/>
          <w:b/>
          <w:bCs/>
          <w:spacing w:val="2"/>
          <w:sz w:val="31"/>
          <w:szCs w:val="31"/>
          <w:lang w:val="en-US" w:eastAsia="zh-CN"/>
        </w:rPr>
      </w:pPr>
      <w:bookmarkStart w:id="3" w:name="_Toc1513"/>
      <w:r>
        <w:rPr>
          <w:rFonts w:hint="eastAsia" w:ascii="宋体" w:hAnsi="宋体" w:eastAsia="宋体" w:cs="宋体"/>
          <w:b/>
          <w:bCs/>
          <w:spacing w:val="2"/>
          <w:sz w:val="31"/>
          <w:szCs w:val="31"/>
          <w:lang w:val="en-US" w:eastAsia="zh-CN"/>
        </w:rPr>
        <w:t>招标</w:t>
      </w:r>
      <w:r>
        <w:rPr>
          <w:rFonts w:hint="default" w:ascii="宋体" w:hAnsi="宋体" w:eastAsia="宋体" w:cs="宋体"/>
          <w:b/>
          <w:bCs/>
          <w:spacing w:val="2"/>
          <w:sz w:val="31"/>
          <w:szCs w:val="31"/>
          <w:lang w:val="en-US" w:eastAsia="zh-CN"/>
        </w:rPr>
        <w:t>范围</w:t>
      </w:r>
      <w:r>
        <w:rPr>
          <w:rFonts w:hint="eastAsia" w:ascii="宋体" w:hAnsi="宋体" w:eastAsia="宋体" w:cs="宋体"/>
          <w:b/>
          <w:bCs/>
          <w:spacing w:val="2"/>
          <w:sz w:val="31"/>
          <w:szCs w:val="31"/>
          <w:lang w:val="en-US" w:eastAsia="zh-CN"/>
        </w:rPr>
        <w:t>及内容</w:t>
      </w:r>
      <w:bookmarkEnd w:id="3"/>
    </w:p>
    <w:p w14:paraId="092AF9A7">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560" w:lineRule="exact"/>
        <w:ind w:left="638" w:leftChars="304" w:firstLine="0" w:firstLineChars="0"/>
        <w:textAlignment w:val="auto"/>
        <w:outlineLvl w:val="1"/>
        <w:rPr>
          <w:rFonts w:hint="eastAsia" w:ascii="楷体_GB2312" w:hAnsi="楷体_GB2312" w:eastAsia="楷体_GB2312" w:cs="楷体_GB2312"/>
          <w:color w:val="000000"/>
          <w:spacing w:val="0"/>
          <w:sz w:val="32"/>
          <w:szCs w:val="32"/>
          <w:lang w:val="en-US" w:eastAsia="zh-CN"/>
        </w:rPr>
      </w:pPr>
      <w:bookmarkStart w:id="4" w:name="_Toc4658"/>
      <w:r>
        <w:rPr>
          <w:rFonts w:hint="eastAsia" w:ascii="楷体_GB2312" w:hAnsi="楷体_GB2312" w:eastAsia="楷体_GB2312" w:cs="楷体_GB2312"/>
          <w:color w:val="000000"/>
          <w:spacing w:val="0"/>
          <w:sz w:val="32"/>
          <w:szCs w:val="32"/>
          <w:lang w:val="en-US" w:eastAsia="zh-CN"/>
        </w:rPr>
        <w:t>预装式变电站采购及配套施工工程</w:t>
      </w:r>
      <w:bookmarkEnd w:id="4"/>
    </w:p>
    <w:p w14:paraId="6E06547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本板块包含4台1250kVA预装式变电站的设备采购、定制生产、运输配送、现场安装、土建配套、调试试验、报验验收、技术培训及质保售后服务等全部工作，具体参数、配置及施工要求如下：</w:t>
      </w:r>
    </w:p>
    <w:p w14:paraId="1548BD16">
      <w:pPr>
        <w:pStyle w:val="15"/>
        <w:keepNext w:val="0"/>
        <w:keepLines w:val="0"/>
        <w:pageBreakBefore w:val="0"/>
        <w:widowControl w:val="0"/>
        <w:wordWrap/>
        <w:overflowPunct/>
        <w:topLinePunct w:val="0"/>
        <w:bidi w:val="0"/>
        <w:spacing w:line="560" w:lineRule="exact"/>
        <w:ind w:firstLine="640" w:firstLineChars="200"/>
        <w:outlineLvl w:val="2"/>
        <w:rPr>
          <w:rFonts w:hint="eastAsia" w:ascii="仿宋_GB2312" w:hAnsi="仿宋_GB2312" w:eastAsia="仿宋_GB2312" w:cs="仿宋_GB2312"/>
          <w:color w:val="auto"/>
          <w:w w:val="100"/>
          <w:kern w:val="2"/>
          <w:sz w:val="32"/>
          <w:szCs w:val="32"/>
          <w:highlight w:val="none"/>
          <w:lang w:val="en-US" w:eastAsia="zh-CN" w:bidi="ar-SA"/>
        </w:rPr>
      </w:pPr>
      <w:bookmarkStart w:id="5" w:name="_Toc17411"/>
      <w:bookmarkStart w:id="6" w:name="OLE_LINK2"/>
      <w:r>
        <w:rPr>
          <w:rFonts w:hint="eastAsia" w:ascii="仿宋_GB2312" w:hAnsi="仿宋_GB2312" w:eastAsia="仿宋_GB2312" w:cs="仿宋_GB2312"/>
          <w:color w:val="auto"/>
          <w:w w:val="100"/>
          <w:kern w:val="2"/>
          <w:sz w:val="32"/>
          <w:szCs w:val="32"/>
          <w:highlight w:val="none"/>
          <w:lang w:val="en-US" w:eastAsia="zh-CN" w:bidi="ar-SA"/>
        </w:rPr>
        <w:t>1.核心设备采购清单：</w:t>
      </w:r>
      <w:bookmarkEnd w:id="5"/>
    </w:p>
    <w:tbl>
      <w:tblPr>
        <w:tblStyle w:val="11"/>
        <w:tblW w:w="8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3"/>
        <w:gridCol w:w="2496"/>
        <w:gridCol w:w="1476"/>
        <w:gridCol w:w="1668"/>
      </w:tblGrid>
      <w:tr w14:paraId="4436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3" w:type="dxa"/>
            <w:vAlign w:val="center"/>
          </w:tcPr>
          <w:p w14:paraId="29E61E66">
            <w:pPr>
              <w:pStyle w:val="15"/>
              <w:keepNext w:val="0"/>
              <w:keepLines w:val="0"/>
              <w:pageBreakBefore w:val="0"/>
              <w:widowControl w:val="0"/>
              <w:wordWrap/>
              <w:overflowPunct/>
              <w:topLinePunct w:val="0"/>
              <w:bidi w:val="0"/>
              <w:spacing w:line="560" w:lineRule="exact"/>
              <w:jc w:val="center"/>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设备名称</w:t>
            </w:r>
          </w:p>
        </w:tc>
        <w:tc>
          <w:tcPr>
            <w:tcW w:w="2496" w:type="dxa"/>
            <w:vAlign w:val="center"/>
          </w:tcPr>
          <w:p w14:paraId="354156EF">
            <w:pPr>
              <w:pStyle w:val="15"/>
              <w:keepNext w:val="0"/>
              <w:keepLines w:val="0"/>
              <w:pageBreakBefore w:val="0"/>
              <w:widowControl w:val="0"/>
              <w:wordWrap/>
              <w:overflowPunct/>
              <w:topLinePunct w:val="0"/>
              <w:bidi w:val="0"/>
              <w:spacing w:line="560" w:lineRule="exact"/>
              <w:jc w:val="center"/>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规格型号</w:t>
            </w:r>
          </w:p>
        </w:tc>
        <w:tc>
          <w:tcPr>
            <w:tcW w:w="1476" w:type="dxa"/>
            <w:vAlign w:val="center"/>
          </w:tcPr>
          <w:p w14:paraId="00946B71">
            <w:pPr>
              <w:pStyle w:val="15"/>
              <w:keepNext w:val="0"/>
              <w:keepLines w:val="0"/>
              <w:pageBreakBefore w:val="0"/>
              <w:widowControl w:val="0"/>
              <w:wordWrap/>
              <w:overflowPunct/>
              <w:topLinePunct w:val="0"/>
              <w:bidi w:val="0"/>
              <w:spacing w:line="560" w:lineRule="exact"/>
              <w:jc w:val="center"/>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单位</w:t>
            </w:r>
          </w:p>
        </w:tc>
        <w:tc>
          <w:tcPr>
            <w:tcW w:w="1668" w:type="dxa"/>
            <w:vAlign w:val="center"/>
          </w:tcPr>
          <w:p w14:paraId="69B1CD2B">
            <w:pPr>
              <w:pStyle w:val="15"/>
              <w:keepNext w:val="0"/>
              <w:keepLines w:val="0"/>
              <w:pageBreakBefore w:val="0"/>
              <w:widowControl w:val="0"/>
              <w:wordWrap/>
              <w:overflowPunct/>
              <w:topLinePunct w:val="0"/>
              <w:bidi w:val="0"/>
              <w:spacing w:line="560" w:lineRule="exact"/>
              <w:jc w:val="center"/>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数量</w:t>
            </w:r>
          </w:p>
        </w:tc>
      </w:tr>
      <w:tr w14:paraId="4598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3" w:type="dxa"/>
            <w:vAlign w:val="center"/>
          </w:tcPr>
          <w:p w14:paraId="41F7B6A0">
            <w:pPr>
              <w:pStyle w:val="15"/>
              <w:keepNext w:val="0"/>
              <w:keepLines w:val="0"/>
              <w:pageBreakBefore w:val="0"/>
              <w:widowControl w:val="0"/>
              <w:wordWrap/>
              <w:overflowPunct/>
              <w:topLinePunct w:val="0"/>
              <w:bidi w:val="0"/>
              <w:spacing w:line="560" w:lineRule="exact"/>
              <w:jc w:val="center"/>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预装式变电站(1250kVA）</w:t>
            </w:r>
          </w:p>
        </w:tc>
        <w:tc>
          <w:tcPr>
            <w:tcW w:w="2496" w:type="dxa"/>
            <w:vAlign w:val="center"/>
          </w:tcPr>
          <w:p w14:paraId="7AACF345">
            <w:pPr>
              <w:pStyle w:val="15"/>
              <w:keepNext w:val="0"/>
              <w:keepLines w:val="0"/>
              <w:pageBreakBefore w:val="0"/>
              <w:widowControl w:val="0"/>
              <w:wordWrap/>
              <w:overflowPunct/>
              <w:topLinePunct w:val="0"/>
              <w:bidi w:val="0"/>
              <w:spacing w:line="560" w:lineRule="exact"/>
              <w:jc w:val="center"/>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SCB14-1250/10/0.4kV</w:t>
            </w:r>
          </w:p>
        </w:tc>
        <w:tc>
          <w:tcPr>
            <w:tcW w:w="1476" w:type="dxa"/>
            <w:vAlign w:val="center"/>
          </w:tcPr>
          <w:p w14:paraId="79C287F3">
            <w:pPr>
              <w:pStyle w:val="15"/>
              <w:keepNext w:val="0"/>
              <w:keepLines w:val="0"/>
              <w:pageBreakBefore w:val="0"/>
              <w:widowControl w:val="0"/>
              <w:wordWrap/>
              <w:overflowPunct/>
              <w:topLinePunct w:val="0"/>
              <w:bidi w:val="0"/>
              <w:spacing w:line="560" w:lineRule="exact"/>
              <w:jc w:val="center"/>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台</w:t>
            </w:r>
          </w:p>
        </w:tc>
        <w:tc>
          <w:tcPr>
            <w:tcW w:w="1668" w:type="dxa"/>
            <w:vAlign w:val="center"/>
          </w:tcPr>
          <w:p w14:paraId="1570A3C6">
            <w:pPr>
              <w:pStyle w:val="15"/>
              <w:keepNext w:val="0"/>
              <w:keepLines w:val="0"/>
              <w:pageBreakBefore w:val="0"/>
              <w:widowControl w:val="0"/>
              <w:wordWrap/>
              <w:overflowPunct/>
              <w:topLinePunct w:val="0"/>
              <w:bidi w:val="0"/>
              <w:spacing w:line="560" w:lineRule="exact"/>
              <w:jc w:val="center"/>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4</w:t>
            </w:r>
          </w:p>
        </w:tc>
      </w:tr>
    </w:tbl>
    <w:p w14:paraId="00A3D2E6">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2"/>
        <w:rPr>
          <w:rFonts w:hint="eastAsia" w:ascii="仿宋_GB2312" w:hAnsi="仿宋_GB2312" w:eastAsia="仿宋_GB2312" w:cs="仿宋_GB2312"/>
          <w:color w:val="auto"/>
          <w:w w:val="100"/>
          <w:kern w:val="2"/>
          <w:sz w:val="32"/>
          <w:szCs w:val="32"/>
          <w:highlight w:val="none"/>
          <w:lang w:val="en-US" w:eastAsia="zh-CN" w:bidi="ar-SA"/>
        </w:rPr>
      </w:pPr>
      <w:bookmarkStart w:id="7" w:name="_Toc30527"/>
      <w:r>
        <w:rPr>
          <w:rFonts w:hint="eastAsia" w:ascii="仿宋_GB2312" w:hAnsi="仿宋_GB2312" w:eastAsia="仿宋_GB2312" w:cs="仿宋_GB2312"/>
          <w:color w:val="auto"/>
          <w:w w:val="100"/>
          <w:kern w:val="2"/>
          <w:sz w:val="32"/>
          <w:szCs w:val="32"/>
          <w:highlight w:val="none"/>
          <w:lang w:val="en-US" w:eastAsia="zh-CN" w:bidi="ar-SA"/>
        </w:rPr>
        <w:t>2.设备主要技术参数标准</w:t>
      </w:r>
      <w:bookmarkEnd w:id="7"/>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6927"/>
      </w:tblGrid>
      <w:tr w14:paraId="1DAB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595" w:type="dxa"/>
          </w:tcPr>
          <w:p w14:paraId="75013584">
            <w:pPr>
              <w:pStyle w:val="9"/>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额定容量</w:t>
            </w:r>
          </w:p>
        </w:tc>
        <w:tc>
          <w:tcPr>
            <w:tcW w:w="6927" w:type="dxa"/>
          </w:tcPr>
          <w:p w14:paraId="1B021341">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1250kVA</w:t>
            </w:r>
          </w:p>
        </w:tc>
      </w:tr>
      <w:tr w14:paraId="5D2F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05A2B21C">
            <w:pPr>
              <w:pStyle w:val="9"/>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冷却方式</w:t>
            </w:r>
          </w:p>
        </w:tc>
        <w:tc>
          <w:tcPr>
            <w:tcW w:w="6927" w:type="dxa"/>
          </w:tcPr>
          <w:p w14:paraId="0931D512">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自冷（AN），并配置温控强迫风冷（AF）装置</w:t>
            </w:r>
          </w:p>
        </w:tc>
      </w:tr>
      <w:tr w14:paraId="0EFE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3C055340">
            <w:pPr>
              <w:pStyle w:val="9"/>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箱体外壳</w:t>
            </w:r>
          </w:p>
        </w:tc>
        <w:tc>
          <w:tcPr>
            <w:tcW w:w="6927" w:type="dxa"/>
          </w:tcPr>
          <w:p w14:paraId="75647B8E">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环网型，配SF6气体免缘共推式环网柜</w:t>
            </w:r>
          </w:p>
        </w:tc>
      </w:tr>
      <w:tr w14:paraId="2CFB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182295D8">
            <w:pPr>
              <w:pStyle w:val="9"/>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能效等级</w:t>
            </w:r>
          </w:p>
        </w:tc>
        <w:tc>
          <w:tcPr>
            <w:tcW w:w="6927" w:type="dxa"/>
          </w:tcPr>
          <w:p w14:paraId="20E55E25">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本项目变压器须满足GB 20052-2024《电力变压器能效限定值及能效等级》中能效2级（NX2）及以上标准</w:t>
            </w:r>
          </w:p>
        </w:tc>
      </w:tr>
      <w:tr w14:paraId="0271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1FB7A1CE">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短路阻抗</w:t>
            </w:r>
          </w:p>
        </w:tc>
        <w:tc>
          <w:tcPr>
            <w:tcW w:w="6927" w:type="dxa"/>
          </w:tcPr>
          <w:p w14:paraId="1AB25BAF">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1250kVA干式变压器短路阻抗为6%（允许偏差±10%）</w:t>
            </w:r>
          </w:p>
        </w:tc>
      </w:tr>
      <w:tr w14:paraId="38AA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7A8840F6">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绕组材质</w:t>
            </w:r>
          </w:p>
        </w:tc>
        <w:tc>
          <w:tcPr>
            <w:tcW w:w="6927" w:type="dxa"/>
          </w:tcPr>
          <w:p w14:paraId="376516CC">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须采用全铜绕组，禁止使用铝绕组</w:t>
            </w:r>
          </w:p>
        </w:tc>
      </w:tr>
      <w:tr w14:paraId="70DB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6A66AC8B">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铁芯材质</w:t>
            </w:r>
          </w:p>
        </w:tc>
        <w:tc>
          <w:tcPr>
            <w:tcW w:w="6927" w:type="dxa"/>
          </w:tcPr>
          <w:p w14:paraId="6C30EED1">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选用优质低损耗冷轧取向硅钢片，采用步进叠片工艺</w:t>
            </w:r>
          </w:p>
        </w:tc>
      </w:tr>
      <w:tr w14:paraId="5EA0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3830A5D3">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防护等级</w:t>
            </w:r>
          </w:p>
        </w:tc>
        <w:tc>
          <w:tcPr>
            <w:tcW w:w="6927" w:type="dxa"/>
          </w:tcPr>
          <w:p w14:paraId="0C5FAC3C">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bookmarkStart w:id="8" w:name="OLE_LINK1"/>
            <w:r>
              <w:rPr>
                <w:rFonts w:hint="eastAsia" w:ascii="仿宋_GB2312" w:hAnsi="仿宋_GB2312" w:eastAsia="仿宋_GB2312" w:cs="仿宋_GB2312"/>
                <w:color w:val="auto"/>
                <w:w w:val="100"/>
                <w:kern w:val="2"/>
                <w:sz w:val="24"/>
                <w:szCs w:val="24"/>
                <w:highlight w:val="none"/>
                <w:vertAlign w:val="baseline"/>
                <w:lang w:val="en-US" w:eastAsia="zh-CN" w:bidi="ar-SA"/>
              </w:rPr>
              <w:t>落地式安装，底部进出线防护等级不低于IP54</w:t>
            </w:r>
            <w:bookmarkEnd w:id="8"/>
          </w:p>
        </w:tc>
      </w:tr>
      <w:tr w14:paraId="5213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1677C4D1">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温控系统</w:t>
            </w:r>
          </w:p>
        </w:tc>
        <w:tc>
          <w:tcPr>
            <w:tcW w:w="6927" w:type="dxa"/>
          </w:tcPr>
          <w:p w14:paraId="5C5F975C">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配置智能温控仪，具备三相绕组温度巡检、高温告警、超温跳闸及自动启停风机功能</w:t>
            </w:r>
          </w:p>
        </w:tc>
      </w:tr>
      <w:tr w14:paraId="71F2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29E4BF27">
            <w:pPr>
              <w:pStyle w:val="9"/>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其他</w:t>
            </w:r>
          </w:p>
        </w:tc>
        <w:tc>
          <w:tcPr>
            <w:tcW w:w="6927" w:type="dxa"/>
          </w:tcPr>
          <w:p w14:paraId="261E8E94">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包含智能监控、接地、支架等配套内容，其他未尽事项满足招标文件及技术要求书，且满足现行施工规范、技术标准及质量验收规范要求</w:t>
            </w:r>
          </w:p>
        </w:tc>
      </w:tr>
    </w:tbl>
    <w:p w14:paraId="3D5CF598">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2"/>
        <w:rPr>
          <w:rFonts w:hint="eastAsia" w:ascii="仿宋_GB2312" w:hAnsi="仿宋_GB2312" w:eastAsia="仿宋_GB2312" w:cs="仿宋_GB2312"/>
          <w:color w:val="auto"/>
          <w:w w:val="100"/>
          <w:kern w:val="2"/>
          <w:sz w:val="32"/>
          <w:szCs w:val="32"/>
          <w:highlight w:val="none"/>
          <w:lang w:val="en-US" w:eastAsia="zh-CN" w:bidi="ar-SA"/>
        </w:rPr>
      </w:pPr>
      <w:bookmarkStart w:id="9" w:name="_Toc23921"/>
      <w:r>
        <w:rPr>
          <w:rFonts w:hint="eastAsia" w:ascii="仿宋_GB2312" w:hAnsi="仿宋_GB2312" w:eastAsia="仿宋_GB2312" w:cs="仿宋_GB2312"/>
          <w:color w:val="auto"/>
          <w:w w:val="100"/>
          <w:kern w:val="2"/>
          <w:sz w:val="32"/>
          <w:szCs w:val="32"/>
          <w:highlight w:val="none"/>
          <w:lang w:val="en-US" w:eastAsia="zh-CN" w:bidi="ar-SA"/>
        </w:rPr>
        <w:t>3.预装式变电站要求</w:t>
      </w:r>
      <w:bookmarkEnd w:id="9"/>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4260"/>
      </w:tblGrid>
      <w:tr w14:paraId="36F8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6963E1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名称</w:t>
            </w:r>
          </w:p>
        </w:tc>
        <w:tc>
          <w:tcPr>
            <w:tcW w:w="2130" w:type="dxa"/>
          </w:tcPr>
          <w:p w14:paraId="7B5B05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参考设备尺寸</w:t>
            </w:r>
          </w:p>
        </w:tc>
        <w:tc>
          <w:tcPr>
            <w:tcW w:w="4260" w:type="dxa"/>
          </w:tcPr>
          <w:p w14:paraId="555574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配置开关要求</w:t>
            </w:r>
          </w:p>
        </w:tc>
      </w:tr>
      <w:tr w14:paraId="3167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65F9B4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1#1250kVA箱变</w:t>
            </w:r>
          </w:p>
        </w:tc>
        <w:tc>
          <w:tcPr>
            <w:tcW w:w="2130" w:type="dxa"/>
          </w:tcPr>
          <w:p w14:paraId="762EC8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3350mm×2700mm</w:t>
            </w:r>
          </w:p>
        </w:tc>
        <w:tc>
          <w:tcPr>
            <w:tcW w:w="4260" w:type="dxa"/>
          </w:tcPr>
          <w:p w14:paraId="0EFC1E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1000A MCCB断路器带分励脱扣器×3</w:t>
            </w:r>
            <w:r>
              <w:rPr>
                <w:rFonts w:hint="eastAsia" w:ascii="仿宋_GB2312" w:hAnsi="仿宋_GB2312" w:eastAsia="仿宋_GB2312" w:cs="仿宋_GB2312"/>
                <w:color w:val="auto"/>
                <w:w w:val="100"/>
                <w:kern w:val="2"/>
                <w:sz w:val="24"/>
                <w:szCs w:val="24"/>
                <w:highlight w:val="none"/>
                <w:vertAlign w:val="baseline"/>
                <w:lang w:val="en-US" w:eastAsia="zh-CN" w:bidi="ar-SA"/>
              </w:rPr>
              <w:br w:type="textWrapping"/>
            </w:r>
            <w:r>
              <w:rPr>
                <w:rFonts w:hint="eastAsia" w:ascii="仿宋_GB2312" w:hAnsi="仿宋_GB2312" w:eastAsia="仿宋_GB2312" w:cs="仿宋_GB2312"/>
                <w:color w:val="auto"/>
                <w:w w:val="100"/>
                <w:kern w:val="2"/>
                <w:sz w:val="24"/>
                <w:szCs w:val="24"/>
                <w:highlight w:val="none"/>
                <w:vertAlign w:val="baseline"/>
                <w:lang w:val="en-US" w:eastAsia="zh-CN" w:bidi="ar-SA"/>
              </w:rPr>
              <w:t>400A MCCB断路器带分励脱扣器×1</w:t>
            </w:r>
          </w:p>
        </w:tc>
      </w:tr>
      <w:tr w14:paraId="567F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12C14E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2#1250kVA箱变</w:t>
            </w:r>
          </w:p>
        </w:tc>
        <w:tc>
          <w:tcPr>
            <w:tcW w:w="2130" w:type="dxa"/>
          </w:tcPr>
          <w:p w14:paraId="7F97DA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3350mm×2700mm</w:t>
            </w:r>
          </w:p>
        </w:tc>
        <w:tc>
          <w:tcPr>
            <w:tcW w:w="4260" w:type="dxa"/>
          </w:tcPr>
          <w:p w14:paraId="7F8499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1000A MCCB断路器带分励脱扣器×3</w:t>
            </w:r>
            <w:r>
              <w:rPr>
                <w:rFonts w:hint="eastAsia" w:ascii="仿宋_GB2312" w:hAnsi="仿宋_GB2312" w:eastAsia="仿宋_GB2312" w:cs="仿宋_GB2312"/>
                <w:color w:val="auto"/>
                <w:w w:val="100"/>
                <w:kern w:val="2"/>
                <w:sz w:val="24"/>
                <w:szCs w:val="24"/>
                <w:highlight w:val="none"/>
                <w:vertAlign w:val="baseline"/>
                <w:lang w:val="en-US" w:eastAsia="zh-CN" w:bidi="ar-SA"/>
              </w:rPr>
              <w:br w:type="textWrapping"/>
            </w:r>
            <w:r>
              <w:rPr>
                <w:rFonts w:hint="eastAsia" w:ascii="仿宋_GB2312" w:hAnsi="仿宋_GB2312" w:eastAsia="仿宋_GB2312" w:cs="仿宋_GB2312"/>
                <w:color w:val="auto"/>
                <w:w w:val="100"/>
                <w:kern w:val="2"/>
                <w:sz w:val="24"/>
                <w:szCs w:val="24"/>
                <w:highlight w:val="none"/>
                <w:vertAlign w:val="baseline"/>
                <w:lang w:val="en-US" w:eastAsia="zh-CN" w:bidi="ar-SA"/>
              </w:rPr>
              <w:t>400A MCCB断路器带分励脱扣器×1</w:t>
            </w:r>
          </w:p>
        </w:tc>
      </w:tr>
      <w:tr w14:paraId="10AF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2AC1B9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3#1250kVA箱变</w:t>
            </w:r>
          </w:p>
        </w:tc>
        <w:tc>
          <w:tcPr>
            <w:tcW w:w="2130" w:type="dxa"/>
          </w:tcPr>
          <w:p w14:paraId="6BEABB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3350mm×2700mm</w:t>
            </w:r>
          </w:p>
        </w:tc>
        <w:tc>
          <w:tcPr>
            <w:tcW w:w="4260" w:type="dxa"/>
          </w:tcPr>
          <w:p w14:paraId="782EBE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1000A MCCB断路器带分励脱扣器×2</w:t>
            </w:r>
            <w:r>
              <w:rPr>
                <w:rFonts w:hint="eastAsia" w:ascii="仿宋_GB2312" w:hAnsi="仿宋_GB2312" w:eastAsia="仿宋_GB2312" w:cs="仿宋_GB2312"/>
                <w:color w:val="auto"/>
                <w:w w:val="100"/>
                <w:kern w:val="2"/>
                <w:sz w:val="24"/>
                <w:szCs w:val="24"/>
                <w:highlight w:val="none"/>
                <w:vertAlign w:val="baseline"/>
                <w:lang w:val="en-US" w:eastAsia="zh-CN" w:bidi="ar-SA"/>
              </w:rPr>
              <w:br w:type="textWrapping"/>
            </w:r>
            <w:r>
              <w:rPr>
                <w:rFonts w:hint="eastAsia" w:ascii="仿宋_GB2312" w:hAnsi="仿宋_GB2312" w:eastAsia="仿宋_GB2312" w:cs="仿宋_GB2312"/>
                <w:color w:val="auto"/>
                <w:w w:val="100"/>
                <w:kern w:val="2"/>
                <w:sz w:val="24"/>
                <w:szCs w:val="24"/>
                <w:highlight w:val="none"/>
                <w:vertAlign w:val="baseline"/>
                <w:lang w:val="en-US" w:eastAsia="zh-CN" w:bidi="ar-SA"/>
              </w:rPr>
              <w:t>400A MCCB断路器带分励脱扣器×2</w:t>
            </w:r>
          </w:p>
        </w:tc>
      </w:tr>
      <w:tr w14:paraId="7056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50AFD5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4#1250kVA箱变</w:t>
            </w:r>
          </w:p>
        </w:tc>
        <w:tc>
          <w:tcPr>
            <w:tcW w:w="2130" w:type="dxa"/>
          </w:tcPr>
          <w:p w14:paraId="0C26B5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3350mm×2700mm</w:t>
            </w:r>
          </w:p>
        </w:tc>
        <w:tc>
          <w:tcPr>
            <w:tcW w:w="4260" w:type="dxa"/>
          </w:tcPr>
          <w:p w14:paraId="77763F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w w:val="100"/>
                <w:kern w:val="2"/>
                <w:sz w:val="24"/>
                <w:szCs w:val="24"/>
                <w:highlight w:val="none"/>
                <w:vertAlign w:val="baseline"/>
                <w:lang w:val="en-US" w:eastAsia="zh-CN" w:bidi="ar-SA"/>
              </w:rPr>
            </w:pPr>
            <w:r>
              <w:rPr>
                <w:rFonts w:hint="eastAsia" w:ascii="仿宋_GB2312" w:hAnsi="仿宋_GB2312" w:eastAsia="仿宋_GB2312" w:cs="仿宋_GB2312"/>
                <w:color w:val="auto"/>
                <w:w w:val="100"/>
                <w:kern w:val="2"/>
                <w:sz w:val="24"/>
                <w:szCs w:val="24"/>
                <w:highlight w:val="none"/>
                <w:vertAlign w:val="baseline"/>
                <w:lang w:val="en-US" w:eastAsia="zh-CN" w:bidi="ar-SA"/>
              </w:rPr>
              <w:t>1000A MCCB断路器带分励脱扣器×2</w:t>
            </w:r>
            <w:r>
              <w:rPr>
                <w:rFonts w:hint="eastAsia" w:ascii="仿宋_GB2312" w:hAnsi="仿宋_GB2312" w:eastAsia="仿宋_GB2312" w:cs="仿宋_GB2312"/>
                <w:color w:val="auto"/>
                <w:w w:val="100"/>
                <w:kern w:val="2"/>
                <w:sz w:val="24"/>
                <w:szCs w:val="24"/>
                <w:highlight w:val="none"/>
                <w:vertAlign w:val="baseline"/>
                <w:lang w:val="en-US" w:eastAsia="zh-CN" w:bidi="ar-SA"/>
              </w:rPr>
              <w:br w:type="textWrapping"/>
            </w:r>
            <w:r>
              <w:rPr>
                <w:rFonts w:hint="eastAsia" w:ascii="仿宋_GB2312" w:hAnsi="仿宋_GB2312" w:eastAsia="仿宋_GB2312" w:cs="仿宋_GB2312"/>
                <w:color w:val="auto"/>
                <w:w w:val="100"/>
                <w:kern w:val="2"/>
                <w:sz w:val="24"/>
                <w:szCs w:val="24"/>
                <w:highlight w:val="none"/>
                <w:vertAlign w:val="baseline"/>
                <w:lang w:val="en-US" w:eastAsia="zh-CN" w:bidi="ar-SA"/>
              </w:rPr>
              <w:t>400A MCCB断路器带分励脱扣器×1</w:t>
            </w:r>
            <w:r>
              <w:rPr>
                <w:rFonts w:hint="eastAsia" w:ascii="仿宋_GB2312" w:hAnsi="仿宋_GB2312" w:eastAsia="仿宋_GB2312" w:cs="仿宋_GB2312"/>
                <w:color w:val="auto"/>
                <w:w w:val="100"/>
                <w:kern w:val="2"/>
                <w:sz w:val="24"/>
                <w:szCs w:val="24"/>
                <w:highlight w:val="none"/>
                <w:vertAlign w:val="baseline"/>
                <w:lang w:val="en-US" w:eastAsia="zh-CN" w:bidi="ar-SA"/>
              </w:rPr>
              <w:br w:type="textWrapping"/>
            </w:r>
            <w:r>
              <w:rPr>
                <w:rFonts w:hint="eastAsia" w:ascii="仿宋_GB2312" w:hAnsi="仿宋_GB2312" w:eastAsia="仿宋_GB2312" w:cs="仿宋_GB2312"/>
                <w:color w:val="auto"/>
                <w:w w:val="100"/>
                <w:kern w:val="2"/>
                <w:sz w:val="24"/>
                <w:szCs w:val="24"/>
                <w:highlight w:val="none"/>
                <w:vertAlign w:val="baseline"/>
                <w:lang w:val="en-US" w:eastAsia="zh-CN" w:bidi="ar-SA"/>
              </w:rPr>
              <w:t>80A MCCB断路器带分励脱扣器×1</w:t>
            </w:r>
          </w:p>
        </w:tc>
      </w:tr>
    </w:tbl>
    <w:p w14:paraId="73C51BF8">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2"/>
        <w:rPr>
          <w:rFonts w:hint="eastAsia" w:ascii="仿宋_GB2312" w:hAnsi="仿宋_GB2312" w:eastAsia="仿宋_GB2312" w:cs="仿宋_GB2312"/>
          <w:color w:val="auto"/>
          <w:w w:val="100"/>
          <w:kern w:val="2"/>
          <w:sz w:val="32"/>
          <w:szCs w:val="32"/>
          <w:highlight w:val="none"/>
          <w:lang w:val="en-US" w:eastAsia="zh-CN" w:bidi="ar-SA"/>
        </w:rPr>
      </w:pPr>
      <w:bookmarkStart w:id="10" w:name="_Toc23895"/>
      <w:r>
        <w:rPr>
          <w:rFonts w:hint="eastAsia" w:ascii="仿宋_GB2312" w:hAnsi="仿宋_GB2312" w:eastAsia="仿宋_GB2312" w:cs="仿宋_GB2312"/>
          <w:color w:val="auto"/>
          <w:w w:val="100"/>
          <w:kern w:val="2"/>
          <w:sz w:val="32"/>
          <w:szCs w:val="32"/>
          <w:highlight w:val="none"/>
          <w:lang w:val="en-US" w:eastAsia="zh-CN" w:bidi="ar-SA"/>
        </w:rPr>
        <w:t>4.工程施工及整体责任要求</w:t>
      </w:r>
      <w:bookmarkEnd w:id="10"/>
    </w:p>
    <w:p w14:paraId="79A2C59A">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w w:val="100"/>
          <w:kern w:val="2"/>
          <w:sz w:val="32"/>
          <w:szCs w:val="32"/>
          <w:highlight w:val="none"/>
          <w:lang w:val="en-US" w:eastAsia="zh-CN" w:bidi="ar-SA"/>
        </w:rPr>
      </w:pPr>
      <w:r>
        <w:rPr>
          <w:rFonts w:hint="eastAsia" w:ascii="仿宋_GB2312" w:hAnsi="仿宋_GB2312" w:eastAsia="仿宋_GB2312" w:cs="仿宋_GB2312"/>
          <w:color w:val="auto"/>
          <w:w w:val="100"/>
          <w:kern w:val="2"/>
          <w:sz w:val="32"/>
          <w:szCs w:val="32"/>
          <w:highlight w:val="none"/>
          <w:lang w:val="en-US" w:eastAsia="zh-CN" w:bidi="ar-SA"/>
        </w:rPr>
        <w:t>承包人负责4台1250kVA预装式变电站的设备采购、运输、现场安装、系统调试、电气试验、供电主管部门报装报验及验收、操作人员技术培训、质保期售后服务；同步实施箱变基础土建施工、高压侧电缆采购敷设及安装等全链条工作。承包人须对本分项工程的工程质量、施工安全、建设工期、竣工资料整编、主材及设备送检检测等内容承担全部责任。</w:t>
      </w:r>
    </w:p>
    <w:p w14:paraId="6D836A14">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2"/>
        <w:rPr>
          <w:rFonts w:hint="eastAsia" w:ascii="仿宋_GB2312" w:hAnsi="仿宋_GB2312" w:eastAsia="仿宋_GB2312" w:cs="仿宋_GB2312"/>
          <w:color w:val="auto"/>
          <w:w w:val="100"/>
          <w:kern w:val="2"/>
          <w:sz w:val="32"/>
          <w:szCs w:val="32"/>
          <w:highlight w:val="none"/>
          <w:lang w:val="en-US" w:eastAsia="zh-CN" w:bidi="ar-SA"/>
        </w:rPr>
      </w:pPr>
      <w:bookmarkStart w:id="11" w:name="_Toc28578"/>
      <w:r>
        <w:rPr>
          <w:rFonts w:hint="eastAsia" w:ascii="仿宋_GB2312" w:hAnsi="仿宋_GB2312" w:eastAsia="仿宋_GB2312" w:cs="仿宋_GB2312"/>
          <w:color w:val="auto"/>
          <w:w w:val="100"/>
          <w:kern w:val="2"/>
          <w:sz w:val="32"/>
          <w:szCs w:val="32"/>
          <w:highlight w:val="none"/>
          <w:lang w:val="en-US" w:eastAsia="zh-CN" w:bidi="ar-SA"/>
        </w:rPr>
        <w:t>5.场地配套辅助施工内容</w:t>
      </w:r>
      <w:bookmarkEnd w:id="11"/>
    </w:p>
    <w:p w14:paraId="035F4AB0">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w w:val="100"/>
          <w:kern w:val="2"/>
          <w:sz w:val="32"/>
          <w:szCs w:val="32"/>
          <w:highlight w:val="none"/>
          <w:lang w:val="en-US" w:eastAsia="zh-CN" w:bidi="ar-SA"/>
        </w:rPr>
      </w:pPr>
      <w:r>
        <w:rPr>
          <w:rFonts w:hint="eastAsia" w:ascii="仿宋_GB2312" w:hAnsi="仿宋_GB2312" w:eastAsia="仿宋_GB2312" w:cs="仿宋_GB2312"/>
          <w:color w:val="auto"/>
          <w:w w:val="100"/>
          <w:kern w:val="2"/>
          <w:sz w:val="32"/>
          <w:szCs w:val="32"/>
          <w:highlight w:val="none"/>
          <w:lang w:val="en-US" w:eastAsia="zh-CN" w:bidi="ar-SA"/>
        </w:rPr>
        <w:t>包括但不限于项目施工全周期所需场地内外配套辅助工作：施工临时用电、通讯接驳、施工道路开通与维护；施工区域内障碍物、构筑物拆除清理、渣土及建筑垃圾外运、施工完成后场地平整与原貌恢复等全部相关工作。</w:t>
      </w:r>
    </w:p>
    <w:bookmarkEnd w:id="6"/>
    <w:p w14:paraId="332D901D">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560" w:lineRule="exact"/>
        <w:ind w:left="638" w:leftChars="304" w:firstLine="0" w:firstLineChars="0"/>
        <w:textAlignment w:val="auto"/>
        <w:outlineLvl w:val="1"/>
        <w:rPr>
          <w:rFonts w:hint="eastAsia" w:ascii="仿宋_GB2312" w:hAnsi="仿宋_GB2312" w:eastAsia="仿宋_GB2312" w:cs="仿宋_GB2312"/>
          <w:color w:val="auto"/>
          <w:w w:val="100"/>
          <w:kern w:val="2"/>
          <w:sz w:val="32"/>
          <w:szCs w:val="32"/>
          <w:highlight w:val="none"/>
          <w:lang w:val="en-US" w:eastAsia="zh-CN" w:bidi="ar-SA"/>
        </w:rPr>
      </w:pPr>
      <w:bookmarkStart w:id="12" w:name="_Toc18042"/>
      <w:r>
        <w:rPr>
          <w:rFonts w:hint="eastAsia" w:ascii="楷体_GB2312" w:hAnsi="楷体_GB2312" w:eastAsia="楷体_GB2312" w:cs="楷体_GB2312"/>
          <w:color w:val="000000"/>
          <w:spacing w:val="0"/>
          <w:sz w:val="32"/>
          <w:szCs w:val="32"/>
          <w:lang w:val="en-US" w:eastAsia="zh-CN"/>
        </w:rPr>
        <w:t>项目正式长期用水配套专项工程</w:t>
      </w:r>
      <w:bookmarkEnd w:id="12"/>
    </w:p>
    <w:p w14:paraId="7C11ED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w w:val="100"/>
          <w:kern w:val="2"/>
          <w:sz w:val="32"/>
          <w:szCs w:val="32"/>
          <w:highlight w:val="none"/>
          <w:lang w:val="en-US" w:eastAsia="zh-CN" w:bidi="ar-SA"/>
        </w:rPr>
      </w:pPr>
      <w:r>
        <w:rPr>
          <w:rFonts w:hint="eastAsia" w:ascii="仿宋_GB2312" w:hAnsi="仿宋_GB2312" w:eastAsia="仿宋_GB2312" w:cs="仿宋_GB2312"/>
          <w:color w:val="auto"/>
          <w:w w:val="100"/>
          <w:kern w:val="2"/>
          <w:sz w:val="32"/>
          <w:szCs w:val="32"/>
          <w:highlight w:val="none"/>
          <w:lang w:val="en-US" w:eastAsia="zh-CN" w:bidi="ar-SA"/>
        </w:rPr>
        <w:t>本项目用水为项目正式长期用水，区别于施工临时用水，主要服务于超充示范站建成后日常运营、设备运维、场地配套等长期常态化用水需求，相关报装、施工、费用全部由承包人负责，具体要求如下：</w:t>
      </w:r>
    </w:p>
    <w:p w14:paraId="15AEFA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w w:val="100"/>
          <w:kern w:val="2"/>
          <w:sz w:val="32"/>
          <w:szCs w:val="32"/>
          <w:highlight w:val="none"/>
          <w:lang w:val="en-US" w:eastAsia="zh-CN" w:bidi="ar-SA"/>
        </w:rPr>
      </w:pPr>
      <w:r>
        <w:rPr>
          <w:rFonts w:hint="eastAsia" w:ascii="仿宋_GB2312" w:hAnsi="仿宋_GB2312" w:eastAsia="仿宋_GB2312" w:cs="仿宋_GB2312"/>
          <w:color w:val="auto"/>
          <w:w w:val="100"/>
          <w:kern w:val="2"/>
          <w:sz w:val="32"/>
          <w:szCs w:val="32"/>
          <w:highlight w:val="none"/>
          <w:lang w:val="en-US" w:eastAsia="zh-CN" w:bidi="ar-SA"/>
        </w:rPr>
        <w:t>承包人须在进场施工前，全权对接属地供水主管部门、自来水公司，独立完成项目正式长期用水的立项申报、资料报建、开户备案、管线接驳、通水验收等全流程手续办理工作，并承担全过程产生的所有费用。</w:t>
      </w:r>
    </w:p>
    <w:p w14:paraId="46B952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w w:val="100"/>
          <w:kern w:val="2"/>
          <w:sz w:val="32"/>
          <w:szCs w:val="32"/>
          <w:highlight w:val="none"/>
          <w:lang w:val="en-US" w:eastAsia="zh-CN" w:bidi="ar-SA"/>
        </w:rPr>
      </w:pPr>
      <w:r>
        <w:rPr>
          <w:rFonts w:hint="eastAsia" w:ascii="仿宋_GB2312" w:hAnsi="仿宋_GB2312" w:eastAsia="仿宋_GB2312" w:cs="仿宋_GB2312"/>
          <w:color w:val="auto"/>
          <w:w w:val="100"/>
          <w:kern w:val="2"/>
          <w:sz w:val="32"/>
          <w:szCs w:val="32"/>
          <w:highlight w:val="none"/>
          <w:lang w:val="en-US" w:eastAsia="zh-CN" w:bidi="ar-SA"/>
        </w:rPr>
        <w:t>相关费用包含但不限于：供水接驳手续费、水表采购及安装费、场外及场内供水管网铺设施工费、供水开户押金、项目施工前期及运营初期产生的全部水费、通水验收相关杂费等一切与长期用水接入相关的开支。</w:t>
      </w:r>
    </w:p>
    <w:p w14:paraId="3E048E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w w:val="100"/>
          <w:kern w:val="2"/>
          <w:sz w:val="32"/>
          <w:szCs w:val="32"/>
          <w:highlight w:val="none"/>
          <w:lang w:val="en-US" w:eastAsia="zh-CN" w:bidi="ar-SA"/>
        </w:rPr>
      </w:pPr>
      <w:r>
        <w:rPr>
          <w:rFonts w:hint="eastAsia" w:ascii="仿宋_GB2312" w:hAnsi="仿宋_GB2312" w:eastAsia="仿宋_GB2312" w:cs="仿宋_GB2312"/>
          <w:color w:val="auto"/>
          <w:w w:val="100"/>
          <w:kern w:val="2"/>
          <w:sz w:val="32"/>
          <w:szCs w:val="32"/>
          <w:highlight w:val="none"/>
          <w:lang w:val="en-US" w:eastAsia="zh-CN" w:bidi="ar-SA"/>
        </w:rPr>
        <w:t>承包人需保障长期用水系统合规接入、验收合格、正常通水，满足项目施工及后期永久运营用水需求，全程负责用水手续合规性、施工质量及后期通水稳定性。</w:t>
      </w:r>
    </w:p>
    <w:p w14:paraId="7BFCA193">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101" w:line="560" w:lineRule="exact"/>
        <w:ind w:left="630" w:leftChars="0" w:firstLineChars="0"/>
        <w:jc w:val="left"/>
        <w:textAlignment w:val="baseline"/>
        <w:outlineLvl w:val="0"/>
        <w:rPr>
          <w:rFonts w:hint="default" w:ascii="宋体" w:hAnsi="宋体" w:eastAsia="宋体" w:cs="宋体"/>
          <w:b/>
          <w:bCs/>
          <w:spacing w:val="2"/>
          <w:sz w:val="31"/>
          <w:szCs w:val="31"/>
          <w:lang w:val="en-US" w:eastAsia="zh-CN"/>
        </w:rPr>
      </w:pPr>
      <w:bookmarkStart w:id="13" w:name="_Toc3512"/>
      <w:bookmarkStart w:id="14" w:name="OLE_LINK4"/>
      <w:r>
        <w:rPr>
          <w:rFonts w:hint="eastAsia" w:ascii="宋体" w:hAnsi="宋体" w:eastAsia="宋体" w:cs="宋体"/>
          <w:b/>
          <w:bCs/>
          <w:spacing w:val="2"/>
          <w:sz w:val="31"/>
          <w:szCs w:val="31"/>
          <w:lang w:val="en-US" w:eastAsia="zh-CN"/>
        </w:rPr>
        <w:t>质量标准与要求</w:t>
      </w:r>
      <w:bookmarkEnd w:id="13"/>
      <w:bookmarkEnd w:id="14"/>
    </w:p>
    <w:p w14:paraId="25363B8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000000"/>
          <w:spacing w:val="0"/>
          <w:sz w:val="32"/>
          <w:szCs w:val="32"/>
          <w:lang w:val="en-US" w:eastAsia="zh-CN"/>
        </w:rPr>
      </w:pPr>
      <w:bookmarkStart w:id="15" w:name="_Toc13787"/>
      <w:r>
        <w:rPr>
          <w:rFonts w:hint="eastAsia" w:ascii="楷体_GB2312" w:hAnsi="楷体_GB2312" w:eastAsia="楷体_GB2312" w:cs="楷体_GB2312"/>
          <w:color w:val="000000"/>
          <w:spacing w:val="0"/>
          <w:sz w:val="32"/>
          <w:szCs w:val="32"/>
          <w:lang w:val="en-US" w:eastAsia="zh-CN"/>
        </w:rPr>
        <w:t>（一）总体要求</w:t>
      </w:r>
      <w:bookmarkEnd w:id="15"/>
    </w:p>
    <w:p w14:paraId="7DCD66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w w:val="100"/>
          <w:kern w:val="2"/>
          <w:sz w:val="32"/>
          <w:szCs w:val="32"/>
          <w:highlight w:val="none"/>
          <w:lang w:val="en-US" w:eastAsia="zh-CN" w:bidi="ar-SA"/>
        </w:rPr>
      </w:pPr>
      <w:r>
        <w:rPr>
          <w:rFonts w:hint="eastAsia" w:ascii="仿宋_GB2312" w:hAnsi="仿宋_GB2312" w:eastAsia="仿宋_GB2312" w:cs="仿宋_GB2312"/>
          <w:color w:val="auto"/>
          <w:w w:val="100"/>
          <w:kern w:val="2"/>
          <w:sz w:val="32"/>
          <w:szCs w:val="32"/>
          <w:highlight w:val="none"/>
          <w:lang w:val="en-US" w:eastAsia="zh-CN" w:bidi="ar-SA"/>
        </w:rPr>
        <w:t>1.本章提出了最低限度的技术要求，并未对一切技术细节规定所有的技术要求和适用的标准，承包人应保证提供符合技术部分和有关最新工业标准的优质产品。承包人提供的产品应满足本技术要求。必须满足国家有关质量、安全、健康、环保、水保、消防等强制性标准。</w:t>
      </w:r>
    </w:p>
    <w:p w14:paraId="684666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w w:val="100"/>
          <w:kern w:val="2"/>
          <w:sz w:val="32"/>
          <w:szCs w:val="32"/>
          <w:highlight w:val="none"/>
          <w:lang w:val="en-US" w:eastAsia="zh-CN" w:bidi="ar-SA"/>
        </w:rPr>
      </w:pPr>
      <w:r>
        <w:rPr>
          <w:rFonts w:hint="eastAsia" w:ascii="仿宋_GB2312" w:hAnsi="仿宋_GB2312" w:eastAsia="仿宋_GB2312" w:cs="仿宋_GB2312"/>
          <w:color w:val="auto"/>
          <w:w w:val="100"/>
          <w:kern w:val="2"/>
          <w:sz w:val="32"/>
          <w:szCs w:val="32"/>
          <w:highlight w:val="none"/>
          <w:lang w:val="en-US" w:eastAsia="zh-CN" w:bidi="ar-SA"/>
        </w:rPr>
        <w:t>2.承包人提供的设备必须为市场中品牌最新较为先进的系列。</w:t>
      </w:r>
    </w:p>
    <w:p w14:paraId="064265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w w:val="100"/>
          <w:kern w:val="2"/>
          <w:sz w:val="32"/>
          <w:szCs w:val="32"/>
          <w:highlight w:val="none"/>
          <w:lang w:val="en-US" w:eastAsia="zh-CN" w:bidi="ar-SA"/>
        </w:rPr>
      </w:pPr>
      <w:r>
        <w:rPr>
          <w:rFonts w:hint="eastAsia" w:ascii="仿宋_GB2312" w:hAnsi="仿宋_GB2312" w:eastAsia="仿宋_GB2312" w:cs="仿宋_GB2312"/>
          <w:color w:val="auto"/>
          <w:w w:val="100"/>
          <w:kern w:val="2"/>
          <w:sz w:val="32"/>
          <w:szCs w:val="32"/>
          <w:highlight w:val="none"/>
          <w:lang w:val="en-US" w:eastAsia="zh-CN" w:bidi="ar-SA"/>
        </w:rPr>
        <w:t>3.承包人对供货范围内的整套设备（含辅助设备、附件等）和其承包范围内的所有工程质量负有全责，验收时一旦发现供货内容、工程质量与技术规范要求不一致，招标人有权无条件退货或返工，并追究承包人责任。</w:t>
      </w:r>
    </w:p>
    <w:p w14:paraId="6E996A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w w:val="100"/>
          <w:kern w:val="2"/>
          <w:sz w:val="32"/>
          <w:szCs w:val="32"/>
          <w:highlight w:val="none"/>
          <w:lang w:val="en-US" w:eastAsia="zh-CN" w:bidi="ar-SA"/>
        </w:rPr>
      </w:pPr>
      <w:r>
        <w:rPr>
          <w:rFonts w:hint="eastAsia" w:ascii="仿宋_GB2312" w:hAnsi="仿宋_GB2312" w:eastAsia="仿宋_GB2312" w:cs="仿宋_GB2312"/>
          <w:color w:val="auto"/>
          <w:w w:val="100"/>
          <w:kern w:val="2"/>
          <w:sz w:val="32"/>
          <w:szCs w:val="32"/>
          <w:highlight w:val="none"/>
          <w:lang w:val="en-US" w:eastAsia="zh-CN" w:bidi="ar-SA"/>
        </w:rPr>
        <w:t>4.本项目涉及的设备、材料等物资的采购应经发包人确认后才能进行采购。主要设备的技术规格书应征求发包人的意见。</w:t>
      </w:r>
    </w:p>
    <w:p w14:paraId="2C6A83B5">
      <w:pPr>
        <w:pStyle w:val="9"/>
        <w:keepNext w:val="0"/>
        <w:keepLines w:val="0"/>
        <w:pageBreakBefore w:val="0"/>
        <w:widowControl w:val="0"/>
        <w:wordWrap/>
        <w:overflowPunct/>
        <w:topLinePunct w:val="0"/>
        <w:bidi w:val="0"/>
        <w:spacing w:line="560" w:lineRule="exact"/>
        <w:ind w:firstLine="640" w:firstLineChars="200"/>
        <w:rPr>
          <w:rFonts w:hint="eastAsia"/>
          <w:lang w:val="en-US" w:eastAsia="zh-CN"/>
        </w:rPr>
      </w:pPr>
      <w:r>
        <w:rPr>
          <w:rFonts w:hint="eastAsia" w:ascii="仿宋_GB2312" w:hAnsi="仿宋_GB2312" w:eastAsia="仿宋_GB2312" w:cs="仿宋_GB2312"/>
          <w:color w:val="auto"/>
          <w:w w:val="100"/>
          <w:kern w:val="2"/>
          <w:sz w:val="32"/>
          <w:szCs w:val="32"/>
          <w:highlight w:val="none"/>
          <w:lang w:val="en-US" w:eastAsia="zh-CN" w:bidi="ar-SA"/>
        </w:rPr>
        <w:t>5.</w:t>
      </w:r>
      <w:r>
        <w:rPr>
          <w:rFonts w:hint="eastAsia" w:ascii="仿宋_GB2312" w:hAnsi="仿宋_GB2312" w:eastAsia="仿宋_GB2312" w:cs="仿宋_GB2312"/>
          <w:snapToGrid w:val="0"/>
          <w:color w:val="auto"/>
          <w:w w:val="100"/>
          <w:kern w:val="2"/>
          <w:sz w:val="32"/>
          <w:szCs w:val="32"/>
          <w:highlight w:val="none"/>
          <w:lang w:val="en-US" w:eastAsia="zh-CN" w:bidi="ar-SA"/>
        </w:rPr>
        <w:t>本项目预装式变电站（4×1250kVA）的设计、制造、试验及验收包括但不限于以 GB/T 17467-2020 为核心依据，并严格遵循 DL/T 537-2018、NB/T 42154-2018（试验导则）、GB 50150（交接试验）及 T/CADZ 0037-2025（安装调试）等标准；其中高压开关、低压成套设备及变压器分别满足 GB/T 3906、GB/T 7251 系列及 GB/T 1094 系列要求，变压器能效不低于 GB 20052 的2级水平。</w:t>
      </w:r>
    </w:p>
    <w:p w14:paraId="29C85718">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firstLine="640" w:firstLineChars="200"/>
        <w:textAlignment w:val="baseline"/>
        <w:rPr>
          <w:rFonts w:hint="eastAsia" w:ascii="仿宋_GB2312" w:hAnsi="仿宋_GB2312" w:eastAsia="仿宋_GB2312" w:cs="仿宋_GB2312"/>
          <w:snapToGrid w:val="0"/>
          <w:color w:val="auto"/>
          <w:w w:val="100"/>
          <w:kern w:val="2"/>
          <w:sz w:val="32"/>
          <w:szCs w:val="32"/>
          <w:highlight w:val="none"/>
          <w:lang w:val="en-US" w:eastAsia="zh-CN" w:bidi="ar-SA"/>
        </w:rPr>
      </w:pPr>
      <w:r>
        <w:rPr>
          <w:rFonts w:hint="eastAsia" w:ascii="仿宋_GB2312" w:hAnsi="仿宋_GB2312" w:eastAsia="仿宋_GB2312" w:cs="仿宋_GB2312"/>
          <w:snapToGrid w:val="0"/>
          <w:color w:val="auto"/>
          <w:w w:val="100"/>
          <w:kern w:val="2"/>
          <w:sz w:val="32"/>
          <w:szCs w:val="32"/>
          <w:highlight w:val="none"/>
          <w:lang w:val="en-US" w:eastAsia="zh-CN" w:bidi="ar-SA"/>
        </w:rPr>
        <w:t>6.所有设备须提供具有CMA/CNAS资质的第三方型式试验报告（含内部电弧等级IAC、温升、防护等级验证），并依次通过出厂验收、到场验收、安装调试验收及供电部门并网验收；承包人须承诺上述标准（包括最新版本）为强制性履约条款，确保项目符合深圳供电局备案及验收要求。</w:t>
      </w:r>
    </w:p>
    <w:p w14:paraId="6FA1FCC9">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firstLine="640" w:firstLineChars="200"/>
        <w:textAlignment w:val="baseline"/>
        <w:rPr>
          <w:rFonts w:hint="eastAsia" w:ascii="仿宋_GB2312" w:hAnsi="仿宋_GB2312" w:eastAsia="仿宋_GB2312" w:cs="仿宋_GB2312"/>
          <w:snapToGrid w:val="0"/>
          <w:color w:val="auto"/>
          <w:w w:val="100"/>
          <w:kern w:val="2"/>
          <w:sz w:val="32"/>
          <w:szCs w:val="32"/>
          <w:highlight w:val="none"/>
          <w:lang w:val="en-US" w:eastAsia="zh-CN" w:bidi="ar-SA"/>
        </w:rPr>
      </w:pPr>
      <w:r>
        <w:rPr>
          <w:rFonts w:hint="eastAsia" w:ascii="仿宋_GB2312" w:hAnsi="仿宋_GB2312" w:eastAsia="仿宋_GB2312" w:cs="仿宋_GB2312"/>
          <w:snapToGrid w:val="0"/>
          <w:color w:val="auto"/>
          <w:w w:val="100"/>
          <w:kern w:val="2"/>
          <w:sz w:val="32"/>
          <w:szCs w:val="32"/>
          <w:highlight w:val="none"/>
          <w:lang w:val="en-US" w:eastAsia="zh-CN" w:bidi="ar-SA"/>
        </w:rPr>
        <w:t>7.原则上经招标人确认的最终版施工图，此后任何对施工图的修改均须以设计变更单及其附图形式完成，不得以修改图纸目录，替换图纸形式下发变更。设计变更单中需列明变更原因、变更位置、涉及专业等相关情况。变更部位各专业均需相应进行调整，设计变更应逐月汇总并提供发包人进行审核。设计变更流程需符合《深圳市龙华投资管理有限公司辖属企业建设工程设计变更及工程签证管理流程》及其他相关要求。</w:t>
      </w:r>
    </w:p>
    <w:p w14:paraId="47396A77">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firstLine="640" w:firstLineChars="200"/>
        <w:textAlignment w:val="baseline"/>
        <w:rPr>
          <w:rFonts w:hint="eastAsia" w:ascii="仿宋_GB2312" w:hAnsi="仿宋_GB2312" w:eastAsia="仿宋_GB2312" w:cs="仿宋_GB2312"/>
          <w:snapToGrid w:val="0"/>
          <w:color w:val="auto"/>
          <w:w w:val="100"/>
          <w:kern w:val="2"/>
          <w:sz w:val="32"/>
          <w:szCs w:val="32"/>
          <w:highlight w:val="none"/>
          <w:lang w:val="en-US" w:eastAsia="zh-CN" w:bidi="ar-SA"/>
        </w:rPr>
      </w:pPr>
      <w:r>
        <w:rPr>
          <w:rFonts w:hint="eastAsia" w:ascii="仿宋_GB2312" w:hAnsi="仿宋_GB2312" w:eastAsia="仿宋_GB2312" w:cs="仿宋_GB2312"/>
          <w:snapToGrid w:val="0"/>
          <w:color w:val="auto"/>
          <w:w w:val="100"/>
          <w:kern w:val="2"/>
          <w:sz w:val="32"/>
          <w:szCs w:val="32"/>
          <w:highlight w:val="none"/>
          <w:lang w:val="en-US" w:eastAsia="zh-CN" w:bidi="ar-SA"/>
        </w:rPr>
        <w:t>8.竣工图要求：在项目竣工图时负责编制竣工图，竣工图深度需满足档案馆存档要求。</w:t>
      </w:r>
    </w:p>
    <w:p w14:paraId="0C038D32">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firstLine="640" w:firstLineChars="200"/>
        <w:textAlignment w:val="baseline"/>
        <w:rPr>
          <w:rFonts w:hint="eastAsia" w:ascii="仿宋_GB2312" w:hAnsi="仿宋_GB2312" w:eastAsia="仿宋_GB2312" w:cs="仿宋_GB2312"/>
          <w:snapToGrid w:val="0"/>
          <w:color w:val="auto"/>
          <w:w w:val="100"/>
          <w:kern w:val="2"/>
          <w:sz w:val="32"/>
          <w:szCs w:val="32"/>
          <w:highlight w:val="none"/>
          <w:lang w:val="en-US" w:eastAsia="zh-CN" w:bidi="ar-SA"/>
        </w:rPr>
      </w:pPr>
      <w:r>
        <w:rPr>
          <w:rFonts w:hint="eastAsia" w:ascii="仿宋_GB2312" w:hAnsi="仿宋_GB2312" w:eastAsia="仿宋_GB2312" w:cs="仿宋_GB2312"/>
          <w:snapToGrid w:val="0"/>
          <w:color w:val="auto"/>
          <w:w w:val="100"/>
          <w:kern w:val="2"/>
          <w:sz w:val="32"/>
          <w:szCs w:val="32"/>
          <w:highlight w:val="none"/>
          <w:lang w:val="en-US" w:eastAsia="zh-CN" w:bidi="ar-SA"/>
        </w:rPr>
        <w:t>9.以上各部分要求为招标要求最少应提供的相关资料，具体以合同规定及业主、相关供电和建设主管部门、审计等相关要求为准，其他未尽事宜详见合同条款。</w:t>
      </w:r>
    </w:p>
    <w:p w14:paraId="76750EC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000000"/>
          <w:spacing w:val="0"/>
          <w:sz w:val="32"/>
          <w:szCs w:val="32"/>
          <w:lang w:val="en-US" w:eastAsia="zh-CN"/>
        </w:rPr>
      </w:pPr>
      <w:bookmarkStart w:id="16" w:name="_Toc24652"/>
      <w:r>
        <w:rPr>
          <w:rFonts w:hint="eastAsia" w:ascii="楷体_GB2312" w:hAnsi="楷体_GB2312" w:eastAsia="楷体_GB2312" w:cs="楷体_GB2312"/>
          <w:color w:val="000000"/>
          <w:spacing w:val="0"/>
          <w:sz w:val="32"/>
          <w:szCs w:val="32"/>
          <w:lang w:val="en-US" w:eastAsia="zh-CN"/>
        </w:rPr>
        <w:t>（二）材料、设备采购及施工要求</w:t>
      </w:r>
      <w:bookmarkEnd w:id="16"/>
    </w:p>
    <w:p w14:paraId="55F24737">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firstLine="640" w:firstLineChars="200"/>
        <w:textAlignment w:val="baseline"/>
        <w:rPr>
          <w:rFonts w:hint="eastAsia" w:ascii="仿宋_GB2312" w:hAnsi="仿宋_GB2312" w:eastAsia="仿宋_GB2312" w:cs="仿宋_GB2312"/>
          <w:snapToGrid w:val="0"/>
          <w:color w:val="auto"/>
          <w:w w:val="100"/>
          <w:kern w:val="2"/>
          <w:sz w:val="32"/>
          <w:szCs w:val="32"/>
          <w:highlight w:val="none"/>
          <w:lang w:val="en-US" w:eastAsia="zh-CN" w:bidi="ar-SA"/>
        </w:rPr>
      </w:pPr>
      <w:r>
        <w:rPr>
          <w:rFonts w:hint="eastAsia" w:ascii="仿宋_GB2312" w:hAnsi="仿宋_GB2312" w:eastAsia="仿宋_GB2312" w:cs="仿宋_GB2312"/>
          <w:snapToGrid w:val="0"/>
          <w:color w:val="auto"/>
          <w:w w:val="100"/>
          <w:kern w:val="2"/>
          <w:sz w:val="32"/>
          <w:szCs w:val="32"/>
          <w:highlight w:val="none"/>
          <w:lang w:val="en-US" w:eastAsia="zh-CN" w:bidi="ar-SA"/>
        </w:rPr>
        <w:t>1.本部分是对系统和设备的技术规范进行描述，除特别说明外，投标方应根据发包人提供的原始数据、技术要求和现场限定的条件，合理选择其供货范围内的设备和材料，保证其性能指标和系统安全可靠地运行。本项目设备、材料和系统的采购和施工等，应优于以下提出的技术要求，满足并网接入或运营的相关要求。本项目设备选型，应使得发电系统具备与电网调度之间进行通讯的能力，并满足电网公司提出的并网接入具体要求。</w:t>
      </w:r>
    </w:p>
    <w:p w14:paraId="543AEE61">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firstLine="640" w:firstLineChars="200"/>
        <w:textAlignment w:val="baseline"/>
        <w:rPr>
          <w:rFonts w:hint="eastAsia" w:ascii="仿宋_GB2312" w:hAnsi="仿宋_GB2312" w:eastAsia="仿宋_GB2312" w:cs="仿宋_GB2312"/>
          <w:snapToGrid w:val="0"/>
          <w:color w:val="auto"/>
          <w:w w:val="100"/>
          <w:kern w:val="2"/>
          <w:sz w:val="32"/>
          <w:szCs w:val="32"/>
          <w:highlight w:val="none"/>
          <w:lang w:val="en-US" w:eastAsia="zh-CN" w:bidi="ar-SA"/>
        </w:rPr>
      </w:pPr>
      <w:r>
        <w:rPr>
          <w:rFonts w:hint="eastAsia" w:ascii="仿宋_GB2312" w:hAnsi="仿宋_GB2312" w:eastAsia="仿宋_GB2312" w:cs="仿宋_GB2312"/>
          <w:snapToGrid w:val="0"/>
          <w:color w:val="auto"/>
          <w:w w:val="100"/>
          <w:kern w:val="2"/>
          <w:sz w:val="32"/>
          <w:szCs w:val="32"/>
          <w:highlight w:val="none"/>
          <w:lang w:val="en-US" w:eastAsia="zh-CN" w:bidi="ar-SA"/>
        </w:rPr>
        <w:t>包括的所有需要的系统和设备至少满足以下总的要求：</w:t>
      </w:r>
    </w:p>
    <w:p w14:paraId="643C5CCA">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firstLine="640" w:firstLineChars="200"/>
        <w:textAlignment w:val="baseline"/>
        <w:rPr>
          <w:rFonts w:hint="eastAsia" w:ascii="仿宋_GB2312" w:hAnsi="仿宋_GB2312" w:eastAsia="仿宋_GB2312" w:cs="仿宋_GB2312"/>
          <w:snapToGrid w:val="0"/>
          <w:color w:val="auto"/>
          <w:w w:val="100"/>
          <w:kern w:val="2"/>
          <w:sz w:val="32"/>
          <w:szCs w:val="32"/>
          <w:highlight w:val="none"/>
          <w:lang w:val="en-US" w:eastAsia="zh-CN" w:bidi="ar-SA"/>
        </w:rPr>
      </w:pPr>
      <w:r>
        <w:rPr>
          <w:rFonts w:hint="eastAsia" w:ascii="仿宋_GB2312" w:hAnsi="仿宋_GB2312" w:eastAsia="仿宋_GB2312" w:cs="仿宋_GB2312"/>
          <w:snapToGrid w:val="0"/>
          <w:color w:val="auto"/>
          <w:w w:val="100"/>
          <w:kern w:val="2"/>
          <w:sz w:val="32"/>
          <w:szCs w:val="32"/>
          <w:highlight w:val="none"/>
          <w:lang w:val="en-US" w:eastAsia="zh-CN" w:bidi="ar-SA"/>
        </w:rPr>
        <w:t>·采用先进、成熟、可靠的技术，造价要经济、合理，便于运行维护；</w:t>
      </w:r>
    </w:p>
    <w:p w14:paraId="4C8FB42B">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firstLine="640" w:firstLineChars="200"/>
        <w:textAlignment w:val="baseline"/>
        <w:rPr>
          <w:rFonts w:hint="eastAsia" w:ascii="仿宋_GB2312" w:hAnsi="仿宋_GB2312" w:eastAsia="仿宋_GB2312" w:cs="仿宋_GB2312"/>
          <w:snapToGrid w:val="0"/>
          <w:color w:val="auto"/>
          <w:w w:val="100"/>
          <w:kern w:val="2"/>
          <w:sz w:val="32"/>
          <w:szCs w:val="32"/>
          <w:highlight w:val="none"/>
          <w:lang w:val="en-US" w:eastAsia="zh-CN" w:bidi="ar-SA"/>
        </w:rPr>
      </w:pPr>
      <w:r>
        <w:rPr>
          <w:rFonts w:hint="eastAsia" w:ascii="仿宋_GB2312" w:hAnsi="仿宋_GB2312" w:eastAsia="仿宋_GB2312" w:cs="仿宋_GB2312"/>
          <w:snapToGrid w:val="0"/>
          <w:color w:val="auto"/>
          <w:w w:val="100"/>
          <w:kern w:val="2"/>
          <w:sz w:val="32"/>
          <w:szCs w:val="32"/>
          <w:highlight w:val="none"/>
          <w:lang w:val="en-US" w:eastAsia="zh-CN" w:bidi="ar-SA"/>
        </w:rPr>
        <w:t>·所有的设备和材料是新的；</w:t>
      </w:r>
    </w:p>
    <w:p w14:paraId="0D45B9A7">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firstLine="640" w:firstLineChars="200"/>
        <w:textAlignment w:val="baseline"/>
        <w:rPr>
          <w:rFonts w:hint="eastAsia" w:ascii="仿宋_GB2312" w:hAnsi="仿宋_GB2312" w:eastAsia="仿宋_GB2312" w:cs="仿宋_GB2312"/>
          <w:snapToGrid w:val="0"/>
          <w:color w:val="auto"/>
          <w:w w:val="100"/>
          <w:kern w:val="2"/>
          <w:sz w:val="32"/>
          <w:szCs w:val="32"/>
          <w:highlight w:val="none"/>
          <w:lang w:val="en-US" w:eastAsia="zh-CN" w:bidi="ar-SA"/>
        </w:rPr>
      </w:pPr>
      <w:r>
        <w:rPr>
          <w:rFonts w:hint="eastAsia" w:ascii="仿宋_GB2312" w:hAnsi="仿宋_GB2312" w:eastAsia="仿宋_GB2312" w:cs="仿宋_GB2312"/>
          <w:snapToGrid w:val="0"/>
          <w:color w:val="auto"/>
          <w:w w:val="100"/>
          <w:kern w:val="2"/>
          <w:sz w:val="32"/>
          <w:szCs w:val="32"/>
          <w:highlight w:val="none"/>
          <w:lang w:val="en-US" w:eastAsia="zh-CN" w:bidi="ar-SA"/>
        </w:rPr>
        <w:t>·高的可利用率；</w:t>
      </w:r>
    </w:p>
    <w:p w14:paraId="31D77D6E">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firstLine="640" w:firstLineChars="200"/>
        <w:textAlignment w:val="baseline"/>
        <w:rPr>
          <w:rFonts w:hint="eastAsia" w:ascii="仿宋_GB2312" w:hAnsi="仿宋_GB2312" w:eastAsia="仿宋_GB2312" w:cs="仿宋_GB2312"/>
          <w:snapToGrid w:val="0"/>
          <w:color w:val="auto"/>
          <w:w w:val="100"/>
          <w:kern w:val="2"/>
          <w:sz w:val="32"/>
          <w:szCs w:val="32"/>
          <w:highlight w:val="none"/>
          <w:lang w:val="en-US" w:eastAsia="zh-CN" w:bidi="ar-SA"/>
        </w:rPr>
      </w:pPr>
      <w:r>
        <w:rPr>
          <w:rFonts w:hint="eastAsia" w:ascii="仿宋_GB2312" w:hAnsi="仿宋_GB2312" w:eastAsia="仿宋_GB2312" w:cs="仿宋_GB2312"/>
          <w:snapToGrid w:val="0"/>
          <w:color w:val="auto"/>
          <w:w w:val="100"/>
          <w:kern w:val="2"/>
          <w:sz w:val="32"/>
          <w:szCs w:val="32"/>
          <w:highlight w:val="none"/>
          <w:lang w:val="en-US" w:eastAsia="zh-CN" w:bidi="ar-SA"/>
        </w:rPr>
        <w:t>·运行费用最少；</w:t>
      </w:r>
    </w:p>
    <w:p w14:paraId="7496C6D9">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firstLine="640" w:firstLineChars="200"/>
        <w:textAlignment w:val="baseline"/>
        <w:rPr>
          <w:rFonts w:hint="eastAsia" w:ascii="仿宋_GB2312" w:hAnsi="仿宋_GB2312" w:eastAsia="仿宋_GB2312" w:cs="仿宋_GB2312"/>
          <w:snapToGrid w:val="0"/>
          <w:color w:val="auto"/>
          <w:w w:val="100"/>
          <w:kern w:val="2"/>
          <w:sz w:val="32"/>
          <w:szCs w:val="32"/>
          <w:highlight w:val="none"/>
          <w:lang w:val="en-US" w:eastAsia="zh-CN" w:bidi="ar-SA"/>
        </w:rPr>
      </w:pPr>
      <w:r>
        <w:rPr>
          <w:rFonts w:hint="eastAsia" w:ascii="仿宋_GB2312" w:hAnsi="仿宋_GB2312" w:eastAsia="仿宋_GB2312" w:cs="仿宋_GB2312"/>
          <w:snapToGrid w:val="0"/>
          <w:color w:val="auto"/>
          <w:w w:val="100"/>
          <w:kern w:val="2"/>
          <w:sz w:val="32"/>
          <w:szCs w:val="32"/>
          <w:highlight w:val="none"/>
          <w:lang w:val="en-US" w:eastAsia="zh-CN" w:bidi="ar-SA"/>
        </w:rPr>
        <w:t>·观察、监视、维护简单；</w:t>
      </w:r>
    </w:p>
    <w:p w14:paraId="0E8D513C">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firstLine="640" w:firstLineChars="200"/>
        <w:textAlignment w:val="baseline"/>
        <w:rPr>
          <w:rFonts w:hint="eastAsia" w:ascii="仿宋_GB2312" w:hAnsi="仿宋_GB2312" w:eastAsia="仿宋_GB2312" w:cs="仿宋_GB2312"/>
          <w:snapToGrid w:val="0"/>
          <w:color w:val="auto"/>
          <w:w w:val="100"/>
          <w:kern w:val="2"/>
          <w:sz w:val="32"/>
          <w:szCs w:val="32"/>
          <w:highlight w:val="none"/>
          <w:lang w:val="en-US" w:eastAsia="zh-CN" w:bidi="ar-SA"/>
        </w:rPr>
      </w:pPr>
      <w:r>
        <w:rPr>
          <w:rFonts w:hint="eastAsia" w:ascii="仿宋_GB2312" w:hAnsi="仿宋_GB2312" w:eastAsia="仿宋_GB2312" w:cs="仿宋_GB2312"/>
          <w:snapToGrid w:val="0"/>
          <w:color w:val="auto"/>
          <w:w w:val="100"/>
          <w:kern w:val="2"/>
          <w:sz w:val="32"/>
          <w:szCs w:val="32"/>
          <w:highlight w:val="none"/>
          <w:lang w:val="en-US" w:eastAsia="zh-CN" w:bidi="ar-SA"/>
        </w:rPr>
        <w:t>·运行人员数量最少；</w:t>
      </w:r>
    </w:p>
    <w:p w14:paraId="4A280473">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firstLine="640" w:firstLineChars="200"/>
        <w:textAlignment w:val="baseline"/>
        <w:rPr>
          <w:rFonts w:hint="eastAsia" w:ascii="仿宋_GB2312" w:hAnsi="仿宋_GB2312" w:eastAsia="仿宋_GB2312" w:cs="仿宋_GB2312"/>
          <w:snapToGrid w:val="0"/>
          <w:color w:val="auto"/>
          <w:w w:val="100"/>
          <w:kern w:val="2"/>
          <w:sz w:val="32"/>
          <w:szCs w:val="32"/>
          <w:highlight w:val="none"/>
          <w:lang w:val="en-US" w:eastAsia="zh-CN" w:bidi="ar-SA"/>
        </w:rPr>
      </w:pPr>
      <w:r>
        <w:rPr>
          <w:rFonts w:hint="eastAsia" w:ascii="仿宋_GB2312" w:hAnsi="仿宋_GB2312" w:eastAsia="仿宋_GB2312" w:cs="仿宋_GB2312"/>
          <w:snapToGrid w:val="0"/>
          <w:color w:val="auto"/>
          <w:w w:val="100"/>
          <w:kern w:val="2"/>
          <w:sz w:val="32"/>
          <w:szCs w:val="32"/>
          <w:highlight w:val="none"/>
          <w:lang w:val="en-US" w:eastAsia="zh-CN" w:bidi="ar-SA"/>
        </w:rPr>
        <w:t>·确保人员和设备安全；</w:t>
      </w:r>
    </w:p>
    <w:p w14:paraId="171A4259">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firstLine="640" w:firstLineChars="200"/>
        <w:textAlignment w:val="baseline"/>
        <w:rPr>
          <w:rFonts w:hint="eastAsia" w:ascii="宋体" w:hAnsi="宋体" w:eastAsia="宋体" w:cs="宋体"/>
          <w:spacing w:val="-2"/>
          <w:sz w:val="24"/>
          <w:szCs w:val="24"/>
          <w:lang w:val="en-US" w:eastAsia="zh-CN"/>
        </w:rPr>
      </w:pPr>
      <w:r>
        <w:rPr>
          <w:rFonts w:hint="eastAsia" w:ascii="仿宋_GB2312" w:hAnsi="仿宋_GB2312" w:eastAsia="仿宋_GB2312" w:cs="仿宋_GB2312"/>
          <w:snapToGrid w:val="0"/>
          <w:color w:val="auto"/>
          <w:w w:val="100"/>
          <w:kern w:val="2"/>
          <w:sz w:val="32"/>
          <w:szCs w:val="32"/>
          <w:highlight w:val="none"/>
          <w:lang w:val="en-US" w:eastAsia="zh-CN" w:bidi="ar-SA"/>
        </w:rPr>
        <w:t>·节省能源、水和原材料；</w:t>
      </w:r>
    </w:p>
    <w:p w14:paraId="77AD0B08">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firstLine="640" w:firstLineChars="200"/>
        <w:textAlignment w:val="baseline"/>
        <w:rPr>
          <w:rFonts w:hint="eastAsia" w:ascii="仿宋_GB2312" w:hAnsi="仿宋_GB2312" w:eastAsia="仿宋_GB2312" w:cs="仿宋_GB2312"/>
          <w:snapToGrid w:val="0"/>
          <w:color w:val="auto"/>
          <w:w w:val="100"/>
          <w:kern w:val="2"/>
          <w:sz w:val="32"/>
          <w:szCs w:val="32"/>
          <w:highlight w:val="none"/>
          <w:lang w:val="en-US" w:eastAsia="zh-CN" w:bidi="ar-SA"/>
        </w:rPr>
      </w:pPr>
      <w:r>
        <w:rPr>
          <w:rFonts w:hint="eastAsia" w:ascii="仿宋_GB2312" w:hAnsi="仿宋_GB2312" w:eastAsia="仿宋_GB2312" w:cs="仿宋_GB2312"/>
          <w:snapToGrid w:val="0"/>
          <w:color w:val="auto"/>
          <w:w w:val="100"/>
          <w:kern w:val="2"/>
          <w:sz w:val="32"/>
          <w:szCs w:val="32"/>
          <w:highlight w:val="none"/>
          <w:lang w:val="en-US" w:eastAsia="zh-CN" w:bidi="ar-SA"/>
        </w:rPr>
        <w:t>·提供的产品通信方式和通信协议应符合市场主流；</w:t>
      </w:r>
    </w:p>
    <w:p w14:paraId="51C04686">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firstLine="640" w:firstLineChars="200"/>
        <w:textAlignment w:val="baseline"/>
        <w:rPr>
          <w:rFonts w:hint="eastAsia" w:ascii="仿宋_GB2312" w:hAnsi="仿宋_GB2312" w:eastAsia="仿宋_GB2312" w:cs="仿宋_GB2312"/>
          <w:snapToGrid w:val="0"/>
          <w:color w:val="auto"/>
          <w:w w:val="100"/>
          <w:kern w:val="2"/>
          <w:sz w:val="32"/>
          <w:szCs w:val="32"/>
          <w:highlight w:val="none"/>
          <w:lang w:val="en-US" w:eastAsia="zh-CN" w:bidi="ar-SA"/>
        </w:rPr>
      </w:pPr>
      <w:r>
        <w:rPr>
          <w:rFonts w:hint="eastAsia" w:ascii="仿宋_GB2312" w:hAnsi="仿宋_GB2312" w:eastAsia="仿宋_GB2312" w:cs="仿宋_GB2312"/>
          <w:snapToGrid w:val="0"/>
          <w:color w:val="auto"/>
          <w:w w:val="100"/>
          <w:kern w:val="2"/>
          <w:sz w:val="32"/>
          <w:szCs w:val="32"/>
          <w:highlight w:val="none"/>
          <w:lang w:val="en-US" w:eastAsia="zh-CN" w:bidi="ar-SA"/>
        </w:rPr>
        <w:t>·能适应原有系统负荷的启动、停运及负荷变动；</w:t>
      </w:r>
    </w:p>
    <w:p w14:paraId="14C9233C">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firstLine="640" w:firstLineChars="200"/>
        <w:textAlignment w:val="baseline"/>
        <w:rPr>
          <w:rFonts w:hint="eastAsia" w:ascii="仿宋_GB2312" w:hAnsi="仿宋_GB2312" w:eastAsia="仿宋_GB2312" w:cs="仿宋_GB2312"/>
          <w:snapToGrid w:val="0"/>
          <w:color w:val="auto"/>
          <w:w w:val="100"/>
          <w:kern w:val="2"/>
          <w:sz w:val="32"/>
          <w:szCs w:val="32"/>
          <w:highlight w:val="none"/>
          <w:lang w:val="en-US" w:eastAsia="zh-CN" w:bidi="ar-SA"/>
        </w:rPr>
      </w:pPr>
      <w:r>
        <w:rPr>
          <w:rFonts w:hint="eastAsia" w:ascii="仿宋_GB2312" w:hAnsi="仿宋_GB2312" w:eastAsia="仿宋_GB2312" w:cs="仿宋_GB2312"/>
          <w:snapToGrid w:val="0"/>
          <w:color w:val="auto"/>
          <w:w w:val="100"/>
          <w:kern w:val="2"/>
          <w:sz w:val="32"/>
          <w:szCs w:val="32"/>
          <w:highlight w:val="none"/>
          <w:lang w:val="en-US" w:eastAsia="zh-CN" w:bidi="ar-SA"/>
        </w:rPr>
        <w:t>·在招标文件书中关于各系统的配置和布置等是发包人的基本要求，仅供投标方参考。</w:t>
      </w:r>
    </w:p>
    <w:p w14:paraId="76B75B5B">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firstLine="640" w:firstLineChars="200"/>
        <w:textAlignment w:val="baseline"/>
        <w:rPr>
          <w:rFonts w:hint="default" w:ascii="仿宋_GB2312" w:hAnsi="仿宋_GB2312" w:eastAsia="仿宋_GB2312" w:cs="仿宋_GB2312"/>
          <w:snapToGrid w:val="0"/>
          <w:color w:val="auto"/>
          <w:w w:val="100"/>
          <w:kern w:val="2"/>
          <w:sz w:val="32"/>
          <w:szCs w:val="32"/>
          <w:highlight w:val="none"/>
          <w:lang w:val="en-US" w:eastAsia="zh-CN" w:bidi="ar-SA"/>
        </w:rPr>
      </w:pPr>
      <w:r>
        <w:rPr>
          <w:rFonts w:hint="eastAsia" w:ascii="仿宋_GB2312" w:hAnsi="仿宋_GB2312" w:eastAsia="仿宋_GB2312" w:cs="仿宋_GB2312"/>
          <w:snapToGrid w:val="0"/>
          <w:color w:val="auto"/>
          <w:w w:val="100"/>
          <w:kern w:val="2"/>
          <w:sz w:val="32"/>
          <w:szCs w:val="32"/>
          <w:highlight w:val="none"/>
          <w:lang w:val="en-US" w:eastAsia="zh-CN" w:bidi="ar-SA"/>
        </w:rPr>
        <w:t>2.</w:t>
      </w:r>
      <w:r>
        <w:rPr>
          <w:rFonts w:hint="default" w:ascii="仿宋_GB2312" w:hAnsi="仿宋_GB2312" w:eastAsia="仿宋_GB2312" w:cs="仿宋_GB2312"/>
          <w:snapToGrid w:val="0"/>
          <w:color w:val="auto"/>
          <w:w w:val="100"/>
          <w:kern w:val="2"/>
          <w:sz w:val="32"/>
          <w:szCs w:val="32"/>
          <w:highlight w:val="none"/>
          <w:lang w:val="en-US" w:eastAsia="zh-CN" w:bidi="ar-SA"/>
        </w:rPr>
        <w:t>质量控制</w:t>
      </w:r>
    </w:p>
    <w:p w14:paraId="6B64304C">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firstLine="640" w:firstLineChars="200"/>
        <w:textAlignment w:val="baseline"/>
        <w:rPr>
          <w:rFonts w:hint="eastAsia" w:ascii="仿宋_GB2312" w:hAnsi="仿宋_GB2312" w:eastAsia="仿宋_GB2312" w:cs="仿宋_GB2312"/>
          <w:snapToGrid w:val="0"/>
          <w:color w:val="auto"/>
          <w:w w:val="100"/>
          <w:kern w:val="2"/>
          <w:sz w:val="32"/>
          <w:szCs w:val="32"/>
          <w:highlight w:val="none"/>
          <w:lang w:val="en-US" w:eastAsia="zh-CN" w:bidi="ar-SA"/>
        </w:rPr>
      </w:pPr>
      <w:r>
        <w:rPr>
          <w:rFonts w:hint="eastAsia" w:ascii="仿宋_GB2312" w:hAnsi="仿宋_GB2312" w:eastAsia="仿宋_GB2312" w:cs="仿宋_GB2312"/>
          <w:snapToGrid w:val="0"/>
          <w:color w:val="auto"/>
          <w:w w:val="100"/>
          <w:kern w:val="2"/>
          <w:sz w:val="32"/>
          <w:szCs w:val="32"/>
          <w:highlight w:val="none"/>
          <w:lang w:val="en-US" w:eastAsia="zh-CN" w:bidi="ar-SA"/>
        </w:rPr>
        <w:t>投标方负责对其工作范围内的设备和材料的采购、运输和储存、施工和安装、调试等实行质量控制，制定质量控制计划和提交质量控制手册，并用质量控制计划检查项目（包括分包商的项目）是否符合合同的要求和规定。</w:t>
      </w:r>
    </w:p>
    <w:p w14:paraId="41C6132F">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firstLine="640" w:firstLineChars="200"/>
        <w:textAlignment w:val="baseline"/>
        <w:rPr>
          <w:rFonts w:hint="default" w:ascii="仿宋_GB2312" w:hAnsi="仿宋_GB2312" w:eastAsia="仿宋_GB2312" w:cs="仿宋_GB2312"/>
          <w:snapToGrid w:val="0"/>
          <w:color w:val="auto"/>
          <w:w w:val="100"/>
          <w:kern w:val="2"/>
          <w:sz w:val="32"/>
          <w:szCs w:val="32"/>
          <w:highlight w:val="none"/>
          <w:lang w:val="en-US" w:eastAsia="zh-CN" w:bidi="ar-SA"/>
        </w:rPr>
      </w:pPr>
      <w:r>
        <w:rPr>
          <w:rFonts w:hint="eastAsia" w:ascii="仿宋_GB2312" w:hAnsi="仿宋_GB2312" w:eastAsia="仿宋_GB2312" w:cs="仿宋_GB2312"/>
          <w:snapToGrid w:val="0"/>
          <w:color w:val="auto"/>
          <w:w w:val="100"/>
          <w:kern w:val="2"/>
          <w:sz w:val="32"/>
          <w:szCs w:val="32"/>
          <w:highlight w:val="none"/>
          <w:lang w:val="en-US" w:eastAsia="zh-CN" w:bidi="ar-SA"/>
        </w:rPr>
        <w:t>3.文件要求</w:t>
      </w:r>
    </w:p>
    <w:p w14:paraId="398DAD17">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firstLine="640" w:firstLineChars="200"/>
        <w:textAlignment w:val="baseline"/>
        <w:rPr>
          <w:rFonts w:hint="eastAsia" w:ascii="仿宋_GB2312" w:hAnsi="仿宋_GB2312" w:eastAsia="仿宋_GB2312" w:cs="仿宋_GB2312"/>
          <w:snapToGrid w:val="0"/>
          <w:color w:val="auto"/>
          <w:w w:val="100"/>
          <w:kern w:val="2"/>
          <w:sz w:val="32"/>
          <w:szCs w:val="32"/>
          <w:highlight w:val="none"/>
          <w:lang w:val="en-US" w:eastAsia="zh-CN" w:bidi="ar-SA"/>
        </w:rPr>
      </w:pPr>
      <w:r>
        <w:rPr>
          <w:rFonts w:hint="eastAsia" w:ascii="仿宋_GB2312" w:hAnsi="仿宋_GB2312" w:eastAsia="仿宋_GB2312" w:cs="仿宋_GB2312"/>
          <w:snapToGrid w:val="0"/>
          <w:color w:val="auto"/>
          <w:w w:val="100"/>
          <w:kern w:val="2"/>
          <w:sz w:val="32"/>
          <w:szCs w:val="32"/>
          <w:highlight w:val="none"/>
          <w:lang w:val="en-US" w:eastAsia="zh-CN" w:bidi="ar-SA"/>
        </w:rPr>
        <w:t>投标方的文件交付进度满足本工程施工安装工程进度要求。</w:t>
      </w:r>
    </w:p>
    <w:p w14:paraId="0C70CD70">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firstLine="640" w:firstLineChars="200"/>
        <w:textAlignment w:val="baseline"/>
        <w:rPr>
          <w:rFonts w:hint="eastAsia" w:ascii="仿宋_GB2312" w:hAnsi="仿宋_GB2312" w:eastAsia="仿宋_GB2312" w:cs="仿宋_GB2312"/>
          <w:snapToGrid w:val="0"/>
          <w:color w:val="auto"/>
          <w:w w:val="100"/>
          <w:kern w:val="2"/>
          <w:sz w:val="32"/>
          <w:szCs w:val="32"/>
          <w:highlight w:val="none"/>
          <w:lang w:val="en-US" w:eastAsia="zh-CN" w:bidi="ar-SA"/>
        </w:rPr>
      </w:pPr>
      <w:r>
        <w:rPr>
          <w:rFonts w:hint="eastAsia" w:ascii="仿宋_GB2312" w:hAnsi="仿宋_GB2312" w:eastAsia="仿宋_GB2312" w:cs="仿宋_GB2312"/>
          <w:snapToGrid w:val="0"/>
          <w:color w:val="auto"/>
          <w:w w:val="100"/>
          <w:kern w:val="2"/>
          <w:sz w:val="32"/>
          <w:szCs w:val="32"/>
          <w:highlight w:val="none"/>
          <w:lang w:val="en-US" w:eastAsia="zh-CN" w:bidi="ar-SA"/>
        </w:rPr>
        <w:t>项目执行过程中，投标方和发包人之间的联络文件如传真、会议纪要等以发包人同意的方式进行编号。</w:t>
      </w:r>
    </w:p>
    <w:p w14:paraId="3AB9A62D">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firstLine="640" w:firstLineChars="200"/>
        <w:textAlignment w:val="baseline"/>
        <w:rPr>
          <w:rFonts w:hint="eastAsia" w:ascii="仿宋_GB2312" w:hAnsi="仿宋_GB2312" w:eastAsia="仿宋_GB2312" w:cs="仿宋_GB2312"/>
          <w:snapToGrid w:val="0"/>
          <w:color w:val="auto"/>
          <w:w w:val="100"/>
          <w:kern w:val="2"/>
          <w:sz w:val="32"/>
          <w:szCs w:val="32"/>
          <w:highlight w:val="none"/>
          <w:lang w:val="en-US" w:eastAsia="zh-CN" w:bidi="ar-SA"/>
        </w:rPr>
      </w:pPr>
      <w:r>
        <w:rPr>
          <w:rFonts w:hint="eastAsia" w:ascii="仿宋_GB2312" w:hAnsi="仿宋_GB2312" w:eastAsia="仿宋_GB2312" w:cs="仿宋_GB2312"/>
          <w:snapToGrid w:val="0"/>
          <w:color w:val="auto"/>
          <w:w w:val="100"/>
          <w:kern w:val="2"/>
          <w:sz w:val="32"/>
          <w:szCs w:val="32"/>
          <w:highlight w:val="none"/>
          <w:lang w:val="en-US" w:eastAsia="zh-CN" w:bidi="ar-SA"/>
        </w:rPr>
        <w:t>4.材料设备参考品牌库</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9"/>
        <w:gridCol w:w="4809"/>
        <w:gridCol w:w="1894"/>
      </w:tblGrid>
      <w:tr w14:paraId="5F4C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19" w:type="dxa"/>
            <w:vAlign w:val="center"/>
          </w:tcPr>
          <w:p w14:paraId="65EF832D">
            <w:pPr>
              <w:keepNext w:val="0"/>
              <w:keepLines w:val="0"/>
              <w:pageBreakBefore w:val="0"/>
              <w:widowControl w:val="0"/>
              <w:kinsoku w:val="0"/>
              <w:wordWrap/>
              <w:overflowPunct/>
              <w:topLinePunct w:val="0"/>
              <w:autoSpaceDE w:val="0"/>
              <w:autoSpaceDN w:val="0"/>
              <w:bidi w:val="0"/>
              <w:adjustRightInd w:val="0"/>
              <w:snapToGrid w:val="0"/>
              <w:spacing w:before="22" w:line="560" w:lineRule="exact"/>
              <w:jc w:val="center"/>
              <w:textAlignment w:val="baseline"/>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2"/>
                <w:sz w:val="24"/>
                <w:szCs w:val="24"/>
                <w:lang w:eastAsia="zh-CN"/>
              </w:rPr>
              <w:t>设备、材料名称</w:t>
            </w:r>
          </w:p>
        </w:tc>
        <w:tc>
          <w:tcPr>
            <w:tcW w:w="4809" w:type="dxa"/>
            <w:vAlign w:val="center"/>
          </w:tcPr>
          <w:p w14:paraId="77059B59">
            <w:pPr>
              <w:keepNext w:val="0"/>
              <w:keepLines w:val="0"/>
              <w:pageBreakBefore w:val="0"/>
              <w:widowControl w:val="0"/>
              <w:kinsoku w:val="0"/>
              <w:wordWrap/>
              <w:overflowPunct/>
              <w:topLinePunct w:val="0"/>
              <w:autoSpaceDE w:val="0"/>
              <w:autoSpaceDN w:val="0"/>
              <w:bidi w:val="0"/>
              <w:adjustRightInd w:val="0"/>
              <w:snapToGrid w:val="0"/>
              <w:spacing w:before="22" w:line="560" w:lineRule="exact"/>
              <w:jc w:val="center"/>
              <w:textAlignment w:val="baseline"/>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2"/>
                <w:sz w:val="24"/>
                <w:szCs w:val="24"/>
                <w:lang w:eastAsia="zh-CN"/>
              </w:rPr>
              <w:t>生产厂家/集团/品牌</w:t>
            </w:r>
          </w:p>
        </w:tc>
        <w:tc>
          <w:tcPr>
            <w:tcW w:w="1894" w:type="dxa"/>
          </w:tcPr>
          <w:p w14:paraId="30549063">
            <w:pPr>
              <w:keepNext w:val="0"/>
              <w:keepLines w:val="0"/>
              <w:pageBreakBefore w:val="0"/>
              <w:widowControl w:val="0"/>
              <w:kinsoku w:val="0"/>
              <w:wordWrap/>
              <w:overflowPunct/>
              <w:topLinePunct w:val="0"/>
              <w:autoSpaceDE w:val="0"/>
              <w:autoSpaceDN w:val="0"/>
              <w:bidi w:val="0"/>
              <w:adjustRightInd w:val="0"/>
              <w:snapToGrid w:val="0"/>
              <w:spacing w:before="22" w:line="560" w:lineRule="exact"/>
              <w:jc w:val="center"/>
              <w:textAlignment w:val="baseline"/>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2"/>
                <w:sz w:val="24"/>
                <w:szCs w:val="24"/>
                <w:lang w:eastAsia="zh-CN"/>
              </w:rPr>
              <w:t>备注</w:t>
            </w:r>
          </w:p>
        </w:tc>
      </w:tr>
      <w:tr w14:paraId="36AA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1819" w:type="dxa"/>
            <w:shd w:val="clear" w:color="auto" w:fill="auto"/>
            <w:vAlign w:val="center"/>
          </w:tcPr>
          <w:p w14:paraId="6978F864">
            <w:pPr>
              <w:keepNext w:val="0"/>
              <w:keepLines w:val="0"/>
              <w:pageBreakBefore w:val="0"/>
              <w:widowControl w:val="0"/>
              <w:kinsoku w:val="0"/>
              <w:wordWrap/>
              <w:overflowPunct/>
              <w:topLinePunct w:val="0"/>
              <w:autoSpaceDE w:val="0"/>
              <w:autoSpaceDN w:val="0"/>
              <w:bidi w:val="0"/>
              <w:adjustRightInd w:val="0"/>
              <w:snapToGrid w:val="0"/>
              <w:spacing w:before="22" w:line="560" w:lineRule="exact"/>
              <w:jc w:val="center"/>
              <w:textAlignment w:val="baseline"/>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2"/>
                <w:sz w:val="24"/>
                <w:szCs w:val="24"/>
                <w:lang w:val="en-US" w:eastAsia="zh-CN"/>
              </w:rPr>
              <w:t>预装式变电站</w:t>
            </w:r>
          </w:p>
        </w:tc>
        <w:tc>
          <w:tcPr>
            <w:tcW w:w="4809" w:type="dxa"/>
            <w:shd w:val="clear" w:color="auto" w:fill="auto"/>
            <w:vAlign w:val="center"/>
          </w:tcPr>
          <w:p w14:paraId="4882BB4C">
            <w:pPr>
              <w:keepNext w:val="0"/>
              <w:keepLines w:val="0"/>
              <w:pageBreakBefore w:val="0"/>
              <w:widowControl w:val="0"/>
              <w:kinsoku w:val="0"/>
              <w:wordWrap/>
              <w:overflowPunct/>
              <w:topLinePunct w:val="0"/>
              <w:autoSpaceDE w:val="0"/>
              <w:autoSpaceDN w:val="0"/>
              <w:bidi w:val="0"/>
              <w:adjustRightInd w:val="0"/>
              <w:snapToGrid w:val="0"/>
              <w:spacing w:before="22" w:line="560" w:lineRule="exact"/>
              <w:jc w:val="center"/>
              <w:textAlignment w:val="baseline"/>
              <w:rPr>
                <w:rFonts w:hint="eastAsia"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2"/>
                <w:sz w:val="24"/>
                <w:szCs w:val="24"/>
                <w:highlight w:val="none"/>
                <w:lang w:val="en-US" w:eastAsia="zh-CN"/>
              </w:rPr>
              <w:t>正泰、德力西、许继、中电电气、江苏泰诺、西电、山东泰开、特变电工、固亚德、长城电气</w:t>
            </w:r>
          </w:p>
        </w:tc>
        <w:tc>
          <w:tcPr>
            <w:tcW w:w="1894" w:type="dxa"/>
          </w:tcPr>
          <w:p w14:paraId="4007945C">
            <w:pPr>
              <w:keepNext w:val="0"/>
              <w:keepLines w:val="0"/>
              <w:pageBreakBefore w:val="0"/>
              <w:widowControl w:val="0"/>
              <w:kinsoku w:val="0"/>
              <w:wordWrap/>
              <w:overflowPunct/>
              <w:topLinePunct w:val="0"/>
              <w:autoSpaceDE w:val="0"/>
              <w:autoSpaceDN w:val="0"/>
              <w:bidi w:val="0"/>
              <w:adjustRightInd w:val="0"/>
              <w:snapToGrid w:val="0"/>
              <w:spacing w:before="22" w:line="560" w:lineRule="exact"/>
              <w:jc w:val="center"/>
              <w:textAlignment w:val="baseline"/>
              <w:rPr>
                <w:rFonts w:hint="eastAsia" w:ascii="仿宋_GB2312" w:hAnsi="仿宋_GB2312" w:eastAsia="仿宋_GB2312" w:cs="仿宋_GB2312"/>
                <w:spacing w:val="-2"/>
                <w:sz w:val="24"/>
                <w:szCs w:val="24"/>
                <w:lang w:eastAsia="zh-CN"/>
              </w:rPr>
            </w:pPr>
          </w:p>
        </w:tc>
      </w:tr>
      <w:tr w14:paraId="6003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819" w:type="dxa"/>
            <w:shd w:val="clear" w:color="auto" w:fill="auto"/>
            <w:vAlign w:val="center"/>
          </w:tcPr>
          <w:p w14:paraId="0E42FFB8">
            <w:pPr>
              <w:keepNext w:val="0"/>
              <w:keepLines w:val="0"/>
              <w:pageBreakBefore w:val="0"/>
              <w:widowControl w:val="0"/>
              <w:kinsoku w:val="0"/>
              <w:wordWrap/>
              <w:overflowPunct/>
              <w:topLinePunct w:val="0"/>
              <w:autoSpaceDE w:val="0"/>
              <w:autoSpaceDN w:val="0"/>
              <w:bidi w:val="0"/>
              <w:adjustRightInd w:val="0"/>
              <w:snapToGrid w:val="0"/>
              <w:spacing w:before="22" w:line="560" w:lineRule="exact"/>
              <w:jc w:val="center"/>
              <w:textAlignment w:val="baseline"/>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2"/>
                <w:sz w:val="24"/>
                <w:szCs w:val="24"/>
                <w:lang w:val="en-US" w:eastAsia="zh-CN"/>
              </w:rPr>
              <w:t>其他材料（深圳工务署品牌库中入库的材料）</w:t>
            </w:r>
          </w:p>
        </w:tc>
        <w:tc>
          <w:tcPr>
            <w:tcW w:w="4809" w:type="dxa"/>
            <w:shd w:val="clear" w:color="auto" w:fill="auto"/>
            <w:vAlign w:val="center"/>
          </w:tcPr>
          <w:p w14:paraId="24AF3CC9">
            <w:pPr>
              <w:keepNext w:val="0"/>
              <w:keepLines w:val="0"/>
              <w:pageBreakBefore w:val="0"/>
              <w:widowControl w:val="0"/>
              <w:kinsoku w:val="0"/>
              <w:wordWrap/>
              <w:overflowPunct/>
              <w:topLinePunct w:val="0"/>
              <w:autoSpaceDE w:val="0"/>
              <w:autoSpaceDN w:val="0"/>
              <w:bidi w:val="0"/>
              <w:adjustRightInd w:val="0"/>
              <w:snapToGrid w:val="0"/>
              <w:spacing w:before="22" w:line="560" w:lineRule="exact"/>
              <w:jc w:val="center"/>
              <w:textAlignment w:val="baseline"/>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2"/>
                <w:sz w:val="24"/>
                <w:szCs w:val="24"/>
                <w:lang w:eastAsia="zh-CN"/>
              </w:rPr>
              <w:t>深圳工务署B类以上品牌</w:t>
            </w:r>
          </w:p>
        </w:tc>
        <w:tc>
          <w:tcPr>
            <w:tcW w:w="1894" w:type="dxa"/>
            <w:vAlign w:val="top"/>
          </w:tcPr>
          <w:p w14:paraId="593A8838">
            <w:pPr>
              <w:keepNext w:val="0"/>
              <w:keepLines w:val="0"/>
              <w:pageBreakBefore w:val="0"/>
              <w:widowControl w:val="0"/>
              <w:kinsoku w:val="0"/>
              <w:wordWrap/>
              <w:overflowPunct/>
              <w:topLinePunct w:val="0"/>
              <w:autoSpaceDE w:val="0"/>
              <w:autoSpaceDN w:val="0"/>
              <w:bidi w:val="0"/>
              <w:adjustRightInd w:val="0"/>
              <w:snapToGrid w:val="0"/>
              <w:spacing w:before="22" w:line="560" w:lineRule="exact"/>
              <w:jc w:val="center"/>
              <w:textAlignment w:val="baseline"/>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2"/>
                <w:sz w:val="24"/>
                <w:szCs w:val="24"/>
                <w:lang w:val="en-US" w:eastAsia="zh-CN"/>
              </w:rPr>
              <w:t>材料包括不仅限于、开关、电线电缆、断路器、浪涌保护器等</w:t>
            </w:r>
          </w:p>
        </w:tc>
      </w:tr>
    </w:tbl>
    <w:p w14:paraId="7DBD7406">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firstLine="640" w:firstLineChars="200"/>
        <w:textAlignment w:val="baseline"/>
        <w:rPr>
          <w:rFonts w:hint="eastAsia" w:ascii="仿宋_GB2312" w:hAnsi="仿宋_GB2312" w:eastAsia="仿宋_GB2312" w:cs="仿宋_GB2312"/>
          <w:snapToGrid w:val="0"/>
          <w:color w:val="auto"/>
          <w:w w:val="100"/>
          <w:kern w:val="2"/>
          <w:sz w:val="32"/>
          <w:szCs w:val="32"/>
          <w:highlight w:val="none"/>
          <w:lang w:val="en-US" w:eastAsia="zh-CN" w:bidi="ar-SA"/>
        </w:rPr>
      </w:pPr>
      <w:r>
        <w:rPr>
          <w:rFonts w:hint="eastAsia" w:ascii="仿宋_GB2312" w:hAnsi="仿宋_GB2312" w:eastAsia="仿宋_GB2312" w:cs="仿宋_GB2312"/>
          <w:snapToGrid w:val="0"/>
          <w:color w:val="auto"/>
          <w:w w:val="100"/>
          <w:kern w:val="2"/>
          <w:sz w:val="32"/>
          <w:szCs w:val="32"/>
          <w:highlight w:val="none"/>
          <w:lang w:val="en-US" w:eastAsia="zh-CN" w:bidi="ar-SA"/>
        </w:rPr>
        <w:t>注：承包人原则上需从上述指定品牌范围内选择主要设备与材料，主要设备与材料的采购结果须经过发包人确认，合同金额不予调整；如采用指定品牌范围之外的设备及材料的，选择的设备及材料品牌需为与指定品牌范围的同档次的品牌，且须事先报发包人批准。</w:t>
      </w:r>
    </w:p>
    <w:p w14:paraId="0EE10429">
      <w:pPr>
        <w:keepNext w:val="0"/>
        <w:keepLines w:val="0"/>
        <w:pageBreakBefore w:val="0"/>
        <w:widowControl w:val="0"/>
        <w:kinsoku w:val="0"/>
        <w:wordWrap/>
        <w:overflowPunct/>
        <w:topLinePunct w:val="0"/>
        <w:autoSpaceDE w:val="0"/>
        <w:autoSpaceDN w:val="0"/>
        <w:bidi w:val="0"/>
        <w:adjustRightInd w:val="0"/>
        <w:snapToGrid w:val="0"/>
        <w:spacing w:before="0" w:line="560" w:lineRule="exact"/>
        <w:ind w:left="0" w:firstLine="640" w:firstLineChars="200"/>
        <w:textAlignment w:val="baseline"/>
        <w:rPr>
          <w:rFonts w:hint="eastAsia" w:ascii="仿宋_GB2312" w:hAnsi="仿宋_GB2312" w:eastAsia="仿宋_GB2312" w:cs="仿宋_GB2312"/>
          <w:snapToGrid w:val="0"/>
          <w:color w:val="auto"/>
          <w:w w:val="100"/>
          <w:kern w:val="2"/>
          <w:sz w:val="32"/>
          <w:szCs w:val="32"/>
          <w:highlight w:val="none"/>
          <w:lang w:val="en-US" w:eastAsia="zh-CN" w:bidi="ar-SA"/>
        </w:rPr>
      </w:pPr>
      <w:r>
        <w:rPr>
          <w:rFonts w:hint="eastAsia" w:ascii="仿宋_GB2312" w:hAnsi="仿宋_GB2312" w:eastAsia="仿宋_GB2312" w:cs="仿宋_GB2312"/>
          <w:snapToGrid w:val="0"/>
          <w:color w:val="auto"/>
          <w:w w:val="100"/>
          <w:kern w:val="2"/>
          <w:sz w:val="32"/>
          <w:szCs w:val="32"/>
          <w:highlight w:val="none"/>
          <w:lang w:val="en-US" w:eastAsia="zh-CN" w:bidi="ar-SA"/>
        </w:rPr>
        <w:t>其他品牌库未规定的材料和设备应原则上应选择国产优质品牌，承包人应提供3家国产优质品牌供招标人选择，招标人确认后才可采购和使用。</w:t>
      </w:r>
    </w:p>
    <w:p w14:paraId="52A5E77B">
      <w:r>
        <w:br w:type="page"/>
      </w:r>
    </w:p>
    <w:p w14:paraId="46AD3913">
      <w:pPr>
        <w:pStyle w:val="7"/>
        <w:ind w:firstLine="0" w:firstLineChars="0"/>
        <w:jc w:val="center"/>
        <w:rPr>
          <w:rFonts w:ascii="Arial" w:hAnsi="Arial" w:eastAsia="黑体" w:cs="Times New Roman"/>
          <w:b/>
          <w:bCs/>
          <w:sz w:val="32"/>
          <w:szCs w:val="32"/>
        </w:rPr>
      </w:pPr>
      <w:r>
        <w:rPr>
          <w:rFonts w:hint="eastAsia" w:ascii="Arial" w:hAnsi="Arial" w:eastAsia="黑体" w:cs="Times New Roman"/>
          <w:b/>
          <w:bCs/>
          <w:sz w:val="32"/>
          <w:szCs w:val="32"/>
        </w:rPr>
        <w:t>投标文件组成</w:t>
      </w:r>
    </w:p>
    <w:p w14:paraId="782A5811">
      <w:pPr>
        <w:jc w:val="left"/>
        <w:rPr>
          <w:rFonts w:hint="eastAsia" w:ascii="宋体" w:hAnsi="宋体"/>
          <w:b/>
          <w:bCs/>
          <w:sz w:val="28"/>
          <w:szCs w:val="28"/>
        </w:rPr>
      </w:pPr>
      <w:r>
        <w:rPr>
          <w:rFonts w:hint="eastAsia" w:ascii="宋体" w:hAnsi="宋体"/>
          <w:b/>
          <w:bCs/>
          <w:sz w:val="28"/>
          <w:szCs w:val="28"/>
        </w:rPr>
        <w:t>附件一：</w:t>
      </w:r>
    </w:p>
    <w:p w14:paraId="49A44180">
      <w:pPr>
        <w:spacing w:line="440" w:lineRule="exact"/>
        <w:jc w:val="center"/>
        <w:rPr>
          <w:rFonts w:ascii="Arial" w:hAnsi="Arial" w:eastAsia="黑体" w:cs="Times New Roman"/>
          <w:b/>
          <w:bCs/>
          <w:sz w:val="32"/>
          <w:szCs w:val="32"/>
        </w:rPr>
      </w:pPr>
      <w:r>
        <w:rPr>
          <w:rFonts w:hint="eastAsia" w:ascii="Arial" w:hAnsi="Arial" w:eastAsia="黑体" w:cs="Times New Roman"/>
          <w:b/>
          <w:bCs/>
          <w:sz w:val="32"/>
          <w:szCs w:val="32"/>
        </w:rPr>
        <w:t>投标函</w:t>
      </w:r>
    </w:p>
    <w:p w14:paraId="6F02CFF1">
      <w:pPr>
        <w:spacing w:line="440" w:lineRule="exact"/>
        <w:rPr>
          <w:rFonts w:hint="eastAsia" w:ascii="宋体" w:hAnsi="宋体"/>
          <w:sz w:val="24"/>
        </w:rPr>
      </w:pPr>
    </w:p>
    <w:p w14:paraId="5CC29073">
      <w:pPr>
        <w:spacing w:line="440" w:lineRule="exact"/>
        <w:rPr>
          <w:rFonts w:hint="eastAsia" w:ascii="宋体" w:hAnsi="宋体"/>
          <w:sz w:val="24"/>
          <w:u w:val="single"/>
        </w:rPr>
      </w:pPr>
      <w:r>
        <w:rPr>
          <w:rFonts w:hint="eastAsia" w:ascii="宋体" w:hAnsi="宋体"/>
          <w:sz w:val="24"/>
        </w:rPr>
        <w:t>致：</w:t>
      </w:r>
      <w:r>
        <w:rPr>
          <w:rFonts w:hint="eastAsia" w:ascii="宋体" w:hAnsi="宋体"/>
          <w:sz w:val="24"/>
          <w:u w:val="single"/>
        </w:rPr>
        <w:t xml:space="preserve">                </w:t>
      </w:r>
    </w:p>
    <w:p w14:paraId="3B300223">
      <w:pPr>
        <w:numPr>
          <w:ilvl w:val="0"/>
          <w:numId w:val="3"/>
        </w:numPr>
        <w:spacing w:line="440" w:lineRule="exact"/>
        <w:ind w:firstLine="480"/>
        <w:rPr>
          <w:rFonts w:hint="eastAsia" w:ascii="宋体" w:hAnsi="宋体"/>
          <w:sz w:val="24"/>
        </w:rPr>
      </w:pPr>
      <w:r>
        <w:rPr>
          <w:rFonts w:hint="eastAsia" w:ascii="宋体" w:hAnsi="宋体"/>
          <w:sz w:val="24"/>
        </w:rPr>
        <w:t>根据你方的</w:t>
      </w:r>
      <w:r>
        <w:rPr>
          <w:rFonts w:hint="eastAsia" w:ascii="宋体" w:hAnsi="宋体"/>
          <w:sz w:val="24"/>
          <w:u w:val="single"/>
        </w:rPr>
        <w:t xml:space="preserve">                  </w:t>
      </w:r>
      <w:r>
        <w:rPr>
          <w:rFonts w:hint="eastAsia" w:ascii="宋体" w:hAnsi="宋体"/>
          <w:sz w:val="24"/>
        </w:rPr>
        <w:t>招标文件，遵照《中华人民共和国招标投标法》等相关规定，经踏勘项目现场和研究上述招标文件及其他有关文件之后，我方作为签署人愿以（大写）：</w:t>
      </w:r>
    </w:p>
    <w:p w14:paraId="5E645FB4">
      <w:pPr>
        <w:spacing w:line="440" w:lineRule="exact"/>
        <w:rPr>
          <w:rFonts w:hint="eastAsia" w:ascii="宋体" w:hAnsi="宋体"/>
          <w:sz w:val="24"/>
        </w:rPr>
      </w:pPr>
      <w:r>
        <w:rPr>
          <w:rFonts w:hint="eastAsia" w:ascii="宋体" w:hAnsi="宋体"/>
          <w:sz w:val="24"/>
          <w:u w:val="single"/>
        </w:rPr>
        <w:t xml:space="preserve">             元</w:t>
      </w:r>
      <w:r>
        <w:rPr>
          <w:rFonts w:hint="eastAsia" w:ascii="宋体" w:hAnsi="宋体"/>
          <w:sz w:val="24"/>
        </w:rPr>
        <w:t xml:space="preserve"> （RMB</w:t>
      </w:r>
      <w:r>
        <w:rPr>
          <w:rFonts w:hint="eastAsia" w:ascii="宋体" w:hAnsi="宋体"/>
          <w:sz w:val="24"/>
          <w:u w:val="single"/>
        </w:rPr>
        <w:t xml:space="preserve">￥        </w:t>
      </w:r>
      <w:r>
        <w:rPr>
          <w:rFonts w:hint="eastAsia" w:ascii="宋体" w:hAnsi="宋体"/>
          <w:sz w:val="24"/>
        </w:rPr>
        <w:t>元）的投标报价并按上述招标文件及其他有关文件约定的条件承担上述产业定位任务，并承担任何质量缺陷的修改完善责任。</w:t>
      </w:r>
    </w:p>
    <w:p w14:paraId="078F09F9">
      <w:pPr>
        <w:spacing w:line="440" w:lineRule="exact"/>
        <w:ind w:firstLine="480"/>
        <w:rPr>
          <w:rFonts w:hint="eastAsia" w:ascii="宋体" w:hAnsi="宋体"/>
          <w:sz w:val="24"/>
        </w:rPr>
      </w:pPr>
      <w:r>
        <w:rPr>
          <w:rFonts w:hint="eastAsia" w:ascii="宋体" w:hAnsi="宋体"/>
          <w:sz w:val="24"/>
        </w:rPr>
        <w:t>2、我方保证，如果我方的投标被接受，将在接到开工命令后</w:t>
      </w:r>
      <w:r>
        <w:rPr>
          <w:rFonts w:hint="eastAsia" w:ascii="宋体" w:hAnsi="宋体"/>
          <w:sz w:val="24"/>
          <w:u w:val="single"/>
        </w:rPr>
        <w:t xml:space="preserve"> 在甲方规定的时间 </w:t>
      </w:r>
      <w:r>
        <w:rPr>
          <w:rFonts w:hint="eastAsia" w:ascii="宋体" w:hAnsi="宋体"/>
          <w:sz w:val="24"/>
        </w:rPr>
        <w:t>内完成本项目的造假成果文件，</w:t>
      </w:r>
      <w:r>
        <w:rPr>
          <w:rFonts w:hint="eastAsia" w:ascii="宋体" w:hAnsi="宋体"/>
          <w:sz w:val="24"/>
          <w:u w:val="single"/>
        </w:rPr>
        <w:t xml:space="preserve"> 根据甲方要求 </w:t>
      </w:r>
      <w:r>
        <w:rPr>
          <w:rFonts w:hint="eastAsia" w:ascii="宋体" w:hAnsi="宋体"/>
          <w:sz w:val="24"/>
        </w:rPr>
        <w:t>出具合同规定的整个项目的结算报告终稿。成果文件满足</w:t>
      </w:r>
      <w:r>
        <w:rPr>
          <w:rFonts w:hint="eastAsia" w:ascii="宋体" w:hAnsi="宋体"/>
          <w:sz w:val="24"/>
          <w:u w:val="single"/>
        </w:rPr>
        <w:t>现行相关规范</w:t>
      </w:r>
      <w:r>
        <w:rPr>
          <w:rFonts w:hint="eastAsia" w:ascii="宋体" w:hAnsi="宋体"/>
          <w:sz w:val="24"/>
        </w:rPr>
        <w:t>标准</w:t>
      </w:r>
    </w:p>
    <w:p w14:paraId="345D5BC6">
      <w:pPr>
        <w:spacing w:line="440" w:lineRule="exact"/>
        <w:ind w:firstLine="480"/>
        <w:rPr>
          <w:rFonts w:hint="eastAsia" w:ascii="宋体" w:hAnsi="宋体"/>
          <w:sz w:val="24"/>
        </w:rPr>
      </w:pPr>
      <w:r>
        <w:rPr>
          <w:rFonts w:hint="eastAsia" w:ascii="宋体" w:hAnsi="宋体"/>
          <w:sz w:val="24"/>
        </w:rPr>
        <w:t>3、我方同意在收到从规定的投标之日起</w:t>
      </w:r>
      <w:r>
        <w:rPr>
          <w:rFonts w:hint="eastAsia" w:ascii="宋体" w:hAnsi="宋体"/>
          <w:sz w:val="24"/>
          <w:u w:val="single"/>
        </w:rPr>
        <w:t xml:space="preserve"> 90 </w:t>
      </w:r>
      <w:r>
        <w:rPr>
          <w:rFonts w:hint="eastAsia" w:ascii="宋体" w:hAnsi="宋体"/>
          <w:sz w:val="24"/>
        </w:rPr>
        <w:t>天内遵守本投标，在此期限届满之前，本投标书将始终对我方具有约束力并可随时被接受。</w:t>
      </w:r>
    </w:p>
    <w:p w14:paraId="6DCA0971">
      <w:pPr>
        <w:spacing w:line="440" w:lineRule="exact"/>
        <w:ind w:firstLine="480"/>
        <w:rPr>
          <w:rFonts w:hint="eastAsia" w:ascii="宋体" w:hAnsi="宋体"/>
          <w:sz w:val="24"/>
        </w:rPr>
      </w:pPr>
      <w:r>
        <w:rPr>
          <w:rFonts w:hint="eastAsia" w:ascii="宋体" w:hAnsi="宋体"/>
          <w:sz w:val="24"/>
        </w:rPr>
        <w:t>4、在制定并签署及执行正式合同以前，本投标书连同你方发出的书面文件，将作为你我双方之间的约束合同的组成部分。</w:t>
      </w:r>
    </w:p>
    <w:p w14:paraId="541C7C08">
      <w:pPr>
        <w:spacing w:line="440" w:lineRule="exact"/>
        <w:ind w:firstLine="480"/>
        <w:rPr>
          <w:rFonts w:hint="eastAsia" w:ascii="宋体" w:hAnsi="宋体"/>
          <w:sz w:val="24"/>
        </w:rPr>
      </w:pPr>
      <w:r>
        <w:rPr>
          <w:rFonts w:hint="eastAsia" w:ascii="宋体" w:hAnsi="宋体"/>
          <w:sz w:val="24"/>
        </w:rPr>
        <w:t>5、我方理解，你方并无义务必须接受你方所收到的价格最低的任何投标。</w:t>
      </w:r>
    </w:p>
    <w:p w14:paraId="05F538CE">
      <w:pPr>
        <w:spacing w:line="440" w:lineRule="exact"/>
        <w:ind w:firstLine="480"/>
        <w:rPr>
          <w:rFonts w:hint="eastAsia" w:ascii="宋体" w:hAnsi="宋体"/>
          <w:sz w:val="24"/>
        </w:rPr>
      </w:pPr>
      <w:r>
        <w:rPr>
          <w:rFonts w:hint="eastAsia" w:ascii="宋体" w:hAnsi="宋体"/>
          <w:sz w:val="24"/>
        </w:rPr>
        <w:t>6、我方保证在此次招标期间，不以任何方式行贿及搞不正之风，如有发现，愿取消投标资格及接受有关部门的查处。</w:t>
      </w:r>
    </w:p>
    <w:p w14:paraId="5C194EB3">
      <w:pPr>
        <w:spacing w:line="440" w:lineRule="exact"/>
        <w:ind w:firstLine="480"/>
        <w:rPr>
          <w:rFonts w:hint="eastAsia" w:ascii="宋体" w:hAnsi="宋体"/>
          <w:sz w:val="24"/>
          <w:u w:val="single"/>
        </w:rPr>
      </w:pPr>
      <w:r>
        <w:rPr>
          <w:rFonts w:hint="eastAsia" w:ascii="宋体" w:hAnsi="宋体"/>
          <w:sz w:val="24"/>
        </w:rPr>
        <w:t>7、其它附注：</w:t>
      </w:r>
      <w:r>
        <w:rPr>
          <w:rFonts w:hint="eastAsia" w:ascii="宋体" w:hAnsi="宋体"/>
          <w:sz w:val="24"/>
          <w:u w:val="single"/>
        </w:rPr>
        <w:t xml:space="preserve">                                                      </w:t>
      </w:r>
    </w:p>
    <w:p w14:paraId="56462B63">
      <w:pPr>
        <w:spacing w:line="440" w:lineRule="exact"/>
        <w:rPr>
          <w:rFonts w:hint="eastAsia" w:ascii="宋体" w:hAnsi="宋体"/>
          <w:sz w:val="24"/>
          <w:u w:val="single"/>
        </w:rPr>
      </w:pPr>
    </w:p>
    <w:p w14:paraId="5CC568BE">
      <w:pPr>
        <w:spacing w:line="440" w:lineRule="exact"/>
        <w:rPr>
          <w:rFonts w:hint="eastAsia" w:ascii="宋体" w:hAnsi="宋体"/>
          <w:sz w:val="24"/>
        </w:rPr>
      </w:pPr>
      <w:r>
        <w:rPr>
          <w:rFonts w:hint="eastAsia" w:ascii="宋体" w:hAnsi="宋体"/>
          <w:sz w:val="24"/>
        </w:rPr>
        <w:t>投标公司名称（盖章）：</w:t>
      </w:r>
      <w:r>
        <w:rPr>
          <w:rFonts w:hint="eastAsia" w:ascii="宋体" w:hAnsi="宋体"/>
          <w:sz w:val="24"/>
          <w:u w:val="single"/>
        </w:rPr>
        <w:t xml:space="preserve">                                                  </w:t>
      </w:r>
    </w:p>
    <w:p w14:paraId="6068794E">
      <w:pPr>
        <w:spacing w:line="440" w:lineRule="exact"/>
        <w:rPr>
          <w:rFonts w:hint="eastAsia" w:ascii="宋体" w:hAnsi="宋体"/>
          <w:sz w:val="24"/>
        </w:rPr>
      </w:pPr>
      <w:r>
        <w:rPr>
          <w:rFonts w:hint="eastAsia" w:ascii="宋体" w:hAnsi="宋体"/>
          <w:sz w:val="24"/>
        </w:rPr>
        <w:t>投标单位法定代表人（签名）：</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 xml:space="preserve">             </w:t>
      </w:r>
      <w:r>
        <w:rPr>
          <w:rFonts w:hint="eastAsia" w:ascii="宋体" w:hAnsi="宋体"/>
          <w:sz w:val="24"/>
        </w:rPr>
        <w:t xml:space="preserve">   </w:t>
      </w:r>
    </w:p>
    <w:p w14:paraId="5629ACCC">
      <w:pPr>
        <w:spacing w:line="440" w:lineRule="exact"/>
        <w:rPr>
          <w:rFonts w:hint="eastAsia" w:ascii="宋体" w:hAnsi="宋体"/>
          <w:sz w:val="24"/>
          <w:u w:val="single"/>
        </w:rPr>
      </w:pPr>
      <w:r>
        <w:rPr>
          <w:rFonts w:hint="eastAsia" w:ascii="宋体" w:hAnsi="宋体"/>
          <w:sz w:val="24"/>
        </w:rPr>
        <w:t>联系地址：</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p>
    <w:p w14:paraId="2BCC3965">
      <w:pPr>
        <w:spacing w:line="440" w:lineRule="exact"/>
        <w:rPr>
          <w:rFonts w:hint="eastAsia" w:ascii="宋体" w:hAnsi="宋体"/>
          <w:sz w:val="24"/>
          <w:u w:val="single"/>
        </w:rPr>
      </w:pPr>
      <w:r>
        <w:rPr>
          <w:rFonts w:hint="eastAsia" w:ascii="宋体" w:hAnsi="宋体"/>
          <w:sz w:val="24"/>
        </w:rPr>
        <w:t>邮政编码：</w:t>
      </w:r>
      <w:r>
        <w:rPr>
          <w:rFonts w:hint="eastAsia" w:ascii="宋体" w:hAnsi="宋体"/>
          <w:sz w:val="24"/>
          <w:u w:val="single"/>
        </w:rPr>
        <w:t xml:space="preserve">                 </w:t>
      </w:r>
      <w:r>
        <w:rPr>
          <w:rFonts w:hint="eastAsia" w:ascii="宋体" w:hAnsi="宋体"/>
          <w:sz w:val="24"/>
        </w:rPr>
        <w:t xml:space="preserve">        开户银行帐号：</w:t>
      </w:r>
      <w:r>
        <w:rPr>
          <w:rFonts w:hint="eastAsia" w:ascii="宋体" w:hAnsi="宋体"/>
          <w:sz w:val="24"/>
          <w:u w:val="single"/>
        </w:rPr>
        <w:t xml:space="preserve">                      </w:t>
      </w:r>
    </w:p>
    <w:p w14:paraId="56EE1A77">
      <w:pPr>
        <w:spacing w:line="440" w:lineRule="exact"/>
        <w:rPr>
          <w:rFonts w:hint="eastAsia" w:ascii="宋体" w:hAnsi="宋体"/>
          <w:sz w:val="24"/>
          <w:u w:val="single"/>
        </w:rPr>
      </w:pPr>
      <w:r>
        <w:rPr>
          <w:rFonts w:hint="eastAsia" w:ascii="宋体" w:hAnsi="宋体"/>
          <w:sz w:val="24"/>
        </w:rPr>
        <w:t>投标日期：</w:t>
      </w:r>
      <w:r>
        <w:rPr>
          <w:rFonts w:hint="eastAsia" w:ascii="宋体" w:hAnsi="宋体"/>
          <w:sz w:val="24"/>
          <w:u w:val="single"/>
        </w:rPr>
        <w:t xml:space="preserve">                 </w:t>
      </w:r>
      <w:r>
        <w:rPr>
          <w:rFonts w:hint="eastAsia" w:ascii="宋体" w:hAnsi="宋体"/>
          <w:sz w:val="24"/>
        </w:rPr>
        <w:t xml:space="preserve">        投标地点：</w:t>
      </w:r>
      <w:r>
        <w:rPr>
          <w:rFonts w:hint="eastAsia" w:ascii="宋体" w:hAnsi="宋体"/>
          <w:sz w:val="24"/>
          <w:u w:val="single"/>
        </w:rPr>
        <w:t xml:space="preserve">                          </w:t>
      </w:r>
    </w:p>
    <w:p w14:paraId="6F6F3209">
      <w:pPr>
        <w:spacing w:line="440" w:lineRule="exact"/>
        <w:rPr>
          <w:rFonts w:hint="eastAsia" w:ascii="宋体" w:hAnsi="宋体"/>
          <w:sz w:val="24"/>
          <w:u w:val="single"/>
        </w:rPr>
      </w:pPr>
    </w:p>
    <w:p w14:paraId="526B10DD">
      <w:pPr>
        <w:spacing w:line="440" w:lineRule="exact"/>
        <w:rPr>
          <w:rFonts w:hint="eastAsia" w:ascii="宋体" w:hAnsi="宋体"/>
          <w:sz w:val="24"/>
          <w:u w:val="single"/>
        </w:rPr>
      </w:pPr>
    </w:p>
    <w:p w14:paraId="6E9F0D07">
      <w:pPr>
        <w:pStyle w:val="2"/>
      </w:pPr>
    </w:p>
    <w:p w14:paraId="05A75787">
      <w:pPr>
        <w:jc w:val="left"/>
        <w:rPr>
          <w:rFonts w:hint="eastAsia" w:ascii="宋体" w:hAnsi="宋体"/>
          <w:b/>
          <w:bCs/>
          <w:sz w:val="28"/>
          <w:szCs w:val="28"/>
        </w:rPr>
      </w:pPr>
      <w:r>
        <w:rPr>
          <w:rFonts w:hint="eastAsia" w:ascii="宋体" w:hAnsi="宋体"/>
          <w:b/>
          <w:bCs/>
          <w:sz w:val="28"/>
          <w:szCs w:val="28"/>
        </w:rPr>
        <w:t>附件二:</w:t>
      </w:r>
    </w:p>
    <w:p w14:paraId="6ADA2051">
      <w:pPr>
        <w:pStyle w:val="5"/>
        <w:jc w:val="center"/>
        <w:rPr>
          <w:rFonts w:hint="eastAsia" w:ascii="宋体" w:hAnsi="宋体"/>
          <w:color w:val="000000"/>
          <w:szCs w:val="21"/>
        </w:rPr>
      </w:pPr>
      <w:bookmarkStart w:id="17" w:name="_Toc213402275"/>
      <w:r>
        <w:rPr>
          <w:rFonts w:hint="eastAsia"/>
        </w:rPr>
        <w:t>法定代表人资格证明书</w:t>
      </w:r>
      <w:bookmarkEnd w:id="17"/>
    </w:p>
    <w:p w14:paraId="407E6F97">
      <w:pPr>
        <w:jc w:val="center"/>
        <w:rPr>
          <w:rFonts w:hint="eastAsia" w:ascii="宋体" w:hAnsi="宋体"/>
          <w:b/>
          <w:bCs/>
          <w:sz w:val="28"/>
        </w:rPr>
      </w:pPr>
    </w:p>
    <w:p w14:paraId="1B93A73D">
      <w:pPr>
        <w:tabs>
          <w:tab w:val="left" w:pos="360"/>
          <w:tab w:val="left" w:pos="720"/>
          <w:tab w:val="left" w:pos="2310"/>
        </w:tabs>
        <w:spacing w:line="360" w:lineRule="auto"/>
        <w:ind w:firstLine="480" w:firstLineChars="200"/>
        <w:rPr>
          <w:rFonts w:hint="eastAsia" w:ascii="宋体" w:hAnsi="宋体"/>
          <w:sz w:val="24"/>
          <w:u w:val="single"/>
        </w:rPr>
      </w:pPr>
      <w:r>
        <w:rPr>
          <w:rFonts w:hint="eastAsia" w:ascii="宋体" w:hAnsi="宋体"/>
          <w:sz w:val="24"/>
        </w:rPr>
        <w:t>单位名称：</w:t>
      </w:r>
      <w:r>
        <w:rPr>
          <w:rFonts w:hint="eastAsia" w:ascii="宋体" w:hAnsi="宋体"/>
          <w:sz w:val="24"/>
          <w:u w:val="single"/>
        </w:rPr>
        <w:t xml:space="preserve">                                     </w:t>
      </w:r>
    </w:p>
    <w:p w14:paraId="68450EFA">
      <w:pPr>
        <w:tabs>
          <w:tab w:val="left" w:pos="360"/>
          <w:tab w:val="left" w:pos="720"/>
        </w:tabs>
        <w:spacing w:line="360" w:lineRule="auto"/>
        <w:ind w:firstLine="480" w:firstLineChars="200"/>
        <w:rPr>
          <w:rFonts w:hint="eastAsia" w:ascii="宋体" w:hAnsi="宋体"/>
          <w:sz w:val="24"/>
          <w:u w:val="single"/>
        </w:rPr>
      </w:pPr>
      <w:r>
        <w:rPr>
          <w:rFonts w:hint="eastAsia" w:ascii="宋体" w:hAnsi="宋体"/>
          <w:sz w:val="24"/>
        </w:rPr>
        <w:t>地    址：</w:t>
      </w:r>
      <w:r>
        <w:rPr>
          <w:rFonts w:hint="eastAsia" w:ascii="宋体" w:hAnsi="宋体"/>
          <w:sz w:val="24"/>
          <w:u w:val="single"/>
        </w:rPr>
        <w:t xml:space="preserve">                                     </w:t>
      </w:r>
    </w:p>
    <w:p w14:paraId="69FC4B92">
      <w:pPr>
        <w:tabs>
          <w:tab w:val="left" w:pos="360"/>
          <w:tab w:val="left" w:pos="720"/>
        </w:tabs>
        <w:spacing w:line="360" w:lineRule="auto"/>
        <w:ind w:firstLine="480" w:firstLineChars="200"/>
        <w:rPr>
          <w:rFonts w:hint="eastAsia" w:ascii="宋体" w:hAnsi="宋体"/>
          <w:sz w:val="24"/>
          <w:u w:val="single"/>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性  别：</w:t>
      </w:r>
      <w:r>
        <w:rPr>
          <w:rFonts w:hint="eastAsia" w:ascii="宋体" w:hAnsi="宋体"/>
          <w:sz w:val="24"/>
          <w:u w:val="single"/>
        </w:rPr>
        <w:t xml:space="preserve">           </w:t>
      </w:r>
      <w:r>
        <w:rPr>
          <w:rFonts w:hint="eastAsia" w:ascii="宋体" w:hAnsi="宋体"/>
          <w:sz w:val="24"/>
        </w:rPr>
        <w:t xml:space="preserve">   年  龄：</w:t>
      </w:r>
      <w:r>
        <w:rPr>
          <w:rFonts w:hint="eastAsia" w:ascii="宋体" w:hAnsi="宋体"/>
          <w:sz w:val="24"/>
          <w:u w:val="single"/>
        </w:rPr>
        <w:t xml:space="preserve">          </w:t>
      </w:r>
    </w:p>
    <w:p w14:paraId="3F47BB57">
      <w:pPr>
        <w:tabs>
          <w:tab w:val="left" w:pos="360"/>
          <w:tab w:val="left" w:pos="720"/>
        </w:tabs>
        <w:spacing w:line="360" w:lineRule="auto"/>
        <w:ind w:firstLine="480" w:firstLineChars="200"/>
        <w:rPr>
          <w:rFonts w:hint="eastAsia" w:ascii="宋体" w:hAnsi="宋体"/>
          <w:sz w:val="24"/>
          <w:u w:val="single"/>
        </w:rPr>
      </w:pPr>
      <w:r>
        <w:rPr>
          <w:rFonts w:hint="eastAsia" w:ascii="宋体" w:hAnsi="宋体"/>
          <w:sz w:val="24"/>
        </w:rPr>
        <w:t>职    务：</w:t>
      </w:r>
      <w:r>
        <w:rPr>
          <w:rFonts w:hint="eastAsia" w:ascii="宋体" w:hAnsi="宋体"/>
          <w:sz w:val="24"/>
          <w:u w:val="single"/>
        </w:rPr>
        <w:t xml:space="preserve">             </w:t>
      </w:r>
    </w:p>
    <w:p w14:paraId="6F174454">
      <w:pPr>
        <w:tabs>
          <w:tab w:val="left" w:pos="360"/>
          <w:tab w:val="left" w:pos="720"/>
        </w:tabs>
        <w:spacing w:line="360" w:lineRule="auto"/>
        <w:ind w:firstLine="1200" w:firstLineChars="500"/>
        <w:rPr>
          <w:rFonts w:hint="eastAsia" w:ascii="宋体" w:hAnsi="宋体"/>
          <w:sz w:val="24"/>
        </w:rPr>
      </w:pPr>
      <w:r>
        <w:rPr>
          <w:rFonts w:hint="eastAsia" w:ascii="宋体" w:hAnsi="宋体"/>
          <w:sz w:val="24"/>
        </w:rPr>
        <w:t xml:space="preserve">系 </w:t>
      </w:r>
      <w:r>
        <w:rPr>
          <w:rFonts w:hint="eastAsia" w:ascii="宋体" w:hAnsi="宋体"/>
          <w:sz w:val="24"/>
          <w:u w:val="single"/>
        </w:rPr>
        <w:t xml:space="preserve">                                          </w:t>
      </w:r>
      <w:r>
        <w:rPr>
          <w:rFonts w:hint="eastAsia" w:ascii="宋体" w:hAnsi="宋体"/>
          <w:sz w:val="24"/>
        </w:rPr>
        <w:t xml:space="preserve"> 的法定代表人。为</w:t>
      </w:r>
      <w:r>
        <w:rPr>
          <w:rFonts w:hint="eastAsia" w:ascii="宋体" w:hAnsi="宋体"/>
          <w:sz w:val="24"/>
          <w:u w:val="single"/>
        </w:rPr>
        <w:t xml:space="preserve">                                     </w:t>
      </w:r>
      <w:r>
        <w:rPr>
          <w:rFonts w:hint="eastAsia" w:ascii="宋体" w:hAnsi="宋体"/>
          <w:sz w:val="24"/>
        </w:rPr>
        <w:t>项目，签署上述工程的投标文件、进行合同谈判、签署合同和处理与之有关的一切事务。</w:t>
      </w:r>
    </w:p>
    <w:p w14:paraId="2F09D25C">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特此证明。</w:t>
      </w:r>
    </w:p>
    <w:p w14:paraId="643B47B4">
      <w:pPr>
        <w:tabs>
          <w:tab w:val="left" w:pos="360"/>
          <w:tab w:val="left" w:pos="720"/>
        </w:tabs>
        <w:spacing w:line="360" w:lineRule="auto"/>
        <w:ind w:firstLine="480" w:firstLineChars="200"/>
        <w:rPr>
          <w:rFonts w:hint="eastAsia" w:ascii="宋体" w:hAnsi="宋体"/>
          <w:sz w:val="24"/>
        </w:rPr>
      </w:pPr>
    </w:p>
    <w:p w14:paraId="0520D913">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单位地址：</w:t>
      </w:r>
    </w:p>
    <w:p w14:paraId="7E1E92C2">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法定代表人：（签字或印鉴）</w:t>
      </w:r>
    </w:p>
    <w:p w14:paraId="28913C71">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邮政编码：</w:t>
      </w:r>
    </w:p>
    <w:p w14:paraId="1EEF3BFC">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电    话：</w:t>
      </w:r>
    </w:p>
    <w:p w14:paraId="13021636">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传    真：</w:t>
      </w:r>
    </w:p>
    <w:p w14:paraId="54F22DDA">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开户银行名称：</w:t>
      </w:r>
    </w:p>
    <w:p w14:paraId="44D50434">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银行账号：</w:t>
      </w:r>
    </w:p>
    <w:p w14:paraId="00DF8DDD">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开户行地址：</w:t>
      </w:r>
    </w:p>
    <w:p w14:paraId="5A1D7BCC">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 xml:space="preserve">投标人：（公章）                   </w:t>
      </w:r>
    </w:p>
    <w:p w14:paraId="71314054">
      <w:pPr>
        <w:tabs>
          <w:tab w:val="left" w:pos="360"/>
        </w:tabs>
        <w:spacing w:line="360" w:lineRule="auto"/>
        <w:ind w:firstLine="480" w:firstLineChars="200"/>
        <w:jc w:val="left"/>
        <w:rPr>
          <w:rFonts w:hint="eastAsia" w:ascii="宋体" w:hAnsi="宋体"/>
          <w:sz w:val="24"/>
        </w:rPr>
      </w:pPr>
      <w:r>
        <w:rPr>
          <w:rFonts w:hint="eastAsia" w:ascii="宋体" w:hAnsi="宋体"/>
          <w:sz w:val="24"/>
        </w:rPr>
        <w:t xml:space="preserve">日期：   年   月   日   </w:t>
      </w:r>
    </w:p>
    <w:p w14:paraId="208AABBD">
      <w:pPr>
        <w:pStyle w:val="7"/>
      </w:pPr>
    </w:p>
    <w:p w14:paraId="4B958464">
      <w:pPr>
        <w:ind w:left="420"/>
        <w:jc w:val="left"/>
        <w:rPr>
          <w:rFonts w:hint="eastAsia" w:ascii="宋体" w:hAnsi="宋体"/>
          <w:b/>
          <w:bCs/>
          <w:sz w:val="28"/>
          <w:szCs w:val="28"/>
        </w:rPr>
      </w:pPr>
    </w:p>
    <w:p w14:paraId="4966FBBC">
      <w:pPr>
        <w:ind w:left="420"/>
        <w:jc w:val="left"/>
        <w:rPr>
          <w:rFonts w:hint="eastAsia" w:ascii="宋体" w:hAnsi="宋体"/>
          <w:b/>
          <w:bCs/>
          <w:sz w:val="28"/>
          <w:szCs w:val="28"/>
        </w:rPr>
      </w:pPr>
    </w:p>
    <w:p w14:paraId="0887C43F">
      <w:pPr>
        <w:ind w:left="420"/>
        <w:jc w:val="left"/>
        <w:rPr>
          <w:rFonts w:hint="eastAsia" w:ascii="宋体" w:hAnsi="宋体"/>
          <w:b/>
          <w:bCs/>
          <w:sz w:val="28"/>
          <w:szCs w:val="28"/>
        </w:rPr>
      </w:pPr>
    </w:p>
    <w:p w14:paraId="08C10A3F">
      <w:pPr>
        <w:ind w:left="420"/>
        <w:jc w:val="left"/>
        <w:rPr>
          <w:rFonts w:hint="eastAsia" w:ascii="宋体" w:hAnsi="宋体"/>
          <w:b/>
          <w:bCs/>
          <w:sz w:val="28"/>
          <w:szCs w:val="28"/>
        </w:rPr>
      </w:pPr>
      <w:r>
        <w:rPr>
          <w:rFonts w:hint="eastAsia" w:ascii="宋体" w:hAnsi="宋体"/>
          <w:b/>
          <w:bCs/>
          <w:sz w:val="28"/>
          <w:szCs w:val="28"/>
        </w:rPr>
        <w:t xml:space="preserve">附件三： </w:t>
      </w:r>
    </w:p>
    <w:p w14:paraId="65B35E77">
      <w:pPr>
        <w:pStyle w:val="5"/>
        <w:jc w:val="center"/>
      </w:pPr>
      <w:r>
        <w:rPr>
          <w:rFonts w:hint="eastAsia"/>
        </w:rPr>
        <w:t>法定代表人授权委托书</w:t>
      </w:r>
      <w:bookmarkStart w:id="18" w:name="_Toc70778520"/>
      <w:bookmarkStart w:id="19" w:name="_Toc70777951"/>
      <w:bookmarkStart w:id="20" w:name="_Toc70842041"/>
      <w:bookmarkStart w:id="21" w:name="_Toc70776480"/>
      <w:bookmarkStart w:id="22" w:name="_Toc70778047"/>
      <w:bookmarkStart w:id="23" w:name="_Toc70776966"/>
      <w:bookmarkStart w:id="24" w:name="_Toc70780616"/>
      <w:bookmarkStart w:id="25" w:name="_Toc70775390"/>
      <w:bookmarkStart w:id="26" w:name="_Toc70777855"/>
      <w:bookmarkStart w:id="27" w:name="_Toc70780521"/>
      <w:bookmarkStart w:id="28" w:name="_Toc70775217"/>
    </w:p>
    <w:p w14:paraId="2B9DA439">
      <w:pPr>
        <w:tabs>
          <w:tab w:val="left" w:pos="360"/>
          <w:tab w:val="left" w:pos="720"/>
        </w:tabs>
        <w:spacing w:line="360" w:lineRule="auto"/>
        <w:jc w:val="center"/>
        <w:rPr>
          <w:rFonts w:hint="eastAsia" w:ascii="宋体" w:hAnsi="宋体"/>
          <w:sz w:val="24"/>
        </w:rPr>
      </w:pPr>
    </w:p>
    <w:p w14:paraId="3B716ED7">
      <w:pPr>
        <w:tabs>
          <w:tab w:val="left" w:pos="900"/>
        </w:tabs>
        <w:spacing w:line="360" w:lineRule="auto"/>
        <w:rPr>
          <w:rFonts w:hint="eastAsia" w:ascii="宋体" w:hAnsi="宋体"/>
          <w:sz w:val="24"/>
        </w:rPr>
      </w:pPr>
      <w:r>
        <w:rPr>
          <w:rFonts w:hint="eastAsia" w:ascii="宋体" w:hAnsi="宋体"/>
          <w:sz w:val="24"/>
          <w:u w:val="single"/>
        </w:rPr>
        <w:t xml:space="preserve">                            </w:t>
      </w:r>
      <w:r>
        <w:rPr>
          <w:rFonts w:hint="eastAsia" w:ascii="宋体" w:hAnsi="宋体"/>
          <w:bCs/>
          <w:sz w:val="24"/>
        </w:rPr>
        <w:t>：</w:t>
      </w:r>
    </w:p>
    <w:p w14:paraId="583E1EC9">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本授权委托书声明：我</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 xml:space="preserve">（投标人名称）的法定代表人，现授权委托 </w:t>
      </w:r>
      <w:r>
        <w:rPr>
          <w:rFonts w:hint="eastAsia" w:ascii="宋体" w:hAnsi="宋体"/>
          <w:sz w:val="24"/>
          <w:u w:val="single"/>
        </w:rPr>
        <w:t xml:space="preserve">                            </w:t>
      </w:r>
      <w:r>
        <w:rPr>
          <w:rFonts w:hint="eastAsia" w:ascii="宋体" w:hAnsi="宋体"/>
          <w:sz w:val="24"/>
        </w:rPr>
        <w:t xml:space="preserve">（单位名称）的 </w:t>
      </w:r>
      <w:r>
        <w:rPr>
          <w:rFonts w:hint="eastAsia" w:ascii="宋体" w:hAnsi="宋体"/>
          <w:sz w:val="24"/>
          <w:u w:val="single"/>
        </w:rPr>
        <w:t xml:space="preserve">        </w:t>
      </w:r>
      <w:r>
        <w:rPr>
          <w:rFonts w:hint="eastAsia" w:ascii="宋体" w:hAnsi="宋体"/>
          <w:sz w:val="24"/>
        </w:rPr>
        <w:t>（姓名）为我公司代理人，以本公司的名义参加</w:t>
      </w:r>
      <w:r>
        <w:rPr>
          <w:rFonts w:hint="eastAsia" w:ascii="宋体" w:hAnsi="宋体"/>
          <w:sz w:val="24"/>
          <w:u w:val="single"/>
        </w:rPr>
        <w:t xml:space="preserve">                           </w:t>
      </w:r>
      <w:r>
        <w:rPr>
          <w:rFonts w:hint="eastAsia" w:ascii="宋体" w:hAnsi="宋体"/>
          <w:sz w:val="24"/>
        </w:rPr>
        <w:t>（招标人）的</w:t>
      </w:r>
      <w:r>
        <w:rPr>
          <w:rFonts w:hint="eastAsia" w:ascii="宋体" w:hAnsi="宋体"/>
          <w:sz w:val="24"/>
          <w:u w:val="single"/>
        </w:rPr>
        <w:t xml:space="preserve">                              </w:t>
      </w:r>
      <w:r>
        <w:rPr>
          <w:rFonts w:hint="eastAsia" w:ascii="宋体" w:hAnsi="宋体"/>
          <w:sz w:val="24"/>
        </w:rPr>
        <w:t>项目的投标活动。代理人在开标、评标、合同谈判过程中所签署的一切文件和处理与之有关的一切事务，我均予以承认。</w:t>
      </w:r>
    </w:p>
    <w:p w14:paraId="0C0BFB4B">
      <w:pPr>
        <w:tabs>
          <w:tab w:val="left" w:pos="360"/>
          <w:tab w:val="left" w:pos="720"/>
        </w:tabs>
        <w:spacing w:line="360" w:lineRule="auto"/>
        <w:ind w:firstLine="480" w:firstLineChars="200"/>
        <w:rPr>
          <w:rFonts w:hint="eastAsia" w:ascii="宋体" w:hAnsi="宋体"/>
          <w:sz w:val="24"/>
        </w:rPr>
      </w:pPr>
    </w:p>
    <w:p w14:paraId="46367376">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代理人无转委权，特此委托。</w:t>
      </w:r>
    </w:p>
    <w:p w14:paraId="0A2D4F8E">
      <w:pPr>
        <w:tabs>
          <w:tab w:val="left" w:pos="360"/>
          <w:tab w:val="left" w:pos="720"/>
        </w:tabs>
        <w:spacing w:line="360" w:lineRule="auto"/>
        <w:rPr>
          <w:rFonts w:hint="eastAsia" w:ascii="宋体" w:hAnsi="宋体"/>
          <w:sz w:val="24"/>
        </w:rPr>
      </w:pPr>
    </w:p>
    <w:p w14:paraId="375D3CF1">
      <w:pPr>
        <w:tabs>
          <w:tab w:val="left" w:pos="360"/>
          <w:tab w:val="left" w:pos="720"/>
        </w:tabs>
        <w:spacing w:line="360" w:lineRule="auto"/>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 xml:space="preserve">       性    别：</w:t>
      </w:r>
      <w:r>
        <w:rPr>
          <w:rFonts w:hint="eastAsia" w:ascii="宋体" w:hAnsi="宋体"/>
          <w:sz w:val="24"/>
          <w:u w:val="single"/>
        </w:rPr>
        <w:t xml:space="preserve">                      </w:t>
      </w:r>
    </w:p>
    <w:p w14:paraId="01B021B3">
      <w:pPr>
        <w:tabs>
          <w:tab w:val="left" w:pos="360"/>
          <w:tab w:val="left" w:pos="720"/>
        </w:tabs>
        <w:spacing w:line="360" w:lineRule="auto"/>
        <w:ind w:firstLine="480" w:firstLineChars="200"/>
        <w:rPr>
          <w:rFonts w:hint="eastAsia" w:ascii="宋体" w:hAnsi="宋体"/>
          <w:sz w:val="24"/>
          <w:u w:val="single"/>
        </w:rPr>
      </w:pPr>
      <w:r>
        <w:rPr>
          <w:rFonts w:hint="eastAsia" w:ascii="宋体" w:hAnsi="宋体"/>
          <w:sz w:val="24"/>
        </w:rPr>
        <w:t>年  龄：</w:t>
      </w:r>
      <w:r>
        <w:rPr>
          <w:rFonts w:hint="eastAsia" w:ascii="宋体" w:hAnsi="宋体"/>
          <w:sz w:val="24"/>
          <w:u w:val="single"/>
        </w:rPr>
        <w:t xml:space="preserve">                    </w:t>
      </w:r>
      <w:r>
        <w:rPr>
          <w:rFonts w:hint="eastAsia" w:ascii="宋体" w:hAnsi="宋体"/>
          <w:sz w:val="24"/>
        </w:rPr>
        <w:t xml:space="preserve">       身份证号：</w:t>
      </w:r>
      <w:r>
        <w:rPr>
          <w:rFonts w:hint="eastAsia" w:ascii="宋体" w:hAnsi="宋体"/>
          <w:sz w:val="24"/>
          <w:u w:val="single"/>
        </w:rPr>
        <w:t xml:space="preserve">                       </w:t>
      </w:r>
    </w:p>
    <w:p w14:paraId="0A32E724">
      <w:pPr>
        <w:tabs>
          <w:tab w:val="left" w:pos="360"/>
          <w:tab w:val="left" w:pos="720"/>
        </w:tabs>
        <w:spacing w:line="360" w:lineRule="auto"/>
        <w:ind w:firstLine="480" w:firstLineChars="200"/>
        <w:rPr>
          <w:rFonts w:hint="eastAsia" w:ascii="宋体" w:hAnsi="宋体"/>
          <w:sz w:val="24"/>
          <w:u w:val="single"/>
        </w:rPr>
      </w:pPr>
      <w:r>
        <w:rPr>
          <w:rFonts w:hint="eastAsia" w:ascii="宋体" w:hAnsi="宋体"/>
          <w:sz w:val="24"/>
        </w:rPr>
        <w:t>单  位：</w:t>
      </w:r>
      <w:r>
        <w:rPr>
          <w:rFonts w:hint="eastAsia" w:ascii="宋体" w:hAnsi="宋体"/>
          <w:sz w:val="24"/>
          <w:u w:val="single"/>
        </w:rPr>
        <w:t xml:space="preserve">                    </w:t>
      </w:r>
      <w:r>
        <w:rPr>
          <w:rFonts w:hint="eastAsia" w:ascii="宋体" w:hAnsi="宋体"/>
          <w:sz w:val="24"/>
        </w:rPr>
        <w:t xml:space="preserve">       部    门：</w:t>
      </w:r>
      <w:r>
        <w:rPr>
          <w:rFonts w:hint="eastAsia" w:ascii="宋体" w:hAnsi="宋体"/>
          <w:sz w:val="24"/>
          <w:u w:val="single"/>
        </w:rPr>
        <w:t xml:space="preserve">                        </w:t>
      </w:r>
    </w:p>
    <w:p w14:paraId="6633D7AC">
      <w:pPr>
        <w:tabs>
          <w:tab w:val="left" w:pos="360"/>
          <w:tab w:val="left" w:pos="720"/>
        </w:tabs>
        <w:spacing w:line="360" w:lineRule="auto"/>
        <w:ind w:firstLine="480" w:firstLineChars="200"/>
        <w:rPr>
          <w:rFonts w:hint="eastAsia" w:ascii="宋体" w:hAnsi="宋体"/>
          <w:sz w:val="24"/>
          <w:u w:val="single"/>
        </w:rPr>
      </w:pPr>
      <w:r>
        <w:rPr>
          <w:rFonts w:hint="eastAsia" w:ascii="宋体" w:hAnsi="宋体"/>
          <w:sz w:val="24"/>
        </w:rPr>
        <w:t>职  务：</w:t>
      </w:r>
      <w:r>
        <w:rPr>
          <w:rFonts w:hint="eastAsia" w:ascii="宋体" w:hAnsi="宋体"/>
          <w:sz w:val="24"/>
          <w:u w:val="single"/>
        </w:rPr>
        <w:t xml:space="preserve">                    </w:t>
      </w:r>
    </w:p>
    <w:p w14:paraId="1632AEBA">
      <w:pPr>
        <w:tabs>
          <w:tab w:val="left" w:pos="360"/>
          <w:tab w:val="left" w:pos="720"/>
        </w:tabs>
        <w:spacing w:line="360" w:lineRule="auto"/>
        <w:ind w:firstLine="480" w:firstLineChars="200"/>
        <w:rPr>
          <w:rFonts w:hint="eastAsia" w:ascii="宋体" w:hAnsi="宋体"/>
          <w:sz w:val="24"/>
        </w:rPr>
      </w:pPr>
    </w:p>
    <w:p w14:paraId="28740FCC">
      <w:pPr>
        <w:tabs>
          <w:tab w:val="left" w:pos="360"/>
          <w:tab w:val="left" w:pos="720"/>
        </w:tabs>
        <w:spacing w:line="360" w:lineRule="auto"/>
        <w:ind w:firstLine="480" w:firstLineChars="200"/>
        <w:rPr>
          <w:rFonts w:hint="eastAsia" w:ascii="宋体" w:hAnsi="宋体"/>
          <w:sz w:val="24"/>
        </w:rPr>
      </w:pPr>
    </w:p>
    <w:p w14:paraId="264E8A93">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投标人：（公章）</w:t>
      </w:r>
    </w:p>
    <w:p w14:paraId="313EF873">
      <w:pPr>
        <w:tabs>
          <w:tab w:val="left" w:pos="360"/>
          <w:tab w:val="left" w:pos="720"/>
        </w:tabs>
        <w:spacing w:line="360" w:lineRule="auto"/>
        <w:ind w:firstLine="480" w:firstLineChars="200"/>
        <w:rPr>
          <w:rFonts w:hint="eastAsia" w:ascii="宋体" w:hAnsi="宋体"/>
          <w:sz w:val="24"/>
        </w:rPr>
      </w:pPr>
      <w:r>
        <w:rPr>
          <w:rFonts w:hint="eastAsia" w:ascii="宋体" w:hAnsi="宋体"/>
          <w:sz w:val="24"/>
        </w:rPr>
        <w:t>法定代表人：（签字或印鉴）</w:t>
      </w:r>
    </w:p>
    <w:p w14:paraId="2EDFE514">
      <w:pPr>
        <w:tabs>
          <w:tab w:val="left" w:pos="360"/>
          <w:tab w:val="left" w:pos="720"/>
        </w:tabs>
        <w:spacing w:line="360" w:lineRule="auto"/>
        <w:ind w:firstLine="480" w:firstLineChars="200"/>
        <w:rPr>
          <w:rFonts w:hint="eastAsia" w:ascii="宋体" w:hAnsi="宋体"/>
          <w:b/>
          <w:bCs/>
          <w:sz w:val="28"/>
        </w:rPr>
      </w:pPr>
      <w:r>
        <w:rPr>
          <w:rFonts w:hint="eastAsia" w:ascii="宋体" w:hAnsi="宋体"/>
          <w:sz w:val="24"/>
        </w:rPr>
        <w:t xml:space="preserve">                               日期 ：   年   月   日</w:t>
      </w:r>
    </w:p>
    <w:bookmarkEnd w:id="18"/>
    <w:bookmarkEnd w:id="19"/>
    <w:bookmarkEnd w:id="20"/>
    <w:bookmarkEnd w:id="21"/>
    <w:bookmarkEnd w:id="22"/>
    <w:bookmarkEnd w:id="23"/>
    <w:bookmarkEnd w:id="24"/>
    <w:bookmarkEnd w:id="25"/>
    <w:bookmarkEnd w:id="26"/>
    <w:bookmarkEnd w:id="27"/>
    <w:bookmarkEnd w:id="28"/>
    <w:p w14:paraId="622382A9">
      <w:pPr>
        <w:ind w:left="420"/>
        <w:jc w:val="left"/>
        <w:rPr>
          <w:rFonts w:hint="eastAsia" w:ascii="宋体" w:hAnsi="宋体"/>
          <w:b/>
          <w:bCs/>
          <w:sz w:val="28"/>
          <w:szCs w:val="28"/>
        </w:rPr>
      </w:pPr>
      <w:r>
        <w:rPr>
          <w:rFonts w:ascii="宋体" w:hAnsi="宋体"/>
          <w:b/>
          <w:color w:val="000000"/>
          <w:szCs w:val="21"/>
        </w:rPr>
        <w:br w:type="page"/>
      </w:r>
      <w:r>
        <w:rPr>
          <w:rFonts w:hint="eastAsia" w:ascii="宋体" w:hAnsi="宋体"/>
          <w:b/>
          <w:bCs/>
          <w:sz w:val="28"/>
          <w:szCs w:val="28"/>
        </w:rPr>
        <w:t>附件四：供应商资格证明文件</w:t>
      </w:r>
    </w:p>
    <w:p w14:paraId="2B1E3303">
      <w:pPr>
        <w:ind w:left="420"/>
        <w:jc w:val="left"/>
        <w:rPr>
          <w:rFonts w:hint="eastAsia" w:ascii="宋体" w:hAnsi="宋体"/>
          <w:b/>
          <w:color w:val="000000"/>
          <w:szCs w:val="21"/>
        </w:rPr>
      </w:pPr>
    </w:p>
    <w:p w14:paraId="56DCAD3F">
      <w:pPr>
        <w:pStyle w:val="5"/>
        <w:jc w:val="center"/>
      </w:pPr>
      <w:r>
        <w:rPr>
          <w:rFonts w:hint="eastAsia"/>
        </w:rPr>
        <w:t>营业执照副本、企业组织机构代码证及税务登记证等（复印件，加盖公章）</w:t>
      </w:r>
    </w:p>
    <w:p w14:paraId="525DBAB7"/>
    <w:p w14:paraId="5B981F1B"/>
    <w:p w14:paraId="7F343222"/>
    <w:p w14:paraId="4065DF8C"/>
    <w:p w14:paraId="7D009333"/>
    <w:p w14:paraId="1352E4EA"/>
    <w:p w14:paraId="0963F9F4"/>
    <w:p w14:paraId="0E1B5B92"/>
    <w:p w14:paraId="23E7D03F"/>
    <w:p w14:paraId="5320CB8A"/>
    <w:p w14:paraId="658DFBF2"/>
    <w:p w14:paraId="2C53E966"/>
    <w:p w14:paraId="17B46483"/>
    <w:p w14:paraId="3044DB2F"/>
    <w:p w14:paraId="398896BA"/>
    <w:p w14:paraId="2AD8F065"/>
    <w:p w14:paraId="79EE9989"/>
    <w:p w14:paraId="10FB9F0E"/>
    <w:p w14:paraId="337ECC28"/>
    <w:p w14:paraId="586CB06D"/>
    <w:p w14:paraId="5A9334F8"/>
    <w:p w14:paraId="6910BC35"/>
    <w:p w14:paraId="7AD25882"/>
    <w:p w14:paraId="0E91CDC9"/>
    <w:p w14:paraId="6C84BB28"/>
    <w:p w14:paraId="45AAFB5A"/>
    <w:p w14:paraId="62E823F1"/>
    <w:p w14:paraId="07C29D15"/>
    <w:p w14:paraId="0AA37EE8"/>
    <w:p w14:paraId="31585A76"/>
    <w:p w14:paraId="0DF3B6A0"/>
    <w:p w14:paraId="4A153654"/>
    <w:p w14:paraId="3D747B03"/>
    <w:p w14:paraId="7E593A42"/>
    <w:p w14:paraId="70FF0858"/>
    <w:p w14:paraId="626B3B7B">
      <w:pPr>
        <w:rPr>
          <w:rFonts w:hint="eastAsia" w:ascii="宋体" w:hAnsi="宋体"/>
        </w:rPr>
      </w:pPr>
      <w:bookmarkStart w:id="29" w:name="_Toc203463200"/>
      <w:bookmarkStart w:id="30" w:name="_Toc203552721"/>
      <w:bookmarkStart w:id="31" w:name="_Toc214345484"/>
      <w:bookmarkStart w:id="32" w:name="_Toc203462877"/>
      <w:bookmarkStart w:id="33" w:name="_Toc206921141"/>
      <w:bookmarkStart w:id="34" w:name="_Toc214345382"/>
      <w:bookmarkStart w:id="35" w:name="_Toc222192428"/>
    </w:p>
    <w:p w14:paraId="3C040FCB">
      <w:pPr>
        <w:pStyle w:val="6"/>
        <w:rPr>
          <w:rFonts w:hint="eastAsia"/>
          <w:sz w:val="32"/>
          <w:szCs w:val="32"/>
        </w:rPr>
      </w:pPr>
      <w:r>
        <w:rPr>
          <w:rFonts w:hint="eastAsia" w:ascii="宋体" w:hAnsi="宋体"/>
        </w:rPr>
        <w:t>附件五：</w:t>
      </w:r>
      <w:bookmarkEnd w:id="29"/>
      <w:bookmarkEnd w:id="30"/>
      <w:bookmarkEnd w:id="31"/>
      <w:bookmarkEnd w:id="32"/>
      <w:bookmarkEnd w:id="33"/>
      <w:bookmarkEnd w:id="34"/>
      <w:bookmarkEnd w:id="35"/>
      <w:r>
        <w:rPr>
          <w:rFonts w:hint="eastAsia"/>
        </w:rPr>
        <w:t>服务实施方案及报价</w:t>
      </w:r>
      <w:r>
        <w:rPr>
          <w:rFonts w:hint="eastAsia"/>
          <w:sz w:val="32"/>
          <w:szCs w:val="32"/>
        </w:rPr>
        <w:t>（</w:t>
      </w:r>
      <w:r>
        <w:rPr>
          <w:rFonts w:hint="eastAsia"/>
        </w:rPr>
        <w:t>加盖公章，</w:t>
      </w:r>
      <w:r>
        <w:rPr>
          <w:rFonts w:hint="eastAsia"/>
          <w:lang w:val="en-US" w:eastAsia="zh-CN"/>
        </w:rPr>
        <w:t>服务实施方案</w:t>
      </w:r>
      <w:r>
        <w:rPr>
          <w:rFonts w:hint="eastAsia"/>
        </w:rPr>
        <w:t>格式自拟</w:t>
      </w:r>
      <w:r>
        <w:rPr>
          <w:rFonts w:hint="eastAsia"/>
          <w:sz w:val="32"/>
          <w:szCs w:val="32"/>
        </w:rPr>
        <w:t>）</w:t>
      </w:r>
    </w:p>
    <w:p w14:paraId="20DDDA64">
      <w:pPr>
        <w:widowControl w:val="0"/>
        <w:autoSpaceDE w:val="0"/>
        <w:autoSpaceDN w:val="0"/>
        <w:adjustRightInd w:val="0"/>
        <w:snapToGrid w:val="0"/>
        <w:ind w:firstLine="0" w:firstLineChars="0"/>
        <w:jc w:val="center"/>
        <w:rPr>
          <w:rFonts w:hint="eastAsia" w:ascii="宋体" w:hAnsi="宋体"/>
          <w:b/>
          <w:bCs/>
          <w:sz w:val="32"/>
          <w:szCs w:val="32"/>
        </w:rPr>
      </w:pPr>
      <w:r>
        <w:rPr>
          <w:rFonts w:hint="eastAsia" w:ascii="宋体" w:hAnsi="宋体"/>
          <w:b/>
          <w:bCs/>
          <w:sz w:val="32"/>
          <w:szCs w:val="32"/>
        </w:rPr>
        <w:t>投标报价一览表</w:t>
      </w:r>
    </w:p>
    <w:p w14:paraId="5FAA8422">
      <w:pPr>
        <w:pStyle w:val="4"/>
        <w:spacing w:line="360" w:lineRule="auto"/>
      </w:pPr>
    </w:p>
    <w:p w14:paraId="3F00B6AF">
      <w:pPr>
        <w:widowControl w:val="0"/>
        <w:autoSpaceDE w:val="0"/>
        <w:autoSpaceDN w:val="0"/>
        <w:adjustRightInd w:val="0"/>
        <w:snapToGrid w:val="0"/>
        <w:spacing w:line="360" w:lineRule="auto"/>
        <w:ind w:firstLine="0" w:firstLineChars="0"/>
        <w:jc w:val="left"/>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782415E4">
      <w:pPr>
        <w:widowControl w:val="0"/>
        <w:autoSpaceDE w:val="0"/>
        <w:autoSpaceDN w:val="0"/>
        <w:adjustRightInd w:val="0"/>
        <w:snapToGrid w:val="0"/>
        <w:spacing w:line="360" w:lineRule="auto"/>
        <w:ind w:firstLine="0" w:firstLineChars="0"/>
        <w:jc w:val="left"/>
        <w:rPr>
          <w:rFonts w:ascii="宋体" w:hAnsi="宋体"/>
          <w:szCs w:val="21"/>
          <w:u w:val="single"/>
        </w:rPr>
      </w:pPr>
      <w:r>
        <w:rPr>
          <w:rFonts w:hint="eastAsia" w:ascii="宋体" w:hAnsi="宋体"/>
          <w:szCs w:val="21"/>
        </w:rPr>
        <w:t>项目编号：</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p>
    <w:tbl>
      <w:tblPr>
        <w:tblStyle w:val="10"/>
        <w:tblW w:w="7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2"/>
        <w:gridCol w:w="3207"/>
        <w:gridCol w:w="1759"/>
      </w:tblGrid>
      <w:tr w14:paraId="3612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592" w:type="dxa"/>
            <w:tcBorders>
              <w:right w:val="single" w:color="auto" w:sz="2" w:space="0"/>
            </w:tcBorders>
            <w:shd w:val="clear" w:color="auto" w:fill="DBE5F1"/>
            <w:vAlign w:val="center"/>
          </w:tcPr>
          <w:p w14:paraId="1BEDCF34">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项目名称</w:t>
            </w:r>
          </w:p>
        </w:tc>
        <w:tc>
          <w:tcPr>
            <w:tcW w:w="3207" w:type="dxa"/>
            <w:tcBorders>
              <w:left w:val="single" w:color="auto" w:sz="2" w:space="0"/>
            </w:tcBorders>
            <w:shd w:val="clear" w:color="auto" w:fill="DBE5F1"/>
            <w:vAlign w:val="center"/>
          </w:tcPr>
          <w:p w14:paraId="41454BB5">
            <w:pPr>
              <w:ind w:firstLine="0" w:firstLineChars="0"/>
              <w:jc w:val="center"/>
              <w:rPr>
                <w:rFonts w:ascii="宋体" w:hAnsi="宋体"/>
                <w:b/>
                <w:szCs w:val="21"/>
              </w:rPr>
            </w:pPr>
            <w:r>
              <w:rPr>
                <w:rFonts w:hint="eastAsia" w:ascii="SimSun,Bold" w:hAnsi="SimSun,Bold" w:eastAsia="SimSun,Bold"/>
                <w:b/>
                <w:lang w:val="en-US" w:eastAsia="zh-CN"/>
              </w:rPr>
              <w:t>投标</w:t>
            </w:r>
            <w:r>
              <w:rPr>
                <w:rFonts w:hint="eastAsia" w:ascii="SimSun,Bold" w:hAnsi="SimSun,Bold" w:eastAsia="SimSun,Bold"/>
                <w:b/>
              </w:rPr>
              <w:t>报价（元）</w:t>
            </w:r>
          </w:p>
        </w:tc>
        <w:tc>
          <w:tcPr>
            <w:tcW w:w="1759" w:type="dxa"/>
            <w:shd w:val="clear" w:color="auto" w:fill="DBE5F1"/>
            <w:vAlign w:val="center"/>
          </w:tcPr>
          <w:p w14:paraId="5D8C45F0">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备注</w:t>
            </w:r>
          </w:p>
        </w:tc>
      </w:tr>
      <w:tr w14:paraId="049B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jc w:val="center"/>
        </w:trPr>
        <w:tc>
          <w:tcPr>
            <w:tcW w:w="2592" w:type="dxa"/>
            <w:tcBorders>
              <w:right w:val="single" w:color="auto" w:sz="2" w:space="0"/>
            </w:tcBorders>
            <w:vAlign w:val="center"/>
          </w:tcPr>
          <w:p w14:paraId="09F1E044">
            <w:pPr>
              <w:widowControl w:val="0"/>
              <w:autoSpaceDE w:val="0"/>
              <w:autoSpaceDN w:val="0"/>
              <w:adjustRightInd w:val="0"/>
              <w:snapToGrid w:val="0"/>
              <w:ind w:firstLine="0" w:firstLineChars="0"/>
              <w:jc w:val="center"/>
              <w:rPr>
                <w:rFonts w:hint="eastAsia" w:ascii="宋体" w:hAnsi="宋体" w:cs="宋体" w:eastAsiaTheme="minorEastAsia"/>
                <w:kern w:val="0"/>
                <w:szCs w:val="21"/>
                <w:lang w:eastAsia="zh-CN"/>
              </w:rPr>
            </w:pPr>
            <w:r>
              <w:rPr>
                <w:rFonts w:hint="eastAsia" w:ascii="宋体" w:hAnsi="宋体" w:cs="宋体"/>
                <w:kern w:val="0"/>
                <w:sz w:val="20"/>
                <w:szCs w:val="20"/>
              </w:rPr>
              <w:t xml:space="preserve"> </w:t>
            </w:r>
          </w:p>
        </w:tc>
        <w:tc>
          <w:tcPr>
            <w:tcW w:w="3207" w:type="dxa"/>
            <w:tcBorders>
              <w:left w:val="single" w:color="auto" w:sz="2" w:space="0"/>
            </w:tcBorders>
            <w:vAlign w:val="center"/>
          </w:tcPr>
          <w:p w14:paraId="006A4B98">
            <w:pPr>
              <w:widowControl w:val="0"/>
              <w:autoSpaceDE w:val="0"/>
              <w:autoSpaceDN w:val="0"/>
              <w:adjustRightInd w:val="0"/>
              <w:snapToGrid w:val="0"/>
              <w:ind w:firstLine="0" w:firstLineChars="0"/>
              <w:jc w:val="center"/>
              <w:rPr>
                <w:rFonts w:hint="default" w:ascii="宋体" w:hAnsi="宋体" w:eastAsiaTheme="minorEastAsia"/>
                <w:szCs w:val="21"/>
                <w:lang w:val="en-US" w:eastAsia="zh-CN"/>
              </w:rPr>
            </w:pPr>
          </w:p>
        </w:tc>
        <w:tc>
          <w:tcPr>
            <w:tcW w:w="1759" w:type="dxa"/>
            <w:vAlign w:val="center"/>
          </w:tcPr>
          <w:p w14:paraId="4DB51868">
            <w:pPr>
              <w:ind w:firstLine="0" w:firstLineChars="0"/>
              <w:jc w:val="left"/>
              <w:rPr>
                <w:rFonts w:hint="default" w:ascii="宋体" w:hAnsi="宋体" w:eastAsiaTheme="minorEastAsia"/>
                <w:szCs w:val="21"/>
                <w:lang w:val="en-US" w:eastAsia="zh-CN"/>
              </w:rPr>
            </w:pPr>
            <w:r>
              <w:rPr>
                <w:rFonts w:hint="eastAsia" w:ascii="宋体" w:hAnsi="宋体"/>
              </w:rPr>
              <w:t xml:space="preserve"> </w:t>
            </w:r>
          </w:p>
        </w:tc>
      </w:tr>
    </w:tbl>
    <w:p w14:paraId="65E34D08">
      <w:pPr>
        <w:widowControl w:val="0"/>
        <w:autoSpaceDE w:val="0"/>
        <w:autoSpaceDN w:val="0"/>
        <w:adjustRightInd w:val="0"/>
        <w:snapToGrid w:val="0"/>
        <w:ind w:firstLine="0" w:firstLineChars="0"/>
        <w:jc w:val="left"/>
        <w:rPr>
          <w:rFonts w:ascii="宋体" w:hAnsi="宋体"/>
        </w:rPr>
      </w:pPr>
    </w:p>
    <w:p w14:paraId="3D7205DE">
      <w:pPr>
        <w:widowControl w:val="0"/>
        <w:autoSpaceDE w:val="0"/>
        <w:autoSpaceDN w:val="0"/>
        <w:adjustRightInd w:val="0"/>
        <w:snapToGrid w:val="0"/>
        <w:ind w:firstLine="0" w:firstLineChars="0"/>
        <w:jc w:val="left"/>
        <w:rPr>
          <w:rFonts w:hint="eastAsia" w:ascii="宋体" w:hAnsi="宋体"/>
          <w:szCs w:val="21"/>
        </w:rPr>
      </w:pPr>
    </w:p>
    <w:p w14:paraId="5F472D3A">
      <w:pPr>
        <w:widowControl w:val="0"/>
        <w:autoSpaceDE w:val="0"/>
        <w:autoSpaceDN w:val="0"/>
        <w:adjustRightInd w:val="0"/>
        <w:snapToGrid w:val="0"/>
        <w:spacing w:line="360" w:lineRule="auto"/>
        <w:ind w:firstLine="0" w:firstLineChars="0"/>
        <w:jc w:val="left"/>
        <w:rPr>
          <w:rFonts w:hint="eastAsia" w:ascii="宋体" w:hAnsi="宋体"/>
          <w:szCs w:val="21"/>
          <w:u w:val="single"/>
        </w:rPr>
      </w:pPr>
      <w:r>
        <w:rPr>
          <w:rFonts w:hint="eastAsia" w:ascii="宋体" w:hAnsi="宋体"/>
          <w:szCs w:val="21"/>
        </w:rPr>
        <w:t>投标人：</w:t>
      </w:r>
      <w:r>
        <w:rPr>
          <w:rFonts w:hint="eastAsia" w:ascii="宋体" w:hAnsi="宋体"/>
          <w:szCs w:val="21"/>
          <w:u w:val="single"/>
        </w:rPr>
        <w:t xml:space="preserve">                                        </w:t>
      </w:r>
    </w:p>
    <w:p w14:paraId="2F7D82DA">
      <w:pPr>
        <w:spacing w:line="360" w:lineRule="auto"/>
        <w:ind w:firstLine="0" w:firstLineChars="0"/>
        <w:rPr>
          <w:rFonts w:ascii="宋体" w:hAnsi="宋体"/>
        </w:rPr>
      </w:pPr>
      <w:r>
        <w:rPr>
          <w:rFonts w:hint="eastAsia" w:ascii="宋体" w:hAnsi="宋体"/>
        </w:rPr>
        <w:t>本项目投标报价的注意事项如下：</w:t>
      </w:r>
    </w:p>
    <w:p w14:paraId="0396E3B0">
      <w:pPr>
        <w:spacing w:line="360" w:lineRule="auto"/>
        <w:ind w:firstLine="420"/>
        <w:jc w:val="left"/>
        <w:rPr>
          <w:rFonts w:hint="eastAsia" w:ascii="宋体" w:hAnsi="宋体"/>
          <w:lang w:val="en-US" w:eastAsia="zh-CN"/>
        </w:rPr>
      </w:pPr>
      <w:r>
        <w:rPr>
          <w:rFonts w:hint="eastAsia" w:ascii="宋体" w:hAnsi="宋体"/>
          <w:lang w:val="en-US" w:eastAsia="zh-CN"/>
        </w:rPr>
        <w:t>1.所报价格包含</w:t>
      </w:r>
      <w:r>
        <w:rPr>
          <w:rFonts w:hint="eastAsia" w:ascii="宋体" w:hAnsi="宋体"/>
          <w:u w:val="single"/>
          <w:lang w:val="en-US" w:eastAsia="zh-CN"/>
        </w:rPr>
        <w:t xml:space="preserve">    </w:t>
      </w:r>
      <w:r>
        <w:rPr>
          <w:rFonts w:hint="eastAsia" w:ascii="宋体" w:hAnsi="宋体"/>
          <w:lang w:val="en-US" w:eastAsia="zh-CN"/>
        </w:rPr>
        <w:t>增值税。</w:t>
      </w:r>
    </w:p>
    <w:p w14:paraId="5B5C5D96">
      <w:pPr>
        <w:pStyle w:val="4"/>
        <w:rPr>
          <w:rFonts w:hint="default"/>
          <w:lang w:val="en-US" w:eastAsia="zh-CN"/>
        </w:rPr>
      </w:pPr>
    </w:p>
    <w:p w14:paraId="6047549A">
      <w:pPr>
        <w:pStyle w:val="4"/>
      </w:pPr>
    </w:p>
    <w:p w14:paraId="496D1314">
      <w:pPr>
        <w:rPr>
          <w:rFonts w:hint="eastAsia"/>
        </w:rPr>
      </w:pPr>
    </w:p>
    <w:p w14:paraId="7770DE1F">
      <w:pPr>
        <w:rPr>
          <w:rFonts w:hint="eastAsia" w:ascii="宋体" w:hAnsi="宋体"/>
          <w:b/>
          <w:bCs/>
          <w:sz w:val="28"/>
          <w:szCs w:val="28"/>
        </w:rPr>
      </w:pPr>
      <w:r>
        <w:rPr>
          <w:rFonts w:hint="eastAsia" w:ascii="宋体" w:hAnsi="宋体"/>
          <w:sz w:val="36"/>
          <w:szCs w:val="36"/>
        </w:rPr>
        <w:br w:type="page"/>
      </w:r>
      <w:bookmarkStart w:id="36" w:name="_Toc137870381"/>
    </w:p>
    <w:p w14:paraId="7900FB25">
      <w:pPr>
        <w:ind w:left="420"/>
        <w:jc w:val="left"/>
        <w:rPr>
          <w:rFonts w:hint="eastAsia" w:ascii="宋体" w:hAnsi="宋体"/>
          <w:b/>
          <w:bCs/>
          <w:sz w:val="28"/>
          <w:szCs w:val="28"/>
        </w:rPr>
      </w:pPr>
      <w:r>
        <w:rPr>
          <w:rFonts w:hint="eastAsia" w:ascii="宋体" w:hAnsi="宋体"/>
          <w:b/>
          <w:bCs/>
          <w:sz w:val="28"/>
          <w:szCs w:val="28"/>
        </w:rPr>
        <w:t>附件六：其他文件和资料</w:t>
      </w:r>
    </w:p>
    <w:p w14:paraId="328C5EB5">
      <w:pPr>
        <w:widowControl/>
        <w:ind w:right="1260" w:firstLine="422" w:firstLineChars="200"/>
        <w:jc w:val="center"/>
        <w:rPr>
          <w:rFonts w:hint="eastAsia" w:ascii="宋体" w:hAnsi="宋体"/>
          <w:b/>
          <w:color w:val="000000"/>
          <w:szCs w:val="21"/>
        </w:rPr>
      </w:pPr>
    </w:p>
    <w:p w14:paraId="2AC386BF">
      <w:pPr>
        <w:widowControl/>
        <w:ind w:right="1260" w:firstLine="420" w:firstLineChars="200"/>
        <w:jc w:val="left"/>
        <w:rPr>
          <w:rFonts w:hint="eastAsia" w:ascii="宋体" w:hAnsi="宋体"/>
          <w:color w:val="000000"/>
          <w:szCs w:val="21"/>
        </w:rPr>
      </w:pPr>
      <w:r>
        <w:rPr>
          <w:rFonts w:hint="eastAsia" w:ascii="宋体" w:hAnsi="宋体"/>
          <w:color w:val="000000"/>
          <w:szCs w:val="21"/>
        </w:rPr>
        <w:t>投标单位认为需提交其他文件资料，具体内容由投标人自主选择提交。</w:t>
      </w:r>
      <w:bookmarkEnd w:id="36"/>
    </w:p>
    <w:p w14:paraId="10670D5C"/>
    <w:p w14:paraId="1B38BC8D"/>
    <w:p w14:paraId="32F8D91A"/>
    <w:p w14:paraId="2B4BC311"/>
    <w:p w14:paraId="1F5659E4"/>
    <w:p w14:paraId="5E792F12"/>
    <w:p w14:paraId="54552D09"/>
    <w:p w14:paraId="4D7399B5"/>
    <w:p w14:paraId="7AA0833D"/>
    <w:p w14:paraId="7DABD2A1"/>
    <w:p w14:paraId="43842B51"/>
    <w:p w14:paraId="2393FCAE"/>
    <w:p w14:paraId="3CDD0961"/>
    <w:p w14:paraId="0D3BA47F"/>
    <w:p w14:paraId="779F151F"/>
    <w:p w14:paraId="76BE4300"/>
    <w:p w14:paraId="20097891"/>
    <w:p w14:paraId="0B438539"/>
    <w:p w14:paraId="44163AD1"/>
    <w:p w14:paraId="61D74FF6"/>
    <w:p w14:paraId="6A39CA5C"/>
    <w:p w14:paraId="5EFC884B"/>
    <w:p w14:paraId="34673B4F"/>
    <w:p w14:paraId="7408F4CB"/>
    <w:p w14:paraId="74FA97FB"/>
    <w:p w14:paraId="5F150F73"/>
    <w:p w14:paraId="050322FB"/>
    <w:p w14:paraId="68513D33"/>
    <w:p w14:paraId="1DBB16F3"/>
    <w:p w14:paraId="534C57D7"/>
    <w:p w14:paraId="6B4587F8"/>
    <w:p w14:paraId="7BB91920"/>
    <w:p w14:paraId="212BFDBC"/>
    <w:p w14:paraId="38BD44BB"/>
    <w:p w14:paraId="1EF33E92"/>
    <w:p w14:paraId="6DCA9551"/>
    <w:p w14:paraId="761640D3">
      <w:pPr>
        <w:ind w:left="420"/>
        <w:jc w:val="left"/>
        <w:rPr>
          <w:rFonts w:hint="eastAsia" w:ascii="宋体" w:hAnsi="宋体"/>
          <w:color w:val="000000"/>
          <w:szCs w:val="21"/>
        </w:rPr>
      </w:pPr>
    </w:p>
    <w:p w14:paraId="37DC4D18"/>
    <w:p w14:paraId="27816979">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SimSun,Bold">
    <w:altName w:val="宋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D107FD"/>
    <w:multiLevelType w:val="singleLevel"/>
    <w:tmpl w:val="2FD107FD"/>
    <w:lvl w:ilvl="0" w:tentative="0">
      <w:start w:val="1"/>
      <w:numFmt w:val="decimal"/>
      <w:suff w:val="nothing"/>
      <w:lvlText w:val="%1、"/>
      <w:lvlJc w:val="left"/>
    </w:lvl>
  </w:abstractNum>
  <w:abstractNum w:abstractNumId="1">
    <w:nsid w:val="4F22B24D"/>
    <w:multiLevelType w:val="singleLevel"/>
    <w:tmpl w:val="4F22B24D"/>
    <w:lvl w:ilvl="0" w:tentative="0">
      <w:start w:val="1"/>
      <w:numFmt w:val="chineseCounting"/>
      <w:suff w:val="nothing"/>
      <w:lvlText w:val="（%1）"/>
      <w:lvlJc w:val="left"/>
      <w:rPr>
        <w:rFonts w:hint="eastAsia"/>
      </w:rPr>
    </w:lvl>
  </w:abstractNum>
  <w:abstractNum w:abstractNumId="2">
    <w:nsid w:val="4FF1729B"/>
    <w:multiLevelType w:val="singleLevel"/>
    <w:tmpl w:val="4FF1729B"/>
    <w:lvl w:ilvl="0" w:tentative="0">
      <w:start w:val="1"/>
      <w:numFmt w:val="chineseCounting"/>
      <w:suff w:val="nothing"/>
      <w:lvlText w:val="%1、"/>
      <w:lvlJc w:val="left"/>
      <w:pPr>
        <w:ind w:left="105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D6687"/>
    <w:rsid w:val="036F4524"/>
    <w:rsid w:val="04DE1F38"/>
    <w:rsid w:val="084E07E6"/>
    <w:rsid w:val="0AFD6687"/>
    <w:rsid w:val="10737266"/>
    <w:rsid w:val="12016774"/>
    <w:rsid w:val="1D6A71D5"/>
    <w:rsid w:val="209C1863"/>
    <w:rsid w:val="2E044C76"/>
    <w:rsid w:val="31173D69"/>
    <w:rsid w:val="315C3D5A"/>
    <w:rsid w:val="39343BEA"/>
    <w:rsid w:val="3A903385"/>
    <w:rsid w:val="3BB60406"/>
    <w:rsid w:val="4C680FA1"/>
    <w:rsid w:val="50C07E03"/>
    <w:rsid w:val="5C0A275F"/>
    <w:rsid w:val="690C5542"/>
    <w:rsid w:val="766C0D5C"/>
    <w:rsid w:val="7F121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after="120"/>
    </w:pPr>
  </w:style>
  <w:style w:type="paragraph" w:styleId="3">
    <w:name w:val="Title"/>
    <w:basedOn w:val="1"/>
    <w:next w:val="1"/>
    <w:qFormat/>
    <w:uiPriority w:val="10"/>
    <w:pPr>
      <w:widowControl/>
      <w:spacing w:before="240" w:after="60" w:line="560" w:lineRule="exact"/>
      <w:jc w:val="center"/>
      <w:outlineLvl w:val="0"/>
    </w:pPr>
    <w:rPr>
      <w:rFonts w:ascii="Cambria" w:hAnsi="Cambria" w:eastAsia="宋体" w:cs="Times New Roman"/>
      <w:b/>
      <w:bCs/>
      <w:sz w:val="32"/>
      <w:szCs w:val="32"/>
    </w:rPr>
  </w:style>
  <w:style w:type="paragraph" w:styleId="7">
    <w:name w:val="Normal Indent"/>
    <w:basedOn w:val="1"/>
    <w:qFormat/>
    <w:uiPriority w:val="0"/>
    <w:pPr>
      <w:ind w:firstLine="420" w:firstLineChars="200"/>
    </w:pPr>
  </w:style>
  <w:style w:type="paragraph" w:styleId="8">
    <w:name w:val="Plain Text"/>
    <w:basedOn w:val="1"/>
    <w:next w:val="1"/>
    <w:qFormat/>
    <w:uiPriority w:val="0"/>
    <w:rPr>
      <w:rFonts w:ascii="宋体" w:hAnsi="Courier New"/>
    </w:rPr>
  </w:style>
  <w:style w:type="paragraph" w:styleId="9">
    <w:name w:val="Body Text First Indent"/>
    <w:basedOn w:val="2"/>
    <w:unhideWhenUsed/>
    <w:qFormat/>
    <w:uiPriority w:val="99"/>
    <w:pPr>
      <w:tabs>
        <w:tab w:val="left" w:pos="180"/>
      </w:tabs>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unhideWhenUsed/>
    <w:qFormat/>
    <w:uiPriority w:val="34"/>
    <w:pPr>
      <w:ind w:firstLine="420" w:firstLineChars="200"/>
    </w:pPr>
  </w:style>
  <w:style w:type="paragraph" w:styleId="1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5">
    <w:name w:val="Default"/>
    <w:unhideWhenUsed/>
    <w:qFormat/>
    <w:uiPriority w:val="99"/>
    <w:pPr>
      <w:widowControl w:val="0"/>
      <w:autoSpaceDE w:val="0"/>
      <w:autoSpaceDN w:val="0"/>
      <w:adjustRightInd w:val="0"/>
    </w:pPr>
    <w:rPr>
      <w:rFonts w:hint="eastAsia" w:ascii="方正小标宋简体" w:hAnsi="方正小标宋简体" w:eastAsia="方正小标宋简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6254</Words>
  <Characters>6668</Characters>
  <Lines>0</Lines>
  <Paragraphs>0</Paragraphs>
  <TotalTime>21</TotalTime>
  <ScaleCrop>false</ScaleCrop>
  <LinksUpToDate>false</LinksUpToDate>
  <CharactersWithSpaces>7980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2026-06-11T07:20:00Z</dcterms:created>
  <dc:creator>Administrator</dc:creator>
  <cp:lastModifiedBy>梵梵</cp:lastModifiedBy>
  <dcterms:modified xsi:type="dcterms:W3CDTF">2026-06-26T09:57:48Z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447AA6B894ED4212BD34261C4BC94945</vt:lpwstr>
  </property>
  <property fmtid="{D5CDD505-2E9C-101B-9397-08002B2CF9AE}" pid="4" name="KSOTemplateDocerSaveRecord">
    <vt:lpwstr>eyJoZGlkIjoiY2EzOWU3N2UwMjExOTZmYTdhM2EwZGI0OTAyZWMwNzAiLCJ1c2VySWQiOiIyMjY4NjM4NjgifQ==</vt:lpwstr>
  </property>
</Properties>
</file>