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6389">
      <w:pPr>
        <w:pStyle w:val="6"/>
        <w:spacing w:before="120" w:after="120"/>
        <w:rPr>
          <w:rStyle w:val="7"/>
          <w:b w:val="0"/>
          <w:bCs w:val="0"/>
        </w:rPr>
      </w:pPr>
      <w:bookmarkStart w:id="0" w:name="_Toc214635395"/>
      <w:r>
        <w:rPr>
          <w:rStyle w:val="7"/>
          <w:rFonts w:hint="eastAsia"/>
          <w:b w:val="0"/>
          <w:bCs w:val="0"/>
        </w:rPr>
        <w:t>第六章  服务需求书</w:t>
      </w:r>
      <w:bookmarkEnd w:id="0"/>
    </w:p>
    <w:p w14:paraId="0E2A81AC">
      <w:pPr>
        <w:spacing w:after="60" w:line="360" w:lineRule="auto"/>
        <w:ind w:right="-63" w:rightChars="-30" w:firstLine="426"/>
        <w:rPr>
          <w:rFonts w:hint="eastAsia" w:ascii="宋体" w:hAnsi="宋体"/>
          <w:b/>
          <w:color w:val="FF0000"/>
        </w:rPr>
      </w:pPr>
      <w:r>
        <w:rPr>
          <w:rFonts w:hint="eastAsia" w:ascii="宋体" w:hAnsi="宋体"/>
          <w:b/>
          <w:color w:val="FF0000"/>
        </w:rPr>
        <w:t>1. 带“★”项为不可负偏离项，有一项负偏离即导致投标无效。是否响应第六章服务需求书，以《服务条款偏离表》“投标文件响应”栏填写为准。</w:t>
      </w:r>
    </w:p>
    <w:p w14:paraId="0FBD638D">
      <w:pPr>
        <w:spacing w:after="60" w:line="360" w:lineRule="auto"/>
        <w:ind w:right="-63" w:rightChars="-30" w:firstLine="426"/>
        <w:rPr>
          <w:rFonts w:hint="eastAsia" w:ascii="宋体" w:hAnsi="宋体"/>
          <w:b/>
          <w:color w:val="FF0000"/>
        </w:rPr>
      </w:pPr>
      <w:r>
        <w:rPr>
          <w:rFonts w:hint="eastAsia" w:ascii="宋体" w:hAnsi="宋体"/>
          <w:b/>
          <w:color w:val="FF0000"/>
        </w:rPr>
        <w:t>2.如投标人中标后被发现不能满足本章带★号条款要求的，采购单位有权拒绝签订合同，一切后果由投标人承担。</w:t>
      </w:r>
    </w:p>
    <w:p w14:paraId="6FA0D74F">
      <w:pPr>
        <w:pStyle w:val="2"/>
      </w:pPr>
    </w:p>
    <w:p w14:paraId="0870EFA8">
      <w:pPr>
        <w:spacing w:after="60" w:line="360" w:lineRule="auto"/>
        <w:jc w:val="left"/>
        <w:rPr>
          <w:rFonts w:hint="eastAsia" w:asciiTheme="minorEastAsia" w:hAnsiTheme="minorEastAsia" w:eastAsiaTheme="minorEastAsia"/>
          <w:szCs w:val="21"/>
        </w:rPr>
      </w:pPr>
      <w:r>
        <w:rPr>
          <w:rFonts w:hint="eastAsia" w:asciiTheme="minorEastAsia" w:hAnsiTheme="minorEastAsia" w:eastAsiaTheme="minorEastAsia"/>
          <w:b/>
          <w:szCs w:val="21"/>
        </w:rPr>
        <w:t>（一）</w:t>
      </w:r>
      <w:r>
        <w:rPr>
          <w:rFonts w:hint="eastAsia" w:asciiTheme="minorEastAsia" w:hAnsiTheme="minorEastAsia" w:eastAsiaTheme="minorEastAsia"/>
          <w:b/>
          <w:bCs/>
          <w:szCs w:val="21"/>
        </w:rPr>
        <w:t>采购项目概况</w:t>
      </w:r>
      <w:r>
        <w:rPr>
          <w:rFonts w:hint="eastAsia" w:asciiTheme="minorEastAsia" w:hAnsiTheme="minorEastAsia" w:eastAsiaTheme="minorEastAsia"/>
          <w:szCs w:val="21"/>
        </w:rPr>
        <w:t>：</w:t>
      </w:r>
    </w:p>
    <w:p w14:paraId="6FA6C08B">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w:t>
      </w:r>
      <w:bookmarkStart w:id="1" w:name="_GoBack"/>
      <w:r>
        <w:rPr>
          <w:rFonts w:hint="eastAsia" w:asciiTheme="minorEastAsia" w:hAnsiTheme="minorEastAsia" w:eastAsiaTheme="minorEastAsia"/>
          <w:szCs w:val="21"/>
        </w:rPr>
        <w:t>海防打私大队船舶维修项目</w:t>
      </w:r>
      <w:bookmarkEnd w:id="1"/>
    </w:p>
    <w:p w14:paraId="6B357D65">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项目预算金额或预算金额之下的最高限额；500,000.00元</w:t>
      </w:r>
    </w:p>
    <w:p w14:paraId="7E1870EB">
      <w:pPr>
        <w:spacing w:after="60" w:line="360" w:lineRule="auto"/>
        <w:jc w:val="left"/>
        <w:rPr>
          <w:rFonts w:hint="eastAsia" w:ascii="宋体" w:hAnsi="宋体"/>
          <w:szCs w:val="21"/>
        </w:rPr>
      </w:pPr>
      <w:r>
        <w:rPr>
          <w:rFonts w:hint="eastAsia" w:ascii="宋体" w:hAnsi="宋体"/>
          <w:b/>
          <w:bCs/>
          <w:szCs w:val="21"/>
        </w:rPr>
        <w:t>（二）项目管理和服务要求</w:t>
      </w:r>
      <w:r>
        <w:rPr>
          <w:rFonts w:hint="eastAsia" w:ascii="宋体" w:hAnsi="宋体"/>
          <w:szCs w:val="21"/>
        </w:rPr>
        <w:t>：</w:t>
      </w:r>
    </w:p>
    <w:p w14:paraId="5B0C7758">
      <w:pPr>
        <w:numPr>
          <w:ilvl w:val="0"/>
          <w:numId w:val="2"/>
        </w:numPr>
        <w:spacing w:after="25" w:afterLines="0" w:line="360" w:lineRule="auto"/>
        <w:ind w:firstLine="422" w:firstLineChars="200"/>
        <w:jc w:val="left"/>
        <w:rPr>
          <w:rFonts w:hint="eastAsia" w:ascii="宋体" w:hAnsi="宋体" w:cs="仿宋_GB2312"/>
          <w:b/>
          <w:bCs/>
          <w:szCs w:val="21"/>
        </w:rPr>
      </w:pPr>
      <w:r>
        <w:rPr>
          <w:rFonts w:ascii="宋体" w:hAnsi="宋体" w:cs="宋体"/>
          <w:b/>
          <w:bCs/>
          <w:spacing w:val="5"/>
          <w:sz w:val="20"/>
          <w:szCs w:val="20"/>
        </w:rPr>
        <w:t>★</w:t>
      </w:r>
      <w:r>
        <w:rPr>
          <w:rFonts w:hint="eastAsia" w:ascii="宋体" w:hAnsi="宋体" w:cs="仿宋_GB2312"/>
          <w:b/>
          <w:bCs/>
          <w:szCs w:val="21"/>
        </w:rPr>
        <w:t>服务期限：</w:t>
      </w:r>
      <w:r>
        <w:rPr>
          <w:rFonts w:ascii="宋体" w:hAnsi="宋体" w:cs="仿宋_GB2312"/>
          <w:szCs w:val="21"/>
        </w:rPr>
        <w:t>自合同签订之日起1年。本项目合同期满后，采购人可根据实际情况及乙方履约情况确定合同期限是否延长或续签，但最长不超过3年，第一年为本次招标的中标服务期限，合同一年一签，合同最多续签2次。采购人可根据实际情况终止合同，并不再续签</w:t>
      </w:r>
      <w:r>
        <w:rPr>
          <w:rFonts w:hint="eastAsia" w:ascii="宋体" w:hAnsi="宋体" w:cs="仿宋_GB2312"/>
          <w:szCs w:val="21"/>
        </w:rPr>
        <w:t>。</w:t>
      </w:r>
    </w:p>
    <w:p w14:paraId="084B4F27">
      <w:pPr>
        <w:numPr>
          <w:ilvl w:val="0"/>
          <w:numId w:val="2"/>
        </w:numPr>
        <w:spacing w:after="25" w:afterLines="0" w:line="360" w:lineRule="auto"/>
        <w:ind w:firstLine="422" w:firstLineChars="200"/>
        <w:jc w:val="left"/>
        <w:rPr>
          <w:rFonts w:ascii="宋体" w:hAnsi="宋体" w:cs="仿宋_GB2312"/>
          <w:b/>
          <w:bCs/>
          <w:szCs w:val="21"/>
        </w:rPr>
      </w:pPr>
      <w:r>
        <w:rPr>
          <w:rFonts w:hint="eastAsia" w:ascii="宋体" w:hAnsi="宋体" w:cs="仿宋_GB2312"/>
          <w:b/>
          <w:bCs/>
          <w:szCs w:val="21"/>
        </w:rPr>
        <w:t>服务内容、技术标准、工作质量要求</w:t>
      </w:r>
    </w:p>
    <w:p w14:paraId="7B9FFD7B">
      <w:pPr>
        <w:pStyle w:val="2"/>
        <w:ind w:firstLine="424" w:firstLineChars="202"/>
        <w:rPr>
          <w:rFonts w:hint="eastAsia"/>
        </w:rPr>
      </w:pPr>
      <w:r>
        <w:rPr>
          <w:rFonts w:hint="eastAsia"/>
        </w:rPr>
        <w:t>1、维修保养工具可以包括但不限于交通车、叉车、清洗设备、检测电脑、维修配件等日常维修工具。</w:t>
      </w:r>
    </w:p>
    <w:p w14:paraId="43CC47C7">
      <w:pPr>
        <w:pStyle w:val="2"/>
        <w:ind w:firstLine="424" w:firstLineChars="202"/>
        <w:rPr>
          <w:rFonts w:hint="eastAsia"/>
        </w:rPr>
      </w:pPr>
      <w:r>
        <w:rPr>
          <w:rFonts w:hint="eastAsia"/>
        </w:rPr>
        <w:t>2、中标人在维修过程中须有详细的维修保养项目影像及书面跟踪记录方案（不限于网络软件、照片、纸质文档等）。</w:t>
      </w:r>
    </w:p>
    <w:p w14:paraId="0EEA6CF2">
      <w:pPr>
        <w:pStyle w:val="2"/>
        <w:ind w:firstLine="424" w:firstLineChars="202"/>
        <w:rPr>
          <w:rFonts w:hint="eastAsia"/>
        </w:rPr>
      </w:pPr>
      <w:r>
        <w:rPr>
          <w:rFonts w:hint="eastAsia"/>
        </w:rPr>
        <w:t>3、更换发动机等重要部位配件须经采购人书面同意。</w:t>
      </w:r>
    </w:p>
    <w:p w14:paraId="5262369C">
      <w:pPr>
        <w:pStyle w:val="2"/>
        <w:ind w:firstLine="424" w:firstLineChars="202"/>
        <w:rPr>
          <w:rFonts w:hint="eastAsia"/>
        </w:rPr>
      </w:pPr>
      <w:r>
        <w:rPr>
          <w:rFonts w:hint="eastAsia"/>
        </w:rPr>
        <w:t>4、保证维修配件质量。所采用的零部件、配件等材料必须符合国家或部颁发标准，不得使用假冒伪劣产品或以次充好，以旧顶新。所采用的零部件、配件等材料必须是新件。</w:t>
      </w:r>
    </w:p>
    <w:p w14:paraId="1CD5EF71">
      <w:pPr>
        <w:pStyle w:val="2"/>
        <w:ind w:firstLine="424" w:firstLineChars="202"/>
        <w:rPr>
          <w:rFonts w:hint="eastAsia"/>
        </w:rPr>
      </w:pPr>
      <w:r>
        <w:rPr>
          <w:rFonts w:hint="eastAsia"/>
        </w:rPr>
        <w:t>5、投标人须遵守国家法律、法规和行业规范、遵守职业道德、诚信经营、价格优惠，坚决杜绝弄虚作假、假冒伪劣、虚假扩大维修，虚报费用等不正当竞争行为。</w:t>
      </w:r>
    </w:p>
    <w:p w14:paraId="564F83B0">
      <w:pPr>
        <w:pStyle w:val="2"/>
        <w:ind w:firstLine="424" w:firstLineChars="202"/>
        <w:rPr>
          <w:rFonts w:hint="eastAsia"/>
        </w:rPr>
      </w:pPr>
      <w:r>
        <w:rPr>
          <w:rFonts w:hint="eastAsia"/>
        </w:rPr>
        <w:t>6、服务响应时间要求：</w:t>
      </w:r>
    </w:p>
    <w:p w14:paraId="437BD546">
      <w:pPr>
        <w:pStyle w:val="2"/>
        <w:ind w:firstLine="424" w:firstLineChars="202"/>
        <w:rPr>
          <w:rFonts w:hint="eastAsia"/>
        </w:rPr>
      </w:pPr>
      <w:r>
        <w:rPr>
          <w:rFonts w:hint="eastAsia"/>
        </w:rPr>
        <w:t>维修保养项 目保修期：固定件6个月，活动件3个月（对于发动机、发电机等设备则提供6个月或者设备厂家规定的保质时间以最长时间为准的免费保修期），保修时间自最终验收合格并交付使用之日起计算。</w:t>
      </w:r>
    </w:p>
    <w:p w14:paraId="00B1AC36">
      <w:pPr>
        <w:pStyle w:val="2"/>
        <w:ind w:firstLine="424" w:firstLineChars="202"/>
        <w:rPr>
          <w:rFonts w:hint="eastAsia"/>
        </w:rPr>
      </w:pPr>
      <w:r>
        <w:rPr>
          <w:rFonts w:hint="eastAsia"/>
        </w:rPr>
        <w:t>免费保修期内，由中标人免费提供服务，无偿并迅速更换由于元件缺陷及制造工艺等问题而发生故障的产品。保修使用配件必须是原厂或符合国家标准的配件，否则采购方有权按《消费者权益保护法》保护自己的权益。</w:t>
      </w:r>
    </w:p>
    <w:p w14:paraId="26DDB2B6">
      <w:pPr>
        <w:pStyle w:val="2"/>
        <w:ind w:firstLine="424" w:firstLineChars="202"/>
        <w:rPr>
          <w:rFonts w:hint="eastAsia"/>
        </w:rPr>
      </w:pPr>
      <w:r>
        <w:rPr>
          <w:rFonts w:hint="eastAsia"/>
        </w:rPr>
        <w:t>船艇出现故障问题，中标方在接到甲方通知后后24小时内赶到现场提供维修服务,并在48小时内完成修复工作。</w:t>
      </w:r>
    </w:p>
    <w:p w14:paraId="6DFBE6B9">
      <w:pPr>
        <w:numPr>
          <w:ilvl w:val="0"/>
          <w:numId w:val="2"/>
        </w:numPr>
        <w:spacing w:after="25" w:afterLines="0" w:line="360" w:lineRule="auto"/>
        <w:ind w:firstLine="422" w:firstLineChars="200"/>
        <w:jc w:val="left"/>
        <w:rPr>
          <w:rFonts w:hint="eastAsia" w:ascii="宋体" w:hAnsi="宋体" w:cs="仿宋_GB2312"/>
          <w:bCs/>
          <w:szCs w:val="21"/>
        </w:rPr>
      </w:pPr>
      <w:r>
        <w:rPr>
          <w:rFonts w:hint="eastAsia" w:ascii="宋体" w:hAnsi="宋体" w:cs="仿宋_GB2312"/>
          <w:b/>
          <w:szCs w:val="21"/>
        </w:rPr>
        <w:t>验收方式:</w:t>
      </w:r>
    </w:p>
    <w:p w14:paraId="457F4347">
      <w:pPr>
        <w:pStyle w:val="8"/>
        <w:widowControl/>
        <w:numPr>
          <w:ilvl w:val="0"/>
          <w:numId w:val="3"/>
        </w:numPr>
        <w:kinsoku w:val="0"/>
        <w:autoSpaceDE w:val="0"/>
        <w:autoSpaceDN w:val="0"/>
        <w:adjustRightInd w:val="0"/>
        <w:snapToGrid w:val="0"/>
        <w:spacing w:before="163" w:after="60" w:line="360" w:lineRule="auto"/>
        <w:ind w:left="0" w:firstLine="424" w:firstLineChars="202"/>
        <w:jc w:val="left"/>
        <w:textAlignment w:val="baseline"/>
        <w:rPr>
          <w:rFonts w:hint="eastAsia" w:cs="Arial"/>
          <w:bCs/>
        </w:rPr>
      </w:pPr>
      <w:r>
        <w:rPr>
          <w:rFonts w:cs="Arial"/>
          <w:bCs/>
        </w:rPr>
        <w:t>项目质量要达到船检标准合格以上。</w:t>
      </w:r>
    </w:p>
    <w:p w14:paraId="7394139C">
      <w:pPr>
        <w:pStyle w:val="8"/>
        <w:widowControl/>
        <w:numPr>
          <w:ilvl w:val="0"/>
          <w:numId w:val="3"/>
        </w:numPr>
        <w:kinsoku w:val="0"/>
        <w:autoSpaceDE w:val="0"/>
        <w:autoSpaceDN w:val="0"/>
        <w:adjustRightInd w:val="0"/>
        <w:snapToGrid w:val="0"/>
        <w:spacing w:before="161" w:after="60" w:line="360" w:lineRule="auto"/>
        <w:ind w:left="0" w:right="1" w:firstLine="424" w:firstLineChars="202"/>
        <w:jc w:val="left"/>
        <w:textAlignment w:val="baseline"/>
        <w:rPr>
          <w:rFonts w:cs="Arial"/>
          <w:bCs/>
        </w:rPr>
      </w:pPr>
      <w:r>
        <w:rPr>
          <w:rFonts w:cs="Arial"/>
          <w:bCs/>
        </w:rPr>
        <w:t>采购人有权委托独立或权威机构对项目质量进行检测，达不到要求可视为不合格；</w:t>
      </w:r>
    </w:p>
    <w:p w14:paraId="604B77B4">
      <w:pPr>
        <w:pStyle w:val="8"/>
        <w:widowControl/>
        <w:numPr>
          <w:ilvl w:val="0"/>
          <w:numId w:val="3"/>
        </w:numPr>
        <w:kinsoku w:val="0"/>
        <w:autoSpaceDE w:val="0"/>
        <w:autoSpaceDN w:val="0"/>
        <w:adjustRightInd w:val="0"/>
        <w:snapToGrid w:val="0"/>
        <w:spacing w:before="161" w:after="60" w:line="360" w:lineRule="auto"/>
        <w:ind w:left="0" w:right="1" w:firstLine="424" w:firstLineChars="202"/>
        <w:jc w:val="left"/>
        <w:textAlignment w:val="baseline"/>
        <w:rPr>
          <w:rFonts w:hint="eastAsia" w:cs="Arial"/>
          <w:bCs/>
        </w:rPr>
      </w:pPr>
      <w:r>
        <w:rPr>
          <w:rFonts w:cs="Arial"/>
          <w:bCs/>
        </w:rPr>
        <w:t>中标人应负责在项目验收时将维修项目的全部有关产品说明书、原厂家安装手册、技术文件、资料及安装验收报告等交付设备使用单位。</w:t>
      </w:r>
    </w:p>
    <w:p w14:paraId="5CE7EA66">
      <w:pPr>
        <w:numPr>
          <w:ilvl w:val="0"/>
          <w:numId w:val="2"/>
        </w:numPr>
        <w:spacing w:after="25" w:afterLines="0" w:line="360" w:lineRule="auto"/>
        <w:ind w:firstLine="422" w:firstLineChars="200"/>
        <w:jc w:val="left"/>
        <w:rPr>
          <w:rFonts w:hint="eastAsia" w:ascii="宋体" w:hAnsi="宋体" w:cs="仿宋_GB2312"/>
          <w:b/>
          <w:szCs w:val="21"/>
        </w:rPr>
      </w:pPr>
      <w:r>
        <w:rPr>
          <w:rFonts w:hint="eastAsia" w:ascii="宋体" w:hAnsi="宋体" w:cs="仿宋_GB2312"/>
          <w:b/>
          <w:szCs w:val="21"/>
        </w:rPr>
        <w:t>报价要求:</w:t>
      </w:r>
    </w:p>
    <w:p w14:paraId="7A137DE8">
      <w:pPr>
        <w:pStyle w:val="8"/>
        <w:widowControl/>
        <w:numPr>
          <w:ilvl w:val="0"/>
          <w:numId w:val="4"/>
        </w:numPr>
        <w:kinsoku w:val="0"/>
        <w:autoSpaceDE w:val="0"/>
        <w:autoSpaceDN w:val="0"/>
        <w:adjustRightInd w:val="0"/>
        <w:snapToGrid w:val="0"/>
        <w:spacing w:before="162" w:line="360" w:lineRule="auto"/>
        <w:ind w:left="0" w:firstLine="424" w:firstLineChars="202"/>
        <w:jc w:val="left"/>
        <w:textAlignment w:val="baseline"/>
        <w:rPr>
          <w:rFonts w:hint="eastAsia" w:cs="Arial"/>
          <w:bCs/>
        </w:rPr>
      </w:pPr>
      <w:r>
        <w:rPr>
          <w:rFonts w:cs="Arial"/>
          <w:bCs/>
        </w:rPr>
        <w:t>本项目投标报价分为两个部分</w:t>
      </w:r>
      <w:r>
        <w:rPr>
          <w:rFonts w:hint="eastAsia" w:cs="Arial"/>
          <w:bCs/>
        </w:rPr>
        <w:t>;</w:t>
      </w:r>
    </w:p>
    <w:p w14:paraId="2C8B4115">
      <w:pPr>
        <w:pStyle w:val="8"/>
        <w:widowControl/>
        <w:numPr>
          <w:ilvl w:val="0"/>
          <w:numId w:val="4"/>
        </w:numPr>
        <w:kinsoku w:val="0"/>
        <w:autoSpaceDE w:val="0"/>
        <w:autoSpaceDN w:val="0"/>
        <w:adjustRightInd w:val="0"/>
        <w:snapToGrid w:val="0"/>
        <w:spacing w:before="163" w:line="360" w:lineRule="auto"/>
        <w:ind w:left="0" w:right="51" w:firstLine="424" w:firstLineChars="202"/>
        <w:jc w:val="left"/>
        <w:textAlignment w:val="baseline"/>
        <w:rPr>
          <w:rFonts w:cs="Arial"/>
          <w:bCs/>
        </w:rPr>
      </w:pPr>
      <w:r>
        <w:rPr>
          <w:rFonts w:cs="Arial"/>
          <w:bCs/>
        </w:rPr>
        <w:t>维修费报价：即工时费，最高200元/人/小时，超过最高限价的将作投标无效处理</w:t>
      </w:r>
      <w:r>
        <w:rPr>
          <w:rFonts w:hint="eastAsia" w:cs="Arial"/>
          <w:bCs/>
        </w:rPr>
        <w:t>;</w:t>
      </w:r>
    </w:p>
    <w:p w14:paraId="55FDF8BB">
      <w:pPr>
        <w:pStyle w:val="8"/>
        <w:widowControl/>
        <w:numPr>
          <w:ilvl w:val="0"/>
          <w:numId w:val="4"/>
        </w:numPr>
        <w:kinsoku w:val="0"/>
        <w:autoSpaceDE w:val="0"/>
        <w:autoSpaceDN w:val="0"/>
        <w:adjustRightInd w:val="0"/>
        <w:snapToGrid w:val="0"/>
        <w:spacing w:before="163" w:line="360" w:lineRule="auto"/>
        <w:ind w:left="0" w:right="51" w:firstLine="424" w:firstLineChars="202"/>
        <w:jc w:val="left"/>
        <w:textAlignment w:val="baseline"/>
        <w:rPr>
          <w:rFonts w:cs="Arial"/>
          <w:bCs/>
        </w:rPr>
      </w:pPr>
      <w:r>
        <w:rPr>
          <w:rFonts w:cs="Arial"/>
          <w:bCs/>
        </w:rPr>
        <w:t>零配件报价：按照三家以上船艇零配件售卖店（如深圳市内有原厂售卖店的，以原厂售卖店优先） 的平均价作为基准价进行折扣率报价，折扣率=货物实收价（即结算价）/基准价，折扣率必须小于 1，保留小数点后两位，超过两位小数点的，四舍五入。折扣率在服务期限内保持不变（举例说明：若某种零件在专卖店的价格为100元，折扣率为8折，实际采购价为100*0.8=80元，则折扣率应填0.80）</w:t>
      </w:r>
      <w:r>
        <w:rPr>
          <w:rFonts w:ascii="Arial" w:hAnsi="Arial" w:eastAsia="宋体" w:cs="Arial"/>
          <w:bCs/>
          <w:szCs w:val="24"/>
        </w:rPr>
        <w:t>。</w:t>
      </w:r>
    </w:p>
    <w:p w14:paraId="656E0745">
      <w:pPr>
        <w:numPr>
          <w:ilvl w:val="0"/>
          <w:numId w:val="2"/>
        </w:numPr>
        <w:spacing w:after="25" w:afterLines="0" w:line="360" w:lineRule="auto"/>
        <w:ind w:firstLine="422" w:firstLineChars="200"/>
        <w:jc w:val="left"/>
        <w:rPr>
          <w:rFonts w:hint="eastAsia" w:cs="Arial"/>
          <w:bCs/>
        </w:rPr>
      </w:pPr>
      <w:r>
        <w:rPr>
          <w:rFonts w:hint="eastAsia" w:ascii="宋体" w:hAnsi="宋体" w:cs="仿宋_GB2312"/>
          <w:b/>
          <w:szCs w:val="21"/>
        </w:rPr>
        <w:t>付款方式:</w:t>
      </w:r>
      <w:r>
        <w:rPr>
          <w:rFonts w:ascii="宋体" w:hAnsi="宋体" w:cs="宋体"/>
          <w:spacing w:val="9"/>
          <w:sz w:val="20"/>
          <w:szCs w:val="20"/>
        </w:rPr>
        <w:t xml:space="preserve"> </w:t>
      </w:r>
      <w:r>
        <w:rPr>
          <w:rFonts w:cs="Arial"/>
          <w:bCs/>
        </w:rPr>
        <w:t>项目完成验收后，经双方结算审核，采购方在收到中请后15个工作日内，支付相关服务费用。以上时间不包括财政部门审批支付时间。</w:t>
      </w:r>
    </w:p>
    <w:p w14:paraId="133637BC">
      <w:pPr>
        <w:pStyle w:val="2"/>
      </w:pPr>
    </w:p>
    <w:p w14:paraId="2204F440">
      <w:pPr>
        <w:pStyle w:val="2"/>
      </w:pPr>
    </w:p>
    <w:p w14:paraId="331B03A2">
      <w:pPr>
        <w:pStyle w:val="2"/>
      </w:pPr>
    </w:p>
    <w:p w14:paraId="2E672329">
      <w:pPr>
        <w:pStyle w:val="2"/>
      </w:pPr>
    </w:p>
    <w:p w14:paraId="45BCB668">
      <w:pPr>
        <w:pStyle w:val="2"/>
      </w:pPr>
    </w:p>
    <w:p w14:paraId="5F3BE4F1">
      <w:pPr>
        <w:pStyle w:val="2"/>
      </w:pPr>
    </w:p>
    <w:p w14:paraId="5D3986D9">
      <w:pPr>
        <w:pStyle w:val="2"/>
      </w:pPr>
    </w:p>
    <w:p w14:paraId="5C65C05E">
      <w:pPr>
        <w:pStyle w:val="2"/>
      </w:pPr>
    </w:p>
    <w:p w14:paraId="2A8E46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A2C91"/>
    <w:multiLevelType w:val="singleLevel"/>
    <w:tmpl w:val="3DFA2C91"/>
    <w:lvl w:ilvl="0" w:tentative="0">
      <w:start w:val="1"/>
      <w:numFmt w:val="decimal"/>
      <w:lvlText w:val="%1."/>
      <w:lvlJc w:val="left"/>
      <w:pPr>
        <w:tabs>
          <w:tab w:val="left" w:pos="312"/>
        </w:tabs>
      </w:pPr>
    </w:lvl>
  </w:abstractNum>
  <w:abstractNum w:abstractNumId="1">
    <w:nsid w:val="44140151"/>
    <w:multiLevelType w:val="multilevel"/>
    <w:tmpl w:val="4414015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3B7AE2"/>
    <w:multiLevelType w:val="multilevel"/>
    <w:tmpl w:val="523B7AE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41285ED"/>
    <w:multiLevelType w:val="singleLevel"/>
    <w:tmpl w:val="541285ED"/>
    <w:lvl w:ilvl="0" w:tentative="0">
      <w:start w:val="1"/>
      <w:numFmt w:val="decimal"/>
      <w:lvlText w:val="%1."/>
      <w:lvlJc w:val="left"/>
      <w:pPr>
        <w:tabs>
          <w:tab w:val="left" w:pos="312"/>
        </w:tabs>
      </w:pPr>
      <w:rPr>
        <w:b/>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7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customStyle="1" w:styleId="6">
    <w:name w:val="1册标题1"/>
    <w:basedOn w:val="1"/>
    <w:next w:val="1"/>
    <w:qFormat/>
    <w:uiPriority w:val="0"/>
    <w:pPr>
      <w:spacing w:beforeLines="50" w:afterLines="50"/>
      <w:jc w:val="center"/>
      <w:outlineLvl w:val="0"/>
    </w:pPr>
    <w:rPr>
      <w:rFonts w:eastAsia="黑体"/>
      <w:b/>
      <w:bCs/>
      <w:sz w:val="48"/>
      <w:szCs w:val="20"/>
    </w:rPr>
  </w:style>
  <w:style w:type="character" w:customStyle="1" w:styleId="7">
    <w:name w:val="标题 1 字符"/>
    <w:basedOn w:val="5"/>
    <w:link w:val="3"/>
    <w:qFormat/>
    <w:uiPriority w:val="9"/>
    <w:rPr>
      <w:b/>
      <w:bCs/>
      <w:kern w:val="44"/>
      <w:sz w:val="44"/>
      <w:szCs w:val="44"/>
    </w:rPr>
  </w:style>
  <w:style w:type="paragraph" w:styleId="8">
    <w:name w:val="List Paragraph"/>
    <w:basedOn w:val="1"/>
    <w:qFormat/>
    <w:uiPriority w:val="0"/>
    <w:pPr>
      <w:spacing w:afterLines="0"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2025-12-08T02:32:28Z</dcterms:created>
  <dc:creator>37535</dc:creator>
  <cp:lastModifiedBy>阿忠</cp:lastModifiedBy>
  <dcterms:modified xsi:type="dcterms:W3CDTF">2025-12-08T02:32:54Z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eyJoZGlkIjoiMDkwMzBhMzRiMjU1YTMyMzk5NmM2NDIxMTZhYWUzZDkiLCJ1c2VySWQiOiI0NTA3NTgzNzUifQ==</vt:lpwstr>
  </property>
  <property fmtid="{D5CDD505-2E9C-101B-9397-08002B2CF9AE}" pid="4" name="ICV">
    <vt:lpwstr>A77534CF47F14B81A2A14E967164EBD2_13</vt:lpwstr>
  </property>
</Properties>
</file>