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DB1D7">
      <w:pPr>
        <w:spacing w:line="360" w:lineRule="auto"/>
        <w:jc w:val="center"/>
        <w:rPr>
          <w:rFonts w:hint="eastAsia" w:ascii="宋体" w:hAnsi="宋体" w:cs="宋体"/>
          <w:b/>
          <w:bCs/>
          <w:kern w:val="2"/>
          <w:sz w:val="32"/>
          <w:szCs w:val="32"/>
          <w:lang w:val="en-US" w:eastAsia="zh-CN" w:bidi="ar-SA"/>
        </w:rPr>
      </w:pPr>
    </w:p>
    <w:p w14:paraId="248ADE3E">
      <w:pPr>
        <w:spacing w:line="360" w:lineRule="auto"/>
        <w:jc w:val="center"/>
        <w:rPr>
          <w:rFonts w:hint="eastAsia" w:ascii="宋体" w:hAnsi="宋体" w:cs="宋体"/>
          <w:b/>
          <w:bCs/>
          <w:kern w:val="2"/>
          <w:sz w:val="32"/>
          <w:szCs w:val="32"/>
          <w:lang w:val="en-US" w:eastAsia="zh-CN" w:bidi="ar-SA"/>
        </w:rPr>
      </w:pPr>
    </w:p>
    <w:p w14:paraId="68DC6172">
      <w:pPr>
        <w:spacing w:line="360" w:lineRule="auto"/>
        <w:jc w:val="center"/>
        <w:rPr>
          <w:rFonts w:hint="eastAsia" w:ascii="宋体" w:hAnsi="宋体" w:cs="宋体"/>
          <w:b/>
          <w:bCs/>
          <w:kern w:val="2"/>
          <w:sz w:val="32"/>
          <w:szCs w:val="32"/>
          <w:lang w:val="en-US" w:eastAsia="zh-CN" w:bidi="ar-SA"/>
        </w:rPr>
      </w:pPr>
    </w:p>
    <w:p w14:paraId="527F62C3">
      <w:pPr>
        <w:spacing w:line="360" w:lineRule="auto"/>
        <w:jc w:val="center"/>
        <w:rPr>
          <w:rFonts w:hint="eastAsia" w:ascii="宋体" w:hAnsi="宋体" w:cs="宋体"/>
          <w:b/>
          <w:bCs/>
          <w:kern w:val="2"/>
          <w:sz w:val="32"/>
          <w:szCs w:val="32"/>
          <w:lang w:val="en-US" w:eastAsia="zh-CN" w:bidi="ar-SA"/>
        </w:rPr>
      </w:pPr>
    </w:p>
    <w:p w14:paraId="6330BA4E">
      <w:pPr>
        <w:spacing w:line="360" w:lineRule="auto"/>
        <w:jc w:val="center"/>
        <w:rPr>
          <w:rFonts w:hint="eastAsia" w:ascii="宋体" w:hAnsi="宋体" w:cs="宋体"/>
          <w:b/>
          <w:bCs/>
          <w:kern w:val="2"/>
          <w:sz w:val="32"/>
          <w:szCs w:val="32"/>
          <w:lang w:val="en-US" w:eastAsia="zh-CN" w:bidi="ar-SA"/>
        </w:rPr>
      </w:pPr>
    </w:p>
    <w:p w14:paraId="7EDDEE9A">
      <w:pPr>
        <w:spacing w:line="360" w:lineRule="auto"/>
        <w:jc w:val="center"/>
        <w:rPr>
          <w:rFonts w:hint="eastAsia" w:ascii="宋体" w:hAnsi="宋体" w:cs="宋体"/>
          <w:b/>
          <w:bCs/>
          <w:kern w:val="2"/>
          <w:sz w:val="32"/>
          <w:szCs w:val="32"/>
          <w:lang w:val="en-US" w:eastAsia="zh-CN" w:bidi="ar-SA"/>
        </w:rPr>
      </w:pPr>
    </w:p>
    <w:p w14:paraId="19683B6F">
      <w:pPr>
        <w:spacing w:line="360" w:lineRule="auto"/>
        <w:jc w:val="center"/>
        <w:rPr>
          <w:rFonts w:hint="eastAsia" w:ascii="黑体" w:hAnsi="黑体" w:eastAsia="黑体" w:cs="黑体"/>
          <w:b/>
          <w:bCs/>
          <w:sz w:val="32"/>
          <w:szCs w:val="32"/>
        </w:rPr>
      </w:pPr>
      <w:r>
        <w:rPr>
          <w:rFonts w:hint="eastAsia" w:ascii="黑体" w:hAnsi="黑体" w:eastAsia="黑体" w:cs="仿宋_GB2312"/>
          <w:b/>
          <w:bCs/>
          <w:color w:val="000000"/>
          <w:sz w:val="72"/>
          <w:szCs w:val="72"/>
        </w:rPr>
        <w:t>保安服务合同</w:t>
      </w:r>
    </w:p>
    <w:p w14:paraId="40B0518E">
      <w:pPr>
        <w:spacing w:line="360" w:lineRule="auto"/>
        <w:rPr>
          <w:rFonts w:hint="eastAsia" w:ascii="黑体" w:hAnsi="黑体" w:eastAsia="黑体" w:cs="黑体"/>
          <w:b/>
          <w:bCs/>
          <w:sz w:val="32"/>
          <w:szCs w:val="32"/>
        </w:rPr>
      </w:pPr>
    </w:p>
    <w:p w14:paraId="1EE31883">
      <w:pPr>
        <w:spacing w:line="480" w:lineRule="auto"/>
        <w:ind w:left="1974" w:leftChars="268" w:right="-334" w:rightChars="-159" w:hanging="1411" w:hangingChars="502"/>
        <w:jc w:val="left"/>
        <w:rPr>
          <w:rFonts w:hint="eastAsia" w:ascii="黑体" w:hAnsi="黑体" w:eastAsia="黑体" w:cs="黑体"/>
          <w:b/>
          <w:bCs/>
          <w:sz w:val="28"/>
          <w:szCs w:val="28"/>
        </w:rPr>
      </w:pPr>
    </w:p>
    <w:p w14:paraId="3E652BB3">
      <w:pPr>
        <w:spacing w:line="480" w:lineRule="auto"/>
        <w:ind w:right="-334" w:rightChars="-159"/>
        <w:jc w:val="left"/>
        <w:rPr>
          <w:rFonts w:hint="eastAsia" w:ascii="黑体" w:hAnsi="黑体" w:eastAsia="黑体" w:cs="黑体"/>
          <w:b/>
          <w:bCs/>
          <w:sz w:val="28"/>
          <w:szCs w:val="28"/>
        </w:rPr>
      </w:pPr>
    </w:p>
    <w:p w14:paraId="40F47051">
      <w:pPr>
        <w:spacing w:line="480" w:lineRule="auto"/>
        <w:ind w:right="-334" w:rightChars="-159"/>
        <w:jc w:val="left"/>
        <w:rPr>
          <w:rFonts w:hint="eastAsia" w:ascii="黑体" w:hAnsi="黑体" w:eastAsia="黑体" w:cs="黑体"/>
          <w:b/>
          <w:bCs/>
          <w:sz w:val="28"/>
          <w:szCs w:val="28"/>
        </w:rPr>
      </w:pPr>
    </w:p>
    <w:p w14:paraId="3B8D7787">
      <w:pPr>
        <w:spacing w:line="480" w:lineRule="auto"/>
        <w:ind w:right="-334" w:rightChars="-159"/>
        <w:jc w:val="left"/>
        <w:rPr>
          <w:rFonts w:hint="eastAsia" w:ascii="黑体" w:hAnsi="黑体" w:eastAsia="黑体" w:cs="黑体"/>
          <w:b/>
          <w:bCs/>
          <w:sz w:val="28"/>
          <w:szCs w:val="28"/>
        </w:rPr>
      </w:pPr>
    </w:p>
    <w:p w14:paraId="27FA1DCB">
      <w:pPr>
        <w:spacing w:line="480" w:lineRule="auto"/>
        <w:ind w:right="-334" w:rightChars="-159"/>
        <w:jc w:val="left"/>
        <w:rPr>
          <w:rFonts w:hint="eastAsia" w:ascii="宋体" w:hAnsi="宋体" w:eastAsia="宋体" w:cs="宋体"/>
          <w:b/>
          <w:bCs/>
          <w:sz w:val="28"/>
          <w:szCs w:val="28"/>
        </w:rPr>
      </w:pPr>
    </w:p>
    <w:p w14:paraId="229EAD11">
      <w:pPr>
        <w:bidi w:val="0"/>
        <w:spacing w:line="360" w:lineRule="auto"/>
        <w:jc w:val="center"/>
        <w:outlineLvl w:val="0"/>
        <w:rPr>
          <w:rFonts w:hint="eastAsia" w:ascii="宋体" w:hAnsi="宋体" w:eastAsia="宋体" w:cs="宋体"/>
          <w:b/>
          <w:bCs/>
          <w:kern w:val="2"/>
          <w:sz w:val="32"/>
          <w:szCs w:val="32"/>
          <w:lang w:val="en-US" w:eastAsia="zh-CN" w:bidi="ar-SA"/>
        </w:rPr>
      </w:pPr>
    </w:p>
    <w:p w14:paraId="58328647">
      <w:pPr>
        <w:bidi w:val="0"/>
        <w:spacing w:line="360" w:lineRule="auto"/>
        <w:jc w:val="center"/>
        <w:outlineLvl w:val="0"/>
        <w:rPr>
          <w:rFonts w:hint="eastAsia" w:ascii="宋体" w:hAnsi="宋体" w:eastAsia="宋体" w:cs="宋体"/>
          <w:b/>
          <w:bCs/>
          <w:kern w:val="2"/>
          <w:sz w:val="32"/>
          <w:szCs w:val="32"/>
          <w:lang w:val="en-US" w:eastAsia="zh-CN" w:bidi="ar-SA"/>
        </w:rPr>
      </w:pPr>
    </w:p>
    <w:p w14:paraId="4B943753">
      <w:pPr>
        <w:bidi w:val="0"/>
        <w:spacing w:line="360" w:lineRule="auto"/>
        <w:jc w:val="center"/>
        <w:outlineLvl w:val="0"/>
        <w:rPr>
          <w:rFonts w:hint="eastAsia" w:ascii="宋体" w:hAnsi="宋体" w:eastAsia="宋体" w:cs="宋体"/>
          <w:b/>
          <w:bCs/>
          <w:kern w:val="2"/>
          <w:sz w:val="32"/>
          <w:szCs w:val="32"/>
          <w:lang w:val="en-US" w:eastAsia="zh-CN" w:bidi="ar-SA"/>
        </w:rPr>
      </w:pPr>
    </w:p>
    <w:p w14:paraId="17EBB7B3">
      <w:pPr>
        <w:bidi w:val="0"/>
        <w:spacing w:line="360" w:lineRule="auto"/>
        <w:jc w:val="center"/>
        <w:outlineLvl w:val="0"/>
        <w:rPr>
          <w:rFonts w:hint="eastAsia" w:ascii="宋体" w:hAnsi="宋体" w:eastAsia="宋体" w:cs="宋体"/>
          <w:b/>
          <w:bCs/>
          <w:kern w:val="2"/>
          <w:sz w:val="32"/>
          <w:szCs w:val="32"/>
          <w:lang w:val="en-US" w:eastAsia="zh-CN" w:bidi="ar-SA"/>
        </w:rPr>
      </w:pPr>
    </w:p>
    <w:p w14:paraId="39E6ABC3">
      <w:pPr>
        <w:bidi w:val="0"/>
        <w:spacing w:line="360" w:lineRule="auto"/>
        <w:jc w:val="center"/>
        <w:outlineLvl w:val="0"/>
        <w:rPr>
          <w:rFonts w:hint="eastAsia" w:ascii="宋体" w:hAnsi="宋体" w:eastAsia="宋体" w:cs="宋体"/>
          <w:b/>
          <w:bCs/>
          <w:kern w:val="2"/>
          <w:sz w:val="32"/>
          <w:szCs w:val="32"/>
          <w:lang w:val="en-US" w:eastAsia="zh-CN" w:bidi="ar-SA"/>
        </w:rPr>
      </w:pPr>
    </w:p>
    <w:p w14:paraId="4B2C895D">
      <w:pPr>
        <w:spacing w:line="360" w:lineRule="auto"/>
        <w:jc w:val="left"/>
        <w:rPr>
          <w:rFonts w:hint="eastAsia" w:ascii="仿宋" w:hAnsi="仿宋" w:eastAsia="仿宋"/>
          <w:sz w:val="32"/>
          <w:szCs w:val="32"/>
          <w:lang w:val="en-US" w:eastAsia="zh-CN"/>
        </w:rPr>
      </w:pPr>
      <w:r>
        <w:rPr>
          <w:rFonts w:hint="eastAsia" w:ascii="仿宋" w:hAnsi="仿宋" w:eastAsia="仿宋"/>
          <w:sz w:val="32"/>
          <w:szCs w:val="32"/>
        </w:rPr>
        <w:t>甲方：深业物业运营集团股份有限公司</w:t>
      </w:r>
    </w:p>
    <w:p w14:paraId="3F306063">
      <w:pPr>
        <w:bidi w:val="0"/>
        <w:spacing w:line="360" w:lineRule="auto"/>
        <w:jc w:val="left"/>
        <w:outlineLvl w:val="0"/>
        <w:rPr>
          <w:rFonts w:hint="eastAsia" w:ascii="仿宋" w:hAnsi="仿宋" w:eastAsia="仿宋"/>
          <w:sz w:val="32"/>
          <w:szCs w:val="32"/>
          <w:lang w:eastAsia="zh-CN"/>
        </w:rPr>
      </w:pPr>
      <w:r>
        <w:rPr>
          <w:rFonts w:hint="eastAsia" w:ascii="仿宋" w:hAnsi="仿宋" w:eastAsia="仿宋"/>
          <w:sz w:val="32"/>
          <w:szCs w:val="32"/>
        </w:rPr>
        <w:t>乙方：</w:t>
      </w:r>
      <w:r>
        <w:rPr>
          <w:rFonts w:hint="eastAsia" w:ascii="仿宋" w:hAnsi="仿宋" w:eastAsia="仿宋"/>
          <w:sz w:val="32"/>
          <w:szCs w:val="32"/>
          <w:lang w:eastAsia="zh-CN"/>
        </w:rPr>
        <w:t>深圳市福田区保安服务有限公司</w:t>
      </w:r>
      <w:bookmarkStart w:id="120" w:name="_GoBack"/>
      <w:bookmarkEnd w:id="120"/>
    </w:p>
    <w:p w14:paraId="59F28C91">
      <w:pPr>
        <w:spacing w:line="360" w:lineRule="auto"/>
        <w:jc w:val="center"/>
        <w:rPr>
          <w:rFonts w:hint="eastAsia" w:ascii="宋体" w:hAnsi="宋体" w:cs="宋体"/>
          <w:b/>
          <w:bCs/>
          <w:kern w:val="2"/>
          <w:sz w:val="32"/>
          <w:szCs w:val="32"/>
          <w:lang w:val="en-US" w:eastAsia="zh-CN" w:bidi="ar-SA"/>
        </w:rPr>
      </w:pPr>
    </w:p>
    <w:p w14:paraId="4B983985">
      <w:pPr>
        <w:spacing w:line="360" w:lineRule="auto"/>
        <w:jc w:val="both"/>
        <w:rPr>
          <w:rFonts w:hint="eastAsia" w:ascii="宋体" w:hAnsi="宋体" w:cs="宋体"/>
          <w:b/>
          <w:bCs/>
          <w:kern w:val="2"/>
          <w:sz w:val="32"/>
          <w:szCs w:val="32"/>
          <w:lang w:val="en-US" w:eastAsia="zh-CN" w:bidi="ar-SA"/>
        </w:rPr>
      </w:pPr>
    </w:p>
    <w:p w14:paraId="115DD147">
      <w:pPr>
        <w:spacing w:line="360" w:lineRule="auto"/>
        <w:jc w:val="center"/>
        <w:rPr>
          <w:rFonts w:hint="default" w:ascii="仿宋" w:hAnsi="仿宋" w:eastAsia="仿宋" w:cs="仿宋"/>
          <w:b/>
          <w:bCs/>
          <w:i w:val="0"/>
          <w:iCs w:val="0"/>
          <w:spacing w:val="0"/>
          <w:w w:val="100"/>
          <w:sz w:val="24"/>
          <w:szCs w:val="24"/>
          <w:lang w:val="en-US" w:eastAsia="zh-CN"/>
        </w:rPr>
      </w:pPr>
      <w:r>
        <w:rPr>
          <w:rFonts w:hint="eastAsia" w:ascii="宋体" w:hAnsi="宋体" w:cs="宋体"/>
          <w:b/>
          <w:bCs/>
          <w:kern w:val="2"/>
          <w:sz w:val="32"/>
          <w:szCs w:val="32"/>
          <w:lang w:val="en-US" w:eastAsia="zh-CN" w:bidi="ar-SA"/>
        </w:rPr>
        <w:t>深业世纪山谷一期安管外包服务合同</w:t>
      </w:r>
    </w:p>
    <w:p w14:paraId="227B2D9F">
      <w:pPr>
        <w:spacing w:line="360" w:lineRule="auto"/>
        <w:outlineLvl w:val="9"/>
        <w:rPr>
          <w:rFonts w:hint="eastAsia" w:ascii="宋体" w:hAnsi="宋体" w:eastAsia="宋体" w:cs="宋体"/>
          <w:b/>
          <w:sz w:val="24"/>
          <w:szCs w:val="24"/>
        </w:rPr>
      </w:pPr>
    </w:p>
    <w:p w14:paraId="1197C783">
      <w:pPr>
        <w:spacing w:line="360" w:lineRule="auto"/>
        <w:outlineLvl w:val="9"/>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rPr>
        <w:t>甲方：</w:t>
      </w:r>
      <w:r>
        <w:rPr>
          <w:rFonts w:hint="eastAsia" w:ascii="宋体" w:hAnsi="宋体" w:eastAsia="宋体" w:cs="宋体"/>
          <w:b/>
          <w:bCs/>
          <w:sz w:val="24"/>
          <w:szCs w:val="24"/>
          <w:u w:val="none"/>
          <w:lang w:val="en-US" w:eastAsia="zh-CN"/>
        </w:rPr>
        <w:t>深业物业运营集团股份有限公司</w:t>
      </w:r>
    </w:p>
    <w:p w14:paraId="6530C6EF">
      <w:pPr>
        <w:spacing w:line="360" w:lineRule="auto"/>
        <w:outlineLvl w:val="9"/>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负责人</w:t>
      </w:r>
      <w:r>
        <w:rPr>
          <w:rFonts w:hint="eastAsia" w:ascii="宋体" w:hAnsi="宋体" w:eastAsia="宋体" w:cs="宋体"/>
          <w:color w:val="000000"/>
          <w:sz w:val="24"/>
          <w:szCs w:val="24"/>
        </w:rPr>
        <w:t>：</w:t>
      </w:r>
      <w:r>
        <w:rPr>
          <w:rFonts w:hint="eastAsia" w:ascii="宋体" w:hAnsi="宋体" w:cs="宋体"/>
          <w:color w:val="000000"/>
          <w:sz w:val="24"/>
          <w:szCs w:val="24"/>
          <w:lang w:eastAsia="zh-CN"/>
        </w:rPr>
        <w:t>肖武春</w:t>
      </w:r>
    </w:p>
    <w:p w14:paraId="083CBD34">
      <w:pPr>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地址： 深圳市罗湖区笋岗街道田心社区梨园路与梅园路交汇处东北侧深业泰富广场A座1701</w:t>
      </w:r>
    </w:p>
    <w:p w14:paraId="55A4FCA4">
      <w:pPr>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联系人： </w:t>
      </w:r>
      <w:r>
        <w:rPr>
          <w:rFonts w:hint="eastAsia" w:ascii="宋体" w:hAnsi="宋体" w:cs="宋体"/>
          <w:color w:val="000000"/>
          <w:sz w:val="24"/>
          <w:szCs w:val="24"/>
          <w:lang w:eastAsia="zh-CN"/>
        </w:rPr>
        <w:t>李虎</w:t>
      </w:r>
      <w:r>
        <w:rPr>
          <w:rFonts w:hint="eastAsia" w:ascii="宋体" w:hAnsi="宋体" w:eastAsia="宋体" w:cs="宋体"/>
          <w:color w:val="000000"/>
          <w:sz w:val="24"/>
          <w:szCs w:val="24"/>
        </w:rPr>
        <w:t xml:space="preserve">            </w:t>
      </w:r>
    </w:p>
    <w:p w14:paraId="57140D47">
      <w:pPr>
        <w:spacing w:line="360" w:lineRule="auto"/>
        <w:outlineLvl w:val="9"/>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联系电话：</w:t>
      </w:r>
      <w:r>
        <w:rPr>
          <w:rFonts w:hint="eastAsia" w:ascii="宋体" w:hAnsi="宋体" w:cs="宋体"/>
          <w:color w:val="000000"/>
          <w:sz w:val="24"/>
          <w:szCs w:val="24"/>
          <w:lang w:val="en-US" w:eastAsia="zh-CN"/>
        </w:rPr>
        <w:t>18162611992</w:t>
      </w:r>
    </w:p>
    <w:p w14:paraId="3EB10A69">
      <w:pPr>
        <w:spacing w:line="360" w:lineRule="auto"/>
        <w:outlineLvl w:val="9"/>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乙方：</w:t>
      </w:r>
      <w:r>
        <w:rPr>
          <w:rFonts w:hint="eastAsia" w:ascii="宋体" w:hAnsi="宋体" w:eastAsia="宋体" w:cs="宋体"/>
          <w:b/>
          <w:bCs/>
          <w:sz w:val="24"/>
          <w:szCs w:val="24"/>
          <w:u w:val="none"/>
          <w:lang w:val="en-US" w:eastAsia="zh-CN"/>
        </w:rPr>
        <w:t>深圳市福田区保安服务有限公司</w:t>
      </w:r>
    </w:p>
    <w:p w14:paraId="6D1BB5A0">
      <w:pPr>
        <w:spacing w:line="360" w:lineRule="auto"/>
        <w:outlineLvl w:val="9"/>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法定代表</w:t>
      </w:r>
      <w:r>
        <w:rPr>
          <w:rFonts w:hint="eastAsia" w:ascii="宋体" w:hAnsi="宋体" w:cs="宋体"/>
          <w:color w:val="000000"/>
          <w:sz w:val="24"/>
          <w:szCs w:val="24"/>
          <w:lang w:val="en-US" w:eastAsia="zh-CN"/>
        </w:rPr>
        <w:t>人：刘汉新</w:t>
      </w:r>
    </w:p>
    <w:p w14:paraId="1DCF3C90">
      <w:pPr>
        <w:spacing w:line="360" w:lineRule="auto"/>
        <w:outlineLvl w:val="9"/>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地址：</w:t>
      </w:r>
      <w:r>
        <w:rPr>
          <w:rFonts w:hint="eastAsia" w:ascii="宋体" w:hAnsi="宋体" w:cs="宋体"/>
          <w:color w:val="000000"/>
          <w:sz w:val="24"/>
          <w:szCs w:val="24"/>
          <w:lang w:val="en-US" w:eastAsia="zh-CN"/>
        </w:rPr>
        <w:t>深圳市福田区莲心路2号</w:t>
      </w:r>
    </w:p>
    <w:p w14:paraId="624E6988">
      <w:pPr>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联系人：</w:t>
      </w:r>
      <w:r>
        <w:rPr>
          <w:rFonts w:hint="eastAsia" w:ascii="宋体" w:hAnsi="宋体" w:cs="宋体"/>
          <w:color w:val="000000"/>
          <w:sz w:val="24"/>
          <w:szCs w:val="24"/>
          <w:lang w:val="en-US" w:eastAsia="zh-CN"/>
        </w:rPr>
        <w:t>王清林</w:t>
      </w:r>
      <w:r>
        <w:rPr>
          <w:rFonts w:hint="eastAsia" w:ascii="宋体" w:hAnsi="宋体" w:eastAsia="宋体" w:cs="宋体"/>
          <w:color w:val="000000"/>
          <w:sz w:val="24"/>
          <w:szCs w:val="24"/>
        </w:rPr>
        <w:t xml:space="preserve">             </w:t>
      </w:r>
    </w:p>
    <w:p w14:paraId="5B94389E">
      <w:pPr>
        <w:spacing w:line="360" w:lineRule="auto"/>
        <w:outlineLvl w:val="9"/>
        <w:rPr>
          <w:rFonts w:hint="default" w:ascii="宋体" w:hAnsi="宋体" w:eastAsia="宋体" w:cs="宋体"/>
          <w:b/>
          <w:bCs/>
          <w:color w:val="000000"/>
          <w:sz w:val="24"/>
          <w:szCs w:val="24"/>
          <w:lang w:val="en-US" w:eastAsia="zh-CN"/>
        </w:rPr>
      </w:pPr>
      <w:r>
        <w:rPr>
          <w:rFonts w:hint="eastAsia" w:ascii="宋体" w:hAnsi="宋体" w:eastAsia="宋体" w:cs="宋体"/>
          <w:color w:val="000000"/>
          <w:sz w:val="24"/>
          <w:szCs w:val="24"/>
        </w:rPr>
        <w:t>联系电话：</w:t>
      </w:r>
      <w:r>
        <w:rPr>
          <w:rFonts w:hint="eastAsia" w:ascii="宋体" w:hAnsi="宋体" w:cs="宋体"/>
          <w:color w:val="000000"/>
          <w:sz w:val="24"/>
          <w:szCs w:val="24"/>
          <w:lang w:val="en-US" w:eastAsia="zh-CN"/>
        </w:rPr>
        <w:t>13538207788</w:t>
      </w:r>
    </w:p>
    <w:p w14:paraId="0C61E58E">
      <w:pPr>
        <w:pStyle w:val="5"/>
        <w:spacing w:line="360" w:lineRule="auto"/>
        <w:ind w:firstLine="480" w:firstLineChars="2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依据《中华人民共和国民法典》和《保安服务管理条例》及其他相关法律法规的规定，甲乙双方遵循平等、自愿、公平和诚实信用的原则，经友好协商，就</w:t>
      </w:r>
      <w:r>
        <w:rPr>
          <w:rFonts w:hint="eastAsia" w:ascii="宋体" w:hAnsi="宋体" w:eastAsia="宋体" w:cs="宋体"/>
          <w:color w:val="000000"/>
          <w:sz w:val="24"/>
          <w:szCs w:val="24"/>
          <w:u w:val="single"/>
        </w:rPr>
        <w:t>深业世纪山谷</w:t>
      </w:r>
      <w:r>
        <w:rPr>
          <w:rFonts w:hint="eastAsia" w:ascii="宋体" w:hAnsi="宋体" w:eastAsia="宋体" w:cs="宋体"/>
          <w:color w:val="000000"/>
          <w:sz w:val="24"/>
          <w:szCs w:val="24"/>
          <w:u w:val="single"/>
          <w:lang w:eastAsia="zh-CN"/>
        </w:rPr>
        <w:t>一期</w:t>
      </w:r>
      <w:r>
        <w:rPr>
          <w:rFonts w:hint="eastAsia" w:ascii="宋体" w:hAnsi="宋体" w:eastAsia="宋体" w:cs="宋体"/>
          <w:color w:val="000000"/>
          <w:sz w:val="24"/>
          <w:szCs w:val="24"/>
          <w:u w:val="single"/>
        </w:rPr>
        <w:t>安</w:t>
      </w:r>
      <w:r>
        <w:rPr>
          <w:rFonts w:hint="eastAsia" w:ascii="宋体" w:hAnsi="宋体" w:eastAsia="宋体" w:cs="宋体"/>
          <w:color w:val="000000"/>
          <w:sz w:val="24"/>
          <w:szCs w:val="24"/>
          <w:u w:val="single"/>
          <w:lang w:eastAsia="zh-CN"/>
        </w:rPr>
        <w:t>管</w:t>
      </w:r>
      <w:r>
        <w:rPr>
          <w:rFonts w:hint="eastAsia" w:ascii="宋体" w:hAnsi="宋体" w:eastAsia="宋体" w:cs="宋体"/>
          <w:color w:val="000000"/>
          <w:sz w:val="24"/>
          <w:szCs w:val="24"/>
          <w:u w:val="single"/>
        </w:rPr>
        <w:t>外包服务</w:t>
      </w:r>
      <w:r>
        <w:rPr>
          <w:rFonts w:hint="eastAsia" w:ascii="宋体" w:hAnsi="宋体" w:eastAsia="宋体" w:cs="宋体"/>
          <w:color w:val="000000"/>
          <w:sz w:val="24"/>
          <w:szCs w:val="24"/>
        </w:rPr>
        <w:t>项目的保安服务，协商一致，达成以下合同条款：</w:t>
      </w:r>
    </w:p>
    <w:p w14:paraId="436C17D5">
      <w:pPr>
        <w:pStyle w:val="5"/>
        <w:spacing w:line="360" w:lineRule="auto"/>
        <w:outlineLvl w:val="9"/>
        <w:rPr>
          <w:rFonts w:hint="eastAsia" w:ascii="宋体" w:hAnsi="宋体" w:eastAsia="宋体" w:cs="宋体"/>
          <w:b/>
          <w:bCs/>
          <w:color w:val="000000"/>
          <w:sz w:val="24"/>
          <w:szCs w:val="24"/>
        </w:rPr>
      </w:pPr>
      <w:bookmarkStart w:id="0" w:name="_Toc10154"/>
      <w:r>
        <w:rPr>
          <w:rFonts w:hint="eastAsia" w:ascii="宋体" w:hAnsi="宋体" w:eastAsia="宋体" w:cs="宋体"/>
          <w:b/>
          <w:bCs/>
          <w:color w:val="000000"/>
          <w:sz w:val="24"/>
          <w:szCs w:val="24"/>
        </w:rPr>
        <w:t>第一条  保安员主要任务及护卫范围</w:t>
      </w:r>
      <w:bookmarkEnd w:id="0"/>
    </w:p>
    <w:p w14:paraId="4A7806B6">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乙方根据甲方的工作需要做好“防火、防盗、防破坏、防治安灾害事故，以及维护工作区范围内治安秩序”的保安护卫工作。</w:t>
      </w:r>
    </w:p>
    <w:p w14:paraId="0B85A18A">
      <w:pPr>
        <w:pStyle w:val="5"/>
        <w:spacing w:line="360" w:lineRule="auto"/>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护卫地点和范围：</w:t>
      </w:r>
      <w:r>
        <w:rPr>
          <w:rFonts w:hint="eastAsia" w:ascii="宋体" w:hAnsi="宋体" w:eastAsia="宋体" w:cs="宋体"/>
          <w:color w:val="000000"/>
          <w:sz w:val="24"/>
          <w:szCs w:val="24"/>
          <w:u w:val="single"/>
        </w:rPr>
        <w:t>深业世纪山谷一期</w:t>
      </w:r>
    </w:p>
    <w:p w14:paraId="26E3DFA1">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服务时间：</w:t>
      </w:r>
      <w:r>
        <w:rPr>
          <w:rFonts w:hint="eastAsia" w:ascii="宋体" w:hAnsi="宋体" w:eastAsia="宋体" w:cs="宋体"/>
          <w:color w:val="000000"/>
          <w:sz w:val="24"/>
          <w:szCs w:val="24"/>
          <w:lang w:val="en-US" w:eastAsia="zh-CN"/>
        </w:rPr>
        <w:t>详见岗位配置表</w:t>
      </w:r>
      <w:r>
        <w:rPr>
          <w:rFonts w:hint="eastAsia" w:ascii="宋体" w:hAnsi="宋体" w:eastAsia="宋体" w:cs="宋体"/>
          <w:color w:val="000000"/>
          <w:sz w:val="24"/>
          <w:szCs w:val="24"/>
        </w:rPr>
        <w:t>；</w:t>
      </w:r>
    </w:p>
    <w:p w14:paraId="3D270237">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保安服务要求及标准：乙方应严格按照甲方质量管理体系中安保的服务要求及标准提供保安服务。保安员需有保安员上岗证，中控室值班工作人员必须持有建（构）筑物消防员资格证。</w:t>
      </w:r>
    </w:p>
    <w:p w14:paraId="45765443">
      <w:pPr>
        <w:pStyle w:val="5"/>
        <w:spacing w:line="360" w:lineRule="auto"/>
        <w:outlineLvl w:val="9"/>
        <w:rPr>
          <w:rFonts w:hint="eastAsia" w:ascii="宋体" w:hAnsi="宋体" w:eastAsia="宋体" w:cs="宋体"/>
          <w:b/>
          <w:bCs/>
          <w:color w:val="000000"/>
          <w:sz w:val="24"/>
          <w:szCs w:val="24"/>
        </w:rPr>
      </w:pPr>
      <w:bookmarkStart w:id="1" w:name="_Toc23495"/>
      <w:r>
        <w:rPr>
          <w:rFonts w:hint="eastAsia" w:ascii="宋体" w:hAnsi="宋体" w:eastAsia="宋体" w:cs="宋体"/>
          <w:b/>
          <w:bCs/>
          <w:color w:val="000000"/>
          <w:sz w:val="24"/>
          <w:szCs w:val="24"/>
        </w:rPr>
        <w:t>第二条  保安员岗位、数量、服务期限、合同方式</w:t>
      </w:r>
      <w:bookmarkEnd w:id="1"/>
    </w:p>
    <w:p w14:paraId="4BB99F64">
      <w:pPr>
        <w:spacing w:line="360" w:lineRule="auto"/>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在</w:t>
      </w:r>
      <w:r>
        <w:rPr>
          <w:rFonts w:hint="eastAsia" w:ascii="宋体" w:hAnsi="宋体" w:eastAsia="宋体" w:cs="宋体"/>
          <w:color w:val="000000"/>
          <w:sz w:val="24"/>
          <w:szCs w:val="24"/>
          <w:u w:val="single"/>
        </w:rPr>
        <w:t>深业世纪山谷一期</w:t>
      </w:r>
      <w:r>
        <w:rPr>
          <w:rFonts w:hint="eastAsia" w:ascii="宋体" w:hAnsi="宋体" w:eastAsia="宋体" w:cs="宋体"/>
          <w:color w:val="000000"/>
          <w:sz w:val="24"/>
          <w:szCs w:val="24"/>
        </w:rPr>
        <w:t>项目内，乙方须设立保安岗位</w:t>
      </w:r>
      <w:r>
        <w:rPr>
          <w:rFonts w:hint="eastAsia" w:ascii="宋体" w:hAnsi="宋体" w:cs="宋体"/>
          <w:color w:val="000000"/>
          <w:sz w:val="24"/>
          <w:szCs w:val="24"/>
          <w:lang w:val="en-US" w:eastAsia="zh-CN"/>
        </w:rPr>
        <w:t>8</w:t>
      </w:r>
      <w:r>
        <w:rPr>
          <w:rFonts w:hint="eastAsia" w:ascii="宋体" w:hAnsi="宋体" w:eastAsia="宋体" w:cs="宋体"/>
          <w:color w:val="000000"/>
          <w:sz w:val="24"/>
          <w:szCs w:val="24"/>
        </w:rPr>
        <w:t>个，驻场提供保安服务。详见附件：人员配置表</w:t>
      </w:r>
    </w:p>
    <w:p w14:paraId="1B379ED1">
      <w:pPr>
        <w:spacing w:line="360" w:lineRule="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服务期限：</w:t>
      </w:r>
      <w:r>
        <w:rPr>
          <w:rFonts w:hint="eastAsia" w:ascii="宋体" w:hAnsi="宋体" w:eastAsia="宋体" w:cs="宋体"/>
          <w:color w:val="000000"/>
          <w:sz w:val="24"/>
          <w:szCs w:val="24"/>
          <w:lang w:val="en-US" w:eastAsia="zh-CN"/>
        </w:rPr>
        <w:t>暂定202</w:t>
      </w:r>
      <w:r>
        <w:rPr>
          <w:rFonts w:hint="eastAsia" w:ascii="宋体" w:hAnsi="宋体" w:cs="宋体"/>
          <w:color w:val="000000"/>
          <w:sz w:val="24"/>
          <w:szCs w:val="24"/>
          <w:lang w:val="en-US" w:eastAsia="zh-CN"/>
        </w:rPr>
        <w:t>6</w:t>
      </w:r>
      <w:r>
        <w:rPr>
          <w:rFonts w:hint="eastAsia" w:ascii="宋体" w:hAnsi="宋体" w:eastAsia="宋体" w:cs="宋体"/>
          <w:color w:val="000000"/>
          <w:sz w:val="24"/>
          <w:szCs w:val="24"/>
        </w:rPr>
        <w:t>年</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日起至</w:t>
      </w:r>
      <w:r>
        <w:rPr>
          <w:rFonts w:hint="eastAsia" w:ascii="宋体" w:hAnsi="宋体" w:eastAsia="宋体" w:cs="宋体"/>
          <w:color w:val="000000"/>
          <w:sz w:val="24"/>
          <w:szCs w:val="24"/>
          <w:lang w:val="en-US" w:eastAsia="zh-CN"/>
        </w:rPr>
        <w:t>202</w:t>
      </w:r>
      <w:r>
        <w:rPr>
          <w:rFonts w:hint="eastAsia" w:ascii="宋体" w:hAnsi="宋体" w:cs="宋体"/>
          <w:color w:val="000000"/>
          <w:sz w:val="24"/>
          <w:szCs w:val="24"/>
          <w:lang w:val="en-US" w:eastAsia="zh-CN"/>
        </w:rPr>
        <w:t>7</w:t>
      </w:r>
      <w:r>
        <w:rPr>
          <w:rFonts w:hint="eastAsia" w:ascii="宋体" w:hAnsi="宋体" w:eastAsia="宋体" w:cs="宋体"/>
          <w:color w:val="000000"/>
          <w:sz w:val="24"/>
          <w:szCs w:val="24"/>
          <w:lang w:val="en-US" w:eastAsia="zh-CN"/>
        </w:rPr>
        <w:t>年1</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31</w:t>
      </w:r>
      <w:r>
        <w:rPr>
          <w:rFonts w:hint="eastAsia" w:ascii="宋体" w:hAnsi="宋体" w:eastAsia="宋体" w:cs="宋体"/>
          <w:color w:val="000000"/>
          <w:sz w:val="24"/>
          <w:szCs w:val="24"/>
        </w:rPr>
        <w:t>日止。</w:t>
      </w:r>
    </w:p>
    <w:p w14:paraId="2A55E12C">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合同方式：按月包干，合同期内不得由于政府政策性最低工资标准上调及政策性法规变动调整服务费用。</w:t>
      </w:r>
    </w:p>
    <w:p w14:paraId="1CE0BB92">
      <w:pPr>
        <w:pStyle w:val="5"/>
        <w:spacing w:line="360" w:lineRule="auto"/>
        <w:outlineLvl w:val="9"/>
        <w:rPr>
          <w:rFonts w:hint="eastAsia" w:ascii="宋体" w:hAnsi="宋体" w:eastAsia="宋体" w:cs="宋体"/>
          <w:b/>
          <w:bCs/>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合同期间，上述项目若发生物业管理权变更、甲方退出物业服务，该退出项目的保安服务即时终止，乙方不得向甲方提出索赔要求。</w:t>
      </w:r>
    </w:p>
    <w:p w14:paraId="636EC889">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合同期满后，甲方可根据《深圳市国资委关于进一步加强市属企业采购综合监管的指导意见（试行）》及甲方的相关规定对优质服务合同的供应商实行续期奖励，优质服务合同可续期不超过24 个月，续期最多不超过两次。续期合同实质性内容不得改变。</w:t>
      </w:r>
    </w:p>
    <w:p w14:paraId="4982A5D7">
      <w:pPr>
        <w:numPr>
          <w:ilvl w:val="0"/>
          <w:numId w:val="0"/>
        </w:numPr>
        <w:spacing w:line="360" w:lineRule="auto"/>
        <w:outlineLvl w:val="9"/>
        <w:rPr>
          <w:rFonts w:hint="eastAsia" w:ascii="宋体" w:hAnsi="宋体" w:eastAsia="宋体" w:cs="宋体"/>
          <w:b/>
          <w:bCs/>
          <w:color w:val="000000"/>
          <w:sz w:val="24"/>
          <w:szCs w:val="24"/>
        </w:rPr>
      </w:pPr>
      <w:r>
        <w:rPr>
          <w:rFonts w:hint="eastAsia" w:ascii="宋体" w:hAnsi="宋体" w:eastAsia="宋体" w:cs="宋体"/>
          <w:b/>
          <w:bCs/>
          <w:color w:val="000000"/>
          <w:kern w:val="2"/>
          <w:sz w:val="24"/>
          <w:szCs w:val="24"/>
          <w:lang w:val="en-US" w:eastAsia="zh-CN" w:bidi="ar-SA"/>
        </w:rPr>
        <w:t>第三条</w:t>
      </w:r>
      <w:r>
        <w:rPr>
          <w:rFonts w:hint="eastAsia" w:ascii="宋体" w:hAnsi="宋体" w:eastAsia="宋体" w:cs="宋体"/>
          <w:b/>
          <w:bCs/>
          <w:color w:val="000000"/>
          <w:sz w:val="24"/>
          <w:szCs w:val="24"/>
        </w:rPr>
        <w:t xml:space="preserve"> </w:t>
      </w:r>
      <w:bookmarkStart w:id="2" w:name="_Toc7664"/>
      <w:r>
        <w:rPr>
          <w:rFonts w:hint="eastAsia" w:ascii="宋体" w:hAnsi="宋体" w:eastAsia="宋体" w:cs="宋体"/>
          <w:b/>
          <w:bCs/>
          <w:color w:val="000000"/>
          <w:sz w:val="24"/>
          <w:szCs w:val="24"/>
        </w:rPr>
        <w:t>费用及结算</w:t>
      </w:r>
      <w:bookmarkEnd w:id="2"/>
    </w:p>
    <w:p w14:paraId="214077EE">
      <w:pPr>
        <w:pStyle w:val="9"/>
        <w:numPr>
          <w:ilvl w:val="0"/>
          <w:numId w:val="0"/>
        </w:numPr>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1、</w:t>
      </w:r>
      <w:r>
        <w:rPr>
          <w:rFonts w:hint="eastAsia" w:ascii="宋体" w:hAnsi="宋体" w:eastAsia="宋体" w:cs="宋体"/>
          <w:color w:val="000000"/>
          <w:sz w:val="24"/>
          <w:szCs w:val="24"/>
        </w:rPr>
        <w:t xml:space="preserve">合同金额  </w:t>
      </w:r>
    </w:p>
    <w:p w14:paraId="3D30EA0F">
      <w:pPr>
        <w:spacing w:line="360" w:lineRule="auto"/>
        <w:ind w:firstLine="480" w:firstLineChars="2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甲方每月向乙方支付保安服务费人民币：￥</w:t>
      </w:r>
      <w:r>
        <w:rPr>
          <w:rFonts w:hint="eastAsia" w:ascii="宋体" w:hAnsi="宋体" w:eastAsia="宋体" w:cs="宋体"/>
          <w:color w:val="000000"/>
          <w:sz w:val="24"/>
          <w:szCs w:val="24"/>
          <w:u w:val="single"/>
        </w:rPr>
        <w:t xml:space="preserve">  </w:t>
      </w:r>
      <w:r>
        <w:rPr>
          <w:rFonts w:hint="eastAsia" w:ascii="宋体" w:hAnsi="宋体" w:cs="宋体"/>
          <w:b/>
          <w:bCs/>
          <w:color w:val="000000"/>
          <w:sz w:val="24"/>
          <w:szCs w:val="24"/>
          <w:u w:val="single"/>
          <w:lang w:val="en-US" w:eastAsia="zh-CN"/>
        </w:rPr>
        <w:t>104833.26</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元/月（大写：每月</w:t>
      </w:r>
      <w:r>
        <w:rPr>
          <w:rFonts w:hint="eastAsia" w:ascii="宋体" w:hAnsi="宋体" w:eastAsia="宋体" w:cs="宋体"/>
          <w:color w:val="000000"/>
          <w:sz w:val="24"/>
          <w:szCs w:val="24"/>
          <w:u w:val="single"/>
        </w:rPr>
        <w:t xml:space="preserve"> </w:t>
      </w:r>
      <w:r>
        <w:rPr>
          <w:rFonts w:hint="eastAsia" w:ascii="宋体" w:hAnsi="宋体" w:cs="宋体"/>
          <w:b/>
          <w:bCs/>
          <w:color w:val="000000"/>
          <w:sz w:val="24"/>
          <w:szCs w:val="24"/>
          <w:u w:val="single"/>
          <w:lang w:val="en-US" w:eastAsia="zh-CN"/>
        </w:rPr>
        <w:t>壹拾万肆仟捌佰叁拾叁元贰角陆分</w:t>
      </w:r>
      <w:r>
        <w:rPr>
          <w:rFonts w:hint="eastAsia" w:ascii="宋体" w:hAnsi="宋体" w:eastAsia="宋体" w:cs="宋体"/>
          <w:color w:val="000000"/>
          <w:sz w:val="24"/>
          <w:szCs w:val="24"/>
        </w:rPr>
        <w:t>元整）。合同总金额共计￥</w:t>
      </w:r>
      <w:r>
        <w:rPr>
          <w:rFonts w:hint="eastAsia" w:ascii="宋体" w:hAnsi="宋体" w:eastAsia="宋体" w:cs="宋体"/>
          <w:color w:val="000000"/>
          <w:sz w:val="24"/>
          <w:szCs w:val="24"/>
          <w:u w:val="single"/>
        </w:rPr>
        <w:t xml:space="preserve">  </w:t>
      </w:r>
      <w:r>
        <w:rPr>
          <w:rFonts w:hint="eastAsia" w:ascii="宋体" w:hAnsi="宋体" w:eastAsia="宋体" w:cs="宋体"/>
          <w:b/>
          <w:bCs/>
          <w:color w:val="000000"/>
          <w:kern w:val="2"/>
          <w:sz w:val="24"/>
          <w:szCs w:val="24"/>
          <w:u w:val="single"/>
          <w:lang w:val="en-US" w:eastAsia="zh-CN" w:bidi="ar-SA"/>
        </w:rPr>
        <w:t xml:space="preserve">1257999.12   </w:t>
      </w:r>
      <w:r>
        <w:rPr>
          <w:rFonts w:hint="eastAsia" w:ascii="宋体" w:hAnsi="宋体" w:eastAsia="宋体" w:cs="宋体"/>
          <w:color w:val="000000"/>
          <w:sz w:val="24"/>
          <w:szCs w:val="24"/>
        </w:rPr>
        <w:t>元（大写：</w:t>
      </w:r>
      <w:r>
        <w:rPr>
          <w:rFonts w:hint="eastAsia" w:ascii="宋体" w:hAnsi="宋体" w:eastAsia="宋体" w:cs="宋体"/>
          <w:color w:val="000000"/>
          <w:sz w:val="24"/>
          <w:szCs w:val="24"/>
          <w:u w:val="single"/>
        </w:rPr>
        <w:t xml:space="preserve">  </w:t>
      </w:r>
      <w:r>
        <w:rPr>
          <w:rFonts w:hint="eastAsia" w:ascii="宋体" w:hAnsi="宋体" w:eastAsia="宋体" w:cs="宋体"/>
          <w:b/>
          <w:bCs/>
          <w:color w:val="000000"/>
          <w:kern w:val="2"/>
          <w:sz w:val="24"/>
          <w:szCs w:val="24"/>
          <w:u w:val="single"/>
          <w:lang w:val="en-US" w:eastAsia="zh-CN" w:bidi="ar-SA"/>
        </w:rPr>
        <w:t>壹佰贰拾伍万柒仟玖佰玖拾玖元壹角贰分</w:t>
      </w:r>
      <w:r>
        <w:rPr>
          <w:rFonts w:hint="eastAsia" w:ascii="宋体" w:hAnsi="宋体" w:eastAsia="宋体" w:cs="宋体"/>
          <w:color w:val="000000"/>
          <w:sz w:val="24"/>
          <w:szCs w:val="24"/>
        </w:rPr>
        <w:t>元整）。</w:t>
      </w:r>
    </w:p>
    <w:p w14:paraId="7530487A">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该服务费已包括甲方为乙方根据本合同约定履行全部义务所支付的全部费用，包括但不限于人员工资、福利、社保费用、商业保险、器材装备、生活用品、交通费用、节假日和休息日加班工资、企业管理费、税费以及发生工伤事故的赔偿费用等所有可能发生的费用，甲方无需另向乙方支付其他任何费用。</w:t>
      </w:r>
    </w:p>
    <w:p w14:paraId="7DD7A119">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甲方依据附件《保安外包管理考核实施细则》的标准要求对乙方的合同执行及服务情况进行考核，保安服务费与甲方考核结果（服务品质、人员满员）挂钩。</w:t>
      </w:r>
    </w:p>
    <w:p w14:paraId="630FB0EA">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付款时间：每个月结束后，甲方及时对乙方的服务作出评价，下月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15</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日前，乙方应当向甲方开具正式收费发票。在甲方单位申请付款并由甲方公司领导审批完成后，向乙方一次性付清上月保安服务费。以后付款时间和办法以此类推</w:t>
      </w:r>
      <w:r>
        <w:rPr>
          <w:rFonts w:hint="eastAsia" w:ascii="宋体" w:hAnsi="宋体" w:eastAsia="宋体" w:cs="宋体"/>
          <w:color w:val="000000"/>
          <w:sz w:val="24"/>
          <w:szCs w:val="24"/>
          <w:lang w:eastAsia="zh-CN"/>
        </w:rPr>
        <w:t>。</w:t>
      </w:r>
    </w:p>
    <w:p w14:paraId="46264011">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开户名称： </w:t>
      </w:r>
      <w:r>
        <w:rPr>
          <w:rFonts w:hint="eastAsia" w:ascii="宋体" w:hAnsi="宋体" w:eastAsia="宋体" w:cs="宋体"/>
          <w:color w:val="000000"/>
          <w:sz w:val="24"/>
          <w:szCs w:val="24"/>
          <w:u w:val="single"/>
          <w:lang w:val="en-US" w:eastAsia="zh-CN"/>
        </w:rPr>
        <w:t>深圳市福田区保安服务有限公司</w:t>
      </w:r>
      <w:r>
        <w:rPr>
          <w:rFonts w:hint="eastAsia" w:ascii="宋体" w:hAnsi="宋体" w:eastAsia="宋体" w:cs="宋体"/>
          <w:color w:val="000000"/>
          <w:sz w:val="24"/>
          <w:szCs w:val="24"/>
          <w:u w:val="single"/>
        </w:rPr>
        <w:t xml:space="preserve">   </w:t>
      </w:r>
    </w:p>
    <w:p w14:paraId="348E47D6">
      <w:pPr>
        <w:pStyle w:val="5"/>
        <w:spacing w:line="360" w:lineRule="auto"/>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 xml:space="preserve">开户银行： </w:t>
      </w:r>
      <w:r>
        <w:rPr>
          <w:rFonts w:hint="eastAsia" w:ascii="宋体" w:hAnsi="宋体" w:eastAsia="宋体" w:cs="宋体"/>
          <w:color w:val="000000"/>
          <w:sz w:val="24"/>
          <w:szCs w:val="24"/>
          <w:u w:val="single"/>
          <w:lang w:val="en-US" w:eastAsia="zh-CN"/>
        </w:rPr>
        <w:t>交通银行深圳海连支行</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p>
    <w:p w14:paraId="56D61642">
      <w:pPr>
        <w:pStyle w:val="5"/>
        <w:spacing w:line="360" w:lineRule="auto"/>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 xml:space="preserve">银行帐号： </w:t>
      </w:r>
      <w:r>
        <w:rPr>
          <w:rFonts w:hint="eastAsia" w:ascii="宋体" w:hAnsi="宋体" w:eastAsia="宋体" w:cs="宋体"/>
          <w:color w:val="000000"/>
          <w:sz w:val="24"/>
          <w:szCs w:val="24"/>
          <w:u w:val="single"/>
          <w:lang w:val="en-US" w:eastAsia="zh-CN"/>
        </w:rPr>
        <w:t>443066302011605170237</w:t>
      </w:r>
      <w:r>
        <w:rPr>
          <w:rFonts w:hint="eastAsia" w:ascii="宋体" w:hAnsi="宋体" w:eastAsia="宋体" w:cs="宋体"/>
          <w:color w:val="000000"/>
          <w:sz w:val="24"/>
          <w:szCs w:val="24"/>
          <w:u w:val="single"/>
        </w:rPr>
        <w:t xml:space="preserve">          </w:t>
      </w:r>
    </w:p>
    <w:p w14:paraId="5E59AC01">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乙方人员驻场使用的水电费由乙方承担，安装独立表，按抄表用量向甲方支付水电费用。水电费用每月结算一次。</w:t>
      </w:r>
    </w:p>
    <w:p w14:paraId="53CF9E98">
      <w:pPr>
        <w:adjustRightInd w:val="0"/>
        <w:snapToGrid w:val="0"/>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合同履行期间，如遇国家或地方调整增值税税率的，则自增值税税率调整政策执行之日起，尚未支付的保安服务费根据调整后的最新税率进行相应调整，并按调整后费用支付。具体调整公式为：税率调整后的含税价=税率调整前的不含税价×（1+调整后税率）。</w:t>
      </w:r>
    </w:p>
    <w:p w14:paraId="50FE0130">
      <w:pPr>
        <w:numPr>
          <w:ilvl w:val="0"/>
          <w:numId w:val="0"/>
        </w:numPr>
        <w:spacing w:line="360" w:lineRule="auto"/>
        <w:outlineLvl w:val="9"/>
        <w:rPr>
          <w:rFonts w:hint="eastAsia" w:ascii="宋体" w:hAnsi="宋体" w:eastAsia="宋体" w:cs="宋体"/>
          <w:b/>
          <w:bCs/>
          <w:color w:val="000000"/>
          <w:sz w:val="24"/>
          <w:szCs w:val="24"/>
        </w:rPr>
      </w:pPr>
      <w:bookmarkStart w:id="3" w:name="_Toc15335"/>
      <w:r>
        <w:rPr>
          <w:rFonts w:hint="eastAsia" w:ascii="宋体" w:hAnsi="宋体" w:eastAsia="宋体" w:cs="宋体"/>
          <w:b/>
          <w:bCs/>
          <w:color w:val="000000"/>
          <w:sz w:val="24"/>
          <w:szCs w:val="24"/>
        </w:rPr>
        <w:t>第四条  保安员的管理</w:t>
      </w:r>
      <w:bookmarkEnd w:id="3"/>
    </w:p>
    <w:p w14:paraId="3BDB65E0">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保安人员由乙方聘用，并根据法律法规签订劳动合同。</w:t>
      </w:r>
    </w:p>
    <w:p w14:paraId="3E7B4226">
      <w:pPr>
        <w:pStyle w:val="5"/>
        <w:spacing w:line="360" w:lineRule="auto"/>
        <w:outlineLvl w:val="9"/>
        <w:rPr>
          <w:rFonts w:hint="eastAsia" w:ascii="宋体" w:hAnsi="宋体" w:eastAsia="宋体" w:cs="宋体"/>
          <w:color w:val="000000"/>
          <w:spacing w:val="2"/>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pacing w:val="2"/>
          <w:sz w:val="24"/>
          <w:szCs w:val="24"/>
        </w:rPr>
        <w:t>乙方负责保安员的业务、技术、政治思想教育及日常行政和生活管理工作。甲方依照本合同的约定，对保安人员的服务进行监督和检查。</w:t>
      </w:r>
    </w:p>
    <w:p w14:paraId="5DAD1979">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乙方应当按《劳动法》和相关规定，准时发放保安人员的工资，合理安排保安人员工作和休息时间，办理社会保险。乙方应当采取措施，防止因劳动纠纷影响保安服务运作。</w:t>
      </w:r>
    </w:p>
    <w:p w14:paraId="2DB2E1D9">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保安员在护卫范围内因工作致伤、致残、致死和遭遇不测时，由乙方按相关法律法规的有关规定自行处理。</w:t>
      </w:r>
    </w:p>
    <w:p w14:paraId="11C0315C">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保安员须服从辖区派出所领导和指挥以及业务上的指导。</w:t>
      </w:r>
    </w:p>
    <w:p w14:paraId="265F183A">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乙方的保安人员因职务行为导致的法律责任，由乙方承担。</w:t>
      </w:r>
    </w:p>
    <w:p w14:paraId="7E4F3621">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乙方应当将派驻保安人员的个人资料送甲方备案。</w:t>
      </w:r>
    </w:p>
    <w:p w14:paraId="30706B99">
      <w:pPr>
        <w:numPr>
          <w:ilvl w:val="0"/>
          <w:numId w:val="0"/>
        </w:numPr>
        <w:spacing w:line="360" w:lineRule="auto"/>
        <w:outlineLvl w:val="9"/>
        <w:rPr>
          <w:rFonts w:hint="eastAsia" w:ascii="宋体" w:hAnsi="宋体" w:eastAsia="宋体" w:cs="宋体"/>
          <w:b/>
          <w:bCs/>
          <w:color w:val="000000"/>
          <w:sz w:val="24"/>
          <w:szCs w:val="24"/>
        </w:rPr>
      </w:pPr>
      <w:bookmarkStart w:id="4" w:name="_Toc29915"/>
      <w:r>
        <w:rPr>
          <w:rFonts w:hint="eastAsia" w:ascii="宋体" w:hAnsi="宋体" w:eastAsia="宋体" w:cs="宋体"/>
          <w:b/>
          <w:bCs/>
          <w:color w:val="000000"/>
          <w:sz w:val="24"/>
          <w:szCs w:val="24"/>
        </w:rPr>
        <w:t>第五条  停车场的管理</w:t>
      </w:r>
      <w:bookmarkEnd w:id="4"/>
    </w:p>
    <w:p w14:paraId="520998D4">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小区停车场停车服务管理由乙方负责，乙方应按法律、法规相关规定以及本合同约定，提供管理服务并承担责任。</w:t>
      </w:r>
    </w:p>
    <w:p w14:paraId="535EB958">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停车服务收费：固定停车（月卡）收费由甲方收取。临时停车收费委托乙方代收，乙方应按规定的收费标准收取，不得违规乱收费并接受甲方监管。乙方每班下班后将收取的停车费及时上交甲方指定人员。</w:t>
      </w:r>
    </w:p>
    <w:p w14:paraId="039FB31F">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临时停车收费的发票由甲方提供。</w:t>
      </w:r>
    </w:p>
    <w:p w14:paraId="464B73FC">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乙方派驻的停车场收费员应遵守甲方制定的深业物业停车场收费管理办法（暂行），工作时应穿着政府相关部门要求的停车场收费员专用服装。</w:t>
      </w:r>
    </w:p>
    <w:p w14:paraId="359172CB">
      <w:pPr>
        <w:numPr>
          <w:ilvl w:val="0"/>
          <w:numId w:val="0"/>
        </w:numPr>
        <w:spacing w:line="360" w:lineRule="auto"/>
        <w:outlineLvl w:val="9"/>
        <w:rPr>
          <w:rFonts w:hint="eastAsia" w:ascii="宋体" w:hAnsi="宋体" w:eastAsia="宋体" w:cs="宋体"/>
          <w:b/>
          <w:bCs/>
          <w:color w:val="000000"/>
          <w:sz w:val="24"/>
          <w:szCs w:val="24"/>
        </w:rPr>
      </w:pPr>
      <w:bookmarkStart w:id="5" w:name="_Toc4326"/>
      <w:r>
        <w:rPr>
          <w:rFonts w:hint="eastAsia" w:ascii="宋体" w:hAnsi="宋体" w:eastAsia="宋体" w:cs="宋体"/>
          <w:b/>
          <w:bCs/>
          <w:color w:val="000000"/>
          <w:sz w:val="24"/>
          <w:szCs w:val="24"/>
        </w:rPr>
        <w:t>第六条  甲方的权利和义务</w:t>
      </w:r>
      <w:bookmarkEnd w:id="5"/>
    </w:p>
    <w:p w14:paraId="14AA5981">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甲方依据附件《保安外包管理考核实施细则》以及附件要求及标准对乙方进行考核</w:t>
      </w:r>
      <w:r>
        <w:rPr>
          <w:rFonts w:hint="eastAsia" w:ascii="宋体" w:hAnsi="宋体" w:eastAsia="宋体" w:cs="宋体"/>
          <w:color w:val="000000"/>
          <w:sz w:val="24"/>
          <w:szCs w:val="24"/>
          <w:lang w:val="en-US" w:eastAsia="zh-CN"/>
        </w:rPr>
        <w:t>和处罚</w:t>
      </w:r>
      <w:r>
        <w:rPr>
          <w:rFonts w:hint="eastAsia" w:ascii="宋体" w:hAnsi="宋体" w:eastAsia="宋体" w:cs="宋体"/>
          <w:color w:val="000000"/>
          <w:sz w:val="24"/>
          <w:szCs w:val="24"/>
        </w:rPr>
        <w:t>。如发现有不达标或违规现象，则按相应标准扣分。当月考评总分大于或等于 9</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 xml:space="preserve"> 分时，全额支付当月</w:t>
      </w:r>
      <w:r>
        <w:rPr>
          <w:rFonts w:hint="eastAsia" w:ascii="宋体" w:hAnsi="宋体" w:eastAsia="宋体" w:cs="宋体"/>
          <w:color w:val="000000"/>
          <w:sz w:val="24"/>
          <w:szCs w:val="24"/>
          <w:lang w:val="en-US" w:eastAsia="zh-CN"/>
        </w:rPr>
        <w:t>安保</w:t>
      </w:r>
      <w:r>
        <w:rPr>
          <w:rFonts w:hint="eastAsia" w:ascii="宋体" w:hAnsi="宋体" w:eastAsia="宋体" w:cs="宋体"/>
          <w:color w:val="000000"/>
          <w:sz w:val="24"/>
          <w:szCs w:val="24"/>
        </w:rPr>
        <w:t>服务费:当月考评总分小于9</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 xml:space="preserve"> 分，但等于或大于 80 分，甲方有权按每比 95 分少一分扣除当月</w:t>
      </w:r>
      <w:r>
        <w:rPr>
          <w:rFonts w:hint="eastAsia" w:ascii="宋体" w:hAnsi="宋体" w:eastAsia="宋体" w:cs="宋体"/>
          <w:color w:val="000000"/>
          <w:sz w:val="24"/>
          <w:szCs w:val="24"/>
          <w:lang w:val="en-US" w:eastAsia="zh-CN"/>
        </w:rPr>
        <w:t>安保</w:t>
      </w:r>
      <w:r>
        <w:rPr>
          <w:rFonts w:hint="eastAsia" w:ascii="宋体" w:hAnsi="宋体" w:eastAsia="宋体" w:cs="宋体"/>
          <w:color w:val="000000"/>
          <w:sz w:val="24"/>
          <w:szCs w:val="24"/>
        </w:rPr>
        <w:t>服务费总额的 1%。月度质量考评最高扣除当月</w:t>
      </w:r>
      <w:r>
        <w:rPr>
          <w:rFonts w:hint="eastAsia" w:ascii="宋体" w:hAnsi="宋体" w:eastAsia="宋体" w:cs="宋体"/>
          <w:color w:val="000000"/>
          <w:sz w:val="24"/>
          <w:szCs w:val="24"/>
          <w:lang w:val="en-US" w:eastAsia="zh-CN"/>
        </w:rPr>
        <w:t>安保</w:t>
      </w:r>
      <w:r>
        <w:rPr>
          <w:rFonts w:hint="eastAsia" w:ascii="宋体" w:hAnsi="宋体" w:eastAsia="宋体" w:cs="宋体"/>
          <w:color w:val="000000"/>
          <w:sz w:val="24"/>
          <w:szCs w:val="24"/>
        </w:rPr>
        <w:t>服务费 20%。如果连续两个月出现月度考评总分低于 80 分时，甲方有权单方解除本合同并要求乙方支付合同暂定总价 10%的违约金，不给予乙方任何补偿。</w:t>
      </w:r>
    </w:p>
    <w:p w14:paraId="320C7472">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甲方有权对保安员的各项工作进行监督、检查和具体指导，有权对工作不合格保安员提出处理意见（包括要求乙方更换人员）。甲方提出整改要求后，乙方未按时完成整改的，甲方有权中止支付服务费直至乙方整改完毕。</w:t>
      </w:r>
    </w:p>
    <w:p w14:paraId="6A187C06">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甲方将保安员宿舍、值班岗亭空调、宿舍空调、饮水机、电视机等交给乙方使用，合同期满后乙方应如数交还甲方。</w:t>
      </w:r>
    </w:p>
    <w:p w14:paraId="1C37EA09">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甲方要建立健全“三防”等各种安全防范措施和规章制度，以便于保安员依章执行，同时应教育本单位全体员工认真执行安全防范规定和支持配合保安员的工作。</w:t>
      </w:r>
    </w:p>
    <w:p w14:paraId="72F28B29">
      <w:pPr>
        <w:numPr>
          <w:ilvl w:val="0"/>
          <w:numId w:val="0"/>
        </w:numPr>
        <w:spacing w:line="360" w:lineRule="auto"/>
        <w:outlineLvl w:val="9"/>
        <w:rPr>
          <w:rFonts w:hint="eastAsia" w:ascii="宋体" w:hAnsi="宋体" w:eastAsia="宋体" w:cs="宋体"/>
          <w:b/>
          <w:bCs/>
          <w:color w:val="000000"/>
          <w:sz w:val="24"/>
          <w:szCs w:val="24"/>
        </w:rPr>
      </w:pPr>
      <w:bookmarkStart w:id="6" w:name="_Toc10695"/>
      <w:r>
        <w:rPr>
          <w:rFonts w:hint="eastAsia" w:ascii="宋体" w:hAnsi="宋体" w:eastAsia="宋体" w:cs="宋体"/>
          <w:b/>
          <w:bCs/>
          <w:color w:val="000000"/>
          <w:sz w:val="24"/>
          <w:szCs w:val="24"/>
        </w:rPr>
        <w:t>第七条  乙方的权利和义务</w:t>
      </w:r>
      <w:bookmarkEnd w:id="6"/>
    </w:p>
    <w:p w14:paraId="73D437F8">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乙方保安人员在被派驻甲方项目前，须经甲方确认，乙方根据法律法规与保安人员签订劳动合同，并将派驻保安人员的个人资料送甲方备案。</w:t>
      </w:r>
    </w:p>
    <w:p w14:paraId="5DCFADCF">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乙方所派出的保安员必须具备政治思想良好（无犯罪前科）、文化素质较高（初中以上）、仪表端庄、身材高大（男</w:t>
      </w:r>
      <w:r>
        <w:rPr>
          <w:rFonts w:hint="eastAsia" w:ascii="宋体" w:hAnsi="宋体" w:eastAsia="宋体" w:cs="宋体"/>
          <w:color w:val="000000"/>
          <w:sz w:val="24"/>
          <w:szCs w:val="24"/>
          <w:lang w:val="en-US" w:eastAsia="zh-CN"/>
        </w:rPr>
        <w:t xml:space="preserve"> 1.8</w:t>
      </w:r>
      <w:r>
        <w:rPr>
          <w:rFonts w:hint="eastAsia" w:ascii="宋体" w:hAnsi="宋体" w:eastAsia="宋体" w:cs="宋体"/>
          <w:color w:val="000000"/>
          <w:sz w:val="24"/>
          <w:szCs w:val="24"/>
        </w:rPr>
        <w:t>米以上，年龄不超过</w:t>
      </w:r>
      <w:r>
        <w:rPr>
          <w:rFonts w:hint="eastAsia" w:ascii="宋体" w:hAnsi="宋体" w:eastAsia="宋体" w:cs="宋体"/>
          <w:color w:val="000000"/>
          <w:sz w:val="24"/>
          <w:szCs w:val="24"/>
          <w:lang w:val="en-US" w:eastAsia="zh-CN"/>
        </w:rPr>
        <w:t>28</w:t>
      </w:r>
      <w:r>
        <w:rPr>
          <w:rFonts w:hint="eastAsia" w:ascii="宋体" w:hAnsi="宋体" w:eastAsia="宋体" w:cs="宋体"/>
          <w:color w:val="000000"/>
          <w:sz w:val="24"/>
          <w:szCs w:val="24"/>
        </w:rPr>
        <w:t>岁）工作责任心强等条件。</w:t>
      </w:r>
    </w:p>
    <w:p w14:paraId="4EA3CB7F">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负责保安员的工资、福利、养老保险、工伤保险等福利待遇，并按规定及甲方要求发放保安员的工作服装、装备及劳保用品等。乙方应当按《劳动法》和相关规定，准时发放保安人员的工资，合理安排保安人员工作和休息时间，办理社会保险。乙方保安人员在为甲方服务期间，乙方应避免一切劳资纠纷，若产生劳资纠纷的，均由乙方自行负责处理并承担相关费用，乙方应确保甲方的利益不会因此而受损，否则应予以赔偿，且乙方处理此等纠纷过程，不得影响本合同的正常履行。若因乙方和保安人员之间的劳动纠纷影响保安服务运作，甲方有权要求乙方赔偿造成的全部损失。</w:t>
      </w:r>
    </w:p>
    <w:p w14:paraId="111C4D9E">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派出的保安员必须持有国家相关部门颁发的保安员上岗证，消防值班员须持有《建（构）筑物消防员资格证书》，以及政府部门要求的其它相关证件，具备上岗资格和条件。因不符合上述要求导致被处罚等一切责任均由乙方承担。</w:t>
      </w:r>
    </w:p>
    <w:p w14:paraId="5ABAD27F">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应根据保安服务岗位的风险程度为保安人员购买商业保险，保安人员在保安服务工作范围内因工作致伤、致残、致死和遭遇不测时，由乙方按相关法律法规的有关规定自行处理并承担责任。保安人员在任何时候都不应视为甲方的雇员或代理人，甲方无义务就上述人员在履行职责过程中受到的损害承担任何赔偿责任。</w:t>
      </w:r>
    </w:p>
    <w:p w14:paraId="4F7273E6">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乙方有权拒绝甲方安排保安员护卫范围外或超越保安职权的工作。</w:t>
      </w:r>
    </w:p>
    <w:p w14:paraId="28B7A7B3">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因工作需要，乙方有权调换保安员，有权辞退不合格的保安员，但必须提前知会甲方，其中班长以上管理人员应提前   天通知甲方。</w:t>
      </w:r>
    </w:p>
    <w:p w14:paraId="3AC8D0FC">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甲方在小区举办社区活动需要乙方保安员配合时，乙方应当给予支持。</w:t>
      </w:r>
    </w:p>
    <w:p w14:paraId="7B0595FE">
      <w:pPr>
        <w:numPr>
          <w:ilvl w:val="0"/>
          <w:numId w:val="0"/>
        </w:numPr>
        <w:spacing w:line="360" w:lineRule="auto"/>
        <w:outlineLvl w:val="9"/>
        <w:rPr>
          <w:rFonts w:hint="eastAsia" w:ascii="宋体" w:hAnsi="宋体" w:eastAsia="宋体" w:cs="宋体"/>
          <w:b/>
          <w:bCs/>
          <w:color w:val="000000"/>
          <w:sz w:val="24"/>
          <w:szCs w:val="24"/>
        </w:rPr>
      </w:pPr>
      <w:bookmarkStart w:id="7" w:name="_Toc4878"/>
      <w:r>
        <w:rPr>
          <w:rFonts w:hint="eastAsia" w:ascii="宋体" w:hAnsi="宋体" w:eastAsia="宋体" w:cs="宋体"/>
          <w:b/>
          <w:bCs/>
          <w:color w:val="000000"/>
          <w:sz w:val="24"/>
          <w:szCs w:val="24"/>
        </w:rPr>
        <w:t>第八条  违约责任及其他</w:t>
      </w:r>
      <w:bookmarkEnd w:id="7"/>
    </w:p>
    <w:p w14:paraId="292B033D">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甲方拖欠保安服务费超过二个月的，乙方有权单方解除合同。</w:t>
      </w:r>
    </w:p>
    <w:p w14:paraId="69CCEDC3">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因乙方原因导致如下安全事故的：包括但不限于发生火灾、抢劫、盗窃及其它人身财产损害等，甲方有权单方解除合同且不予赔偿。</w:t>
      </w:r>
    </w:p>
    <w:p w14:paraId="23C68D54">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乙方因未能履行合同的约定或乙方的过错导致甲方或第三方人身、财产损害的，乙方应当依法承担赔偿责任。乙方及其保安员的任何行为或疏忽对第三方造成损害、导致甲方被提起索赔或先行赔偿而产生的损失和费用（包括法院诉讼费用和合理的律师费用），乙方承担上述全部费用。</w:t>
      </w:r>
    </w:p>
    <w:p w14:paraId="157F2DF7">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发生下列任何一种情况的，甲方有权书面通知乙方解除本合同，本合同于书面通知到达乙方之日起解除，同时乙方应向甲方支付两个月服务费用作为违约金，违约金不足以弥补甲方损失的，乙方还应另行予以赔偿：</w:t>
      </w:r>
    </w:p>
    <w:p w14:paraId="389047F8">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（1）乙方未按合同约定提供保安服务，包括但不限于未按甲方要求派驻合格的保安人员，延迟超过五天的；</w:t>
      </w:r>
    </w:p>
    <w:p w14:paraId="41AADADA">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（2）乙方拒绝按甲方要求更换保安人员或经三次更换后仍不能符合甲方要求的；</w:t>
      </w:r>
    </w:p>
    <w:p w14:paraId="2A8469BF">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（3）因乙方原因导致安全事故的，包括但不限于发生火灾、抢劫、盗窃及其它人身财产损害等；</w:t>
      </w:r>
    </w:p>
    <w:p w14:paraId="5AC194E5">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（4）因乙方服务质量引发关键业主投诉的或引发群体业主投诉的；</w:t>
      </w:r>
    </w:p>
    <w:p w14:paraId="279D2296">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（5）因乙方服务质量达不到本合同的要求，考核分累计3次低于80分或一次低于60分的；</w:t>
      </w:r>
    </w:p>
    <w:p w14:paraId="10AC7BED">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（6）乙方违反本合同列明的其他任何职责和义务，且在甲方书面通知后的指定期限内仍无改进或采取适当之补救措施或虽采取措施或补救但仍未令乙方满意的。</w:t>
      </w:r>
    </w:p>
    <w:p w14:paraId="0116485F">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因乙方服务质量引发关键业主投诉的或引发群体业主投诉的，甲方有权单方解除合同且不予赔偿。</w:t>
      </w:r>
    </w:p>
    <w:p w14:paraId="10CB7923">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因业主提出反对安保外包服务的，甲方有权单方解除合同且不予赔偿。</w:t>
      </w:r>
    </w:p>
    <w:p w14:paraId="6B44DC17">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6、服务期限内，甲方有权提前30日书面通知乙方后单方解除本合同。本合同解除后双方据实结算实际服务费，甲方无需就单方解除本合同而向乙方支付任何赔偿或补偿。</w:t>
      </w:r>
    </w:p>
    <w:p w14:paraId="0A1E27B1">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除本合同约定的情形或双方另行协商一致的之外，合同期内双方均不得擅自中止或解除本合同。</w:t>
      </w:r>
    </w:p>
    <w:p w14:paraId="7D59A3D0">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无论何种原因造成合同终止或解除，乙方均应在合同解除之日起3日内，无条件撤离现场，撤除全部服务人员、机械设备和剩余材料、垃圾等，否则，每逾期一日应向甲方支付人民币</w:t>
      </w:r>
      <w:r>
        <w:rPr>
          <w:rFonts w:hint="eastAsia" w:ascii="宋体" w:hAnsi="宋体" w:eastAsia="宋体" w:cs="宋体"/>
          <w:color w:val="000000"/>
          <w:sz w:val="24"/>
          <w:szCs w:val="24"/>
          <w:u w:val="single"/>
          <w:lang w:val="en-US" w:eastAsia="zh-CN"/>
        </w:rPr>
        <w:t>12579.99</w:t>
      </w:r>
      <w:r>
        <w:rPr>
          <w:rFonts w:hint="eastAsia" w:ascii="宋体" w:hAnsi="宋体" w:eastAsia="宋体" w:cs="宋体"/>
          <w:color w:val="000000"/>
          <w:sz w:val="24"/>
          <w:szCs w:val="24"/>
        </w:rPr>
        <w:t>元的违约金，并赔偿甲方的损失。上述期限届满后，乙方遗留在甲方现场的任何物品，视为乙方放弃物品的所有权，甲方有权随意处置且乙方不得因此而要求甲方支付任何赔偿/补偿。</w:t>
      </w:r>
    </w:p>
    <w:p w14:paraId="50BD637D">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因不可抗力造成合同不能继续履行时，双方均可协商变更、中止或解除合同。</w:t>
      </w:r>
    </w:p>
    <w:p w14:paraId="6D4E7E65">
      <w:pPr>
        <w:numPr>
          <w:ilvl w:val="0"/>
          <w:numId w:val="0"/>
        </w:numPr>
        <w:spacing w:line="360" w:lineRule="auto"/>
        <w:outlineLvl w:val="9"/>
        <w:rPr>
          <w:rFonts w:hint="eastAsia" w:ascii="宋体" w:hAnsi="宋体" w:eastAsia="宋体" w:cs="宋体"/>
          <w:b/>
          <w:bCs/>
          <w:color w:val="000000"/>
          <w:sz w:val="24"/>
          <w:szCs w:val="24"/>
        </w:rPr>
      </w:pPr>
      <w:bookmarkStart w:id="8" w:name="_Toc2730"/>
      <w:r>
        <w:rPr>
          <w:rFonts w:hint="eastAsia" w:ascii="宋体" w:hAnsi="宋体" w:eastAsia="宋体" w:cs="宋体"/>
          <w:b/>
          <w:bCs/>
          <w:color w:val="000000"/>
          <w:sz w:val="24"/>
          <w:szCs w:val="24"/>
        </w:rPr>
        <w:t>第九条 争议解决方式</w:t>
      </w:r>
      <w:bookmarkEnd w:id="8"/>
    </w:p>
    <w:p w14:paraId="2BBD1FB4">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因执行本合同双方发生的争议，由双方协商解决。协商不成时，任何一方可向甲方住所地人民法院提起诉讼。</w:t>
      </w:r>
    </w:p>
    <w:p w14:paraId="04021117">
      <w:pPr>
        <w:numPr>
          <w:ilvl w:val="0"/>
          <w:numId w:val="0"/>
        </w:numPr>
        <w:spacing w:line="360" w:lineRule="auto"/>
        <w:outlineLvl w:val="9"/>
        <w:rPr>
          <w:rFonts w:hint="eastAsia" w:ascii="宋体" w:hAnsi="宋体" w:eastAsia="宋体" w:cs="宋体"/>
          <w:b/>
          <w:bCs/>
          <w:color w:val="000000"/>
          <w:sz w:val="24"/>
          <w:szCs w:val="24"/>
        </w:rPr>
      </w:pPr>
      <w:bookmarkStart w:id="9" w:name="_Toc23535"/>
      <w:r>
        <w:rPr>
          <w:rFonts w:hint="eastAsia" w:ascii="宋体" w:hAnsi="宋体" w:eastAsia="宋体" w:cs="宋体"/>
          <w:b/>
          <w:bCs/>
          <w:color w:val="000000"/>
          <w:sz w:val="24"/>
          <w:szCs w:val="24"/>
        </w:rPr>
        <w:t>第十条 其他</w:t>
      </w:r>
      <w:bookmarkEnd w:id="9"/>
    </w:p>
    <w:p w14:paraId="014E4F8B">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涉及本合同权利义务变化的或其他必要通知，应以书面形式传递，并由中国邮政特快专递（EMS）或专人送至本合同首页载明的通讯地址；EMS寄出第5日（无论对方签收与否）或对方签收日视为已送达。</w:t>
      </w:r>
    </w:p>
    <w:p w14:paraId="0DDABD65">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 xml:space="preserve"> 双方应保证通讯地址、联系方式、企业法定代表人等工商登记情况及代理人等有关资料和证件真实有效。任何一方变更本合同约定送达地址的，应提前【3】日书面通知对方，否则对方按照变更前的送达地址送达相关文件视为有效送达。</w:t>
      </w:r>
    </w:p>
    <w:p w14:paraId="770D106B">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双方均应遵守对方商业机密，未经许可不得提供、出售相关机密资料以及情报与他人。</w:t>
      </w:r>
    </w:p>
    <w:p w14:paraId="23F96E42">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本合同由双方代表签字或盖章之日起生效，双方履行完合同全部义务后终止。本合同一经签订，双方应严格履行，如有未尽事宜，双方协商后可签订补充协议。补充协议与本合同附件为本合同不可分割的组成部分，与本合同具有同等法律效力。</w:t>
      </w:r>
    </w:p>
    <w:p w14:paraId="5CE89C20">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本合同空格部分填写的文字与印刷文字具有同等法律效力，空格部分填写的文字修改须双方盖有效公章后方可生效，否则视为无效。</w:t>
      </w:r>
    </w:p>
    <w:p w14:paraId="36EF7795">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本合同一式</w:t>
      </w:r>
      <w:r>
        <w:rPr>
          <w:rFonts w:hint="eastAsia" w:ascii="宋体" w:hAnsi="宋体" w:eastAsia="宋体" w:cs="宋体"/>
          <w:color w:val="000000"/>
          <w:sz w:val="24"/>
          <w:szCs w:val="24"/>
          <w:lang w:val="en-US" w:eastAsia="zh-CN"/>
        </w:rPr>
        <w:t>伍</w:t>
      </w:r>
      <w:r>
        <w:rPr>
          <w:rFonts w:hint="eastAsia" w:ascii="宋体" w:hAnsi="宋体" w:eastAsia="宋体" w:cs="宋体"/>
          <w:color w:val="000000"/>
          <w:sz w:val="24"/>
          <w:szCs w:val="24"/>
        </w:rPr>
        <w:t>份，甲方执</w:t>
      </w:r>
      <w:r>
        <w:rPr>
          <w:rFonts w:hint="eastAsia" w:ascii="宋体" w:hAnsi="宋体" w:eastAsia="宋体" w:cs="宋体"/>
          <w:color w:val="000000"/>
          <w:sz w:val="24"/>
          <w:szCs w:val="24"/>
          <w:lang w:val="en-US" w:eastAsia="zh-CN"/>
        </w:rPr>
        <w:t>叁</w:t>
      </w:r>
      <w:r>
        <w:rPr>
          <w:rFonts w:hint="eastAsia" w:ascii="宋体" w:hAnsi="宋体" w:eastAsia="宋体" w:cs="宋体"/>
          <w:color w:val="000000"/>
          <w:sz w:val="24"/>
          <w:szCs w:val="24"/>
        </w:rPr>
        <w:t>份，乙方执</w:t>
      </w:r>
      <w:r>
        <w:rPr>
          <w:rFonts w:hint="eastAsia" w:ascii="宋体" w:hAnsi="宋体" w:eastAsia="宋体" w:cs="宋体"/>
          <w:color w:val="000000"/>
          <w:sz w:val="24"/>
          <w:szCs w:val="24"/>
          <w:lang w:val="en-US" w:eastAsia="zh-CN"/>
        </w:rPr>
        <w:t>贰</w:t>
      </w:r>
      <w:r>
        <w:rPr>
          <w:rFonts w:hint="eastAsia" w:ascii="宋体" w:hAnsi="宋体" w:eastAsia="宋体" w:cs="宋体"/>
          <w:color w:val="000000"/>
          <w:sz w:val="24"/>
          <w:szCs w:val="24"/>
        </w:rPr>
        <w:t>份，均具同等法律效力。</w:t>
      </w:r>
    </w:p>
    <w:p w14:paraId="38A36083">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本合同未尽事宜，双方另行协商签订补充协议，补充协议与本合同具有同等法律效力。</w:t>
      </w:r>
    </w:p>
    <w:p w14:paraId="405692F8">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bookmarkStart w:id="10" w:name="_Toc13583786"/>
      <w:bookmarkStart w:id="11" w:name="_Toc2177"/>
      <w:r>
        <w:rPr>
          <w:rFonts w:hint="eastAsia" w:ascii="宋体" w:hAnsi="宋体" w:eastAsia="宋体" w:cs="宋体"/>
          <w:color w:val="000000"/>
          <w:sz w:val="24"/>
          <w:szCs w:val="24"/>
        </w:rPr>
        <w:t>第十一条：合同附件</w:t>
      </w:r>
      <w:bookmarkEnd w:id="10"/>
      <w:bookmarkEnd w:id="11"/>
    </w:p>
    <w:p w14:paraId="7BB5F77A">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合同附件与本合同具有同等法律效力。</w:t>
      </w:r>
    </w:p>
    <w:p w14:paraId="0CF16A78">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合同附件1：人员配置表</w:t>
      </w:r>
    </w:p>
    <w:p w14:paraId="0CFAEA86">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合同附件2：保安服务标准</w:t>
      </w:r>
    </w:p>
    <w:p w14:paraId="130A0EC7">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合同附件3：保安外包管理考核实施细则</w:t>
      </w:r>
    </w:p>
    <w:p w14:paraId="104FA079">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合同附件4：安全管理协议</w:t>
      </w:r>
    </w:p>
    <w:p w14:paraId="3D721C4C">
      <w:pPr>
        <w:pStyle w:val="5"/>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合同附件5：廉政诚信协议书</w:t>
      </w:r>
    </w:p>
    <w:p w14:paraId="422F05E9">
      <w:pPr>
        <w:spacing w:line="360" w:lineRule="auto"/>
        <w:ind w:firstLine="480" w:firstLineChars="200"/>
        <w:outlineLvl w:val="9"/>
        <w:rPr>
          <w:rFonts w:hint="eastAsia" w:ascii="宋体" w:hAnsi="宋体" w:eastAsia="宋体" w:cs="宋体"/>
          <w:color w:val="000000"/>
          <w:sz w:val="24"/>
          <w:szCs w:val="24"/>
        </w:rPr>
      </w:pPr>
    </w:p>
    <w:p w14:paraId="25D5A0F6">
      <w:pPr>
        <w:spacing w:line="360" w:lineRule="auto"/>
        <w:outlineLvl w:val="9"/>
        <w:rPr>
          <w:rFonts w:hint="eastAsia" w:ascii="宋体" w:hAnsi="宋体" w:eastAsia="宋体" w:cs="宋体"/>
          <w:color w:val="000000"/>
          <w:sz w:val="24"/>
          <w:szCs w:val="24"/>
        </w:rPr>
      </w:pPr>
    </w:p>
    <w:p w14:paraId="17F7CCDE">
      <w:pPr>
        <w:spacing w:line="360" w:lineRule="auto"/>
        <w:outlineLvl w:val="9"/>
        <w:rPr>
          <w:rFonts w:hint="eastAsia" w:ascii="宋体" w:hAnsi="宋体" w:eastAsia="宋体" w:cs="宋体"/>
          <w:color w:val="000000"/>
          <w:sz w:val="24"/>
          <w:szCs w:val="24"/>
        </w:rPr>
      </w:pPr>
    </w:p>
    <w:p w14:paraId="23E113A1">
      <w:pPr>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甲方：                                    乙方：</w:t>
      </w:r>
    </w:p>
    <w:p w14:paraId="24819EE7">
      <w:pPr>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授权代表：                                授权代表：</w:t>
      </w:r>
    </w:p>
    <w:p w14:paraId="74EF850F">
      <w:pPr>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日期：    年   月    日                   日期：   年   月   日</w:t>
      </w:r>
    </w:p>
    <w:p w14:paraId="3A33F090">
      <w:pPr>
        <w:pStyle w:val="5"/>
        <w:spacing w:line="360" w:lineRule="auto"/>
        <w:outlineLvl w:val="9"/>
        <w:rPr>
          <w:rFonts w:hint="eastAsia" w:ascii="宋体" w:hAnsi="宋体" w:eastAsia="宋体" w:cs="宋体"/>
          <w:color w:val="000000"/>
          <w:sz w:val="24"/>
          <w:szCs w:val="24"/>
        </w:rPr>
      </w:pPr>
      <w:r>
        <w:rPr>
          <w:rFonts w:hint="eastAsia" w:ascii="仿宋" w:hAnsi="仿宋" w:eastAsia="仿宋" w:cs="仿宋"/>
          <w:color w:val="000000"/>
          <w:sz w:val="24"/>
          <w:szCs w:val="24"/>
        </w:rPr>
        <w:br w:type="page"/>
      </w:r>
      <w:r>
        <w:rPr>
          <w:rFonts w:hint="eastAsia" w:ascii="宋体" w:hAnsi="宋体" w:eastAsia="宋体" w:cs="宋体"/>
          <w:color w:val="000000"/>
          <w:sz w:val="24"/>
          <w:szCs w:val="24"/>
        </w:rPr>
        <w:t>合同附件1：人员配置表</w:t>
      </w:r>
    </w:p>
    <w:tbl>
      <w:tblPr>
        <w:tblStyle w:val="6"/>
        <w:tblW w:w="10185" w:type="dxa"/>
        <w:jc w:val="center"/>
        <w:tblLayout w:type="fixed"/>
        <w:tblCellMar>
          <w:top w:w="0" w:type="dxa"/>
          <w:left w:w="108" w:type="dxa"/>
          <w:bottom w:w="0" w:type="dxa"/>
          <w:right w:w="108" w:type="dxa"/>
        </w:tblCellMar>
      </w:tblPr>
      <w:tblGrid>
        <w:gridCol w:w="1257"/>
        <w:gridCol w:w="3133"/>
        <w:gridCol w:w="1517"/>
        <w:gridCol w:w="1516"/>
        <w:gridCol w:w="2762"/>
      </w:tblGrid>
      <w:tr w14:paraId="49B952BA">
        <w:tblPrEx>
          <w:tblCellMar>
            <w:top w:w="0" w:type="dxa"/>
            <w:left w:w="108" w:type="dxa"/>
            <w:bottom w:w="0" w:type="dxa"/>
            <w:right w:w="108" w:type="dxa"/>
          </w:tblCellMar>
        </w:tblPrEx>
        <w:trPr>
          <w:trHeight w:val="567" w:hRule="atLeast"/>
          <w:tblHeader/>
          <w:jc w:val="center"/>
        </w:trPr>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D75C">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序号</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3E47">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岗位</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12D5">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数量</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C506">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单位</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29F70">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服务时间</w:t>
            </w:r>
          </w:p>
        </w:tc>
      </w:tr>
      <w:tr w14:paraId="667A3264">
        <w:tblPrEx>
          <w:tblCellMar>
            <w:top w:w="0" w:type="dxa"/>
            <w:left w:w="108" w:type="dxa"/>
            <w:bottom w:w="0" w:type="dxa"/>
            <w:right w:w="108" w:type="dxa"/>
          </w:tblCellMar>
        </w:tblPrEx>
        <w:trPr>
          <w:trHeight w:val="567" w:hRule="atLeast"/>
          <w:jc w:val="center"/>
        </w:trPr>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A61F">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1F12">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1栋A座</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34E9">
            <w:pPr>
              <w:spacing w:line="240" w:lineRule="auto"/>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kern w:val="0"/>
                <w:sz w:val="24"/>
                <w:szCs w:val="24"/>
                <w:lang w:val="en-US" w:eastAsia="zh-CN" w:bidi="ar"/>
              </w:rPr>
              <w:t>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CB01">
            <w:pPr>
              <w:spacing w:line="240" w:lineRule="auto"/>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sz w:val="24"/>
                <w:szCs w:val="24"/>
                <w:lang w:val="en-US" w:eastAsia="zh-CN"/>
              </w:rPr>
              <w:t>岗</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B463">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16</w:t>
            </w:r>
            <w:r>
              <w:rPr>
                <w:rFonts w:hint="eastAsia" w:ascii="宋体" w:hAnsi="宋体" w:eastAsia="宋体" w:cs="宋体"/>
                <w:color w:val="000000"/>
                <w:kern w:val="0"/>
                <w:sz w:val="24"/>
                <w:szCs w:val="24"/>
                <w:lang w:bidi="ar"/>
              </w:rPr>
              <w:t>小时/天</w:t>
            </w:r>
          </w:p>
        </w:tc>
      </w:tr>
      <w:tr w14:paraId="641A7DE3">
        <w:tblPrEx>
          <w:tblCellMar>
            <w:top w:w="0" w:type="dxa"/>
            <w:left w:w="108" w:type="dxa"/>
            <w:bottom w:w="0" w:type="dxa"/>
            <w:right w:w="108" w:type="dxa"/>
          </w:tblCellMar>
        </w:tblPrEx>
        <w:trPr>
          <w:trHeight w:val="567" w:hRule="atLeast"/>
          <w:jc w:val="center"/>
        </w:trPr>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07D8">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DDF6">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2栋一单元</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5FB4">
            <w:pPr>
              <w:spacing w:line="240" w:lineRule="auto"/>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5952">
            <w:pPr>
              <w:spacing w:line="240" w:lineRule="auto"/>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岗</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28869">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16</w:t>
            </w:r>
            <w:r>
              <w:rPr>
                <w:rFonts w:hint="eastAsia" w:ascii="宋体" w:hAnsi="宋体" w:eastAsia="宋体" w:cs="宋体"/>
                <w:color w:val="000000"/>
                <w:kern w:val="0"/>
                <w:sz w:val="24"/>
                <w:szCs w:val="24"/>
                <w:lang w:bidi="ar"/>
              </w:rPr>
              <w:t>小时/天</w:t>
            </w:r>
          </w:p>
        </w:tc>
      </w:tr>
      <w:tr w14:paraId="2966CDF3">
        <w:tblPrEx>
          <w:tblCellMar>
            <w:top w:w="0" w:type="dxa"/>
            <w:left w:w="108" w:type="dxa"/>
            <w:bottom w:w="0" w:type="dxa"/>
            <w:right w:w="108" w:type="dxa"/>
          </w:tblCellMar>
        </w:tblPrEx>
        <w:trPr>
          <w:trHeight w:val="567" w:hRule="atLeast"/>
          <w:jc w:val="center"/>
        </w:trPr>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22CF">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B653">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2栋二单元</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50B7">
            <w:pPr>
              <w:spacing w:line="240" w:lineRule="auto"/>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bidi="ar"/>
              </w:rPr>
              <w:t>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455C">
            <w:pPr>
              <w:spacing w:line="240" w:lineRule="auto"/>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岗</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D019">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16</w:t>
            </w:r>
            <w:r>
              <w:rPr>
                <w:rFonts w:hint="eastAsia" w:ascii="宋体" w:hAnsi="宋体" w:eastAsia="宋体" w:cs="宋体"/>
                <w:color w:val="000000"/>
                <w:kern w:val="0"/>
                <w:sz w:val="24"/>
                <w:szCs w:val="24"/>
                <w:lang w:bidi="ar"/>
              </w:rPr>
              <w:t>小时/天</w:t>
            </w:r>
          </w:p>
        </w:tc>
      </w:tr>
      <w:tr w14:paraId="07812C61">
        <w:tblPrEx>
          <w:tblCellMar>
            <w:top w:w="0" w:type="dxa"/>
            <w:left w:w="108" w:type="dxa"/>
            <w:bottom w:w="0" w:type="dxa"/>
            <w:right w:w="108" w:type="dxa"/>
          </w:tblCellMar>
        </w:tblPrEx>
        <w:trPr>
          <w:trHeight w:val="567" w:hRule="atLeast"/>
          <w:jc w:val="center"/>
        </w:trPr>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1632">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01417">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广场外围</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9971">
            <w:pPr>
              <w:spacing w:line="240" w:lineRule="auto"/>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kern w:val="0"/>
                <w:sz w:val="24"/>
                <w:szCs w:val="24"/>
                <w:lang w:val="en-US" w:eastAsia="zh-CN" w:bidi="ar"/>
              </w:rPr>
              <w:t>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DB4E">
            <w:pPr>
              <w:spacing w:line="240" w:lineRule="auto"/>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岗</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02AB">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24</w:t>
            </w:r>
            <w:r>
              <w:rPr>
                <w:rFonts w:hint="eastAsia" w:ascii="宋体" w:hAnsi="宋体" w:eastAsia="宋体" w:cs="宋体"/>
                <w:color w:val="000000"/>
                <w:kern w:val="0"/>
                <w:sz w:val="24"/>
                <w:szCs w:val="24"/>
                <w:lang w:bidi="ar"/>
              </w:rPr>
              <w:t>小时/天</w:t>
            </w:r>
          </w:p>
        </w:tc>
      </w:tr>
      <w:tr w14:paraId="03D65E4B">
        <w:tblPrEx>
          <w:tblCellMar>
            <w:top w:w="0" w:type="dxa"/>
            <w:left w:w="108" w:type="dxa"/>
            <w:bottom w:w="0" w:type="dxa"/>
            <w:right w:w="108" w:type="dxa"/>
          </w:tblCellMar>
        </w:tblPrEx>
        <w:trPr>
          <w:trHeight w:val="567" w:hRule="atLeast"/>
          <w:jc w:val="center"/>
        </w:trPr>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CC80">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93CF">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二楼花园</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19A9D">
            <w:pPr>
              <w:spacing w:line="240" w:lineRule="auto"/>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kern w:val="0"/>
                <w:sz w:val="24"/>
                <w:szCs w:val="24"/>
                <w:lang w:val="en-US" w:eastAsia="zh-CN" w:bidi="ar"/>
              </w:rPr>
              <w:t>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2CFC">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岗</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324CB">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24</w:t>
            </w:r>
            <w:r>
              <w:rPr>
                <w:rFonts w:hint="eastAsia" w:ascii="宋体" w:hAnsi="宋体" w:eastAsia="宋体" w:cs="宋体"/>
                <w:color w:val="000000"/>
                <w:kern w:val="0"/>
                <w:sz w:val="24"/>
                <w:szCs w:val="24"/>
                <w:lang w:bidi="ar"/>
              </w:rPr>
              <w:t>小时/天</w:t>
            </w:r>
          </w:p>
        </w:tc>
      </w:tr>
      <w:tr w14:paraId="59EB2908">
        <w:tblPrEx>
          <w:tblCellMar>
            <w:top w:w="0" w:type="dxa"/>
            <w:left w:w="108" w:type="dxa"/>
            <w:bottom w:w="0" w:type="dxa"/>
            <w:right w:w="108" w:type="dxa"/>
          </w:tblCellMar>
        </w:tblPrEx>
        <w:trPr>
          <w:trHeight w:val="567" w:hRule="atLeast"/>
          <w:jc w:val="center"/>
        </w:trPr>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15BB">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28F92">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保障房</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3DF6">
            <w:pPr>
              <w:spacing w:line="240" w:lineRule="auto"/>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kern w:val="0"/>
                <w:sz w:val="24"/>
                <w:szCs w:val="24"/>
                <w:lang w:val="en-US" w:eastAsia="zh-CN" w:bidi="ar"/>
              </w:rPr>
              <w:t>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D230A">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岗</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59CA">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24</w:t>
            </w:r>
            <w:r>
              <w:rPr>
                <w:rFonts w:hint="eastAsia" w:ascii="宋体" w:hAnsi="宋体" w:eastAsia="宋体" w:cs="宋体"/>
                <w:color w:val="000000"/>
                <w:kern w:val="0"/>
                <w:sz w:val="24"/>
                <w:szCs w:val="24"/>
                <w:lang w:bidi="ar"/>
              </w:rPr>
              <w:t>小时/天</w:t>
            </w:r>
          </w:p>
        </w:tc>
      </w:tr>
      <w:tr w14:paraId="17423F6D">
        <w:tblPrEx>
          <w:tblCellMar>
            <w:top w:w="0" w:type="dxa"/>
            <w:left w:w="108" w:type="dxa"/>
            <w:bottom w:w="0" w:type="dxa"/>
            <w:right w:w="108" w:type="dxa"/>
          </w:tblCellMar>
        </w:tblPrEx>
        <w:trPr>
          <w:trHeight w:val="567" w:hRule="atLeast"/>
          <w:jc w:val="center"/>
        </w:trPr>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EDC7">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w:t>
            </w:r>
          </w:p>
        </w:tc>
        <w:tc>
          <w:tcPr>
            <w:tcW w:w="3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38024">
            <w:pPr>
              <w:spacing w:line="240" w:lineRule="auto"/>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车库</w:t>
            </w:r>
            <w:r>
              <w:rPr>
                <w:rFonts w:hint="eastAsia" w:ascii="宋体" w:hAnsi="宋体" w:eastAsia="宋体" w:cs="宋体"/>
                <w:color w:val="000000"/>
                <w:kern w:val="0"/>
                <w:sz w:val="24"/>
                <w:szCs w:val="24"/>
                <w:lang w:val="en-US" w:eastAsia="zh-CN" w:bidi="ar"/>
              </w:rPr>
              <w:t>巡逻</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16D6F">
            <w:pPr>
              <w:spacing w:line="240" w:lineRule="auto"/>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kern w:val="0"/>
                <w:sz w:val="24"/>
                <w:szCs w:val="24"/>
                <w:lang w:val="en-US" w:eastAsia="zh-CN" w:bidi="ar"/>
              </w:rPr>
              <w:t>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83C2">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岗</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3F25">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24</w:t>
            </w:r>
            <w:r>
              <w:rPr>
                <w:rFonts w:hint="eastAsia" w:ascii="宋体" w:hAnsi="宋体" w:eastAsia="宋体" w:cs="宋体"/>
                <w:color w:val="000000"/>
                <w:kern w:val="0"/>
                <w:sz w:val="24"/>
                <w:szCs w:val="24"/>
                <w:lang w:bidi="ar"/>
              </w:rPr>
              <w:t>小时/天</w:t>
            </w:r>
          </w:p>
        </w:tc>
      </w:tr>
      <w:tr w14:paraId="1333F6EA">
        <w:tblPrEx>
          <w:tblCellMar>
            <w:top w:w="0" w:type="dxa"/>
            <w:left w:w="108" w:type="dxa"/>
            <w:bottom w:w="0" w:type="dxa"/>
            <w:right w:w="108" w:type="dxa"/>
          </w:tblCellMar>
        </w:tblPrEx>
        <w:trPr>
          <w:trHeight w:val="567" w:hRule="atLeast"/>
          <w:jc w:val="center"/>
        </w:trPr>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A7C2">
            <w:pPr>
              <w:spacing w:line="240" w:lineRule="auto"/>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kern w:val="0"/>
                <w:sz w:val="24"/>
                <w:szCs w:val="24"/>
                <w:lang w:val="en-US" w:eastAsia="zh-CN" w:bidi="ar"/>
              </w:rPr>
              <w:t>8</w:t>
            </w:r>
          </w:p>
        </w:tc>
        <w:tc>
          <w:tcPr>
            <w:tcW w:w="3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B427">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轮休岗</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5026">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7974">
            <w:pPr>
              <w:spacing w:line="240" w:lineRule="auto"/>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岗</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7A9D">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8</w:t>
            </w:r>
            <w:r>
              <w:rPr>
                <w:rFonts w:hint="eastAsia" w:ascii="宋体" w:hAnsi="宋体" w:eastAsia="宋体" w:cs="宋体"/>
                <w:color w:val="000000"/>
                <w:kern w:val="0"/>
                <w:sz w:val="24"/>
                <w:szCs w:val="24"/>
                <w:lang w:bidi="ar"/>
              </w:rPr>
              <w:t>小时/天</w:t>
            </w:r>
          </w:p>
        </w:tc>
      </w:tr>
      <w:tr w14:paraId="2388E788">
        <w:tblPrEx>
          <w:tblCellMar>
            <w:top w:w="0" w:type="dxa"/>
            <w:left w:w="108" w:type="dxa"/>
            <w:bottom w:w="0" w:type="dxa"/>
            <w:right w:w="108" w:type="dxa"/>
          </w:tblCellMar>
        </w:tblPrEx>
        <w:trPr>
          <w:trHeight w:val="567" w:hRule="atLeast"/>
          <w:jc w:val="center"/>
        </w:trPr>
        <w:tc>
          <w:tcPr>
            <w:tcW w:w="43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CFB3">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526C1">
            <w:pPr>
              <w:spacing w:line="240" w:lineRule="auto"/>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bidi="ar"/>
              </w:rPr>
              <w:t>8</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48F6">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岗</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F235">
            <w:pPr>
              <w:spacing w:line="24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r>
    </w:tbl>
    <w:p w14:paraId="16EE9941">
      <w:pPr>
        <w:pStyle w:val="5"/>
        <w:spacing w:line="360" w:lineRule="auto"/>
        <w:outlineLvl w:val="9"/>
        <w:rPr>
          <w:rFonts w:hint="eastAsia" w:ascii="宋体" w:hAnsi="宋体" w:eastAsia="宋体" w:cs="宋体"/>
          <w:color w:val="000000"/>
          <w:sz w:val="24"/>
          <w:szCs w:val="24"/>
        </w:rPr>
        <w:sectPr>
          <w:headerReference r:id="rId3" w:type="default"/>
          <w:footerReference r:id="rId4" w:type="default"/>
          <w:pgSz w:w="11906" w:h="16838"/>
          <w:pgMar w:top="1134" w:right="851" w:bottom="993" w:left="851" w:header="851" w:footer="454" w:gutter="0"/>
          <w:pgNumType w:fmt="decimal"/>
          <w:cols w:space="720" w:num="1"/>
          <w:docGrid w:type="lines" w:linePitch="312" w:charSpace="0"/>
        </w:sectPr>
      </w:pPr>
    </w:p>
    <w:p w14:paraId="21C97532">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合同附件2：保安服务标准</w:t>
      </w:r>
    </w:p>
    <w:p w14:paraId="03FCD293">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000000"/>
          <w:sz w:val="24"/>
          <w:szCs w:val="24"/>
        </w:rPr>
      </w:pPr>
      <w:r>
        <w:rPr>
          <w:rFonts w:hint="eastAsia" w:ascii="宋体" w:hAnsi="宋体" w:eastAsia="宋体" w:cs="宋体"/>
          <w:b/>
          <w:bCs/>
          <w:color w:val="000000"/>
          <w:kern w:val="2"/>
          <w:sz w:val="24"/>
          <w:szCs w:val="24"/>
          <w:lang w:val="en-US" w:eastAsia="zh-CN" w:bidi="ar-SA"/>
        </w:rPr>
        <w:t>一、</w:t>
      </w:r>
      <w:r>
        <w:rPr>
          <w:rFonts w:hint="eastAsia" w:ascii="宋体" w:hAnsi="宋体" w:eastAsia="宋体" w:cs="宋体"/>
          <w:b/>
          <w:bCs/>
          <w:color w:val="000000"/>
          <w:sz w:val="24"/>
          <w:szCs w:val="24"/>
        </w:rPr>
        <w:t>仪容标准</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9195"/>
      </w:tblGrid>
      <w:tr w14:paraId="79EF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2" w:type="dxa"/>
            <w:vAlign w:val="center"/>
          </w:tcPr>
          <w:p w14:paraId="6F5BC0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项目</w:t>
            </w:r>
          </w:p>
        </w:tc>
        <w:tc>
          <w:tcPr>
            <w:tcW w:w="9195" w:type="dxa"/>
            <w:vAlign w:val="center"/>
          </w:tcPr>
          <w:p w14:paraId="6B57087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男员工</w:t>
            </w:r>
          </w:p>
        </w:tc>
      </w:tr>
      <w:tr w14:paraId="738A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2" w:type="dxa"/>
            <w:vAlign w:val="center"/>
          </w:tcPr>
          <w:p w14:paraId="43E045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整体</w:t>
            </w:r>
          </w:p>
        </w:tc>
        <w:tc>
          <w:tcPr>
            <w:tcW w:w="9195" w:type="dxa"/>
            <w:vAlign w:val="center"/>
          </w:tcPr>
          <w:p w14:paraId="3477330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自然大方得体，符合工作需要及安全规则，神采奕奕，容光焕发，整齐整洁。</w:t>
            </w:r>
          </w:p>
        </w:tc>
      </w:tr>
      <w:tr w14:paraId="59D5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2" w:type="dxa"/>
            <w:vAlign w:val="center"/>
          </w:tcPr>
          <w:p w14:paraId="2FB89C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头发</w:t>
            </w:r>
          </w:p>
        </w:tc>
        <w:tc>
          <w:tcPr>
            <w:tcW w:w="9195" w:type="dxa"/>
            <w:vAlign w:val="center"/>
          </w:tcPr>
          <w:p w14:paraId="783FE6AB">
            <w:pPr>
              <w:keepNext w:val="0"/>
              <w:keepLines w:val="0"/>
              <w:pageBreakBefore w:val="0"/>
              <w:widowControl w:val="0"/>
              <w:kinsoku/>
              <w:wordWrap/>
              <w:overflowPunct/>
              <w:topLinePunct w:val="0"/>
              <w:autoSpaceDE/>
              <w:autoSpaceDN/>
              <w:bidi w:val="0"/>
              <w:adjustRightInd/>
              <w:snapToGrid/>
              <w:spacing w:line="240" w:lineRule="auto"/>
              <w:ind w:firstLine="0" w:firstLineChars="0"/>
              <w:contextualSpacing/>
              <w:jc w:val="both"/>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梳理整齐，勤洗头，无头皮屑，无异味，不得染发。</w:t>
            </w:r>
          </w:p>
        </w:tc>
      </w:tr>
      <w:tr w14:paraId="28D4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2" w:type="dxa"/>
            <w:vAlign w:val="center"/>
          </w:tcPr>
          <w:p w14:paraId="0B2D94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发型</w:t>
            </w:r>
          </w:p>
        </w:tc>
        <w:tc>
          <w:tcPr>
            <w:tcW w:w="9195" w:type="dxa"/>
            <w:vAlign w:val="center"/>
          </w:tcPr>
          <w:p w14:paraId="355C98EA">
            <w:pPr>
              <w:keepNext w:val="0"/>
              <w:keepLines w:val="0"/>
              <w:pageBreakBefore w:val="0"/>
              <w:widowControl w:val="0"/>
              <w:kinsoku/>
              <w:wordWrap/>
              <w:overflowPunct/>
              <w:topLinePunct w:val="0"/>
              <w:autoSpaceDE/>
              <w:autoSpaceDN/>
              <w:bidi w:val="0"/>
              <w:adjustRightInd/>
              <w:snapToGrid/>
              <w:spacing w:line="240" w:lineRule="auto"/>
              <w:ind w:firstLine="0" w:firstLineChars="0"/>
              <w:contextualSpacing/>
              <w:jc w:val="both"/>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大方，不留长发、大鬓角，前发不得过眉，侧发不得触耳，后发不得压领。</w:t>
            </w:r>
          </w:p>
        </w:tc>
      </w:tr>
      <w:tr w14:paraId="3B78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2" w:type="dxa"/>
            <w:vAlign w:val="center"/>
          </w:tcPr>
          <w:p w14:paraId="189B4F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面容</w:t>
            </w:r>
          </w:p>
        </w:tc>
        <w:tc>
          <w:tcPr>
            <w:tcW w:w="9195" w:type="dxa"/>
            <w:vAlign w:val="center"/>
          </w:tcPr>
          <w:p w14:paraId="43392093">
            <w:pPr>
              <w:keepNext w:val="0"/>
              <w:keepLines w:val="0"/>
              <w:pageBreakBefore w:val="0"/>
              <w:widowControl w:val="0"/>
              <w:kinsoku/>
              <w:wordWrap/>
              <w:overflowPunct/>
              <w:topLinePunct w:val="0"/>
              <w:autoSpaceDE/>
              <w:autoSpaceDN/>
              <w:bidi w:val="0"/>
              <w:adjustRightInd/>
              <w:snapToGrid/>
              <w:spacing w:line="240" w:lineRule="auto"/>
              <w:ind w:firstLine="0" w:firstLineChars="0"/>
              <w:contextualSpacing/>
              <w:jc w:val="both"/>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脸、颈及耳朵绝对干净，胡子刮干净。</w:t>
            </w:r>
          </w:p>
        </w:tc>
      </w:tr>
      <w:tr w14:paraId="3554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2" w:type="dxa"/>
            <w:vAlign w:val="center"/>
          </w:tcPr>
          <w:p w14:paraId="5BD1FB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口腔</w:t>
            </w:r>
          </w:p>
        </w:tc>
        <w:tc>
          <w:tcPr>
            <w:tcW w:w="9195" w:type="dxa"/>
            <w:vAlign w:val="center"/>
          </w:tcPr>
          <w:p w14:paraId="7BA0E9D1">
            <w:pPr>
              <w:keepNext w:val="0"/>
              <w:keepLines w:val="0"/>
              <w:pageBreakBefore w:val="0"/>
              <w:widowControl w:val="0"/>
              <w:kinsoku/>
              <w:wordWrap/>
              <w:overflowPunct/>
              <w:topLinePunct w:val="0"/>
              <w:autoSpaceDE/>
              <w:autoSpaceDN/>
              <w:bidi w:val="0"/>
              <w:adjustRightInd/>
              <w:snapToGrid/>
              <w:spacing w:line="240" w:lineRule="auto"/>
              <w:ind w:firstLine="0" w:firstLineChars="0"/>
              <w:contextualSpacing/>
              <w:jc w:val="both"/>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每天起床刷牙，以保持口腔清洁，不吃有异味的食物，牙齿里无杂物。</w:t>
            </w:r>
          </w:p>
        </w:tc>
      </w:tr>
      <w:tr w14:paraId="78BD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2" w:type="dxa"/>
            <w:vAlign w:val="center"/>
          </w:tcPr>
          <w:p w14:paraId="4EB23C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身体</w:t>
            </w:r>
          </w:p>
        </w:tc>
        <w:tc>
          <w:tcPr>
            <w:tcW w:w="9195" w:type="dxa"/>
            <w:vAlign w:val="center"/>
          </w:tcPr>
          <w:p w14:paraId="5C754DBF">
            <w:pPr>
              <w:keepNext w:val="0"/>
              <w:keepLines w:val="0"/>
              <w:pageBreakBefore w:val="0"/>
              <w:widowControl w:val="0"/>
              <w:kinsoku/>
              <w:wordWrap/>
              <w:overflowPunct/>
              <w:topLinePunct w:val="0"/>
              <w:autoSpaceDE/>
              <w:autoSpaceDN/>
              <w:bidi w:val="0"/>
              <w:adjustRightInd/>
              <w:snapToGrid/>
              <w:spacing w:line="240" w:lineRule="auto"/>
              <w:ind w:firstLine="0" w:firstLineChars="0"/>
              <w:contextualSpacing/>
              <w:jc w:val="both"/>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香水清淡，勤洗澡，无体味。</w:t>
            </w:r>
          </w:p>
        </w:tc>
      </w:tr>
      <w:tr w14:paraId="456D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2" w:type="dxa"/>
            <w:vAlign w:val="center"/>
          </w:tcPr>
          <w:p w14:paraId="5F2525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项目</w:t>
            </w:r>
          </w:p>
        </w:tc>
        <w:tc>
          <w:tcPr>
            <w:tcW w:w="9195" w:type="dxa"/>
            <w:vAlign w:val="center"/>
          </w:tcPr>
          <w:p w14:paraId="0DB6791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outlineLvl w:val="9"/>
              <w:rPr>
                <w:rFonts w:hint="eastAsia" w:ascii="宋体" w:hAnsi="宋体" w:eastAsia="宋体" w:cs="宋体"/>
                <w:color w:val="000000"/>
                <w:sz w:val="24"/>
                <w:szCs w:val="24"/>
                <w:vertAlign w:val="baseline"/>
              </w:rPr>
            </w:pPr>
            <w:r>
              <w:rPr>
                <w:rFonts w:hint="eastAsia" w:ascii="宋体" w:hAnsi="宋体" w:eastAsia="宋体" w:cs="宋体"/>
                <w:sz w:val="24"/>
                <w:szCs w:val="24"/>
              </w:rPr>
              <w:t>男员工</w:t>
            </w:r>
          </w:p>
        </w:tc>
      </w:tr>
      <w:tr w14:paraId="7830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2" w:type="dxa"/>
            <w:vMerge w:val="restart"/>
            <w:vAlign w:val="center"/>
          </w:tcPr>
          <w:p w14:paraId="5611A5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手</w:t>
            </w:r>
          </w:p>
        </w:tc>
        <w:tc>
          <w:tcPr>
            <w:tcW w:w="9195" w:type="dxa"/>
            <w:vAlign w:val="center"/>
          </w:tcPr>
          <w:p w14:paraId="10849112">
            <w:pPr>
              <w:keepNext w:val="0"/>
              <w:keepLines w:val="0"/>
              <w:pageBreakBefore w:val="0"/>
              <w:widowControl w:val="0"/>
              <w:kinsoku/>
              <w:wordWrap/>
              <w:overflowPunct/>
              <w:topLinePunct w:val="0"/>
              <w:autoSpaceDE/>
              <w:autoSpaceDN/>
              <w:bidi w:val="0"/>
              <w:adjustRightInd/>
              <w:snapToGrid/>
              <w:spacing w:line="240" w:lineRule="auto"/>
              <w:ind w:firstLine="0" w:firstLineChars="0"/>
              <w:contextualSpacing/>
              <w:jc w:val="both"/>
              <w:outlineLvl w:val="9"/>
              <w:rPr>
                <w:rFonts w:hint="eastAsia" w:ascii="宋体" w:hAnsi="宋体" w:eastAsia="宋体" w:cs="宋体"/>
                <w:sz w:val="24"/>
                <w:szCs w:val="24"/>
              </w:rPr>
            </w:pPr>
            <w:r>
              <w:rPr>
                <w:rFonts w:hint="eastAsia" w:ascii="宋体" w:hAnsi="宋体" w:eastAsia="宋体" w:cs="宋体"/>
                <w:sz w:val="24"/>
                <w:szCs w:val="24"/>
              </w:rPr>
              <w:t>不能留长指甲，手、指甲保持干净。</w:t>
            </w:r>
          </w:p>
        </w:tc>
      </w:tr>
      <w:tr w14:paraId="6131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2" w:type="dxa"/>
            <w:vMerge w:val="continue"/>
            <w:vAlign w:val="center"/>
          </w:tcPr>
          <w:p w14:paraId="7C6FEB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sz w:val="24"/>
                <w:szCs w:val="24"/>
              </w:rPr>
            </w:pPr>
          </w:p>
        </w:tc>
        <w:tc>
          <w:tcPr>
            <w:tcW w:w="9195" w:type="dxa"/>
            <w:vAlign w:val="center"/>
          </w:tcPr>
          <w:p w14:paraId="45F710EE">
            <w:pPr>
              <w:keepNext w:val="0"/>
              <w:keepLines w:val="0"/>
              <w:pageBreakBefore w:val="0"/>
              <w:widowControl w:val="0"/>
              <w:kinsoku/>
              <w:wordWrap/>
              <w:overflowPunct/>
              <w:topLinePunct w:val="0"/>
              <w:autoSpaceDE/>
              <w:autoSpaceDN/>
              <w:bidi w:val="0"/>
              <w:adjustRightInd/>
              <w:snapToGrid/>
              <w:spacing w:line="240" w:lineRule="auto"/>
              <w:ind w:firstLine="0" w:firstLineChars="0"/>
              <w:contextualSpacing/>
              <w:jc w:val="both"/>
              <w:outlineLvl w:val="9"/>
              <w:rPr>
                <w:rFonts w:hint="eastAsia" w:ascii="宋体" w:hAnsi="宋体" w:eastAsia="宋体" w:cs="宋体"/>
                <w:sz w:val="24"/>
                <w:szCs w:val="24"/>
              </w:rPr>
            </w:pPr>
            <w:r>
              <w:rPr>
                <w:rFonts w:hint="eastAsia" w:ascii="宋体" w:hAnsi="宋体" w:eastAsia="宋体" w:cs="宋体"/>
                <w:sz w:val="24"/>
                <w:szCs w:val="24"/>
              </w:rPr>
              <w:t>不能涂指甲油。</w:t>
            </w:r>
          </w:p>
        </w:tc>
      </w:tr>
      <w:tr w14:paraId="33D2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2" w:type="dxa"/>
            <w:vAlign w:val="center"/>
          </w:tcPr>
          <w:p w14:paraId="7BD788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饰品</w:t>
            </w:r>
          </w:p>
        </w:tc>
        <w:tc>
          <w:tcPr>
            <w:tcW w:w="9195" w:type="dxa"/>
            <w:vAlign w:val="center"/>
          </w:tcPr>
          <w:p w14:paraId="3B133EC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领带(结)扎系得当，内衣不得外露；除手表外，不能佩戴首饰（订婚、结婚戒指除外）。</w:t>
            </w:r>
          </w:p>
        </w:tc>
      </w:tr>
      <w:tr w14:paraId="2F31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jc w:val="center"/>
        </w:trPr>
        <w:tc>
          <w:tcPr>
            <w:tcW w:w="1082" w:type="dxa"/>
            <w:vAlign w:val="center"/>
          </w:tcPr>
          <w:p w14:paraId="7CD69A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服装</w:t>
            </w:r>
          </w:p>
        </w:tc>
        <w:tc>
          <w:tcPr>
            <w:tcW w:w="9195" w:type="dxa"/>
            <w:vAlign w:val="center"/>
          </w:tcPr>
          <w:p w14:paraId="4289F9C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穿着统一制服、佩戴工牌；</w:t>
            </w:r>
          </w:p>
          <w:p w14:paraId="11C88AC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制服要求干净、整洁、无褶皱，领子、袖口绝对保持干净，上衣肩无头皮屑；</w:t>
            </w:r>
          </w:p>
          <w:p w14:paraId="2121A31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外衣纽扣须全部扣上，不得敞开、卷袖；</w:t>
            </w:r>
          </w:p>
          <w:p w14:paraId="68B2235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外衣和衬衣领口，不得显露个人衣物，外衣衣袋不得多装物品，显得鼓起；</w:t>
            </w:r>
          </w:p>
          <w:p w14:paraId="6E61997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非因工作需要，不得在大厦外穿着工装；</w:t>
            </w:r>
          </w:p>
          <w:p w14:paraId="1BF8548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不允许当众整理、穿脱衣服；</w:t>
            </w:r>
          </w:p>
          <w:p w14:paraId="332EC03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工卡佩戴于左胸处，工卡下沿与口袋上沿平齐，左侧平齐口袋左侧；</w:t>
            </w:r>
          </w:p>
          <w:p w14:paraId="2988B03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保持工牌表面的清洁，没有任何污损。</w:t>
            </w:r>
          </w:p>
        </w:tc>
      </w:tr>
      <w:tr w14:paraId="7C4E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82" w:type="dxa"/>
            <w:vAlign w:val="center"/>
          </w:tcPr>
          <w:p w14:paraId="56419A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鞋袜</w:t>
            </w:r>
          </w:p>
        </w:tc>
        <w:tc>
          <w:tcPr>
            <w:tcW w:w="9195" w:type="dxa"/>
            <w:vAlign w:val="center"/>
          </w:tcPr>
          <w:p w14:paraId="1CB8188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统一穿黑色皮鞋，鞋擦亮，鞋带系好，鞋跟完好；</w:t>
            </w:r>
          </w:p>
          <w:p w14:paraId="3925F9D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着工服必须穿深色袜子，拉挺、无破损；</w:t>
            </w:r>
          </w:p>
          <w:p w14:paraId="0EE7A40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鞋袜清洁无异味。</w:t>
            </w:r>
          </w:p>
        </w:tc>
      </w:tr>
    </w:tbl>
    <w:p w14:paraId="01BBF15C">
      <w:pPr>
        <w:pStyle w:val="5"/>
        <w:keepNext w:val="0"/>
        <w:keepLines w:val="0"/>
        <w:pageBreakBefore w:val="0"/>
        <w:widowControl w:val="0"/>
        <w:tabs>
          <w:tab w:val="left" w:pos="674"/>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二、仪表标准</w:t>
      </w:r>
    </w:p>
    <w:tbl>
      <w:tblPr>
        <w:tblStyle w:val="6"/>
        <w:tblW w:w="10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9218"/>
      </w:tblGrid>
      <w:tr w14:paraId="46D3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1000" w:type="dxa"/>
            <w:vAlign w:val="center"/>
          </w:tcPr>
          <w:p w14:paraId="220D476A">
            <w:pPr>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站姿</w:t>
            </w:r>
          </w:p>
        </w:tc>
        <w:tc>
          <w:tcPr>
            <w:tcW w:w="9218" w:type="dxa"/>
            <w:vAlign w:val="center"/>
          </w:tcPr>
          <w:p w14:paraId="52F6D057">
            <w:pPr>
              <w:spacing w:line="240" w:lineRule="auto"/>
              <w:ind w:firstLine="0" w:firstLineChars="0"/>
              <w:jc w:val="left"/>
              <w:outlineLvl w:val="9"/>
              <w:rPr>
                <w:rFonts w:hint="eastAsia" w:ascii="宋体" w:hAnsi="宋体" w:eastAsia="宋体" w:cs="宋体"/>
                <w:sz w:val="24"/>
                <w:szCs w:val="24"/>
              </w:rPr>
            </w:pPr>
            <w:r>
              <w:rPr>
                <w:rFonts w:hint="eastAsia" w:ascii="宋体" w:hAnsi="宋体" w:eastAsia="宋体" w:cs="宋体"/>
                <w:sz w:val="24"/>
                <w:szCs w:val="24"/>
              </w:rPr>
              <w:t>基本要求：站立挺拔，头正、平肩、身直</w:t>
            </w:r>
          </w:p>
          <w:p w14:paraId="1E89FB7A">
            <w:pPr>
              <w:spacing w:line="240" w:lineRule="auto"/>
              <w:ind w:firstLine="0" w:firstLineChars="0"/>
              <w:jc w:val="left"/>
              <w:outlineLvl w:val="9"/>
              <w:rPr>
                <w:rFonts w:hint="eastAsia" w:ascii="宋体" w:hAnsi="宋体" w:eastAsia="宋体" w:cs="宋体"/>
                <w:sz w:val="24"/>
                <w:szCs w:val="24"/>
              </w:rPr>
            </w:pPr>
            <w:r>
              <w:rPr>
                <w:rFonts w:hint="eastAsia" w:ascii="宋体" w:hAnsi="宋体" w:eastAsia="宋体" w:cs="宋体"/>
                <w:sz w:val="24"/>
                <w:szCs w:val="24"/>
              </w:rPr>
              <w:t>基本站姿：</w:t>
            </w:r>
          </w:p>
          <w:p w14:paraId="2224833E">
            <w:pPr>
              <w:adjustRightInd w:val="0"/>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上身正直，两肩放平，稍向后张，小腹微收，腰部挺直，自然挺胸、提髋；</w:t>
            </w:r>
          </w:p>
          <w:p w14:paraId="6A490A45">
            <w:pPr>
              <w:adjustRightInd w:val="0"/>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颈部挺直，头部保持端正，下额微收，两眼向前平视；</w:t>
            </w:r>
          </w:p>
          <w:p w14:paraId="4248B93E">
            <w:pPr>
              <w:adjustRightInd w:val="0"/>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双臂自然下垂，处于身体两侧，手部虎口向前，手指自然弯曲，指尖朝下；</w:t>
            </w:r>
          </w:p>
          <w:p w14:paraId="5A966FED">
            <w:pPr>
              <w:adjustRightInd w:val="0"/>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脚跟与膝盖并拢、靠齐，两脚呈“V”状分开60度。</w:t>
            </w:r>
          </w:p>
          <w:p w14:paraId="1F64C997">
            <w:pPr>
              <w:adjustRightInd w:val="0"/>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变化站姿：阳刚、潇洒、英武。可将双手相握、叠放于腹前，或者相握与身后，双脚可以叉开与肩同宽。</w:t>
            </w:r>
          </w:p>
        </w:tc>
      </w:tr>
      <w:tr w14:paraId="482C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000" w:type="dxa"/>
            <w:vAlign w:val="center"/>
          </w:tcPr>
          <w:p w14:paraId="172706CF">
            <w:pPr>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坐姿</w:t>
            </w:r>
          </w:p>
        </w:tc>
        <w:tc>
          <w:tcPr>
            <w:tcW w:w="9218" w:type="dxa"/>
            <w:vAlign w:val="center"/>
          </w:tcPr>
          <w:p w14:paraId="5822337F">
            <w:pPr>
              <w:spacing w:line="240" w:lineRule="auto"/>
              <w:ind w:firstLine="0" w:firstLineChars="0"/>
              <w:jc w:val="left"/>
              <w:outlineLvl w:val="9"/>
              <w:rPr>
                <w:rFonts w:hint="eastAsia" w:ascii="宋体" w:hAnsi="宋体" w:eastAsia="宋体" w:cs="宋体"/>
                <w:sz w:val="24"/>
                <w:szCs w:val="24"/>
              </w:rPr>
            </w:pPr>
            <w:r>
              <w:rPr>
                <w:rFonts w:hint="eastAsia" w:ascii="宋体" w:hAnsi="宋体" w:eastAsia="宋体" w:cs="宋体"/>
                <w:sz w:val="24"/>
                <w:szCs w:val="24"/>
              </w:rPr>
              <w:t>入座时，要轻稳，不要赶步，以免给人以“抢座”感；</w:t>
            </w:r>
          </w:p>
          <w:p w14:paraId="470CBC2B">
            <w:pPr>
              <w:spacing w:line="240" w:lineRule="auto"/>
              <w:ind w:firstLine="0" w:firstLineChars="0"/>
              <w:jc w:val="left"/>
              <w:outlineLvl w:val="9"/>
              <w:rPr>
                <w:rFonts w:hint="eastAsia" w:ascii="宋体" w:hAnsi="宋体" w:eastAsia="宋体" w:cs="宋体"/>
                <w:sz w:val="24"/>
                <w:szCs w:val="24"/>
              </w:rPr>
            </w:pPr>
            <w:r>
              <w:rPr>
                <w:rFonts w:hint="eastAsia" w:ascii="宋体" w:hAnsi="宋体" w:eastAsia="宋体" w:cs="宋体"/>
                <w:sz w:val="24"/>
                <w:szCs w:val="24"/>
              </w:rPr>
              <w:t>坐下后，头部要端正，面带微笑，双目平视，嘴唇微闭，下额微收，双肩平正放松，挺胸立腰、两臂自然弯曲，双手放在膝上，掌心向下，两腿自然平落地上；</w:t>
            </w:r>
          </w:p>
          <w:p w14:paraId="01A07194">
            <w:pPr>
              <w:spacing w:line="240" w:lineRule="auto"/>
              <w:ind w:firstLine="0" w:firstLineChars="0"/>
              <w:jc w:val="left"/>
              <w:outlineLvl w:val="9"/>
              <w:rPr>
                <w:rFonts w:hint="eastAsia" w:ascii="宋体" w:hAnsi="宋体" w:eastAsia="宋体" w:cs="宋体"/>
                <w:sz w:val="24"/>
                <w:szCs w:val="24"/>
              </w:rPr>
            </w:pPr>
            <w:r>
              <w:rPr>
                <w:rFonts w:hint="eastAsia" w:ascii="宋体" w:hAnsi="宋体" w:eastAsia="宋体" w:cs="宋体"/>
                <w:sz w:val="24"/>
                <w:szCs w:val="24"/>
              </w:rPr>
              <w:t>坐在椅子或沙发上时，不要前俯后仰，更不要将脚放在椅子或沙发扶手和茶几上；</w:t>
            </w:r>
          </w:p>
          <w:p w14:paraId="2D0965AD">
            <w:pPr>
              <w:spacing w:line="240" w:lineRule="auto"/>
              <w:ind w:firstLine="0" w:firstLineChars="0"/>
              <w:jc w:val="left"/>
              <w:outlineLvl w:val="9"/>
              <w:rPr>
                <w:rFonts w:hint="eastAsia" w:ascii="宋体" w:hAnsi="宋体" w:eastAsia="宋体" w:cs="宋体"/>
                <w:sz w:val="24"/>
                <w:szCs w:val="24"/>
              </w:rPr>
            </w:pPr>
            <w:r>
              <w:rPr>
                <w:rFonts w:hint="eastAsia" w:ascii="宋体" w:hAnsi="宋体" w:eastAsia="宋体" w:cs="宋体"/>
                <w:sz w:val="24"/>
                <w:szCs w:val="24"/>
              </w:rPr>
              <w:t>不翘二郎腿，两手不要漫不经心地拍打扶手。</w:t>
            </w:r>
          </w:p>
        </w:tc>
      </w:tr>
      <w:tr w14:paraId="146E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00" w:type="dxa"/>
            <w:vAlign w:val="center"/>
          </w:tcPr>
          <w:p w14:paraId="44FD0A46">
            <w:pPr>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行姿</w:t>
            </w:r>
          </w:p>
        </w:tc>
        <w:tc>
          <w:tcPr>
            <w:tcW w:w="9218" w:type="dxa"/>
            <w:vAlign w:val="center"/>
          </w:tcPr>
          <w:p w14:paraId="1A14C137">
            <w:pPr>
              <w:spacing w:line="240" w:lineRule="auto"/>
              <w:ind w:firstLine="0" w:firstLineChars="0"/>
              <w:jc w:val="left"/>
              <w:outlineLvl w:val="9"/>
              <w:rPr>
                <w:rFonts w:hint="eastAsia" w:ascii="宋体" w:hAnsi="宋体" w:eastAsia="宋体" w:cs="宋体"/>
                <w:sz w:val="24"/>
                <w:szCs w:val="24"/>
              </w:rPr>
            </w:pPr>
            <w:r>
              <w:rPr>
                <w:rFonts w:hint="eastAsia" w:ascii="宋体" w:hAnsi="宋体" w:eastAsia="宋体" w:cs="宋体"/>
                <w:sz w:val="24"/>
                <w:szCs w:val="24"/>
              </w:rPr>
              <w:t>基本要求：身体协调，姿势优美、步伐从容、步态平稳，步幅适中、步速均匀，走成直线，上体正直，身体重心可稍向前，头部要端正，颈部挺直，双目平视，肩部放松，挺胸立腰，腹部略微上提，两臂自然前后摆动，双脚行走线迹应是正对前方成直线，不要两脚尖向内或向外形成“内八字”、“外八字”。</w:t>
            </w:r>
          </w:p>
        </w:tc>
      </w:tr>
      <w:tr w14:paraId="24DE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0" w:type="dxa"/>
            <w:vAlign w:val="center"/>
          </w:tcPr>
          <w:p w14:paraId="44BAA99F">
            <w:pPr>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蹲姿</w:t>
            </w:r>
          </w:p>
        </w:tc>
        <w:tc>
          <w:tcPr>
            <w:tcW w:w="9218" w:type="dxa"/>
            <w:vAlign w:val="center"/>
          </w:tcPr>
          <w:p w14:paraId="6F88F285">
            <w:pPr>
              <w:spacing w:line="240" w:lineRule="auto"/>
              <w:ind w:firstLine="0" w:firstLineChars="0"/>
              <w:jc w:val="left"/>
              <w:outlineLvl w:val="9"/>
              <w:rPr>
                <w:rFonts w:hint="eastAsia" w:ascii="宋体" w:hAnsi="宋体" w:eastAsia="宋体" w:cs="宋体"/>
                <w:sz w:val="24"/>
                <w:szCs w:val="24"/>
              </w:rPr>
            </w:pPr>
            <w:r>
              <w:rPr>
                <w:rFonts w:hint="eastAsia" w:ascii="宋体" w:hAnsi="宋体" w:eastAsia="宋体" w:cs="宋体"/>
                <w:sz w:val="24"/>
                <w:szCs w:val="24"/>
              </w:rPr>
              <w:t>以一膝微屈为支撑点将身体中心移此，另一脚屈膝，将腰慢慢直下拿取物品。</w:t>
            </w:r>
          </w:p>
        </w:tc>
      </w:tr>
      <w:tr w14:paraId="1BB8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000" w:type="dxa"/>
            <w:vAlign w:val="center"/>
          </w:tcPr>
          <w:p w14:paraId="1BAB0858">
            <w:pPr>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指引</w:t>
            </w:r>
          </w:p>
          <w:p w14:paraId="370C4F14">
            <w:pPr>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手势</w:t>
            </w:r>
          </w:p>
        </w:tc>
        <w:tc>
          <w:tcPr>
            <w:tcW w:w="9218" w:type="dxa"/>
            <w:vAlign w:val="center"/>
          </w:tcPr>
          <w:p w14:paraId="432775EB">
            <w:pPr>
              <w:adjustRightInd w:val="0"/>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横臂式：多用与请人行进时指示方向。五指并拢，手臂向外侧横向摆动，要将手臂抬至齐胸，指间指向被引导或指示的方向。</w:t>
            </w:r>
          </w:p>
          <w:p w14:paraId="3500CF68">
            <w:pPr>
              <w:adjustRightInd w:val="0"/>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直臂式：多用于引导或指示物品所在位置。与前者不同的是，要将手臂抬至肩高。</w:t>
            </w:r>
          </w:p>
          <w:p w14:paraId="5D26F6F5">
            <w:pPr>
              <w:adjustRightInd w:val="0"/>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斜臂式：多用于请人就座。手臂由上向下斜伸摆动。</w:t>
            </w:r>
          </w:p>
          <w:p w14:paraId="48B76499">
            <w:pPr>
              <w:adjustRightInd w:val="0"/>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曲臂式：多用于请人进门时。手臂弯曲，由体侧向体前摆动，手臂高度在胸以下。</w:t>
            </w:r>
          </w:p>
        </w:tc>
      </w:tr>
      <w:tr w14:paraId="204B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 w:type="dxa"/>
            <w:vAlign w:val="center"/>
          </w:tcPr>
          <w:p w14:paraId="216F6070">
            <w:pPr>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面部</w:t>
            </w:r>
          </w:p>
          <w:p w14:paraId="4FDB3860">
            <w:pPr>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表情</w:t>
            </w:r>
          </w:p>
        </w:tc>
        <w:tc>
          <w:tcPr>
            <w:tcW w:w="9218" w:type="dxa"/>
            <w:vAlign w:val="center"/>
          </w:tcPr>
          <w:p w14:paraId="6D22C67C">
            <w:pPr>
              <w:adjustRightInd w:val="0"/>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表情谦和、自然、友善、真诚、适时；</w:t>
            </w:r>
          </w:p>
          <w:p w14:paraId="3CEC3685">
            <w:pPr>
              <w:adjustRightInd w:val="0"/>
              <w:spacing w:line="240" w:lineRule="auto"/>
              <w:ind w:firstLine="0" w:firstLine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主动迎接宾客目光，与宾客目光接触时，面带微笑，点头示意，问候。</w:t>
            </w:r>
          </w:p>
        </w:tc>
      </w:tr>
      <w:tr w14:paraId="3D94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0" w:type="dxa"/>
            <w:vAlign w:val="center"/>
          </w:tcPr>
          <w:p w14:paraId="7E741058">
            <w:pPr>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声音</w:t>
            </w:r>
          </w:p>
          <w:p w14:paraId="210CA692">
            <w:pPr>
              <w:spacing w:line="240" w:lineRule="auto"/>
              <w:ind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表情</w:t>
            </w:r>
          </w:p>
        </w:tc>
        <w:tc>
          <w:tcPr>
            <w:tcW w:w="9218" w:type="dxa"/>
            <w:vAlign w:val="center"/>
          </w:tcPr>
          <w:p w14:paraId="64DDC86C">
            <w:pPr>
              <w:spacing w:line="240" w:lineRule="auto"/>
              <w:ind w:firstLine="0" w:firstLineChars="0"/>
              <w:jc w:val="left"/>
              <w:outlineLvl w:val="9"/>
              <w:rPr>
                <w:rFonts w:hint="eastAsia" w:ascii="宋体" w:hAnsi="宋体" w:eastAsia="宋体" w:cs="宋体"/>
                <w:sz w:val="24"/>
                <w:szCs w:val="24"/>
              </w:rPr>
            </w:pPr>
            <w:r>
              <w:rPr>
                <w:rFonts w:hint="eastAsia" w:ascii="宋体" w:hAnsi="宋体" w:eastAsia="宋体" w:cs="宋体"/>
                <w:sz w:val="24"/>
                <w:szCs w:val="24"/>
              </w:rPr>
              <w:t>吐字清晰，态度和蔼，音量和蔼，音量适中，发音清楚、易懂、不夹杂地方口音，通过甜美、圆润的声音给客人留下深刻印象。</w:t>
            </w:r>
          </w:p>
        </w:tc>
      </w:tr>
    </w:tbl>
    <w:p w14:paraId="2928D6D9">
      <w:pPr>
        <w:pStyle w:val="5"/>
        <w:keepNext w:val="0"/>
        <w:keepLines w:val="0"/>
        <w:pageBreakBefore w:val="0"/>
        <w:widowControl w:val="0"/>
        <w:tabs>
          <w:tab w:val="left" w:pos="674"/>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三、常用服务礼仪</w:t>
      </w:r>
    </w:p>
    <w:p w14:paraId="4FB199BB">
      <w:pPr>
        <w:spacing w:line="360" w:lineRule="auto"/>
        <w:outlineLvl w:val="9"/>
        <w:rPr>
          <w:rFonts w:hint="eastAsia" w:ascii="宋体" w:hAnsi="宋体" w:eastAsia="宋体" w:cs="宋体"/>
          <w:sz w:val="24"/>
        </w:rPr>
      </w:pPr>
      <w:r>
        <w:rPr>
          <w:rFonts w:hint="eastAsia" w:ascii="宋体" w:hAnsi="宋体" w:eastAsia="宋体" w:cs="宋体"/>
          <w:sz w:val="24"/>
        </w:rPr>
        <w:t>（1）社交礼仪：与客人讲话时保持适当的社交距离（80CM）。</w:t>
      </w:r>
    </w:p>
    <w:p w14:paraId="38051896">
      <w:pPr>
        <w:spacing w:line="360" w:lineRule="auto"/>
        <w:outlineLvl w:val="9"/>
        <w:rPr>
          <w:rFonts w:hint="eastAsia" w:ascii="宋体" w:hAnsi="宋体" w:eastAsia="宋体" w:cs="宋体"/>
          <w:sz w:val="24"/>
        </w:rPr>
      </w:pPr>
      <w:r>
        <w:rPr>
          <w:rFonts w:hint="eastAsia" w:ascii="宋体" w:hAnsi="宋体" w:eastAsia="宋体" w:cs="宋体"/>
          <w:sz w:val="24"/>
        </w:rPr>
        <w:t>（2）接递物品礼仪：双手为宜，主动上前，尖、刃向内，交换名片正面朝对方。</w:t>
      </w:r>
    </w:p>
    <w:p w14:paraId="55D6D497">
      <w:pPr>
        <w:spacing w:line="360" w:lineRule="auto"/>
        <w:outlineLvl w:val="9"/>
        <w:rPr>
          <w:rFonts w:hint="eastAsia" w:ascii="宋体" w:hAnsi="宋体" w:eastAsia="宋体" w:cs="宋体"/>
          <w:sz w:val="24"/>
        </w:rPr>
      </w:pPr>
      <w:r>
        <w:rPr>
          <w:rFonts w:hint="eastAsia" w:ascii="宋体" w:hAnsi="宋体" w:eastAsia="宋体" w:cs="宋体"/>
          <w:sz w:val="24"/>
        </w:rPr>
        <w:t>（3）握手礼仪：</w:t>
      </w:r>
    </w:p>
    <w:p w14:paraId="4B68D3FD">
      <w:pPr>
        <w:spacing w:line="360" w:lineRule="auto"/>
        <w:outlineLvl w:val="9"/>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基本要求：通常应以右手相握，握手时应首先走近对方，右手向侧下伸出，同性双方相互握住对方的手掌大部（手指至虎口处），异性双方相互轻握对方指尖部分，双方手部相握后，目视对方双眼，将手上下晃动两三下，力度适中；</w:t>
      </w:r>
    </w:p>
    <w:p w14:paraId="4C6852A2">
      <w:pPr>
        <w:spacing w:line="360" w:lineRule="auto"/>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注意先后顺序：尊者在先、女性主动。工作中服务人员通常不宜主动伸手与客人握手。</w:t>
      </w:r>
    </w:p>
    <w:p w14:paraId="6245552F">
      <w:pPr>
        <w:spacing w:line="360" w:lineRule="auto"/>
        <w:outlineLvl w:val="9"/>
        <w:rPr>
          <w:rFonts w:hint="eastAsia" w:ascii="宋体" w:hAnsi="宋体" w:eastAsia="宋体" w:cs="宋体"/>
          <w:sz w:val="24"/>
        </w:rPr>
      </w:pPr>
      <w:r>
        <w:rPr>
          <w:rFonts w:hint="eastAsia" w:ascii="宋体" w:hAnsi="宋体" w:eastAsia="宋体" w:cs="宋体"/>
          <w:sz w:val="24"/>
        </w:rPr>
        <w:t>（4）陪同引导礼仪：</w:t>
      </w:r>
    </w:p>
    <w:p w14:paraId="157027C3">
      <w:pPr>
        <w:spacing w:line="360" w:lineRule="auto"/>
        <w:outlineLvl w:val="9"/>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位置：与客人并排行进时，服务人员应居于左侧；</w:t>
      </w:r>
    </w:p>
    <w:p w14:paraId="265FF7BF">
      <w:pPr>
        <w:spacing w:line="360" w:lineRule="auto"/>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引导行进时，服务人员应居于客人左前方一米左右的位置；</w:t>
      </w:r>
    </w:p>
    <w:p w14:paraId="028F969B">
      <w:pPr>
        <w:spacing w:line="360" w:lineRule="auto"/>
        <w:outlineLvl w:val="9"/>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eastAsia="zh-CN"/>
        </w:rPr>
        <w:t>、</w:t>
      </w:r>
      <w:r>
        <w:rPr>
          <w:rFonts w:hint="eastAsia" w:ascii="宋体" w:hAnsi="宋体" w:eastAsia="宋体" w:cs="宋体"/>
          <w:sz w:val="24"/>
        </w:rPr>
        <w:t>协调行进速度：在陪同引导客人时，陪同人员行进的速度须与客人相协调，切勿我行我素，走得太快或太慢；</w:t>
      </w:r>
    </w:p>
    <w:p w14:paraId="5663A302">
      <w:pPr>
        <w:spacing w:line="360" w:lineRule="auto"/>
        <w:outlineLvl w:val="9"/>
        <w:rPr>
          <w:rFonts w:hint="eastAsia" w:ascii="宋体" w:hAnsi="宋体" w:eastAsia="宋体" w:cs="宋体"/>
          <w:sz w:val="24"/>
        </w:rPr>
      </w:pPr>
      <w:r>
        <w:rPr>
          <w:rFonts w:hint="eastAsia" w:ascii="宋体" w:hAnsi="宋体" w:eastAsia="宋体" w:cs="宋体"/>
          <w:sz w:val="24"/>
        </w:rPr>
        <w:t>4</w:t>
      </w:r>
      <w:r>
        <w:rPr>
          <w:rFonts w:hint="eastAsia" w:ascii="宋体" w:hAnsi="宋体" w:eastAsia="宋体" w:cs="宋体"/>
          <w:sz w:val="24"/>
          <w:lang w:eastAsia="zh-CN"/>
        </w:rPr>
        <w:t>、</w:t>
      </w:r>
      <w:r>
        <w:rPr>
          <w:rFonts w:hint="eastAsia" w:ascii="宋体" w:hAnsi="宋体" w:eastAsia="宋体" w:cs="宋体"/>
          <w:sz w:val="24"/>
        </w:rPr>
        <w:t>关照提醒：处处以客人为中心，经过拐角、楼梯或道路坎坷处时，须关照提醒客人留意。</w:t>
      </w:r>
    </w:p>
    <w:p w14:paraId="7326F3B7">
      <w:pPr>
        <w:spacing w:line="360" w:lineRule="auto"/>
        <w:outlineLvl w:val="9"/>
        <w:rPr>
          <w:rFonts w:hint="eastAsia" w:ascii="宋体" w:hAnsi="宋体" w:eastAsia="宋体" w:cs="宋体"/>
          <w:sz w:val="24"/>
        </w:rPr>
      </w:pPr>
      <w:r>
        <w:rPr>
          <w:rFonts w:hint="eastAsia" w:ascii="宋体" w:hAnsi="宋体" w:eastAsia="宋体" w:cs="宋体"/>
          <w:sz w:val="24"/>
        </w:rPr>
        <w:t>（5）楼梯礼仪：</w:t>
      </w:r>
    </w:p>
    <w:p w14:paraId="44FB0CA6">
      <w:pPr>
        <w:spacing w:line="360" w:lineRule="auto"/>
        <w:outlineLvl w:val="9"/>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遵守“右上左下”原则；</w:t>
      </w:r>
    </w:p>
    <w:p w14:paraId="7A729056">
      <w:pPr>
        <w:spacing w:line="360" w:lineRule="auto"/>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注意礼让客人，不要与客人抢行；</w:t>
      </w:r>
    </w:p>
    <w:p w14:paraId="53368EE9">
      <w:pPr>
        <w:spacing w:line="360" w:lineRule="auto"/>
        <w:outlineLvl w:val="9"/>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eastAsia="zh-CN"/>
        </w:rPr>
        <w:t>、</w:t>
      </w:r>
      <w:r>
        <w:rPr>
          <w:rFonts w:hint="eastAsia" w:ascii="宋体" w:hAnsi="宋体" w:eastAsia="宋体" w:cs="宋体"/>
          <w:sz w:val="24"/>
        </w:rPr>
        <w:t>陪同引导客人时，应上、下楼梯先行在前。</w:t>
      </w:r>
    </w:p>
    <w:p w14:paraId="2B8E3942">
      <w:pPr>
        <w:spacing w:line="360" w:lineRule="auto"/>
        <w:outlineLvl w:val="9"/>
        <w:rPr>
          <w:rFonts w:hint="eastAsia" w:ascii="宋体" w:hAnsi="宋体" w:eastAsia="宋体" w:cs="宋体"/>
          <w:sz w:val="24"/>
        </w:rPr>
      </w:pPr>
      <w:r>
        <w:rPr>
          <w:rFonts w:hint="eastAsia" w:ascii="宋体" w:hAnsi="宋体" w:eastAsia="宋体" w:cs="宋体"/>
          <w:sz w:val="24"/>
        </w:rPr>
        <w:t>（6）电梯礼仪：</w:t>
      </w:r>
    </w:p>
    <w:p w14:paraId="0A71700C">
      <w:pPr>
        <w:spacing w:line="360" w:lineRule="auto"/>
        <w:outlineLvl w:val="9"/>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进出电梯，礼让客人先进先出。</w:t>
      </w:r>
    </w:p>
    <w:p w14:paraId="1EFD50C8">
      <w:pPr>
        <w:spacing w:line="360" w:lineRule="auto"/>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乘坐电梯:</w:t>
      </w:r>
    </w:p>
    <w:p w14:paraId="0BA1E560">
      <w:pPr>
        <w:spacing w:line="360" w:lineRule="auto"/>
        <w:outlineLvl w:val="9"/>
        <w:rPr>
          <w:rFonts w:hint="eastAsia" w:ascii="宋体" w:hAnsi="宋体" w:eastAsia="宋体" w:cs="宋体"/>
          <w:sz w:val="24"/>
        </w:rPr>
      </w:pPr>
      <w:r>
        <w:rPr>
          <w:rFonts w:hint="eastAsia" w:ascii="宋体" w:hAnsi="宋体" w:eastAsia="宋体" w:cs="宋体"/>
          <w:sz w:val="24"/>
        </w:rPr>
        <w:t>进入电梯时要侧身而行，免得碰撞、踩踏别人；</w:t>
      </w:r>
    </w:p>
    <w:p w14:paraId="337FA060">
      <w:pPr>
        <w:spacing w:line="360" w:lineRule="auto"/>
        <w:outlineLvl w:val="9"/>
        <w:rPr>
          <w:rFonts w:hint="eastAsia" w:ascii="宋体" w:hAnsi="宋体" w:eastAsia="宋体" w:cs="宋体"/>
          <w:sz w:val="24"/>
        </w:rPr>
      </w:pPr>
      <w:r>
        <w:rPr>
          <w:rFonts w:hint="eastAsia" w:ascii="宋体" w:hAnsi="宋体" w:eastAsia="宋体" w:cs="宋体"/>
          <w:sz w:val="24"/>
        </w:rPr>
        <w:t>进入电梯后，应尽量站在里边，人多时应面向内侧，或与他人侧身相对；</w:t>
      </w:r>
    </w:p>
    <w:p w14:paraId="69A602AB">
      <w:pPr>
        <w:spacing w:line="360" w:lineRule="auto"/>
        <w:outlineLvl w:val="9"/>
        <w:rPr>
          <w:rFonts w:hint="eastAsia" w:ascii="宋体" w:hAnsi="宋体" w:eastAsia="宋体" w:cs="宋体"/>
          <w:sz w:val="24"/>
        </w:rPr>
      </w:pPr>
      <w:r>
        <w:rPr>
          <w:rFonts w:hint="eastAsia" w:ascii="宋体" w:hAnsi="宋体" w:eastAsia="宋体" w:cs="宋体"/>
          <w:sz w:val="24"/>
        </w:rPr>
        <w:t>乘坐电梯时，尽量不要过多讲话；</w:t>
      </w:r>
    </w:p>
    <w:p w14:paraId="6708C1CF">
      <w:pPr>
        <w:spacing w:line="360" w:lineRule="auto"/>
        <w:outlineLvl w:val="9"/>
        <w:rPr>
          <w:rFonts w:hint="eastAsia" w:ascii="宋体" w:hAnsi="宋体" w:eastAsia="宋体" w:cs="宋体"/>
          <w:sz w:val="24"/>
        </w:rPr>
      </w:pPr>
      <w:r>
        <w:rPr>
          <w:rFonts w:hint="eastAsia" w:ascii="宋体" w:hAnsi="宋体" w:eastAsia="宋体" w:cs="宋体"/>
          <w:sz w:val="24"/>
        </w:rPr>
        <w:t>下电梯前，要做好准备，提前换到电梯门口。</w:t>
      </w:r>
    </w:p>
    <w:p w14:paraId="07D85343">
      <w:pPr>
        <w:spacing w:line="360" w:lineRule="auto"/>
        <w:outlineLvl w:val="9"/>
        <w:rPr>
          <w:rFonts w:hint="eastAsia" w:ascii="宋体" w:hAnsi="宋体" w:eastAsia="宋体" w:cs="宋体"/>
          <w:sz w:val="24"/>
        </w:rPr>
      </w:pPr>
      <w:r>
        <w:rPr>
          <w:rFonts w:hint="eastAsia" w:ascii="宋体" w:hAnsi="宋体" w:eastAsia="宋体" w:cs="宋体"/>
          <w:sz w:val="24"/>
        </w:rPr>
        <w:t>（7）访客礼仪:</w:t>
      </w:r>
    </w:p>
    <w:p w14:paraId="6AF0496B">
      <w:pPr>
        <w:spacing w:line="360" w:lineRule="auto"/>
        <w:outlineLvl w:val="9"/>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敲门或按门铃:</w:t>
      </w:r>
    </w:p>
    <w:p w14:paraId="56553685">
      <w:pPr>
        <w:spacing w:line="360" w:lineRule="auto"/>
        <w:outlineLvl w:val="9"/>
        <w:rPr>
          <w:rFonts w:hint="eastAsia" w:ascii="宋体" w:hAnsi="宋体" w:eastAsia="宋体" w:cs="宋体"/>
          <w:sz w:val="24"/>
        </w:rPr>
      </w:pPr>
      <w:r>
        <w:rPr>
          <w:rFonts w:hint="eastAsia" w:ascii="宋体" w:hAnsi="宋体" w:eastAsia="宋体" w:cs="宋体"/>
          <w:sz w:val="24"/>
        </w:rPr>
        <w:t>访问业户单元时先敲门或按门铃，敲门力度适当，用手指的中指轻敲门三声，等候5秒钟，如无人应答，在重复以上步骤，每按一次应有不少于5秒钟的间隔时间；</w:t>
      </w:r>
    </w:p>
    <w:p w14:paraId="495A6BE2">
      <w:pPr>
        <w:spacing w:line="360" w:lineRule="auto"/>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进入：业户开门后，应礼貌的向对方解释清楚来意，得到对方允许后，方可进入。</w:t>
      </w:r>
    </w:p>
    <w:p w14:paraId="06DA3163">
      <w:pPr>
        <w:spacing w:line="360" w:lineRule="auto"/>
        <w:outlineLvl w:val="9"/>
        <w:rPr>
          <w:rFonts w:hint="eastAsia" w:ascii="宋体" w:hAnsi="宋体" w:eastAsia="宋体" w:cs="宋体"/>
          <w:sz w:val="24"/>
        </w:rPr>
      </w:pPr>
      <w:r>
        <w:rPr>
          <w:rFonts w:hint="eastAsia" w:ascii="宋体" w:hAnsi="宋体" w:eastAsia="宋体" w:cs="宋体"/>
          <w:sz w:val="24"/>
        </w:rPr>
        <w:t>（8）介绍礼仪:</w:t>
      </w:r>
    </w:p>
    <w:p w14:paraId="2AA67F3C">
      <w:pPr>
        <w:spacing w:line="360" w:lineRule="auto"/>
        <w:outlineLvl w:val="9"/>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位卑者先介绍给位尊者；</w:t>
      </w:r>
    </w:p>
    <w:p w14:paraId="683FD4FD">
      <w:pPr>
        <w:spacing w:line="360" w:lineRule="auto"/>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年轻者先介绍给年长者；</w:t>
      </w:r>
    </w:p>
    <w:p w14:paraId="2D477285">
      <w:pPr>
        <w:spacing w:line="360" w:lineRule="auto"/>
        <w:outlineLvl w:val="9"/>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eastAsia="zh-CN"/>
        </w:rPr>
        <w:t>、</w:t>
      </w:r>
      <w:r>
        <w:rPr>
          <w:rFonts w:hint="eastAsia" w:ascii="宋体" w:hAnsi="宋体" w:eastAsia="宋体" w:cs="宋体"/>
          <w:sz w:val="24"/>
        </w:rPr>
        <w:t>男士先介绍给女士；</w:t>
      </w:r>
    </w:p>
    <w:p w14:paraId="705A39D5">
      <w:pPr>
        <w:spacing w:line="360" w:lineRule="auto"/>
        <w:outlineLvl w:val="9"/>
        <w:rPr>
          <w:rFonts w:hint="eastAsia" w:ascii="宋体" w:hAnsi="宋体" w:eastAsia="宋体" w:cs="宋体"/>
          <w:sz w:val="24"/>
        </w:rPr>
      </w:pPr>
      <w:r>
        <w:rPr>
          <w:rFonts w:hint="eastAsia" w:ascii="宋体" w:hAnsi="宋体" w:eastAsia="宋体" w:cs="宋体"/>
          <w:sz w:val="24"/>
        </w:rPr>
        <w:t>4</w:t>
      </w:r>
      <w:r>
        <w:rPr>
          <w:rFonts w:hint="eastAsia" w:ascii="宋体" w:hAnsi="宋体" w:eastAsia="宋体" w:cs="宋体"/>
          <w:sz w:val="24"/>
          <w:lang w:eastAsia="zh-CN"/>
        </w:rPr>
        <w:t>、</w:t>
      </w:r>
      <w:r>
        <w:rPr>
          <w:rFonts w:hint="eastAsia" w:ascii="宋体" w:hAnsi="宋体" w:eastAsia="宋体" w:cs="宋体"/>
          <w:sz w:val="24"/>
        </w:rPr>
        <w:t>自己甲方的同事先介绍给别家甲方的同事；</w:t>
      </w:r>
    </w:p>
    <w:p w14:paraId="233ED0C5">
      <w:pPr>
        <w:spacing w:line="360" w:lineRule="auto"/>
        <w:outlineLvl w:val="9"/>
        <w:rPr>
          <w:rFonts w:hint="eastAsia" w:ascii="宋体" w:hAnsi="宋体" w:eastAsia="宋体" w:cs="宋体"/>
          <w:sz w:val="24"/>
        </w:rPr>
      </w:pPr>
      <w:r>
        <w:rPr>
          <w:rFonts w:hint="eastAsia" w:ascii="宋体" w:hAnsi="宋体" w:eastAsia="宋体" w:cs="宋体"/>
          <w:sz w:val="24"/>
        </w:rPr>
        <w:t>5</w:t>
      </w:r>
      <w:r>
        <w:rPr>
          <w:rFonts w:hint="eastAsia" w:ascii="宋体" w:hAnsi="宋体" w:eastAsia="宋体" w:cs="宋体"/>
          <w:sz w:val="24"/>
          <w:lang w:eastAsia="zh-CN"/>
        </w:rPr>
        <w:t>、</w:t>
      </w:r>
      <w:r>
        <w:rPr>
          <w:rFonts w:hint="eastAsia" w:ascii="宋体" w:hAnsi="宋体" w:eastAsia="宋体" w:cs="宋体"/>
          <w:sz w:val="24"/>
        </w:rPr>
        <w:t>甲方同事先介绍给客户；</w:t>
      </w:r>
    </w:p>
    <w:p w14:paraId="75C7B87C">
      <w:pPr>
        <w:spacing w:line="360" w:lineRule="auto"/>
        <w:outlineLvl w:val="9"/>
        <w:rPr>
          <w:rFonts w:hint="eastAsia" w:ascii="宋体" w:hAnsi="宋体" w:eastAsia="宋体" w:cs="宋体"/>
          <w:sz w:val="24"/>
        </w:rPr>
      </w:pPr>
      <w:r>
        <w:rPr>
          <w:rFonts w:hint="eastAsia" w:ascii="宋体" w:hAnsi="宋体" w:eastAsia="宋体" w:cs="宋体"/>
          <w:sz w:val="24"/>
        </w:rPr>
        <w:t>6</w:t>
      </w:r>
      <w:r>
        <w:rPr>
          <w:rFonts w:hint="eastAsia" w:ascii="宋体" w:hAnsi="宋体" w:eastAsia="宋体" w:cs="宋体"/>
          <w:sz w:val="24"/>
          <w:lang w:eastAsia="zh-CN"/>
        </w:rPr>
        <w:t>、</w:t>
      </w:r>
      <w:r>
        <w:rPr>
          <w:rFonts w:hint="eastAsia" w:ascii="宋体" w:hAnsi="宋体" w:eastAsia="宋体" w:cs="宋体"/>
          <w:sz w:val="24"/>
        </w:rPr>
        <w:t>非官方人士先介绍给官方人士；</w:t>
      </w:r>
    </w:p>
    <w:p w14:paraId="09485648">
      <w:pPr>
        <w:spacing w:line="360" w:lineRule="auto"/>
        <w:outlineLvl w:val="9"/>
        <w:rPr>
          <w:rFonts w:hint="eastAsia" w:ascii="宋体" w:hAnsi="宋体" w:eastAsia="宋体" w:cs="宋体"/>
          <w:sz w:val="24"/>
        </w:rPr>
      </w:pPr>
      <w:r>
        <w:rPr>
          <w:rFonts w:hint="eastAsia" w:ascii="宋体" w:hAnsi="宋体" w:eastAsia="宋体" w:cs="宋体"/>
          <w:sz w:val="24"/>
        </w:rPr>
        <w:t>7</w:t>
      </w:r>
      <w:r>
        <w:rPr>
          <w:rFonts w:hint="eastAsia" w:ascii="宋体" w:hAnsi="宋体" w:eastAsia="宋体" w:cs="宋体"/>
          <w:sz w:val="24"/>
          <w:lang w:eastAsia="zh-CN"/>
        </w:rPr>
        <w:t>、</w:t>
      </w:r>
      <w:r>
        <w:rPr>
          <w:rFonts w:hint="eastAsia" w:ascii="宋体" w:hAnsi="宋体" w:eastAsia="宋体" w:cs="宋体"/>
          <w:sz w:val="24"/>
        </w:rPr>
        <w:t>本国同事先介绍给国外同事。</w:t>
      </w:r>
    </w:p>
    <w:p w14:paraId="3BC4D105">
      <w:pPr>
        <w:spacing w:line="360" w:lineRule="auto"/>
        <w:outlineLvl w:val="9"/>
        <w:rPr>
          <w:rFonts w:hint="eastAsia" w:ascii="宋体" w:hAnsi="宋体" w:eastAsia="宋体" w:cs="宋体"/>
          <w:sz w:val="24"/>
        </w:rPr>
      </w:pPr>
      <w:r>
        <w:rPr>
          <w:rFonts w:hint="eastAsia" w:ascii="宋体" w:hAnsi="宋体" w:eastAsia="宋体" w:cs="宋体"/>
          <w:sz w:val="24"/>
        </w:rPr>
        <w:t>（9）打招呼礼仪:</w:t>
      </w:r>
    </w:p>
    <w:p w14:paraId="40A583DE">
      <w:pPr>
        <w:spacing w:line="360" w:lineRule="auto"/>
        <w:outlineLvl w:val="9"/>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点头；</w:t>
      </w:r>
    </w:p>
    <w:p w14:paraId="31AD9FA8">
      <w:pPr>
        <w:spacing w:line="360" w:lineRule="auto"/>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微笑；</w:t>
      </w:r>
    </w:p>
    <w:p w14:paraId="3BF7B9F5">
      <w:pPr>
        <w:spacing w:line="360" w:lineRule="auto"/>
        <w:outlineLvl w:val="9"/>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eastAsia="zh-CN"/>
        </w:rPr>
        <w:t>、</w:t>
      </w:r>
      <w:r>
        <w:rPr>
          <w:rFonts w:hint="eastAsia" w:ascii="宋体" w:hAnsi="宋体" w:eastAsia="宋体" w:cs="宋体"/>
          <w:sz w:val="24"/>
        </w:rPr>
        <w:t>注视宾客；</w:t>
      </w:r>
    </w:p>
    <w:p w14:paraId="2564D3BD">
      <w:pPr>
        <w:spacing w:line="360" w:lineRule="auto"/>
        <w:outlineLvl w:val="9"/>
        <w:rPr>
          <w:rFonts w:hint="eastAsia" w:ascii="宋体" w:hAnsi="宋体" w:eastAsia="宋体" w:cs="宋体"/>
          <w:sz w:val="24"/>
        </w:rPr>
      </w:pPr>
      <w:r>
        <w:rPr>
          <w:rFonts w:hint="eastAsia" w:ascii="宋体" w:hAnsi="宋体" w:eastAsia="宋体" w:cs="宋体"/>
          <w:sz w:val="24"/>
        </w:rPr>
        <w:t>4</w:t>
      </w:r>
      <w:r>
        <w:rPr>
          <w:rFonts w:hint="eastAsia" w:ascii="宋体" w:hAnsi="宋体" w:eastAsia="宋体" w:cs="宋体"/>
          <w:sz w:val="24"/>
          <w:lang w:eastAsia="zh-CN"/>
        </w:rPr>
        <w:t>、</w:t>
      </w:r>
      <w:r>
        <w:rPr>
          <w:rFonts w:hint="eastAsia" w:ascii="宋体" w:hAnsi="宋体" w:eastAsia="宋体" w:cs="宋体"/>
          <w:sz w:val="24"/>
        </w:rPr>
        <w:t>身体倾斜；</w:t>
      </w:r>
    </w:p>
    <w:p w14:paraId="18ED4DE4">
      <w:pPr>
        <w:spacing w:line="360" w:lineRule="auto"/>
        <w:outlineLvl w:val="9"/>
        <w:rPr>
          <w:rFonts w:hint="eastAsia" w:ascii="宋体" w:hAnsi="宋体" w:eastAsia="宋体" w:cs="宋体"/>
          <w:sz w:val="24"/>
        </w:rPr>
      </w:pPr>
      <w:r>
        <w:rPr>
          <w:rFonts w:hint="eastAsia" w:ascii="宋体" w:hAnsi="宋体" w:eastAsia="宋体" w:cs="宋体"/>
          <w:sz w:val="24"/>
        </w:rPr>
        <w:t>5</w:t>
      </w:r>
      <w:r>
        <w:rPr>
          <w:rFonts w:hint="eastAsia" w:ascii="宋体" w:hAnsi="宋体" w:eastAsia="宋体" w:cs="宋体"/>
          <w:sz w:val="24"/>
          <w:lang w:eastAsia="zh-CN"/>
        </w:rPr>
        <w:t>、</w:t>
      </w:r>
      <w:r>
        <w:rPr>
          <w:rFonts w:hint="eastAsia" w:ascii="宋体" w:hAnsi="宋体" w:eastAsia="宋体" w:cs="宋体"/>
          <w:sz w:val="24"/>
        </w:rPr>
        <w:t>放慢脚步；</w:t>
      </w:r>
    </w:p>
    <w:p w14:paraId="2BF00585">
      <w:pPr>
        <w:spacing w:line="360" w:lineRule="auto"/>
        <w:outlineLvl w:val="9"/>
        <w:rPr>
          <w:rFonts w:hint="eastAsia" w:ascii="宋体" w:hAnsi="宋体" w:eastAsia="宋体" w:cs="宋体"/>
          <w:sz w:val="24"/>
        </w:rPr>
      </w:pPr>
      <w:r>
        <w:rPr>
          <w:rFonts w:hint="eastAsia" w:ascii="宋体" w:hAnsi="宋体" w:eastAsia="宋体" w:cs="宋体"/>
          <w:sz w:val="24"/>
        </w:rPr>
        <w:t>6</w:t>
      </w:r>
      <w:r>
        <w:rPr>
          <w:rFonts w:hint="eastAsia" w:ascii="宋体" w:hAnsi="宋体" w:eastAsia="宋体" w:cs="宋体"/>
          <w:sz w:val="24"/>
          <w:lang w:eastAsia="zh-CN"/>
        </w:rPr>
        <w:t>、</w:t>
      </w:r>
      <w:r>
        <w:rPr>
          <w:rFonts w:hint="eastAsia" w:ascii="宋体" w:hAnsi="宋体" w:eastAsia="宋体" w:cs="宋体"/>
          <w:sz w:val="24"/>
        </w:rPr>
        <w:t>下级主动问候上级；</w:t>
      </w:r>
    </w:p>
    <w:p w14:paraId="575DDA45">
      <w:pPr>
        <w:spacing w:line="360" w:lineRule="auto"/>
        <w:outlineLvl w:val="9"/>
        <w:rPr>
          <w:rFonts w:hint="eastAsia" w:ascii="宋体" w:hAnsi="宋体" w:eastAsia="宋体" w:cs="宋体"/>
          <w:sz w:val="24"/>
        </w:rPr>
      </w:pPr>
      <w:r>
        <w:rPr>
          <w:rFonts w:hint="eastAsia" w:ascii="宋体" w:hAnsi="宋体" w:eastAsia="宋体" w:cs="宋体"/>
          <w:sz w:val="24"/>
        </w:rPr>
        <w:t>7</w:t>
      </w:r>
      <w:r>
        <w:rPr>
          <w:rFonts w:hint="eastAsia" w:ascii="宋体" w:hAnsi="宋体" w:eastAsia="宋体" w:cs="宋体"/>
          <w:sz w:val="24"/>
          <w:lang w:eastAsia="zh-CN"/>
        </w:rPr>
        <w:t>、</w:t>
      </w:r>
      <w:r>
        <w:rPr>
          <w:rFonts w:hint="eastAsia" w:ascii="宋体" w:hAnsi="宋体" w:eastAsia="宋体" w:cs="宋体"/>
          <w:sz w:val="24"/>
        </w:rPr>
        <w:t>同事之间每日首次见面应相互打招呼问候；</w:t>
      </w:r>
    </w:p>
    <w:p w14:paraId="09FA096C">
      <w:pPr>
        <w:spacing w:line="360" w:lineRule="auto"/>
        <w:outlineLvl w:val="9"/>
        <w:rPr>
          <w:rFonts w:hint="eastAsia" w:ascii="宋体" w:hAnsi="宋体" w:eastAsia="宋体" w:cs="宋体"/>
          <w:sz w:val="24"/>
        </w:rPr>
      </w:pPr>
      <w:r>
        <w:rPr>
          <w:rFonts w:hint="eastAsia" w:ascii="宋体" w:hAnsi="宋体" w:eastAsia="宋体" w:cs="宋体"/>
          <w:sz w:val="24"/>
        </w:rPr>
        <w:t>（10）应答礼仪:</w:t>
      </w:r>
    </w:p>
    <w:p w14:paraId="68751D62">
      <w:pPr>
        <w:spacing w:line="360" w:lineRule="auto"/>
        <w:outlineLvl w:val="9"/>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回答客户询问时主动热情，语气温和、耐心，注视宾客；</w:t>
      </w:r>
    </w:p>
    <w:p w14:paraId="710489EB">
      <w:pPr>
        <w:spacing w:line="360" w:lineRule="auto"/>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尽量满足宾客提出的问题，如实在难以满足，应同宾客解释，争取宾客理解，或同宾客商量另外方案。</w:t>
      </w:r>
    </w:p>
    <w:p w14:paraId="06A4F345">
      <w:pPr>
        <w:spacing w:line="360" w:lineRule="auto"/>
        <w:outlineLvl w:val="9"/>
        <w:rPr>
          <w:rFonts w:hint="eastAsia" w:ascii="宋体" w:hAnsi="宋体" w:eastAsia="宋体" w:cs="宋体"/>
          <w:sz w:val="24"/>
        </w:rPr>
      </w:pPr>
      <w:r>
        <w:rPr>
          <w:rFonts w:hint="eastAsia" w:ascii="宋体" w:hAnsi="宋体" w:eastAsia="宋体" w:cs="宋体"/>
          <w:sz w:val="24"/>
        </w:rPr>
        <w:t>（11）路遇客人礼仪：</w:t>
      </w:r>
    </w:p>
    <w:p w14:paraId="1516EEBA">
      <w:pPr>
        <w:spacing w:line="360" w:lineRule="auto"/>
        <w:outlineLvl w:val="9"/>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与客人相遇应主动避让和打招呼，不得从二人中间穿行；</w:t>
      </w:r>
    </w:p>
    <w:p w14:paraId="7D6B3B98">
      <w:pPr>
        <w:spacing w:line="360" w:lineRule="auto"/>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遇上级领导、检查团等主动问候，不得绕道躲避；</w:t>
      </w:r>
    </w:p>
    <w:p w14:paraId="5065471C">
      <w:pPr>
        <w:spacing w:line="360" w:lineRule="auto"/>
        <w:outlineLvl w:val="9"/>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eastAsia="zh-CN"/>
        </w:rPr>
        <w:t>、</w:t>
      </w:r>
      <w:r>
        <w:rPr>
          <w:rFonts w:hint="eastAsia" w:ascii="宋体" w:hAnsi="宋体" w:eastAsia="宋体" w:cs="宋体"/>
          <w:sz w:val="24"/>
        </w:rPr>
        <w:t>与宾客同时进出（如电梯门），应让宾客先行；</w:t>
      </w:r>
    </w:p>
    <w:p w14:paraId="420E07D3">
      <w:pPr>
        <w:spacing w:line="360" w:lineRule="auto"/>
        <w:outlineLvl w:val="9"/>
        <w:rPr>
          <w:rFonts w:hint="eastAsia" w:ascii="宋体" w:hAnsi="宋体" w:eastAsia="宋体" w:cs="宋体"/>
          <w:sz w:val="24"/>
        </w:rPr>
      </w:pPr>
      <w:r>
        <w:rPr>
          <w:rFonts w:hint="eastAsia" w:ascii="宋体" w:hAnsi="宋体" w:eastAsia="宋体" w:cs="宋体"/>
          <w:sz w:val="24"/>
        </w:rPr>
        <w:t>4</w:t>
      </w:r>
      <w:r>
        <w:rPr>
          <w:rFonts w:hint="eastAsia" w:ascii="宋体" w:hAnsi="宋体" w:eastAsia="宋体" w:cs="宋体"/>
          <w:sz w:val="24"/>
          <w:lang w:eastAsia="zh-CN"/>
        </w:rPr>
        <w:t>、</w:t>
      </w:r>
      <w:r>
        <w:rPr>
          <w:rFonts w:hint="eastAsia" w:ascii="宋体" w:hAnsi="宋体" w:eastAsia="宋体" w:cs="宋体"/>
          <w:sz w:val="24"/>
        </w:rPr>
        <w:t>请人让路要说“对不起”，不得横冲直撞，粗俗无礼。</w:t>
      </w:r>
    </w:p>
    <w:p w14:paraId="3FB8F557">
      <w:pPr>
        <w:spacing w:line="360" w:lineRule="auto"/>
        <w:outlineLvl w:val="9"/>
        <w:rPr>
          <w:rFonts w:hint="eastAsia" w:ascii="宋体" w:hAnsi="宋体" w:eastAsia="宋体" w:cs="宋体"/>
          <w:sz w:val="24"/>
        </w:rPr>
      </w:pPr>
      <w:r>
        <w:rPr>
          <w:rFonts w:hint="eastAsia" w:ascii="宋体" w:hAnsi="宋体" w:eastAsia="宋体" w:cs="宋体"/>
          <w:sz w:val="24"/>
        </w:rPr>
        <w:t>（12）VIP接待礼仪：</w:t>
      </w:r>
    </w:p>
    <w:p w14:paraId="412A34E8">
      <w:pPr>
        <w:spacing w:line="360" w:lineRule="auto"/>
        <w:outlineLvl w:val="9"/>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车辆到达时，趋先开启车门，迎接客人下车。开启车门，用手挡住车门的上方，提醒客人不要碰头，对老年客人应协助搀扶；</w:t>
      </w:r>
    </w:p>
    <w:p w14:paraId="38300A74">
      <w:pPr>
        <w:spacing w:line="360" w:lineRule="auto"/>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雨天要为客人打伞，以防客人被雨淋湿；</w:t>
      </w:r>
    </w:p>
    <w:p w14:paraId="3F9B5B87">
      <w:pPr>
        <w:spacing w:line="360" w:lineRule="auto"/>
        <w:outlineLvl w:val="9"/>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eastAsia="zh-CN"/>
        </w:rPr>
        <w:t>、</w:t>
      </w:r>
      <w:r>
        <w:rPr>
          <w:rFonts w:hint="eastAsia" w:ascii="宋体" w:hAnsi="宋体" w:eastAsia="宋体" w:cs="宋体"/>
          <w:sz w:val="24"/>
        </w:rPr>
        <w:t>客人准备离开时，待车停稳后，替客人打开车门，请客人上车，如客人有行李应主动帮客人放上车，待客人坐好后，为客人关上车门。车辆即将启动，站立在车的斜前方约1米远的位置，目视客人，面带微笑，招手道别。</w:t>
      </w:r>
    </w:p>
    <w:p w14:paraId="0F8C0E94">
      <w:pPr>
        <w:spacing w:line="360" w:lineRule="auto"/>
        <w:outlineLvl w:val="9"/>
        <w:rPr>
          <w:rFonts w:hint="eastAsia" w:ascii="宋体" w:hAnsi="宋体" w:eastAsia="宋体" w:cs="宋体"/>
          <w:b/>
          <w:sz w:val="24"/>
        </w:rPr>
      </w:pPr>
      <w:r>
        <w:rPr>
          <w:rFonts w:hint="eastAsia" w:ascii="宋体" w:hAnsi="宋体" w:eastAsia="宋体" w:cs="宋体"/>
          <w:b/>
          <w:sz w:val="24"/>
        </w:rPr>
        <w:t>四、行为规范</w:t>
      </w:r>
    </w:p>
    <w:p w14:paraId="0A83A534">
      <w:pPr>
        <w:spacing w:line="360" w:lineRule="auto"/>
        <w:outlineLvl w:val="9"/>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不得吃东西、嚼口香糖、随地吐痰、乱丢杂物；</w:t>
      </w:r>
    </w:p>
    <w:p w14:paraId="3FC451BB">
      <w:pPr>
        <w:spacing w:line="360" w:lineRule="auto"/>
        <w:outlineLvl w:val="9"/>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eastAsia="zh-CN"/>
        </w:rPr>
        <w:t>、</w:t>
      </w:r>
      <w:r>
        <w:rPr>
          <w:rFonts w:hint="eastAsia" w:ascii="宋体" w:hAnsi="宋体" w:eastAsia="宋体" w:cs="宋体"/>
          <w:sz w:val="24"/>
        </w:rPr>
        <w:t>不得抠指甲、咬指甲、抓耳挠腮、挖耳、抠鼻；</w:t>
      </w:r>
    </w:p>
    <w:p w14:paraId="05FA944F">
      <w:pPr>
        <w:spacing w:line="360" w:lineRule="auto"/>
        <w:outlineLvl w:val="9"/>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eastAsia="zh-CN"/>
        </w:rPr>
        <w:t>、</w:t>
      </w:r>
      <w:r>
        <w:rPr>
          <w:rFonts w:hint="eastAsia" w:ascii="宋体" w:hAnsi="宋体" w:eastAsia="宋体" w:cs="宋体"/>
          <w:sz w:val="24"/>
        </w:rPr>
        <w:t>不得勾肩搭臂；</w:t>
      </w:r>
    </w:p>
    <w:p w14:paraId="4DE7CE6B">
      <w:pPr>
        <w:spacing w:line="360" w:lineRule="auto"/>
        <w:outlineLvl w:val="9"/>
        <w:rPr>
          <w:rFonts w:hint="eastAsia" w:ascii="宋体" w:hAnsi="宋体" w:eastAsia="宋体" w:cs="宋体"/>
          <w:sz w:val="24"/>
        </w:rPr>
      </w:pPr>
      <w:r>
        <w:rPr>
          <w:rFonts w:hint="eastAsia" w:ascii="宋体" w:hAnsi="宋体" w:eastAsia="宋体" w:cs="宋体"/>
          <w:sz w:val="24"/>
        </w:rPr>
        <w:t>4</w:t>
      </w:r>
      <w:r>
        <w:rPr>
          <w:rFonts w:hint="eastAsia" w:ascii="宋体" w:hAnsi="宋体" w:eastAsia="宋体" w:cs="宋体"/>
          <w:sz w:val="24"/>
          <w:lang w:eastAsia="zh-CN"/>
        </w:rPr>
        <w:t>、</w:t>
      </w:r>
      <w:r>
        <w:rPr>
          <w:rFonts w:hint="eastAsia" w:ascii="宋体" w:hAnsi="宋体" w:eastAsia="宋体" w:cs="宋体"/>
          <w:sz w:val="24"/>
        </w:rPr>
        <w:t>不得哼歌曲、吹口哨、大声谈笑、说话、喊叫、打哈欠、伸懒腰、敲击及玩弄无关物品；</w:t>
      </w:r>
    </w:p>
    <w:p w14:paraId="43A0EA94">
      <w:pPr>
        <w:spacing w:line="360" w:lineRule="auto"/>
        <w:outlineLvl w:val="9"/>
        <w:rPr>
          <w:rFonts w:hint="eastAsia" w:ascii="宋体" w:hAnsi="宋体" w:eastAsia="宋体" w:cs="宋体"/>
          <w:sz w:val="24"/>
        </w:rPr>
      </w:pPr>
      <w:r>
        <w:rPr>
          <w:rFonts w:hint="eastAsia" w:ascii="宋体" w:hAnsi="宋体" w:eastAsia="宋体" w:cs="宋体"/>
          <w:sz w:val="24"/>
        </w:rPr>
        <w:t>5</w:t>
      </w:r>
      <w:r>
        <w:rPr>
          <w:rFonts w:hint="eastAsia" w:ascii="宋体" w:hAnsi="宋体" w:eastAsia="宋体" w:cs="宋体"/>
          <w:sz w:val="24"/>
          <w:lang w:eastAsia="zh-CN"/>
        </w:rPr>
        <w:t>、</w:t>
      </w:r>
      <w:r>
        <w:rPr>
          <w:rFonts w:hint="eastAsia" w:ascii="宋体" w:hAnsi="宋体" w:eastAsia="宋体" w:cs="宋体"/>
          <w:sz w:val="24"/>
        </w:rPr>
        <w:t>跺脚等发出不必要声响。咳嗽、打喷嚏时应转身向后，并说对不起；</w:t>
      </w:r>
    </w:p>
    <w:p w14:paraId="6AB01487">
      <w:pPr>
        <w:spacing w:line="360" w:lineRule="auto"/>
        <w:outlineLvl w:val="9"/>
        <w:rPr>
          <w:rFonts w:hint="eastAsia" w:ascii="宋体" w:hAnsi="宋体" w:eastAsia="宋体" w:cs="宋体"/>
          <w:sz w:val="24"/>
        </w:rPr>
      </w:pPr>
      <w:r>
        <w:rPr>
          <w:rFonts w:hint="eastAsia" w:ascii="宋体" w:hAnsi="宋体" w:eastAsia="宋体" w:cs="宋体"/>
          <w:sz w:val="24"/>
        </w:rPr>
        <w:t>6</w:t>
      </w:r>
      <w:r>
        <w:rPr>
          <w:rFonts w:hint="eastAsia" w:ascii="宋体" w:hAnsi="宋体" w:eastAsia="宋体" w:cs="宋体"/>
          <w:sz w:val="24"/>
          <w:lang w:eastAsia="zh-CN"/>
        </w:rPr>
        <w:t>、</w:t>
      </w:r>
      <w:r>
        <w:rPr>
          <w:rFonts w:hint="eastAsia" w:ascii="宋体" w:hAnsi="宋体" w:eastAsia="宋体" w:cs="宋体"/>
          <w:sz w:val="24"/>
        </w:rPr>
        <w:t>不得抽烟、喝酒、看无关报纸、会客、聊天、听收（录）音机、打电子游戏；</w:t>
      </w:r>
    </w:p>
    <w:p w14:paraId="07D5B223">
      <w:pPr>
        <w:spacing w:line="360" w:lineRule="auto"/>
        <w:outlineLvl w:val="9"/>
        <w:rPr>
          <w:rFonts w:hint="eastAsia" w:ascii="宋体" w:hAnsi="宋体" w:eastAsia="宋体" w:cs="宋体"/>
          <w:sz w:val="24"/>
        </w:rPr>
      </w:pPr>
      <w:r>
        <w:rPr>
          <w:rFonts w:hint="eastAsia" w:ascii="宋体" w:hAnsi="宋体" w:eastAsia="宋体" w:cs="宋体"/>
          <w:sz w:val="24"/>
        </w:rPr>
        <w:t>7</w:t>
      </w:r>
      <w:r>
        <w:rPr>
          <w:rFonts w:hint="eastAsia" w:ascii="宋体" w:hAnsi="宋体" w:eastAsia="宋体" w:cs="宋体"/>
          <w:sz w:val="24"/>
          <w:lang w:eastAsia="zh-CN"/>
        </w:rPr>
        <w:t>、</w:t>
      </w:r>
      <w:r>
        <w:rPr>
          <w:rFonts w:hint="eastAsia" w:ascii="宋体" w:hAnsi="宋体" w:eastAsia="宋体" w:cs="宋体"/>
          <w:sz w:val="24"/>
        </w:rPr>
        <w:t>不得袖手、背手、叉腰或将手插入口袋中。</w:t>
      </w:r>
    </w:p>
    <w:p w14:paraId="4750CF36">
      <w:pPr>
        <w:spacing w:line="360" w:lineRule="auto"/>
        <w:outlineLvl w:val="9"/>
        <w:rPr>
          <w:rFonts w:hint="eastAsia" w:ascii="宋体" w:hAnsi="宋体" w:eastAsia="宋体" w:cs="宋体"/>
          <w:sz w:val="24"/>
        </w:rPr>
      </w:pPr>
      <w:r>
        <w:rPr>
          <w:rFonts w:hint="eastAsia" w:ascii="宋体" w:hAnsi="宋体" w:eastAsia="宋体" w:cs="宋体"/>
          <w:sz w:val="24"/>
        </w:rPr>
        <w:t>8</w:t>
      </w:r>
      <w:r>
        <w:rPr>
          <w:rFonts w:hint="eastAsia" w:ascii="宋体" w:hAnsi="宋体" w:eastAsia="宋体" w:cs="宋体"/>
          <w:sz w:val="24"/>
          <w:lang w:eastAsia="zh-CN"/>
        </w:rPr>
        <w:t>、</w:t>
      </w:r>
      <w:r>
        <w:rPr>
          <w:rFonts w:hint="eastAsia" w:ascii="宋体" w:hAnsi="宋体" w:eastAsia="宋体" w:cs="宋体"/>
          <w:sz w:val="24"/>
        </w:rPr>
        <w:t>不随意打听业户的年龄、职务、家庭、小孩、工资收入等其他私人信息。</w:t>
      </w:r>
    </w:p>
    <w:p w14:paraId="3B281E41">
      <w:pPr>
        <w:spacing w:line="360" w:lineRule="auto"/>
        <w:outlineLvl w:val="9"/>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sz w:val="24"/>
          <w:lang w:eastAsia="zh-CN"/>
        </w:rPr>
        <w:t>、</w:t>
      </w:r>
      <w:r>
        <w:rPr>
          <w:rFonts w:hint="eastAsia" w:ascii="宋体" w:hAnsi="宋体" w:eastAsia="宋体" w:cs="宋体"/>
          <w:sz w:val="24"/>
        </w:rPr>
        <w:t>不得向业户了解随身的服装、金银首饰及贵重物品的价格、产地。</w:t>
      </w:r>
    </w:p>
    <w:p w14:paraId="10E7AFE2">
      <w:pPr>
        <w:spacing w:line="360" w:lineRule="auto"/>
        <w:outlineLvl w:val="9"/>
        <w:rPr>
          <w:rFonts w:hint="eastAsia" w:ascii="宋体" w:hAnsi="宋体" w:eastAsia="宋体" w:cs="宋体"/>
          <w:sz w:val="24"/>
        </w:rPr>
      </w:pPr>
      <w:r>
        <w:rPr>
          <w:rFonts w:hint="eastAsia" w:ascii="宋体" w:hAnsi="宋体" w:eastAsia="宋体" w:cs="宋体"/>
          <w:sz w:val="24"/>
        </w:rPr>
        <w:t>10</w:t>
      </w:r>
      <w:r>
        <w:rPr>
          <w:rFonts w:hint="eastAsia" w:ascii="宋体" w:hAnsi="宋体" w:eastAsia="宋体" w:cs="宋体"/>
          <w:sz w:val="24"/>
          <w:lang w:eastAsia="zh-CN"/>
        </w:rPr>
        <w:t>、</w:t>
      </w:r>
      <w:r>
        <w:rPr>
          <w:rFonts w:hint="eastAsia" w:ascii="宋体" w:hAnsi="宋体" w:eastAsia="宋体" w:cs="宋体"/>
          <w:sz w:val="24"/>
        </w:rPr>
        <w:t>不轻易接受业户赠品，确属不收可能导致失礼时，应表示谢意，并将礼品交主管处理。</w:t>
      </w:r>
    </w:p>
    <w:p w14:paraId="4998CA35">
      <w:pPr>
        <w:spacing w:line="360" w:lineRule="auto"/>
        <w:outlineLvl w:val="9"/>
        <w:rPr>
          <w:rFonts w:hint="eastAsia" w:ascii="宋体" w:hAnsi="宋体" w:eastAsia="宋体" w:cs="宋体"/>
          <w:sz w:val="24"/>
        </w:rPr>
      </w:pPr>
      <w:r>
        <w:rPr>
          <w:rFonts w:hint="eastAsia" w:ascii="宋体" w:hAnsi="宋体" w:eastAsia="宋体" w:cs="宋体"/>
          <w:sz w:val="24"/>
        </w:rPr>
        <w:t>11</w:t>
      </w:r>
      <w:r>
        <w:rPr>
          <w:rFonts w:hint="eastAsia" w:ascii="宋体" w:hAnsi="宋体" w:eastAsia="宋体" w:cs="宋体"/>
          <w:sz w:val="24"/>
          <w:lang w:eastAsia="zh-CN"/>
        </w:rPr>
        <w:t>、</w:t>
      </w:r>
      <w:r>
        <w:rPr>
          <w:rFonts w:hint="eastAsia" w:ascii="宋体" w:hAnsi="宋体" w:eastAsia="宋体" w:cs="宋体"/>
          <w:sz w:val="24"/>
        </w:rPr>
        <w:t>拾到物品须交主管处理，不得私留。</w:t>
      </w:r>
    </w:p>
    <w:p w14:paraId="5ADF0D57">
      <w:pPr>
        <w:spacing w:line="360" w:lineRule="auto"/>
        <w:outlineLvl w:val="9"/>
        <w:rPr>
          <w:rFonts w:hint="eastAsia" w:ascii="宋体" w:hAnsi="宋体" w:eastAsia="宋体" w:cs="宋体"/>
          <w:sz w:val="24"/>
        </w:rPr>
      </w:pPr>
      <w:r>
        <w:rPr>
          <w:rFonts w:hint="eastAsia" w:ascii="宋体" w:hAnsi="宋体" w:eastAsia="宋体" w:cs="宋体"/>
          <w:sz w:val="24"/>
        </w:rPr>
        <w:t>12</w:t>
      </w:r>
      <w:r>
        <w:rPr>
          <w:rFonts w:hint="eastAsia" w:ascii="宋体" w:hAnsi="宋体" w:eastAsia="宋体" w:cs="宋体"/>
          <w:sz w:val="24"/>
          <w:lang w:eastAsia="zh-CN"/>
        </w:rPr>
        <w:t>、</w:t>
      </w:r>
      <w:r>
        <w:rPr>
          <w:rFonts w:hint="eastAsia" w:ascii="宋体" w:hAnsi="宋体" w:eastAsia="宋体" w:cs="宋体"/>
          <w:sz w:val="24"/>
        </w:rPr>
        <w:t>不得私拿甲方物品，损坏、遗失甲方物品须照价赔偿。</w:t>
      </w:r>
    </w:p>
    <w:p w14:paraId="36BD750A">
      <w:pPr>
        <w:spacing w:line="360" w:lineRule="auto"/>
        <w:outlineLvl w:val="9"/>
        <w:rPr>
          <w:rFonts w:hint="eastAsia" w:ascii="宋体" w:hAnsi="宋体" w:eastAsia="宋体" w:cs="宋体"/>
          <w:sz w:val="24"/>
        </w:rPr>
      </w:pPr>
      <w:r>
        <w:rPr>
          <w:rFonts w:hint="eastAsia" w:ascii="宋体" w:hAnsi="宋体" w:eastAsia="宋体" w:cs="宋体"/>
          <w:sz w:val="24"/>
        </w:rPr>
        <w:t>13</w:t>
      </w:r>
      <w:r>
        <w:rPr>
          <w:rFonts w:hint="eastAsia" w:ascii="宋体" w:hAnsi="宋体" w:eastAsia="宋体" w:cs="宋体"/>
          <w:sz w:val="24"/>
          <w:lang w:eastAsia="zh-CN"/>
        </w:rPr>
        <w:t>、</w:t>
      </w:r>
      <w:r>
        <w:rPr>
          <w:rFonts w:hint="eastAsia" w:ascii="宋体" w:hAnsi="宋体" w:eastAsia="宋体" w:cs="宋体"/>
          <w:sz w:val="24"/>
        </w:rPr>
        <w:t>在大厦公共场所发现烟头、纸屑等应主动拾起丢入垃圾桶内。</w:t>
      </w:r>
    </w:p>
    <w:p w14:paraId="6903FEDD">
      <w:pPr>
        <w:spacing w:line="360" w:lineRule="auto"/>
        <w:outlineLvl w:val="9"/>
        <w:rPr>
          <w:rFonts w:hint="eastAsia" w:ascii="宋体" w:hAnsi="宋体" w:eastAsia="宋体" w:cs="宋体"/>
          <w:sz w:val="24"/>
        </w:rPr>
      </w:pPr>
      <w:r>
        <w:rPr>
          <w:rFonts w:hint="eastAsia" w:ascii="宋体" w:hAnsi="宋体" w:eastAsia="宋体" w:cs="宋体"/>
          <w:sz w:val="24"/>
        </w:rPr>
        <w:t>14</w:t>
      </w:r>
      <w:r>
        <w:rPr>
          <w:rFonts w:hint="eastAsia" w:ascii="宋体" w:hAnsi="宋体" w:eastAsia="宋体" w:cs="宋体"/>
          <w:sz w:val="24"/>
          <w:lang w:eastAsia="zh-CN"/>
        </w:rPr>
        <w:t>、</w:t>
      </w:r>
      <w:r>
        <w:rPr>
          <w:rFonts w:hint="eastAsia" w:ascii="宋体" w:hAnsi="宋体" w:eastAsia="宋体" w:cs="宋体"/>
          <w:sz w:val="24"/>
        </w:rPr>
        <w:t>工作时间不得在提供给客人休息的地方闲坐。</w:t>
      </w:r>
    </w:p>
    <w:p w14:paraId="61C91D29">
      <w:pPr>
        <w:spacing w:line="360" w:lineRule="auto"/>
        <w:outlineLvl w:val="9"/>
        <w:rPr>
          <w:rFonts w:hint="eastAsia" w:ascii="宋体" w:hAnsi="宋体" w:eastAsia="宋体" w:cs="宋体"/>
          <w:sz w:val="24"/>
        </w:rPr>
        <w:sectPr>
          <w:pgSz w:w="11906" w:h="16838"/>
          <w:pgMar w:top="1134" w:right="851" w:bottom="993" w:left="851" w:header="851" w:footer="454" w:gutter="0"/>
          <w:pgNumType w:fmt="decimal"/>
          <w:cols w:space="720" w:num="1"/>
          <w:docGrid w:type="lines" w:linePitch="312" w:charSpace="0"/>
        </w:sectPr>
      </w:pPr>
      <w:r>
        <w:rPr>
          <w:rFonts w:hint="eastAsia" w:ascii="宋体" w:hAnsi="宋体" w:eastAsia="宋体" w:cs="宋体"/>
          <w:sz w:val="24"/>
        </w:rPr>
        <w:t>15</w:t>
      </w:r>
      <w:r>
        <w:rPr>
          <w:rFonts w:hint="eastAsia" w:ascii="宋体" w:hAnsi="宋体" w:eastAsia="宋体" w:cs="宋体"/>
          <w:sz w:val="24"/>
          <w:lang w:eastAsia="zh-CN"/>
        </w:rPr>
        <w:t>、</w:t>
      </w:r>
      <w:r>
        <w:rPr>
          <w:rFonts w:hint="eastAsia" w:ascii="宋体" w:hAnsi="宋体" w:eastAsia="宋体" w:cs="宋体"/>
          <w:sz w:val="24"/>
        </w:rPr>
        <w:t>严格遵守甲方的各项规章制度</w:t>
      </w:r>
    </w:p>
    <w:p w14:paraId="7BEA2580">
      <w:pPr>
        <w:pStyle w:val="5"/>
        <w:spacing w:line="360" w:lineRule="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合同附件3：保安外包管理考核实施细则</w:t>
      </w:r>
    </w:p>
    <w:tbl>
      <w:tblPr>
        <w:tblStyle w:val="10"/>
        <w:tblW w:w="10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430"/>
        <w:gridCol w:w="5884"/>
        <w:gridCol w:w="843"/>
        <w:gridCol w:w="996"/>
      </w:tblGrid>
      <w:tr w14:paraId="4630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178" w:type="dxa"/>
            <w:noWrap w:val="0"/>
            <w:vAlign w:val="center"/>
          </w:tcPr>
          <w:p w14:paraId="10DE5CAD">
            <w:pPr>
              <w:widowControl w:val="0"/>
              <w:spacing w:line="240" w:lineRule="auto"/>
              <w:ind w:left="0" w:leftChars="0"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一级</w:t>
            </w:r>
          </w:p>
          <w:p w14:paraId="5182DEDD">
            <w:pPr>
              <w:widowControl w:val="0"/>
              <w:spacing w:line="240" w:lineRule="auto"/>
              <w:ind w:left="0" w:leftChars="0"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指标</w:t>
            </w:r>
          </w:p>
        </w:tc>
        <w:tc>
          <w:tcPr>
            <w:tcW w:w="1430" w:type="dxa"/>
            <w:noWrap w:val="0"/>
            <w:vAlign w:val="center"/>
          </w:tcPr>
          <w:p w14:paraId="002CB915">
            <w:pPr>
              <w:widowControl w:val="0"/>
              <w:spacing w:line="240" w:lineRule="auto"/>
              <w:ind w:left="0" w:leftChars="0"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二级</w:t>
            </w:r>
          </w:p>
          <w:p w14:paraId="5D4F5975">
            <w:pPr>
              <w:widowControl w:val="0"/>
              <w:spacing w:line="240" w:lineRule="auto"/>
              <w:ind w:left="0" w:leftChars="0"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指标</w:t>
            </w:r>
          </w:p>
        </w:tc>
        <w:tc>
          <w:tcPr>
            <w:tcW w:w="5884" w:type="dxa"/>
            <w:noWrap w:val="0"/>
            <w:vAlign w:val="center"/>
          </w:tcPr>
          <w:p w14:paraId="3439A0DB">
            <w:pPr>
              <w:widowControl w:val="0"/>
              <w:spacing w:line="240" w:lineRule="auto"/>
              <w:jc w:val="center"/>
              <w:outlineLvl w:val="9"/>
              <w:rPr>
                <w:rFonts w:hint="eastAsia" w:ascii="宋体" w:hAnsi="宋体" w:eastAsia="宋体" w:cs="宋体"/>
                <w:sz w:val="24"/>
                <w:szCs w:val="24"/>
              </w:rPr>
            </w:pPr>
            <w:r>
              <w:rPr>
                <w:rFonts w:hint="eastAsia" w:ascii="宋体" w:hAnsi="宋体" w:eastAsia="宋体" w:cs="宋体"/>
                <w:sz w:val="24"/>
                <w:szCs w:val="24"/>
              </w:rPr>
              <w:t>检查标准</w:t>
            </w:r>
          </w:p>
        </w:tc>
        <w:tc>
          <w:tcPr>
            <w:tcW w:w="843" w:type="dxa"/>
            <w:noWrap w:val="0"/>
            <w:vAlign w:val="center"/>
          </w:tcPr>
          <w:p w14:paraId="6C836CBC">
            <w:pPr>
              <w:widowControl w:val="0"/>
              <w:spacing w:line="240" w:lineRule="auto"/>
              <w:ind w:left="0" w:leftChars="0"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检查</w:t>
            </w:r>
          </w:p>
          <w:p w14:paraId="6A9B37DD">
            <w:pPr>
              <w:widowControl w:val="0"/>
              <w:spacing w:line="240" w:lineRule="auto"/>
              <w:ind w:left="0" w:leftChars="0"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方法</w:t>
            </w:r>
          </w:p>
        </w:tc>
        <w:tc>
          <w:tcPr>
            <w:tcW w:w="996" w:type="dxa"/>
            <w:noWrap w:val="0"/>
            <w:vAlign w:val="center"/>
          </w:tcPr>
          <w:p w14:paraId="0DC37531">
            <w:pPr>
              <w:widowControl w:val="0"/>
              <w:spacing w:line="240" w:lineRule="auto"/>
              <w:ind w:left="0" w:leftChars="0"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评分</w:t>
            </w:r>
          </w:p>
          <w:p w14:paraId="6AF42966">
            <w:pPr>
              <w:widowControl w:val="0"/>
              <w:spacing w:line="240" w:lineRule="auto"/>
              <w:ind w:left="0" w:leftChars="0" w:firstLine="0" w:firstLineChars="0"/>
              <w:jc w:val="center"/>
              <w:outlineLvl w:val="9"/>
              <w:rPr>
                <w:rFonts w:hint="eastAsia" w:ascii="宋体" w:hAnsi="宋体" w:eastAsia="宋体" w:cs="宋体"/>
                <w:sz w:val="24"/>
                <w:szCs w:val="24"/>
              </w:rPr>
            </w:pPr>
            <w:r>
              <w:rPr>
                <w:rFonts w:hint="eastAsia" w:ascii="宋体" w:hAnsi="宋体" w:eastAsia="宋体" w:cs="宋体"/>
                <w:sz w:val="24"/>
                <w:szCs w:val="24"/>
              </w:rPr>
              <w:t>标准</w:t>
            </w:r>
          </w:p>
        </w:tc>
      </w:tr>
      <w:tr w14:paraId="7E93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9" w:hRule="atLeast"/>
          <w:jc w:val="center"/>
        </w:trPr>
        <w:tc>
          <w:tcPr>
            <w:tcW w:w="1178" w:type="dxa"/>
            <w:vMerge w:val="restart"/>
            <w:noWrap w:val="0"/>
            <w:vAlign w:val="center"/>
          </w:tcPr>
          <w:p w14:paraId="7FFA8B6A">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fldChar w:fldCharType="begin"/>
            </w:r>
            <w:r>
              <w:rPr>
                <w:rFonts w:hint="eastAsia" w:ascii="宋体" w:hAnsi="宋体" w:eastAsia="宋体" w:cs="宋体"/>
                <w:color w:val="000000"/>
                <w:sz w:val="24"/>
                <w:szCs w:val="24"/>
              </w:rPr>
              <w:instrText xml:space="preserve"> HYPERLINK \l "A内务管理" </w:instrText>
            </w:r>
            <w:r>
              <w:rPr>
                <w:rFonts w:hint="eastAsia" w:ascii="宋体" w:hAnsi="宋体" w:eastAsia="宋体" w:cs="宋体"/>
                <w:color w:val="000000"/>
                <w:sz w:val="24"/>
                <w:szCs w:val="24"/>
              </w:rPr>
              <w:fldChar w:fldCharType="separate"/>
            </w:r>
            <w:r>
              <w:rPr>
                <w:rFonts w:hint="eastAsia" w:ascii="宋体" w:hAnsi="宋体" w:eastAsia="宋体" w:cs="宋体"/>
                <w:color w:val="000000"/>
                <w:sz w:val="24"/>
                <w:szCs w:val="24"/>
              </w:rPr>
              <w:t>综合</w:t>
            </w:r>
          </w:p>
          <w:p w14:paraId="2009A49C">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管理</w:t>
            </w:r>
            <w:r>
              <w:rPr>
                <w:rFonts w:hint="eastAsia" w:ascii="宋体" w:hAnsi="宋体" w:eastAsia="宋体" w:cs="宋体"/>
                <w:color w:val="000000"/>
                <w:sz w:val="24"/>
                <w:szCs w:val="24"/>
              </w:rPr>
              <w:fldChar w:fldCharType="end"/>
            </w:r>
          </w:p>
          <w:p w14:paraId="134BF1E2">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（20分）</w:t>
            </w:r>
          </w:p>
        </w:tc>
        <w:tc>
          <w:tcPr>
            <w:tcW w:w="1430" w:type="dxa"/>
            <w:noWrap w:val="0"/>
            <w:vAlign w:val="center"/>
          </w:tcPr>
          <w:p w14:paraId="45ACCD1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装备</w:t>
            </w:r>
          </w:p>
          <w:p w14:paraId="29A1C29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配置与使用</w:t>
            </w:r>
          </w:p>
          <w:p w14:paraId="3C1C0A9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（6分）</w:t>
            </w:r>
          </w:p>
        </w:tc>
        <w:tc>
          <w:tcPr>
            <w:tcW w:w="5884" w:type="dxa"/>
            <w:noWrap w:val="0"/>
            <w:vAlign w:val="center"/>
          </w:tcPr>
          <w:p w14:paraId="088B87EB">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12" w:name="_Toc21522"/>
            <w:r>
              <w:rPr>
                <w:rFonts w:hint="eastAsia" w:ascii="宋体" w:hAnsi="宋体" w:eastAsia="宋体" w:cs="宋体"/>
                <w:bCs/>
                <w:color w:val="000000"/>
                <w:kern w:val="44"/>
                <w:sz w:val="24"/>
                <w:szCs w:val="24"/>
                <w:lang w:val="en-US" w:eastAsia="zh-CN" w:bidi="ar-SA"/>
              </w:rPr>
              <w:t>1、</w:t>
            </w:r>
            <w:r>
              <w:rPr>
                <w:rFonts w:hint="eastAsia" w:ascii="宋体" w:hAnsi="宋体" w:eastAsia="宋体" w:cs="宋体"/>
                <w:color w:val="000000"/>
                <w:sz w:val="24"/>
                <w:szCs w:val="24"/>
              </w:rPr>
              <w:t>秩序维护的装备配置齐全，项目需编制《安全装备清单》，明确对讲机、耳机、手电筒等的数量、规格、使用岗位及责任人。</w:t>
            </w:r>
            <w:bookmarkEnd w:id="12"/>
          </w:p>
          <w:p w14:paraId="000FF2C4">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13" w:name="_Toc29462"/>
            <w:r>
              <w:rPr>
                <w:rFonts w:hint="eastAsia" w:ascii="宋体" w:hAnsi="宋体" w:eastAsia="宋体" w:cs="宋体"/>
                <w:bCs/>
                <w:color w:val="000000"/>
                <w:kern w:val="44"/>
                <w:sz w:val="24"/>
                <w:szCs w:val="24"/>
                <w:lang w:val="en-US" w:eastAsia="zh-CN" w:bidi="ar-SA"/>
              </w:rPr>
              <w:t>2、</w:t>
            </w:r>
            <w:r>
              <w:rPr>
                <w:rFonts w:hint="eastAsia" w:ascii="宋体" w:hAnsi="宋体" w:eastAsia="宋体" w:cs="宋体"/>
                <w:color w:val="000000"/>
                <w:sz w:val="24"/>
                <w:szCs w:val="24"/>
              </w:rPr>
              <w:t>对讲机统一佩带在身体右后侧腰带上，使用对讲机时语言文明、简练、清晰；未经批准不擅自将对讲机借给他人使用。</w:t>
            </w:r>
            <w:bookmarkEnd w:id="13"/>
          </w:p>
          <w:p w14:paraId="2F43BCAE">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14" w:name="_Toc30863"/>
            <w:r>
              <w:rPr>
                <w:rFonts w:hint="eastAsia" w:ascii="宋体" w:hAnsi="宋体" w:eastAsia="宋体" w:cs="宋体"/>
                <w:bCs/>
                <w:color w:val="000000"/>
                <w:kern w:val="44"/>
                <w:sz w:val="24"/>
                <w:szCs w:val="24"/>
                <w:lang w:val="en-US" w:eastAsia="zh-CN" w:bidi="ar-SA"/>
              </w:rPr>
              <w:t>3、</w:t>
            </w:r>
            <w:r>
              <w:rPr>
                <w:rFonts w:hint="eastAsia" w:ascii="宋体" w:hAnsi="宋体" w:eastAsia="宋体" w:cs="宋体"/>
                <w:color w:val="000000"/>
                <w:sz w:val="24"/>
                <w:szCs w:val="24"/>
              </w:rPr>
              <w:t>防暴棍每岗位不少于一根，置于岗位附近。</w:t>
            </w:r>
            <w:bookmarkEnd w:id="14"/>
          </w:p>
          <w:p w14:paraId="2CF3323A">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sz w:val="24"/>
                <w:szCs w:val="24"/>
              </w:rPr>
            </w:pPr>
            <w:bookmarkStart w:id="15" w:name="_Toc26633"/>
            <w:r>
              <w:rPr>
                <w:rFonts w:hint="eastAsia" w:ascii="宋体" w:hAnsi="宋体" w:eastAsia="宋体" w:cs="宋体"/>
                <w:bCs/>
                <w:color w:val="000000"/>
                <w:kern w:val="44"/>
                <w:sz w:val="24"/>
                <w:szCs w:val="24"/>
                <w:lang w:val="en-US" w:eastAsia="zh-CN" w:bidi="ar-SA"/>
              </w:rPr>
              <w:t>4、</w:t>
            </w:r>
            <w:r>
              <w:rPr>
                <w:rFonts w:hint="eastAsia" w:ascii="宋体" w:hAnsi="宋体" w:eastAsia="宋体" w:cs="宋体"/>
                <w:color w:val="000000"/>
                <w:sz w:val="24"/>
                <w:szCs w:val="24"/>
              </w:rPr>
              <w:t>夜间巡逻岗及检查岗配备手电筒。</w:t>
            </w:r>
            <w:bookmarkEnd w:id="15"/>
          </w:p>
          <w:p w14:paraId="5B2EDBBB">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16" w:name="_Toc25495"/>
            <w:r>
              <w:rPr>
                <w:rFonts w:hint="eastAsia" w:ascii="宋体" w:hAnsi="宋体" w:eastAsia="宋体" w:cs="宋体"/>
                <w:bCs/>
                <w:color w:val="000000"/>
                <w:kern w:val="44"/>
                <w:sz w:val="24"/>
                <w:szCs w:val="24"/>
                <w:lang w:val="en-US" w:eastAsia="zh-CN" w:bidi="ar-SA"/>
              </w:rPr>
              <w:t>5、</w:t>
            </w:r>
            <w:r>
              <w:rPr>
                <w:rFonts w:hint="eastAsia" w:ascii="宋体" w:hAnsi="宋体" w:eastAsia="宋体" w:cs="宋体"/>
                <w:color w:val="000000"/>
                <w:sz w:val="24"/>
                <w:szCs w:val="24"/>
              </w:rPr>
              <w:t>车场出入口及巡逻岗夜间穿着反光衣。</w:t>
            </w:r>
            <w:bookmarkEnd w:id="16"/>
          </w:p>
          <w:p w14:paraId="476708FB">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17" w:name="_Toc30185"/>
            <w:r>
              <w:rPr>
                <w:rFonts w:hint="eastAsia" w:ascii="宋体" w:hAnsi="宋体" w:eastAsia="宋体" w:cs="宋体"/>
                <w:bCs/>
                <w:color w:val="000000"/>
                <w:kern w:val="44"/>
                <w:sz w:val="24"/>
                <w:szCs w:val="24"/>
                <w:lang w:val="en-US" w:eastAsia="zh-CN" w:bidi="ar-SA"/>
              </w:rPr>
              <w:t>6、</w:t>
            </w:r>
            <w:r>
              <w:rPr>
                <w:rFonts w:hint="eastAsia" w:ascii="宋体" w:hAnsi="宋体" w:eastAsia="宋体" w:cs="宋体"/>
                <w:color w:val="000000"/>
                <w:sz w:val="24"/>
                <w:szCs w:val="24"/>
              </w:rPr>
              <w:t>雨衣（鞋）人均一套（案场室外岗位配置），完好无损；清洁干净、叠放整齐、定位放置。</w:t>
            </w:r>
            <w:bookmarkEnd w:id="17"/>
          </w:p>
          <w:p w14:paraId="287AACAA">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18" w:name="_Toc18224"/>
            <w:r>
              <w:rPr>
                <w:rFonts w:hint="eastAsia" w:ascii="宋体" w:hAnsi="宋体" w:eastAsia="宋体" w:cs="宋体"/>
                <w:bCs/>
                <w:color w:val="000000"/>
                <w:kern w:val="44"/>
                <w:sz w:val="24"/>
                <w:szCs w:val="24"/>
                <w:lang w:val="en-US" w:eastAsia="zh-CN" w:bidi="ar-SA"/>
              </w:rPr>
              <w:t>7、</w:t>
            </w:r>
            <w:r>
              <w:rPr>
                <w:rFonts w:hint="eastAsia" w:ascii="宋体" w:hAnsi="宋体" w:eastAsia="宋体" w:cs="宋体"/>
                <w:color w:val="000000"/>
                <w:sz w:val="24"/>
                <w:szCs w:val="24"/>
              </w:rPr>
              <w:t>岗亭内物品摆放整齐，标识清楚。</w:t>
            </w:r>
            <w:bookmarkEnd w:id="18"/>
          </w:p>
          <w:p w14:paraId="7C01D828">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19" w:name="_Toc13592"/>
            <w:r>
              <w:rPr>
                <w:rFonts w:hint="eastAsia" w:ascii="宋体" w:hAnsi="宋体" w:eastAsia="宋体" w:cs="宋体"/>
                <w:bCs/>
                <w:color w:val="000000"/>
                <w:kern w:val="44"/>
                <w:sz w:val="24"/>
                <w:szCs w:val="24"/>
                <w:lang w:val="en-US" w:eastAsia="zh-CN" w:bidi="ar-SA"/>
              </w:rPr>
              <w:t>8、</w:t>
            </w:r>
            <w:r>
              <w:rPr>
                <w:rFonts w:hint="eastAsia" w:ascii="宋体" w:hAnsi="宋体" w:eastAsia="宋体" w:cs="宋体"/>
                <w:color w:val="000000"/>
                <w:sz w:val="24"/>
                <w:szCs w:val="24"/>
              </w:rPr>
              <w:t>安全装备完好、清洁，能正常使用。</w:t>
            </w:r>
            <w:bookmarkEnd w:id="19"/>
          </w:p>
          <w:p w14:paraId="621433E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20" w:name="_Toc5849"/>
            <w:r>
              <w:rPr>
                <w:rFonts w:hint="eastAsia" w:ascii="宋体" w:hAnsi="宋体" w:eastAsia="宋体" w:cs="宋体"/>
                <w:bCs/>
                <w:color w:val="000000"/>
                <w:kern w:val="44"/>
                <w:sz w:val="24"/>
                <w:szCs w:val="24"/>
                <w:lang w:val="en-US" w:eastAsia="zh-CN" w:bidi="ar-SA"/>
              </w:rPr>
              <w:t>9、</w:t>
            </w:r>
            <w:r>
              <w:rPr>
                <w:rFonts w:hint="eastAsia" w:ascii="宋体" w:hAnsi="宋体" w:eastAsia="宋体" w:cs="宋体"/>
                <w:color w:val="000000"/>
                <w:sz w:val="24"/>
                <w:szCs w:val="24"/>
              </w:rPr>
              <w:t>安全警示标识摆放整齐、位置合理、内容清晰。</w:t>
            </w:r>
            <w:bookmarkEnd w:id="20"/>
          </w:p>
        </w:tc>
        <w:tc>
          <w:tcPr>
            <w:tcW w:w="843" w:type="dxa"/>
            <w:noWrap w:val="0"/>
            <w:vAlign w:val="center"/>
          </w:tcPr>
          <w:p w14:paraId="44A7D9F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查阅记录</w:t>
            </w:r>
          </w:p>
          <w:p w14:paraId="6CBA2962">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现场查看</w:t>
            </w:r>
          </w:p>
        </w:tc>
        <w:tc>
          <w:tcPr>
            <w:tcW w:w="996" w:type="dxa"/>
            <w:noWrap w:val="0"/>
            <w:vAlign w:val="center"/>
          </w:tcPr>
          <w:p w14:paraId="761F4EBA">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3BA1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1178" w:type="dxa"/>
            <w:vMerge w:val="continue"/>
            <w:noWrap w:val="0"/>
            <w:vAlign w:val="center"/>
          </w:tcPr>
          <w:p w14:paraId="1C9F0E44">
            <w:pPr>
              <w:widowControl w:val="0"/>
              <w:spacing w:line="240" w:lineRule="auto"/>
              <w:jc w:val="center"/>
              <w:outlineLvl w:val="9"/>
              <w:rPr>
                <w:rFonts w:hint="eastAsia" w:ascii="宋体" w:hAnsi="宋体" w:eastAsia="宋体" w:cs="宋体"/>
                <w:color w:val="000000"/>
                <w:sz w:val="24"/>
                <w:szCs w:val="24"/>
              </w:rPr>
            </w:pPr>
          </w:p>
        </w:tc>
        <w:tc>
          <w:tcPr>
            <w:tcW w:w="1430" w:type="dxa"/>
            <w:noWrap w:val="0"/>
            <w:vAlign w:val="center"/>
          </w:tcPr>
          <w:p w14:paraId="2DCA1563">
            <w:pPr>
              <w:widowControl w:val="0"/>
              <w:spacing w:line="240" w:lineRule="auto"/>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交接班管理</w:t>
            </w:r>
          </w:p>
          <w:p w14:paraId="4BC70B82">
            <w:pPr>
              <w:widowControl w:val="0"/>
              <w:spacing w:line="240" w:lineRule="auto"/>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（6分）</w:t>
            </w:r>
          </w:p>
        </w:tc>
        <w:tc>
          <w:tcPr>
            <w:tcW w:w="5884" w:type="dxa"/>
            <w:noWrap w:val="0"/>
            <w:vAlign w:val="center"/>
          </w:tcPr>
          <w:p w14:paraId="23510AAE">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21" w:name="_Toc15639"/>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实行“班前点名，班后点评”制度。</w:t>
            </w:r>
            <w:bookmarkEnd w:id="21"/>
          </w:p>
          <w:p w14:paraId="7A16A208">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22" w:name="_Toc15884"/>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班组长带领接班人员，列纵队前往工作现场进行交接班。</w:t>
            </w:r>
            <w:bookmarkEnd w:id="22"/>
          </w:p>
          <w:p w14:paraId="1DA866B4">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23" w:name="_Toc7564"/>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接班人提前10分钟到岗，接班人未到岗或未办理交接班手续，交班人不得下班离岗。</w:t>
            </w:r>
            <w:bookmarkEnd w:id="23"/>
          </w:p>
          <w:p w14:paraId="0ADA322A">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000000"/>
                <w:sz w:val="24"/>
                <w:szCs w:val="24"/>
              </w:rPr>
            </w:pPr>
            <w:bookmarkStart w:id="24" w:name="_Toc24482"/>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岗位物品、重要事项交接全面、准确，签名完整。</w:t>
            </w:r>
            <w:bookmarkEnd w:id="24"/>
          </w:p>
          <w:p w14:paraId="7F8C5D21">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bCs/>
                <w:color w:val="000000"/>
                <w:kern w:val="44"/>
                <w:sz w:val="24"/>
                <w:szCs w:val="24"/>
              </w:rPr>
            </w:pPr>
            <w:bookmarkStart w:id="25" w:name="_Toc8335"/>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交接班时按要求对消防控制装备进行检查。</w:t>
            </w:r>
            <w:bookmarkEnd w:id="25"/>
          </w:p>
        </w:tc>
        <w:tc>
          <w:tcPr>
            <w:tcW w:w="843" w:type="dxa"/>
            <w:noWrap w:val="0"/>
            <w:vAlign w:val="center"/>
          </w:tcPr>
          <w:p w14:paraId="77FC9884">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查阅记录</w:t>
            </w:r>
          </w:p>
        </w:tc>
        <w:tc>
          <w:tcPr>
            <w:tcW w:w="996" w:type="dxa"/>
            <w:noWrap w:val="0"/>
            <w:vAlign w:val="center"/>
          </w:tcPr>
          <w:p w14:paraId="07EFED44">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0A64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178" w:type="dxa"/>
            <w:vMerge w:val="continue"/>
            <w:noWrap w:val="0"/>
            <w:vAlign w:val="center"/>
          </w:tcPr>
          <w:p w14:paraId="5ABC3B15">
            <w:pPr>
              <w:widowControl w:val="0"/>
              <w:spacing w:line="240" w:lineRule="auto"/>
              <w:jc w:val="center"/>
              <w:outlineLvl w:val="9"/>
              <w:rPr>
                <w:rFonts w:hint="eastAsia" w:ascii="宋体" w:hAnsi="宋体" w:eastAsia="宋体" w:cs="宋体"/>
                <w:color w:val="000000"/>
                <w:sz w:val="24"/>
                <w:szCs w:val="24"/>
              </w:rPr>
            </w:pPr>
          </w:p>
        </w:tc>
        <w:tc>
          <w:tcPr>
            <w:tcW w:w="1430" w:type="dxa"/>
            <w:noWrap w:val="0"/>
            <w:vAlign w:val="center"/>
          </w:tcPr>
          <w:p w14:paraId="1333E75B">
            <w:pPr>
              <w:widowControl w:val="0"/>
              <w:spacing w:line="240" w:lineRule="auto"/>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岗位要求</w:t>
            </w:r>
          </w:p>
          <w:p w14:paraId="3FE2E89B">
            <w:pPr>
              <w:widowControl w:val="0"/>
              <w:spacing w:line="240" w:lineRule="auto"/>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与质量记录</w:t>
            </w:r>
          </w:p>
          <w:p w14:paraId="2EAD951D">
            <w:pPr>
              <w:widowControl w:val="0"/>
              <w:spacing w:line="240" w:lineRule="auto"/>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（8分）</w:t>
            </w:r>
          </w:p>
        </w:tc>
        <w:tc>
          <w:tcPr>
            <w:tcW w:w="5884" w:type="dxa"/>
            <w:noWrap w:val="0"/>
            <w:vAlign w:val="center"/>
          </w:tcPr>
          <w:p w14:paraId="75C792C4">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26" w:name="_Toc3433"/>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无坐岗、聚岗、串岗、脱岗及精神萎靡情况。</w:t>
            </w:r>
            <w:bookmarkEnd w:id="26"/>
          </w:p>
          <w:p w14:paraId="60717132">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27" w:name="_Toc10345"/>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上班时间不做与工作无关的事，不在岗位使用手机、看书报、吃东西、吸烟、与他人聊天、私自会客等。</w:t>
            </w:r>
            <w:bookmarkEnd w:id="27"/>
          </w:p>
          <w:p w14:paraId="154DEBD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28" w:name="_Toc8564"/>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质量记录清晰、全面，无做假乱画现象</w:t>
            </w:r>
            <w:r>
              <w:rPr>
                <w:rFonts w:hint="eastAsia" w:ascii="宋体" w:hAnsi="宋体" w:eastAsia="宋体" w:cs="宋体"/>
                <w:color w:val="000000"/>
                <w:sz w:val="24"/>
                <w:szCs w:val="24"/>
                <w:lang w:val="en-US" w:eastAsia="zh-CN"/>
              </w:rPr>
              <w:t>。</w:t>
            </w:r>
            <w:bookmarkEnd w:id="28"/>
          </w:p>
        </w:tc>
        <w:tc>
          <w:tcPr>
            <w:tcW w:w="843" w:type="dxa"/>
            <w:noWrap w:val="0"/>
            <w:vAlign w:val="center"/>
          </w:tcPr>
          <w:p w14:paraId="2A6E7F19">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查阅记录</w:t>
            </w:r>
          </w:p>
          <w:p w14:paraId="63B74946">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现场查看</w:t>
            </w:r>
          </w:p>
        </w:tc>
        <w:tc>
          <w:tcPr>
            <w:tcW w:w="996" w:type="dxa"/>
            <w:noWrap w:val="0"/>
            <w:vAlign w:val="center"/>
          </w:tcPr>
          <w:p w14:paraId="08B0E319">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6462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2" w:hRule="atLeast"/>
          <w:jc w:val="center"/>
        </w:trPr>
        <w:tc>
          <w:tcPr>
            <w:tcW w:w="1178" w:type="dxa"/>
            <w:vMerge w:val="restart"/>
            <w:noWrap w:val="0"/>
            <w:vAlign w:val="center"/>
          </w:tcPr>
          <w:p w14:paraId="375D794A">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"A治安管理"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治安</w:t>
            </w:r>
          </w:p>
          <w:p w14:paraId="4FF72E1C">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管理</w:t>
            </w:r>
            <w:r>
              <w:rPr>
                <w:rFonts w:hint="eastAsia" w:ascii="宋体" w:hAnsi="宋体" w:eastAsia="宋体" w:cs="宋体"/>
                <w:color w:val="000000"/>
                <w:sz w:val="24"/>
                <w:szCs w:val="24"/>
              </w:rPr>
              <w:fldChar w:fldCharType="end"/>
            </w:r>
          </w:p>
          <w:p w14:paraId="2DE95C46">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（30分）</w:t>
            </w:r>
          </w:p>
        </w:tc>
        <w:tc>
          <w:tcPr>
            <w:tcW w:w="1430" w:type="dxa"/>
            <w:noWrap w:val="0"/>
            <w:vAlign w:val="center"/>
          </w:tcPr>
          <w:p w14:paraId="6CB35071">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安防体系</w:t>
            </w:r>
          </w:p>
          <w:p w14:paraId="3A2FD879">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（5分）</w:t>
            </w:r>
          </w:p>
        </w:tc>
        <w:tc>
          <w:tcPr>
            <w:tcW w:w="5884" w:type="dxa"/>
            <w:noWrap w:val="0"/>
            <w:vAlign w:val="center"/>
          </w:tcPr>
          <w:p w14:paraId="18A55DF8">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29" w:name="_Toc19485"/>
            <w:r>
              <w:rPr>
                <w:rFonts w:hint="eastAsia" w:ascii="宋体" w:hAnsi="宋体" w:eastAsia="宋体" w:cs="宋体"/>
                <w:bCs/>
                <w:color w:val="000000"/>
                <w:kern w:val="44"/>
                <w:sz w:val="24"/>
                <w:szCs w:val="24"/>
                <w:lang w:val="en-US" w:eastAsia="zh-CN" w:bidi="ar-SA"/>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物防、技防、人防设施布防合理，相互弥补，无安全死角，且能确保随时有效。</w:t>
            </w:r>
            <w:bookmarkEnd w:id="29"/>
          </w:p>
          <w:p w14:paraId="3568E68D">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30" w:name="_Toc28401"/>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围墙具备防爬功能和防破坏性能；采光井、管道、阳台等易攀爬部位具有防攀爬措施；单元门完好，能防止推开和从外面开启；自动门开闭时间合理，不易尾随；</w:t>
            </w:r>
            <w:bookmarkEnd w:id="30"/>
          </w:p>
          <w:p w14:paraId="16646E48">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31" w:name="_Toc12667"/>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红外防越、警灯、警铃等报警设施完善，无漏洞，信号接受和反应灵敏。</w:t>
            </w:r>
            <w:bookmarkEnd w:id="31"/>
          </w:p>
          <w:p w14:paraId="2116BE05">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32" w:name="_Toc28283"/>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闭路监控镜头位置及摄像范围合理、画面清晰，对关键镜头进行实时监控；及时发现异常问题；录像存储至少保存一个月。</w:t>
            </w:r>
            <w:bookmarkEnd w:id="32"/>
          </w:p>
          <w:p w14:paraId="49FB3C91">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33" w:name="_Toc22670"/>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巡逻路线设置合理，重点防控部位全覆盖，设签到点。</w:t>
            </w:r>
            <w:bookmarkEnd w:id="33"/>
          </w:p>
          <w:p w14:paraId="6A8ED79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34" w:name="_Toc27213"/>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监视摄像机设置位置、摄像范围合理、画面清晰。</w:t>
            </w:r>
            <w:bookmarkEnd w:id="34"/>
          </w:p>
        </w:tc>
        <w:tc>
          <w:tcPr>
            <w:tcW w:w="843" w:type="dxa"/>
            <w:noWrap w:val="0"/>
            <w:vAlign w:val="center"/>
          </w:tcPr>
          <w:p w14:paraId="743FCDA4">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现场查看</w:t>
            </w:r>
          </w:p>
        </w:tc>
        <w:tc>
          <w:tcPr>
            <w:tcW w:w="996" w:type="dxa"/>
            <w:noWrap w:val="0"/>
            <w:vAlign w:val="center"/>
          </w:tcPr>
          <w:p w14:paraId="2C2DFFF3">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0BEC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6" w:hRule="atLeast"/>
          <w:jc w:val="center"/>
        </w:trPr>
        <w:tc>
          <w:tcPr>
            <w:tcW w:w="1178" w:type="dxa"/>
            <w:vMerge w:val="continue"/>
            <w:noWrap w:val="0"/>
            <w:vAlign w:val="center"/>
          </w:tcPr>
          <w:p w14:paraId="19204F68">
            <w:pPr>
              <w:widowControl w:val="0"/>
              <w:spacing w:line="240" w:lineRule="auto"/>
              <w:jc w:val="center"/>
              <w:outlineLvl w:val="9"/>
              <w:rPr>
                <w:rFonts w:hint="eastAsia" w:ascii="宋体" w:hAnsi="宋体" w:eastAsia="宋体" w:cs="宋体"/>
                <w:sz w:val="24"/>
                <w:szCs w:val="24"/>
              </w:rPr>
            </w:pPr>
          </w:p>
        </w:tc>
        <w:tc>
          <w:tcPr>
            <w:tcW w:w="1430" w:type="dxa"/>
            <w:noWrap w:val="0"/>
            <w:vAlign w:val="center"/>
          </w:tcPr>
          <w:p w14:paraId="7B7D22F9">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出入管理</w:t>
            </w:r>
          </w:p>
          <w:p w14:paraId="68350365">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（5分）</w:t>
            </w:r>
          </w:p>
        </w:tc>
        <w:tc>
          <w:tcPr>
            <w:tcW w:w="5884" w:type="dxa"/>
            <w:noWrap w:val="0"/>
            <w:vAlign w:val="center"/>
          </w:tcPr>
          <w:p w14:paraId="0F35ABBD">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35" w:name="_Toc27546"/>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普通来访人员进入封闭式服务区域时，须问明来意，并联系住户进行确认并登记（由住户带领的访客只核实不登记），记录快捷、完整、准确、字迹清晰。</w:t>
            </w:r>
            <w:bookmarkEnd w:id="35"/>
          </w:p>
          <w:p w14:paraId="0C6F13F3">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36" w:name="_Toc4289"/>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密切注意可疑人员、盘问制止方法得当，严禁无明确探访对象、推销广告等闲杂人员进入或逗留，对临时进出的人员在小区内的活动去向有监控。</w:t>
            </w:r>
            <w:bookmarkEnd w:id="36"/>
          </w:p>
          <w:p w14:paraId="796D2C04">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37" w:name="_Toc20"/>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危险品禁止进入服务区域。</w:t>
            </w:r>
            <w:bookmarkEnd w:id="37"/>
          </w:p>
          <w:p w14:paraId="3CC0FF1C">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38" w:name="_Toc18422"/>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小区红线区域以内禁止收废品的人员捡拾垃圾。</w:t>
            </w:r>
            <w:bookmarkEnd w:id="38"/>
          </w:p>
          <w:p w14:paraId="62B97A40">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39" w:name="_Toc22573"/>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执行公务人员进入时，需验明证件、及时登记并向部门领导汇报，如因保密需要，及时联系部门领导，核实身份后安排专人陪同。</w:t>
            </w:r>
            <w:bookmarkEnd w:id="39"/>
          </w:p>
          <w:p w14:paraId="1914951E">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40" w:name="_Toc13217"/>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家具、家用电器等大型物资搬出要经过业主本人同意，并到管理处办理放行条，放行条填写完整并经过审批，记录可追溯到业主本人，人、车、证、物资相符且记录准确。</w:t>
            </w:r>
            <w:bookmarkEnd w:id="40"/>
          </w:p>
          <w:p w14:paraId="1A46B20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41" w:name="_Toc29164"/>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施工人员进出携带出入证，出入证房号、姓名、相片、有效期相符且有物业服务中心公章，进出时无光背或着装过于随意的现象。</w:t>
            </w:r>
            <w:bookmarkEnd w:id="41"/>
          </w:p>
          <w:p w14:paraId="49165B56">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42" w:name="_Toc9800"/>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供方人员进出时需穿工服、带工作证。</w:t>
            </w:r>
            <w:bookmarkEnd w:id="42"/>
          </w:p>
        </w:tc>
        <w:tc>
          <w:tcPr>
            <w:tcW w:w="843" w:type="dxa"/>
            <w:noWrap w:val="0"/>
            <w:vAlign w:val="center"/>
          </w:tcPr>
          <w:p w14:paraId="0C1C988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查阅记录</w:t>
            </w:r>
          </w:p>
          <w:p w14:paraId="7ADA7B5C">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现场查看</w:t>
            </w:r>
          </w:p>
        </w:tc>
        <w:tc>
          <w:tcPr>
            <w:tcW w:w="996" w:type="dxa"/>
            <w:noWrap w:val="0"/>
            <w:vAlign w:val="center"/>
          </w:tcPr>
          <w:p w14:paraId="3D58693F">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24FE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atLeast"/>
          <w:jc w:val="center"/>
        </w:trPr>
        <w:tc>
          <w:tcPr>
            <w:tcW w:w="1178" w:type="dxa"/>
            <w:vMerge w:val="continue"/>
            <w:noWrap w:val="0"/>
            <w:vAlign w:val="center"/>
          </w:tcPr>
          <w:p w14:paraId="1F5F6026">
            <w:pPr>
              <w:widowControl w:val="0"/>
              <w:spacing w:line="240" w:lineRule="auto"/>
              <w:jc w:val="center"/>
              <w:outlineLvl w:val="9"/>
              <w:rPr>
                <w:rFonts w:hint="eastAsia" w:ascii="宋体" w:hAnsi="宋体" w:eastAsia="宋体" w:cs="宋体"/>
                <w:sz w:val="24"/>
                <w:szCs w:val="24"/>
              </w:rPr>
            </w:pPr>
          </w:p>
        </w:tc>
        <w:tc>
          <w:tcPr>
            <w:tcW w:w="1430" w:type="dxa"/>
            <w:noWrap w:val="0"/>
            <w:vAlign w:val="center"/>
          </w:tcPr>
          <w:p w14:paraId="1BAC2C79">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安全巡逻</w:t>
            </w:r>
          </w:p>
          <w:p w14:paraId="5330013E">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（5分）</w:t>
            </w:r>
          </w:p>
        </w:tc>
        <w:tc>
          <w:tcPr>
            <w:tcW w:w="5884" w:type="dxa"/>
            <w:noWrap w:val="0"/>
            <w:vAlign w:val="center"/>
          </w:tcPr>
          <w:p w14:paraId="06AD373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43" w:name="_Toc22509"/>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安全员熟悉巡逻路线，周期按作业文件要求。</w:t>
            </w:r>
            <w:bookmarkEnd w:id="43"/>
          </w:p>
          <w:p w14:paraId="05808880">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44" w:name="_Toc16766"/>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巡逻签到及时，因特殊情况未签需填写登记表。</w:t>
            </w:r>
            <w:bookmarkEnd w:id="44"/>
          </w:p>
          <w:p w14:paraId="39661FCF">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45" w:name="_Toc2365"/>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公共区域巡逻全面、仔细、无盲点，严格盘查、监视、驱逐可疑人员，巡逻发现公共设施损坏及时上报，有记录，公共秩序良好，无乱摆卖现象。</w:t>
            </w:r>
            <w:bookmarkEnd w:id="45"/>
          </w:p>
          <w:p w14:paraId="5CC8C3D6">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46" w:name="_Toc25817"/>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重点部位无非工作人员擅入现象，每班至少对重点部位巡查一次，对异常和危险现象处理及时到位。</w:t>
            </w:r>
            <w:bookmarkEnd w:id="46"/>
          </w:p>
          <w:p w14:paraId="189F22A2">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47" w:name="_Toc14572"/>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台风暴雨发生时紧急巡逻，及时检查抗灾物资准备，及时检查公共设施的稳固性，重点区域的门窗关闭和防水情况，发现安全隐患及时报告并处理。</w:t>
            </w:r>
            <w:bookmarkEnd w:id="47"/>
          </w:p>
        </w:tc>
        <w:tc>
          <w:tcPr>
            <w:tcW w:w="843" w:type="dxa"/>
            <w:noWrap w:val="0"/>
            <w:vAlign w:val="center"/>
          </w:tcPr>
          <w:p w14:paraId="48199DB5">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查阅记录</w:t>
            </w:r>
          </w:p>
          <w:p w14:paraId="49DA9B9D">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现场查看</w:t>
            </w:r>
          </w:p>
        </w:tc>
        <w:tc>
          <w:tcPr>
            <w:tcW w:w="996" w:type="dxa"/>
            <w:noWrap w:val="0"/>
            <w:vAlign w:val="center"/>
          </w:tcPr>
          <w:p w14:paraId="087B172C">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02F5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5" w:hRule="atLeast"/>
          <w:jc w:val="center"/>
        </w:trPr>
        <w:tc>
          <w:tcPr>
            <w:tcW w:w="1178" w:type="dxa"/>
            <w:vMerge w:val="continue"/>
            <w:noWrap w:val="0"/>
            <w:vAlign w:val="center"/>
          </w:tcPr>
          <w:p w14:paraId="4C2F87F0">
            <w:pPr>
              <w:widowControl w:val="0"/>
              <w:spacing w:line="240" w:lineRule="auto"/>
              <w:jc w:val="center"/>
              <w:outlineLvl w:val="9"/>
              <w:rPr>
                <w:rFonts w:hint="eastAsia" w:ascii="宋体" w:hAnsi="宋体" w:eastAsia="宋体" w:cs="宋体"/>
                <w:sz w:val="24"/>
                <w:szCs w:val="24"/>
              </w:rPr>
            </w:pPr>
          </w:p>
        </w:tc>
        <w:tc>
          <w:tcPr>
            <w:tcW w:w="1430" w:type="dxa"/>
            <w:noWrap w:val="0"/>
            <w:vAlign w:val="center"/>
          </w:tcPr>
          <w:p w14:paraId="2BE9953D">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空置房</w:t>
            </w:r>
          </w:p>
          <w:p w14:paraId="7EB1CE25">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和出租房</w:t>
            </w:r>
          </w:p>
          <w:p w14:paraId="6EFB8978">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（5分）</w:t>
            </w:r>
          </w:p>
        </w:tc>
        <w:tc>
          <w:tcPr>
            <w:tcW w:w="5884" w:type="dxa"/>
            <w:noWrap w:val="0"/>
            <w:vAlign w:val="center"/>
          </w:tcPr>
          <w:p w14:paraId="77CB8227">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48" w:name="_Toc18869"/>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建立出租屋清单，对承租人的登记全面、准确，变更及时。</w:t>
            </w:r>
            <w:bookmarkEnd w:id="48"/>
          </w:p>
          <w:p w14:paraId="3D6B735E">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49" w:name="_Toc27460"/>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租户、公司户、商铺户户有登记，更新及时。</w:t>
            </w:r>
            <w:bookmarkEnd w:id="49"/>
          </w:p>
          <w:p w14:paraId="26734C63">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50" w:name="_Toc23048"/>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建立小区空置房清单，安全员熟悉，每月清查核对，有记录。</w:t>
            </w:r>
            <w:bookmarkEnd w:id="50"/>
          </w:p>
          <w:p w14:paraId="375B6E8B">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51" w:name="_Toc26069"/>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消防安全管理责任明确。</w:t>
            </w:r>
            <w:bookmarkEnd w:id="51"/>
          </w:p>
          <w:p w14:paraId="7AE414F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52" w:name="_Toc719"/>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无未经批准擅自改变房屋使用用途的房屋。</w:t>
            </w:r>
            <w:bookmarkEnd w:id="52"/>
          </w:p>
          <w:p w14:paraId="35395E5A">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53" w:name="_Toc20654"/>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无利用承租的房屋生产、储存、经营危险品的现象。</w:t>
            </w:r>
            <w:bookmarkEnd w:id="53"/>
          </w:p>
          <w:p w14:paraId="7CE7B74E">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54" w:name="_Toc1753"/>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发现承租人及同住人员从事违法犯罪活动，及时举报制止。</w:t>
            </w:r>
            <w:bookmarkEnd w:id="54"/>
          </w:p>
          <w:p w14:paraId="1EC7B354">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55" w:name="_Toc6773"/>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空置的钥匙在中心统一保管，并履行领用登记手续。</w:t>
            </w:r>
            <w:bookmarkEnd w:id="55"/>
          </w:p>
          <w:p w14:paraId="42411768">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56" w:name="_Toc15612"/>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空置房巡逻参照“空置房巡逻标准”。</w:t>
            </w:r>
            <w:bookmarkEnd w:id="56"/>
          </w:p>
        </w:tc>
        <w:tc>
          <w:tcPr>
            <w:tcW w:w="843" w:type="dxa"/>
            <w:noWrap w:val="0"/>
            <w:vAlign w:val="center"/>
          </w:tcPr>
          <w:p w14:paraId="5FD1131E">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w:t>
            </w:r>
          </w:p>
          <w:p w14:paraId="44128388">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记录</w:t>
            </w:r>
          </w:p>
        </w:tc>
        <w:tc>
          <w:tcPr>
            <w:tcW w:w="996" w:type="dxa"/>
            <w:noWrap w:val="0"/>
            <w:vAlign w:val="center"/>
          </w:tcPr>
          <w:p w14:paraId="4DAEF149">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2C4D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6" w:hRule="atLeast"/>
          <w:jc w:val="center"/>
        </w:trPr>
        <w:tc>
          <w:tcPr>
            <w:tcW w:w="1178" w:type="dxa"/>
            <w:vMerge w:val="continue"/>
            <w:noWrap w:val="0"/>
            <w:vAlign w:val="center"/>
          </w:tcPr>
          <w:p w14:paraId="2E89C965">
            <w:pPr>
              <w:widowControl w:val="0"/>
              <w:spacing w:line="240" w:lineRule="auto"/>
              <w:jc w:val="center"/>
              <w:outlineLvl w:val="9"/>
              <w:rPr>
                <w:rFonts w:hint="eastAsia" w:ascii="宋体" w:hAnsi="宋体" w:eastAsia="宋体" w:cs="宋体"/>
                <w:color w:val="000000"/>
                <w:sz w:val="24"/>
                <w:szCs w:val="24"/>
              </w:rPr>
            </w:pPr>
          </w:p>
        </w:tc>
        <w:tc>
          <w:tcPr>
            <w:tcW w:w="1430" w:type="dxa"/>
            <w:noWrap w:val="0"/>
            <w:vAlign w:val="center"/>
          </w:tcPr>
          <w:p w14:paraId="663574A1">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监控中心</w:t>
            </w:r>
          </w:p>
          <w:p w14:paraId="554FC79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（5分）</w:t>
            </w:r>
          </w:p>
        </w:tc>
        <w:tc>
          <w:tcPr>
            <w:tcW w:w="5884" w:type="dxa"/>
            <w:noWrap w:val="0"/>
            <w:vAlign w:val="center"/>
          </w:tcPr>
          <w:p w14:paraId="4101D586">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57" w:name="_Toc3232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中心值班员须持《消防上岗证》并具备较强的紧急事件处理能力和综合能力。</w:t>
            </w:r>
            <w:bookmarkEnd w:id="57"/>
          </w:p>
          <w:p w14:paraId="57B6BEE3">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58" w:name="_Toc15616"/>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中心有经部门负责人授权同意的代班人员名单，（代班人员能力相当），代班期间并做好代班经手的相关工作记录。</w:t>
            </w:r>
            <w:bookmarkEnd w:id="58"/>
          </w:p>
          <w:p w14:paraId="09061615">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59" w:name="_Toc16762"/>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对中心夜间工作录像状态的检查，安全负责人每周一次，部门负责人每月一次。</w:t>
            </w:r>
            <w:bookmarkEnd w:id="59"/>
          </w:p>
          <w:p w14:paraId="4DE527CD">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60" w:name="_Toc22717"/>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信息处理及时，联络顺畅，对可疑情况监控到位，有记录。</w:t>
            </w:r>
            <w:bookmarkEnd w:id="60"/>
          </w:p>
          <w:p w14:paraId="7A1D3B3B">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61" w:name="_Toc12495"/>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交接班时按要求对消防控制联动柜、消防报警主机、各设备房报警信号进行检查，有记录。</w:t>
            </w:r>
            <w:bookmarkEnd w:id="61"/>
          </w:p>
          <w:p w14:paraId="58361121">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62" w:name="_Toc27451"/>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紧急情况下与宿舍安全员、上级联络及时。</w:t>
            </w:r>
            <w:bookmarkEnd w:id="62"/>
          </w:p>
          <w:p w14:paraId="31D18DF0">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63" w:name="_Toc24443"/>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无无关人员在中心逗留。</w:t>
            </w:r>
            <w:bookmarkEnd w:id="63"/>
          </w:p>
          <w:p w14:paraId="498B544E">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64" w:name="_Toc5600"/>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必备的常用联系电话查询方便、无误。</w:t>
            </w:r>
            <w:bookmarkEnd w:id="64"/>
          </w:p>
          <w:p w14:paraId="4C0CCE2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65" w:name="_Toc51"/>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相关资料保存周全，并做好相关保密工作。</w:t>
            </w:r>
            <w:bookmarkEnd w:id="65"/>
          </w:p>
          <w:p w14:paraId="3C8D7F6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66" w:name="_Toc997"/>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制定钥匙明细清单，标识明确、分类保管。</w:t>
            </w:r>
            <w:bookmarkEnd w:id="66"/>
          </w:p>
          <w:p w14:paraId="3F467441">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67" w:name="_Toc12089"/>
            <w:r>
              <w:rPr>
                <w:rFonts w:hint="eastAsia" w:ascii="宋体" w:hAnsi="宋体" w:eastAsia="宋体" w:cs="宋体"/>
                <w:color w:val="000000"/>
                <w:sz w:val="24"/>
                <w:szCs w:val="24"/>
                <w:lang w:val="en-US" w:eastAsia="zh-CN"/>
              </w:rPr>
              <w:t>11、</w:t>
            </w:r>
            <w:r>
              <w:rPr>
                <w:rFonts w:hint="eastAsia" w:ascii="宋体" w:hAnsi="宋体" w:eastAsia="宋体" w:cs="宋体"/>
                <w:color w:val="000000"/>
                <w:sz w:val="24"/>
                <w:szCs w:val="24"/>
              </w:rPr>
              <w:t>钥匙领借用履行登记手续。</w:t>
            </w:r>
            <w:bookmarkEnd w:id="67"/>
          </w:p>
        </w:tc>
        <w:tc>
          <w:tcPr>
            <w:tcW w:w="843" w:type="dxa"/>
            <w:noWrap w:val="0"/>
            <w:vAlign w:val="center"/>
          </w:tcPr>
          <w:p w14:paraId="55E98920">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w:t>
            </w:r>
          </w:p>
          <w:p w14:paraId="4EF49B16">
            <w:pPr>
              <w:widowControl w:val="0"/>
              <w:spacing w:line="240" w:lineRule="auto"/>
              <w:ind w:left="0" w:leftChars="0" w:firstLine="0" w:firstLineChars="0"/>
              <w:jc w:val="center"/>
              <w:outlineLvl w:val="9"/>
              <w:rPr>
                <w:rFonts w:hint="eastAsia"/>
              </w:rPr>
            </w:pPr>
            <w:r>
              <w:rPr>
                <w:rFonts w:hint="eastAsia" w:ascii="宋体" w:hAnsi="宋体" w:eastAsia="宋体" w:cs="宋体"/>
                <w:color w:val="000000"/>
                <w:sz w:val="24"/>
                <w:szCs w:val="24"/>
              </w:rPr>
              <w:t>记录</w:t>
            </w:r>
          </w:p>
          <w:p w14:paraId="0D91A9D8">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w:t>
            </w:r>
          </w:p>
          <w:p w14:paraId="66047E8B">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查看</w:t>
            </w:r>
          </w:p>
        </w:tc>
        <w:tc>
          <w:tcPr>
            <w:tcW w:w="996" w:type="dxa"/>
            <w:noWrap w:val="0"/>
            <w:vAlign w:val="center"/>
          </w:tcPr>
          <w:p w14:paraId="4B3B1777">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0738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5" w:hRule="atLeast"/>
          <w:jc w:val="center"/>
        </w:trPr>
        <w:tc>
          <w:tcPr>
            <w:tcW w:w="1178" w:type="dxa"/>
            <w:vMerge w:val="continue"/>
            <w:noWrap w:val="0"/>
            <w:vAlign w:val="center"/>
          </w:tcPr>
          <w:p w14:paraId="3DFE7587">
            <w:pPr>
              <w:widowControl w:val="0"/>
              <w:spacing w:line="240" w:lineRule="auto"/>
              <w:jc w:val="center"/>
              <w:outlineLvl w:val="9"/>
              <w:rPr>
                <w:rFonts w:hint="eastAsia" w:ascii="宋体" w:hAnsi="宋体" w:eastAsia="宋体" w:cs="宋体"/>
                <w:color w:val="000000"/>
                <w:sz w:val="24"/>
                <w:szCs w:val="24"/>
              </w:rPr>
            </w:pPr>
          </w:p>
        </w:tc>
        <w:tc>
          <w:tcPr>
            <w:tcW w:w="1430" w:type="dxa"/>
            <w:noWrap w:val="0"/>
            <w:vAlign w:val="center"/>
          </w:tcPr>
          <w:p w14:paraId="002C4EDE">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突发事件</w:t>
            </w:r>
          </w:p>
          <w:p w14:paraId="5D1E8DFB">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管理</w:t>
            </w:r>
          </w:p>
          <w:p w14:paraId="500DFDB2">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（5分）</w:t>
            </w:r>
          </w:p>
        </w:tc>
        <w:tc>
          <w:tcPr>
            <w:tcW w:w="5884" w:type="dxa"/>
            <w:noWrap w:val="0"/>
            <w:vAlign w:val="center"/>
          </w:tcPr>
          <w:p w14:paraId="686B78C2">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68" w:name="_Toc20145"/>
            <w:r>
              <w:rPr>
                <w:rFonts w:hint="eastAsia" w:ascii="宋体" w:hAnsi="宋体" w:eastAsia="宋体" w:cs="宋体"/>
                <w:bCs/>
                <w:color w:val="000000"/>
                <w:kern w:val="44"/>
                <w:sz w:val="24"/>
                <w:szCs w:val="24"/>
                <w:lang w:val="en-US" w:eastAsia="zh-CN" w:bidi="ar-SA"/>
              </w:rPr>
              <w:t>1、</w:t>
            </w:r>
            <w:r>
              <w:rPr>
                <w:rFonts w:hint="eastAsia" w:ascii="宋体" w:hAnsi="宋体" w:eastAsia="宋体" w:cs="宋体"/>
                <w:color w:val="000000"/>
                <w:sz w:val="24"/>
                <w:szCs w:val="24"/>
              </w:rPr>
              <w:t>针对打架斗殴、偷盗、抢劫、绑架、人身意外伤亡、自然灾害以及车辆碰撞、受损、冲岗、丢失等各类可能的突发事件应制定应急预案；项目至少每半年选取其中一类演练一次。</w:t>
            </w:r>
            <w:bookmarkEnd w:id="68"/>
          </w:p>
          <w:p w14:paraId="3E594C83">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69" w:name="_Toc32222"/>
            <w:r>
              <w:rPr>
                <w:rFonts w:hint="eastAsia" w:ascii="宋体" w:hAnsi="宋体" w:eastAsia="宋体" w:cs="宋体"/>
                <w:bCs/>
                <w:color w:val="000000"/>
                <w:kern w:val="44"/>
                <w:sz w:val="24"/>
                <w:szCs w:val="24"/>
                <w:lang w:val="en-US" w:eastAsia="zh-CN" w:bidi="ar-SA"/>
              </w:rPr>
              <w:t>2、</w:t>
            </w:r>
            <w:r>
              <w:rPr>
                <w:rFonts w:hint="eastAsia" w:ascii="宋体" w:hAnsi="宋体" w:eastAsia="宋体" w:cs="宋体"/>
                <w:color w:val="000000"/>
                <w:sz w:val="24"/>
                <w:szCs w:val="24"/>
              </w:rPr>
              <w:t>各类应急演练记录和通报完善，有图片记录。</w:t>
            </w:r>
            <w:bookmarkEnd w:id="69"/>
          </w:p>
          <w:p w14:paraId="69F1E2A4">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70" w:name="_Toc12745"/>
            <w:r>
              <w:rPr>
                <w:rFonts w:hint="eastAsia" w:ascii="宋体" w:hAnsi="宋体" w:eastAsia="宋体" w:cs="宋体"/>
                <w:bCs/>
                <w:color w:val="000000"/>
                <w:kern w:val="44"/>
                <w:sz w:val="24"/>
                <w:szCs w:val="24"/>
                <w:lang w:val="en-US" w:eastAsia="zh-CN" w:bidi="ar-SA"/>
              </w:rPr>
              <w:t>3、</w:t>
            </w:r>
            <w:r>
              <w:rPr>
                <w:rFonts w:hint="eastAsia" w:ascii="宋体" w:hAnsi="宋体" w:eastAsia="宋体" w:cs="宋体"/>
                <w:color w:val="000000"/>
                <w:sz w:val="24"/>
                <w:szCs w:val="24"/>
              </w:rPr>
              <w:t>部门负责人和秩序维护负责人熟悉突发事件处理流程。</w:t>
            </w:r>
            <w:bookmarkEnd w:id="70"/>
          </w:p>
          <w:p w14:paraId="01930882">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71" w:name="_Toc21285"/>
            <w:r>
              <w:rPr>
                <w:rFonts w:hint="eastAsia" w:ascii="宋体" w:hAnsi="宋体" w:eastAsia="宋体" w:cs="宋体"/>
                <w:bCs/>
                <w:color w:val="000000"/>
                <w:kern w:val="44"/>
                <w:sz w:val="24"/>
                <w:szCs w:val="24"/>
                <w:lang w:val="en-US" w:eastAsia="zh-CN" w:bidi="ar-SA"/>
              </w:rPr>
              <w:t>4、</w:t>
            </w:r>
            <w:r>
              <w:rPr>
                <w:rFonts w:hint="eastAsia" w:ascii="宋体" w:hAnsi="宋体" w:eastAsia="宋体" w:cs="宋体"/>
                <w:color w:val="000000"/>
                <w:sz w:val="24"/>
                <w:szCs w:val="24"/>
              </w:rPr>
              <w:t>发生突发事件，责任区内的当班人员在3分钟内赶到现场，到场后能准确判断情况，有效控制局面，并采取必要的封锁行动；监控中心指挥得当；如需协助，协同岗位在6分钟内赶到现场，合理布控；赶到现场人员须携带与事发性质相对应的应急工具。</w:t>
            </w:r>
            <w:bookmarkEnd w:id="71"/>
          </w:p>
        </w:tc>
        <w:tc>
          <w:tcPr>
            <w:tcW w:w="843" w:type="dxa"/>
            <w:noWrap w:val="0"/>
            <w:vAlign w:val="center"/>
          </w:tcPr>
          <w:p w14:paraId="57C45800">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w:t>
            </w:r>
          </w:p>
          <w:p w14:paraId="608EA48A">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文件</w:t>
            </w:r>
          </w:p>
          <w:p w14:paraId="2847AD9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记录</w:t>
            </w:r>
          </w:p>
          <w:p w14:paraId="68A72C48">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w:t>
            </w:r>
          </w:p>
          <w:p w14:paraId="1822258A">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应急</w:t>
            </w:r>
          </w:p>
          <w:p w14:paraId="586CAB78">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测试</w:t>
            </w:r>
          </w:p>
        </w:tc>
        <w:tc>
          <w:tcPr>
            <w:tcW w:w="996" w:type="dxa"/>
            <w:noWrap w:val="0"/>
            <w:vAlign w:val="center"/>
          </w:tcPr>
          <w:p w14:paraId="39EE730B">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40F2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1178" w:type="dxa"/>
            <w:vMerge w:val="restart"/>
            <w:noWrap w:val="0"/>
            <w:vAlign w:val="center"/>
          </w:tcPr>
          <w:p w14:paraId="568844F6">
            <w:pPr>
              <w:widowControl w:val="0"/>
              <w:spacing w:line="240" w:lineRule="auto"/>
              <w:ind w:left="0" w:leftChars="0" w:firstLine="0" w:firstLineChars="0"/>
              <w:jc w:val="both"/>
              <w:outlineLvl w:val="9"/>
              <w:rPr>
                <w:rFonts w:hint="eastAsia" w:ascii="宋体" w:hAnsi="宋体" w:eastAsia="宋体" w:cs="宋体"/>
                <w:color w:val="000000"/>
                <w:sz w:val="24"/>
                <w:szCs w:val="24"/>
              </w:rPr>
            </w:pPr>
            <w:r>
              <w:rPr>
                <w:rFonts w:hint="eastAsia" w:ascii="宋体" w:hAnsi="宋体" w:eastAsia="宋体" w:cs="宋体"/>
                <w:sz w:val="24"/>
                <w:szCs w:val="24"/>
              </w:rPr>
              <w:t>停车场与</w:t>
            </w:r>
            <w:r>
              <w:rPr>
                <w:rFonts w:hint="eastAsia" w:ascii="宋体" w:hAnsi="宋体" w:eastAsia="宋体" w:cs="宋体"/>
                <w:color w:val="000000"/>
                <w:sz w:val="24"/>
                <w:szCs w:val="24"/>
              </w:rPr>
              <w:fldChar w:fldCharType="begin"/>
            </w:r>
            <w:r>
              <w:rPr>
                <w:rFonts w:hint="eastAsia" w:ascii="宋体" w:hAnsi="宋体" w:eastAsia="宋体" w:cs="宋体"/>
                <w:color w:val="000000"/>
                <w:sz w:val="24"/>
                <w:szCs w:val="24"/>
              </w:rPr>
              <w:instrText xml:space="preserve"> HYPERLINK \l "A交通管理" </w:instrText>
            </w:r>
            <w:r>
              <w:rPr>
                <w:rFonts w:hint="eastAsia" w:ascii="宋体" w:hAnsi="宋体" w:eastAsia="宋体" w:cs="宋体"/>
                <w:color w:val="000000"/>
                <w:sz w:val="24"/>
                <w:szCs w:val="24"/>
              </w:rPr>
              <w:fldChar w:fldCharType="separate"/>
            </w:r>
            <w:r>
              <w:rPr>
                <w:rFonts w:hint="eastAsia" w:ascii="宋体" w:hAnsi="宋体" w:eastAsia="宋体" w:cs="宋体"/>
                <w:color w:val="000000"/>
                <w:sz w:val="24"/>
                <w:szCs w:val="24"/>
              </w:rPr>
              <w:t>交通管理</w:t>
            </w:r>
            <w:r>
              <w:rPr>
                <w:rFonts w:hint="eastAsia" w:ascii="宋体" w:hAnsi="宋体" w:eastAsia="宋体" w:cs="宋体"/>
                <w:color w:val="000000"/>
                <w:sz w:val="24"/>
                <w:szCs w:val="24"/>
              </w:rPr>
              <w:fldChar w:fldCharType="end"/>
            </w:r>
            <w:r>
              <w:rPr>
                <w:rFonts w:hint="eastAsia" w:ascii="宋体" w:hAnsi="宋体" w:eastAsia="宋体" w:cs="宋体"/>
                <w:color w:val="000000"/>
                <w:sz w:val="24"/>
                <w:szCs w:val="24"/>
              </w:rPr>
              <w:t>（25分）</w:t>
            </w:r>
          </w:p>
        </w:tc>
        <w:tc>
          <w:tcPr>
            <w:tcW w:w="1430" w:type="dxa"/>
            <w:noWrap w:val="0"/>
            <w:vAlign w:val="center"/>
          </w:tcPr>
          <w:p w14:paraId="350EB08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车库管理</w:t>
            </w:r>
          </w:p>
          <w:p w14:paraId="1B78C652">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（6分）</w:t>
            </w:r>
          </w:p>
        </w:tc>
        <w:tc>
          <w:tcPr>
            <w:tcW w:w="5884" w:type="dxa"/>
            <w:noWrap w:val="0"/>
            <w:vAlign w:val="center"/>
          </w:tcPr>
          <w:p w14:paraId="44FAFAD7">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72" w:name="_Toc29551"/>
            <w:r>
              <w:rPr>
                <w:rFonts w:hint="eastAsia" w:ascii="宋体" w:hAnsi="宋体" w:eastAsia="宋体" w:cs="宋体"/>
                <w:bCs/>
                <w:color w:val="000000"/>
                <w:kern w:val="44"/>
                <w:sz w:val="24"/>
                <w:szCs w:val="24"/>
                <w:lang w:val="en-US" w:eastAsia="zh-CN" w:bidi="ar-SA"/>
              </w:rPr>
              <w:t>1、</w:t>
            </w:r>
            <w:r>
              <w:rPr>
                <w:rFonts w:hint="eastAsia" w:ascii="宋体" w:hAnsi="宋体" w:eastAsia="宋体" w:cs="宋体"/>
                <w:color w:val="000000"/>
                <w:sz w:val="24"/>
                <w:szCs w:val="24"/>
              </w:rPr>
              <w:t>机动车出入口必须设置防强撞设施，周边安防设施坚固，形成闭合，能够防止人为破坏和车辆冲岗。</w:t>
            </w:r>
            <w:bookmarkEnd w:id="72"/>
          </w:p>
          <w:p w14:paraId="076B8C26">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73" w:name="_Toc4709"/>
            <w:r>
              <w:rPr>
                <w:rFonts w:hint="eastAsia" w:ascii="宋体" w:hAnsi="宋体" w:eastAsia="宋体" w:cs="宋体"/>
                <w:bCs/>
                <w:color w:val="000000"/>
                <w:kern w:val="44"/>
                <w:sz w:val="24"/>
                <w:szCs w:val="24"/>
                <w:lang w:val="en-US" w:eastAsia="zh-CN" w:bidi="ar-SA"/>
              </w:rPr>
              <w:t>2、</w:t>
            </w:r>
            <w:r>
              <w:rPr>
                <w:rFonts w:hint="eastAsia" w:ascii="宋体" w:hAnsi="宋体" w:eastAsia="宋体" w:cs="宋体"/>
                <w:color w:val="000000"/>
                <w:sz w:val="24"/>
                <w:szCs w:val="24"/>
              </w:rPr>
              <w:t>导向、禁停、限高、限速、限重、减速、禁鸣等交通标识完善、清晰。</w:t>
            </w:r>
            <w:bookmarkEnd w:id="73"/>
          </w:p>
          <w:p w14:paraId="484F2254">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74" w:name="_Toc20276"/>
            <w:r>
              <w:rPr>
                <w:rFonts w:hint="eastAsia" w:ascii="宋体" w:hAnsi="宋体" w:eastAsia="宋体" w:cs="宋体"/>
                <w:bCs/>
                <w:color w:val="000000"/>
                <w:kern w:val="44"/>
                <w:sz w:val="24"/>
                <w:szCs w:val="24"/>
                <w:lang w:val="en-US" w:eastAsia="zh-CN" w:bidi="ar-SA"/>
              </w:rPr>
              <w:t>3、</w:t>
            </w:r>
            <w:r>
              <w:rPr>
                <w:rFonts w:hint="eastAsia" w:ascii="宋体" w:hAnsi="宋体" w:eastAsia="宋体" w:cs="宋体"/>
                <w:color w:val="000000"/>
                <w:sz w:val="24"/>
                <w:szCs w:val="24"/>
              </w:rPr>
              <w:t>根据需要装有凸面镜、减速装置等设施。</w:t>
            </w:r>
            <w:bookmarkEnd w:id="74"/>
          </w:p>
          <w:p w14:paraId="5D225CDD">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75" w:name="_Toc16418"/>
            <w:r>
              <w:rPr>
                <w:rFonts w:hint="eastAsia" w:ascii="宋体" w:hAnsi="宋体" w:eastAsia="宋体" w:cs="宋体"/>
                <w:bCs/>
                <w:color w:val="000000"/>
                <w:kern w:val="44"/>
                <w:sz w:val="24"/>
                <w:szCs w:val="24"/>
                <w:lang w:val="en-US" w:eastAsia="zh-CN" w:bidi="ar-SA"/>
              </w:rPr>
              <w:t>4、</w:t>
            </w:r>
            <w:r>
              <w:rPr>
                <w:rFonts w:hint="eastAsia" w:ascii="宋体" w:hAnsi="宋体" w:eastAsia="宋体" w:cs="宋体"/>
                <w:color w:val="000000"/>
                <w:sz w:val="24"/>
                <w:szCs w:val="24"/>
              </w:rPr>
              <w:t>道闸、地桩有禁止尾随、人车分流标识。</w:t>
            </w:r>
            <w:bookmarkEnd w:id="75"/>
          </w:p>
        </w:tc>
        <w:tc>
          <w:tcPr>
            <w:tcW w:w="843" w:type="dxa"/>
            <w:noWrap w:val="0"/>
            <w:vAlign w:val="center"/>
          </w:tcPr>
          <w:p w14:paraId="55A4BF4C">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查看</w:t>
            </w:r>
          </w:p>
          <w:p w14:paraId="3572F043">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w:t>
            </w:r>
          </w:p>
        </w:tc>
        <w:tc>
          <w:tcPr>
            <w:tcW w:w="996" w:type="dxa"/>
            <w:noWrap w:val="0"/>
            <w:vAlign w:val="center"/>
          </w:tcPr>
          <w:p w14:paraId="308D43EA">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3061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9" w:hRule="atLeast"/>
          <w:jc w:val="center"/>
        </w:trPr>
        <w:tc>
          <w:tcPr>
            <w:tcW w:w="1178" w:type="dxa"/>
            <w:vMerge w:val="continue"/>
            <w:noWrap w:val="0"/>
            <w:vAlign w:val="center"/>
          </w:tcPr>
          <w:p w14:paraId="073DEECE">
            <w:pPr>
              <w:widowControl w:val="0"/>
              <w:spacing w:line="240" w:lineRule="auto"/>
              <w:jc w:val="center"/>
              <w:outlineLvl w:val="9"/>
              <w:rPr>
                <w:rFonts w:hint="eastAsia" w:ascii="宋体" w:hAnsi="宋体" w:eastAsia="宋体" w:cs="宋体"/>
                <w:color w:val="000000"/>
                <w:sz w:val="24"/>
                <w:szCs w:val="24"/>
              </w:rPr>
            </w:pPr>
          </w:p>
        </w:tc>
        <w:tc>
          <w:tcPr>
            <w:tcW w:w="1430" w:type="dxa"/>
            <w:noWrap w:val="0"/>
            <w:vAlign w:val="center"/>
          </w:tcPr>
          <w:p w14:paraId="22363BE4">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车辆</w:t>
            </w:r>
          </w:p>
          <w:p w14:paraId="326FF93F">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出入管理</w:t>
            </w:r>
          </w:p>
          <w:p w14:paraId="4E14D951">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（8分）</w:t>
            </w:r>
          </w:p>
        </w:tc>
        <w:tc>
          <w:tcPr>
            <w:tcW w:w="5884" w:type="dxa"/>
            <w:noWrap w:val="0"/>
            <w:vAlign w:val="center"/>
          </w:tcPr>
          <w:p w14:paraId="2AE54F66">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76" w:name="_Toc23037"/>
            <w:r>
              <w:rPr>
                <w:rFonts w:hint="eastAsia" w:ascii="宋体" w:hAnsi="宋体" w:eastAsia="宋体" w:cs="宋体"/>
                <w:bCs/>
                <w:color w:val="000000"/>
                <w:kern w:val="44"/>
                <w:sz w:val="24"/>
                <w:szCs w:val="24"/>
                <w:lang w:val="en-US" w:eastAsia="zh-CN" w:bidi="ar-SA"/>
              </w:rPr>
              <w:t>1、</w:t>
            </w:r>
            <w:r>
              <w:rPr>
                <w:rFonts w:hint="eastAsia" w:ascii="宋体" w:hAnsi="宋体" w:eastAsia="宋体" w:cs="宋体"/>
                <w:color w:val="000000"/>
                <w:sz w:val="24"/>
                <w:szCs w:val="24"/>
              </w:rPr>
              <w:t>制止无牌机动车辆及携带危险品车辆进入服务区。</w:t>
            </w:r>
            <w:bookmarkEnd w:id="76"/>
          </w:p>
          <w:p w14:paraId="2B7DF2C2">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77" w:name="_Toc24172"/>
            <w:r>
              <w:rPr>
                <w:rFonts w:hint="eastAsia" w:ascii="宋体" w:hAnsi="宋体" w:eastAsia="宋体" w:cs="宋体"/>
                <w:bCs/>
                <w:color w:val="000000"/>
                <w:kern w:val="44"/>
                <w:sz w:val="24"/>
                <w:szCs w:val="24"/>
                <w:lang w:val="en-US" w:eastAsia="zh-CN" w:bidi="ar-SA"/>
              </w:rPr>
              <w:t>2、</w:t>
            </w:r>
            <w:r>
              <w:rPr>
                <w:rFonts w:hint="eastAsia" w:ascii="宋体" w:hAnsi="宋体" w:eastAsia="宋体" w:cs="宋体"/>
                <w:color w:val="000000"/>
                <w:sz w:val="24"/>
                <w:szCs w:val="24"/>
              </w:rPr>
              <w:t>建立完善的停车场管理制度，有效的对停车场进行管理和控制。</w:t>
            </w:r>
            <w:bookmarkEnd w:id="77"/>
          </w:p>
          <w:p w14:paraId="407AAAE1">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78" w:name="_Toc21326"/>
            <w:r>
              <w:rPr>
                <w:rFonts w:hint="eastAsia" w:ascii="宋体" w:hAnsi="宋体" w:eastAsia="宋体" w:cs="宋体"/>
                <w:bCs/>
                <w:color w:val="000000"/>
                <w:kern w:val="44"/>
                <w:sz w:val="24"/>
                <w:szCs w:val="24"/>
                <w:lang w:val="en-US" w:eastAsia="zh-CN" w:bidi="ar-SA"/>
              </w:rPr>
              <w:t>3、</w:t>
            </w:r>
            <w:r>
              <w:rPr>
                <w:rFonts w:hint="eastAsia" w:ascii="宋体" w:hAnsi="宋体" w:eastAsia="宋体" w:cs="宋体"/>
                <w:color w:val="000000"/>
                <w:sz w:val="24"/>
                <w:szCs w:val="24"/>
              </w:rPr>
              <w:t>车辆进入、放行时核车、并尽量核人。</w:t>
            </w:r>
            <w:bookmarkEnd w:id="78"/>
          </w:p>
          <w:p w14:paraId="19E0B6EA">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79" w:name="_Toc17803"/>
            <w:r>
              <w:rPr>
                <w:rFonts w:hint="eastAsia" w:ascii="宋体" w:hAnsi="宋体" w:eastAsia="宋体" w:cs="宋体"/>
                <w:bCs/>
                <w:color w:val="000000"/>
                <w:kern w:val="44"/>
                <w:sz w:val="24"/>
                <w:szCs w:val="24"/>
                <w:lang w:val="en-US" w:eastAsia="zh-CN" w:bidi="ar-SA"/>
              </w:rPr>
              <w:t>4、</w:t>
            </w:r>
            <w:r>
              <w:rPr>
                <w:rFonts w:hint="eastAsia" w:ascii="宋体" w:hAnsi="宋体" w:eastAsia="宋体" w:cs="宋体"/>
                <w:color w:val="000000"/>
                <w:sz w:val="24"/>
                <w:szCs w:val="24"/>
              </w:rPr>
              <w:t>车辆放行时须检查一辆放行一辆，过一辆车开一次道闸，严禁在未办理手续前将道闸打开。</w:t>
            </w:r>
            <w:bookmarkEnd w:id="79"/>
          </w:p>
          <w:p w14:paraId="1E377567">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80" w:name="_Toc13786"/>
            <w:r>
              <w:rPr>
                <w:rFonts w:hint="eastAsia" w:ascii="宋体" w:hAnsi="宋体" w:eastAsia="宋体" w:cs="宋体"/>
                <w:bCs/>
                <w:color w:val="000000"/>
                <w:kern w:val="44"/>
                <w:sz w:val="24"/>
                <w:szCs w:val="24"/>
                <w:lang w:val="en-US" w:eastAsia="zh-CN" w:bidi="ar-SA"/>
              </w:rPr>
              <w:t>5、</w:t>
            </w:r>
            <w:r>
              <w:rPr>
                <w:rFonts w:hint="eastAsia" w:ascii="宋体" w:hAnsi="宋体" w:eastAsia="宋体" w:cs="宋体"/>
                <w:color w:val="000000"/>
                <w:sz w:val="24"/>
                <w:szCs w:val="24"/>
              </w:rPr>
              <w:t>无月卡车辆（含的士）须核实乘客身份，外来访客须经住户确认方可进入。</w:t>
            </w:r>
            <w:bookmarkEnd w:id="80"/>
          </w:p>
          <w:p w14:paraId="00EA9E77">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81" w:name="_Toc8902"/>
            <w:r>
              <w:rPr>
                <w:rFonts w:hint="eastAsia" w:ascii="宋体" w:hAnsi="宋体" w:eastAsia="宋体" w:cs="宋体"/>
                <w:bCs/>
                <w:color w:val="000000"/>
                <w:kern w:val="44"/>
                <w:sz w:val="24"/>
                <w:szCs w:val="24"/>
                <w:lang w:val="en-US" w:eastAsia="zh-CN" w:bidi="ar-SA"/>
              </w:rPr>
              <w:t>6、</w:t>
            </w:r>
            <w:r>
              <w:rPr>
                <w:rFonts w:hint="eastAsia" w:ascii="宋体" w:hAnsi="宋体" w:eastAsia="宋体" w:cs="宋体"/>
                <w:color w:val="000000"/>
                <w:sz w:val="24"/>
                <w:szCs w:val="24"/>
              </w:rPr>
              <w:t>外来运货车辆须经住户确认后方可进入，放行时打开车尾箱检查，搬运物品外出须有放行条。</w:t>
            </w:r>
            <w:bookmarkEnd w:id="81"/>
          </w:p>
          <w:p w14:paraId="1CB8E281">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82" w:name="_Toc10665"/>
            <w:r>
              <w:rPr>
                <w:rFonts w:hint="eastAsia" w:ascii="宋体" w:hAnsi="宋体" w:eastAsia="宋体" w:cs="宋体"/>
                <w:bCs/>
                <w:color w:val="000000"/>
                <w:kern w:val="44"/>
                <w:sz w:val="24"/>
                <w:szCs w:val="24"/>
                <w:lang w:val="en-US" w:eastAsia="zh-CN" w:bidi="ar-SA"/>
              </w:rPr>
              <w:t>7、</w:t>
            </w:r>
            <w:r>
              <w:rPr>
                <w:rFonts w:hint="eastAsia" w:ascii="宋体" w:hAnsi="宋体" w:eastAsia="宋体" w:cs="宋体"/>
                <w:color w:val="000000"/>
                <w:sz w:val="24"/>
                <w:szCs w:val="24"/>
              </w:rPr>
              <w:t>车辆出入记录每天检查、核对并备份；车辆出入记录、车辆检查登记表至少保存1年。</w:t>
            </w:r>
            <w:bookmarkEnd w:id="82"/>
          </w:p>
          <w:p w14:paraId="0AFEDD8A">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83" w:name="_Toc22136"/>
            <w:r>
              <w:rPr>
                <w:rFonts w:hint="eastAsia" w:ascii="宋体" w:hAnsi="宋体" w:eastAsia="宋体" w:cs="宋体"/>
                <w:bCs/>
                <w:color w:val="000000"/>
                <w:kern w:val="44"/>
                <w:sz w:val="24"/>
                <w:szCs w:val="24"/>
                <w:lang w:val="en-US" w:eastAsia="zh-CN" w:bidi="ar-SA"/>
              </w:rPr>
              <w:t>8、</w:t>
            </w:r>
            <w:r>
              <w:rPr>
                <w:rFonts w:hint="eastAsia" w:ascii="宋体" w:hAnsi="宋体" w:eastAsia="宋体" w:cs="宋体"/>
                <w:color w:val="000000"/>
                <w:sz w:val="24"/>
                <w:szCs w:val="24"/>
              </w:rPr>
              <w:t>车场出入口及车场巡逻岗熟练掌握车辆指挥手势。</w:t>
            </w:r>
            <w:bookmarkEnd w:id="83"/>
          </w:p>
          <w:p w14:paraId="7612DC7D">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84" w:name="_Toc19539"/>
            <w:r>
              <w:rPr>
                <w:rFonts w:hint="eastAsia" w:ascii="宋体" w:hAnsi="宋体" w:eastAsia="宋体" w:cs="宋体"/>
                <w:bCs/>
                <w:color w:val="000000"/>
                <w:kern w:val="44"/>
                <w:sz w:val="24"/>
                <w:szCs w:val="24"/>
                <w:lang w:val="en-US" w:eastAsia="zh-CN" w:bidi="ar-SA"/>
              </w:rPr>
              <w:t>9、</w:t>
            </w:r>
            <w:r>
              <w:rPr>
                <w:rFonts w:hint="eastAsia" w:ascii="宋体" w:hAnsi="宋体" w:eastAsia="宋体" w:cs="宋体"/>
                <w:color w:val="000000"/>
                <w:sz w:val="24"/>
                <w:szCs w:val="24"/>
              </w:rPr>
              <w:t>夜间19：00至次日7：00，停车场及车辆出入口秩序维护员须穿反光衣。</w:t>
            </w:r>
            <w:bookmarkEnd w:id="84"/>
          </w:p>
        </w:tc>
        <w:tc>
          <w:tcPr>
            <w:tcW w:w="843" w:type="dxa"/>
            <w:noWrap w:val="0"/>
            <w:vAlign w:val="center"/>
          </w:tcPr>
          <w:p w14:paraId="4AE509E1">
            <w:pPr>
              <w:widowControl w:val="0"/>
              <w:spacing w:line="240" w:lineRule="auto"/>
              <w:ind w:left="0" w:leftChars="0" w:firstLine="0" w:firstLineChars="0"/>
              <w:jc w:val="both"/>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查阅文件记录</w:t>
            </w:r>
          </w:p>
          <w:p w14:paraId="4E705577">
            <w:pPr>
              <w:widowControl w:val="0"/>
              <w:spacing w:line="240" w:lineRule="auto"/>
              <w:ind w:left="0" w:leftChars="0" w:firstLine="0" w:firstLineChars="0"/>
              <w:jc w:val="both"/>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现场查看</w:t>
            </w:r>
          </w:p>
        </w:tc>
        <w:tc>
          <w:tcPr>
            <w:tcW w:w="996" w:type="dxa"/>
            <w:noWrap w:val="0"/>
            <w:vAlign w:val="center"/>
          </w:tcPr>
          <w:p w14:paraId="3ABF2CBD">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547C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1178" w:type="dxa"/>
            <w:vMerge w:val="continue"/>
            <w:noWrap w:val="0"/>
            <w:vAlign w:val="center"/>
          </w:tcPr>
          <w:p w14:paraId="52C48518">
            <w:pPr>
              <w:widowControl w:val="0"/>
              <w:spacing w:line="240" w:lineRule="auto"/>
              <w:jc w:val="center"/>
              <w:outlineLvl w:val="9"/>
              <w:rPr>
                <w:rFonts w:hint="eastAsia" w:ascii="宋体" w:hAnsi="宋体" w:eastAsia="宋体" w:cs="宋体"/>
                <w:color w:val="000000"/>
                <w:sz w:val="24"/>
                <w:szCs w:val="24"/>
              </w:rPr>
            </w:pPr>
          </w:p>
        </w:tc>
        <w:tc>
          <w:tcPr>
            <w:tcW w:w="1430" w:type="dxa"/>
            <w:noWrap w:val="0"/>
            <w:vAlign w:val="center"/>
          </w:tcPr>
          <w:p w14:paraId="606AC4D2">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车场</w:t>
            </w:r>
          </w:p>
          <w:p w14:paraId="795F6BC1">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秩序管理</w:t>
            </w:r>
          </w:p>
          <w:p w14:paraId="756988F3">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（6分）</w:t>
            </w:r>
          </w:p>
        </w:tc>
        <w:tc>
          <w:tcPr>
            <w:tcW w:w="5884" w:type="dxa"/>
            <w:noWrap w:val="0"/>
            <w:vAlign w:val="center"/>
          </w:tcPr>
          <w:p w14:paraId="47970016">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85" w:name="_Toc29662"/>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发生车辆碰撞、冲岗或丢失等按紧急预案及时处理。</w:t>
            </w:r>
            <w:bookmarkEnd w:id="85"/>
          </w:p>
          <w:p w14:paraId="065BD46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86" w:name="_Toc10267"/>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自行车、摩托车管理责任明确，停放整齐，存取方便，无乱停、乱放、叠放现象。</w:t>
            </w:r>
            <w:bookmarkEnd w:id="86"/>
          </w:p>
          <w:p w14:paraId="794AEE87">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87" w:name="_Toc30781"/>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车场内无维修、试刹车或练习驾驶。</w:t>
            </w:r>
            <w:bookmarkEnd w:id="87"/>
          </w:p>
          <w:p w14:paraId="2DD80FB0">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88" w:name="_Toc14583"/>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停车场巡逻岗应对进入车场的车辆进行外观检查，对异常情况有记录。</w:t>
            </w:r>
            <w:bookmarkEnd w:id="88"/>
          </w:p>
          <w:p w14:paraId="4AE00B07">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89" w:name="_Toc15445"/>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车辆按位停放，整齐有序，无跨位、占位、占道停放现象。</w:t>
            </w:r>
            <w:bookmarkEnd w:id="89"/>
          </w:p>
        </w:tc>
        <w:tc>
          <w:tcPr>
            <w:tcW w:w="843" w:type="dxa"/>
            <w:noWrap w:val="0"/>
            <w:vAlign w:val="center"/>
          </w:tcPr>
          <w:p w14:paraId="107D0538">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w:t>
            </w:r>
          </w:p>
          <w:p w14:paraId="66D92860">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查看</w:t>
            </w:r>
          </w:p>
        </w:tc>
        <w:tc>
          <w:tcPr>
            <w:tcW w:w="996" w:type="dxa"/>
            <w:noWrap w:val="0"/>
            <w:vAlign w:val="center"/>
          </w:tcPr>
          <w:p w14:paraId="2BE25019">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3F9C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jc w:val="center"/>
        </w:trPr>
        <w:tc>
          <w:tcPr>
            <w:tcW w:w="1178" w:type="dxa"/>
            <w:vMerge w:val="continue"/>
            <w:noWrap w:val="0"/>
            <w:vAlign w:val="center"/>
          </w:tcPr>
          <w:p w14:paraId="3211AF2A">
            <w:pPr>
              <w:widowControl w:val="0"/>
              <w:spacing w:line="240" w:lineRule="auto"/>
              <w:jc w:val="center"/>
              <w:outlineLvl w:val="9"/>
              <w:rPr>
                <w:rFonts w:hint="eastAsia" w:ascii="宋体" w:hAnsi="宋体" w:eastAsia="宋体" w:cs="宋体"/>
                <w:color w:val="000000"/>
                <w:sz w:val="24"/>
                <w:szCs w:val="24"/>
              </w:rPr>
            </w:pPr>
          </w:p>
        </w:tc>
        <w:tc>
          <w:tcPr>
            <w:tcW w:w="1430" w:type="dxa"/>
            <w:noWrap w:val="0"/>
            <w:vAlign w:val="center"/>
          </w:tcPr>
          <w:p w14:paraId="2AD4D15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收费与票据</w:t>
            </w:r>
          </w:p>
          <w:p w14:paraId="518BF029">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管理</w:t>
            </w:r>
          </w:p>
          <w:p w14:paraId="2F164D11">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（5分）</w:t>
            </w:r>
          </w:p>
        </w:tc>
        <w:tc>
          <w:tcPr>
            <w:tcW w:w="5884" w:type="dxa"/>
            <w:noWrap w:val="0"/>
            <w:vAlign w:val="center"/>
          </w:tcPr>
          <w:p w14:paraId="38BF716B">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90" w:name="_Toc5833"/>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经营性停车场有政府颁发的合法证照，购置停车场责任险。</w:t>
            </w:r>
            <w:bookmarkEnd w:id="90"/>
          </w:p>
          <w:p w14:paraId="3CB09710">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91" w:name="_Toc31284"/>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与车位所有人或使用人签订车位服务、使用协议（临停车除外），权利与责任约定明确。</w:t>
            </w:r>
            <w:bookmarkEnd w:id="91"/>
          </w:p>
          <w:p w14:paraId="0397A9A0">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92" w:name="_Toc22092"/>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停车场出入口设置收费标准公示牌。</w:t>
            </w:r>
            <w:bookmarkEnd w:id="92"/>
          </w:p>
          <w:p w14:paraId="6BD3AB6F">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93" w:name="_Toc21228"/>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因特殊情况未收费的车辆，应核实后作好登记，并请车主或上级签名确认。</w:t>
            </w:r>
            <w:bookmarkEnd w:id="93"/>
          </w:p>
          <w:p w14:paraId="1870FD31">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94" w:name="_Toc32389"/>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停放、收费凭证的领用、交接有记录并可追溯。智能卡、车辆临时进出凭证专人管理、收发登记、设定时效、定期盘点，对于遗失的或客户报失的智能卡必须及时挂失并做好登记。</w:t>
            </w:r>
            <w:bookmarkEnd w:id="94"/>
          </w:p>
          <w:p w14:paraId="1723501D">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95" w:name="_Toc23229"/>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交接班时</w:t>
            </w:r>
            <w:r>
              <w:rPr>
                <w:rFonts w:hint="eastAsia" w:eastAsia="宋体" w:cs="宋体"/>
                <w:color w:val="000000"/>
                <w:sz w:val="24"/>
                <w:szCs w:val="24"/>
                <w:lang w:eastAsia="zh-CN"/>
              </w:rPr>
              <w:t>，</w:t>
            </w:r>
            <w:r>
              <w:rPr>
                <w:rFonts w:hint="eastAsia" w:ascii="宋体" w:hAnsi="宋体" w:eastAsia="宋体" w:cs="宋体"/>
                <w:color w:val="000000"/>
                <w:sz w:val="24"/>
                <w:szCs w:val="24"/>
              </w:rPr>
              <w:t>现金应和票据相吻合，并做好交接班记录。</w:t>
            </w:r>
            <w:bookmarkEnd w:id="95"/>
          </w:p>
        </w:tc>
        <w:tc>
          <w:tcPr>
            <w:tcW w:w="843" w:type="dxa"/>
            <w:noWrap w:val="0"/>
            <w:vAlign w:val="center"/>
          </w:tcPr>
          <w:p w14:paraId="11F2A0F6">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w:t>
            </w:r>
          </w:p>
          <w:p w14:paraId="5727057A">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文件</w:t>
            </w:r>
          </w:p>
          <w:p w14:paraId="33956FF4">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记录</w:t>
            </w:r>
          </w:p>
          <w:p w14:paraId="2D4A3214">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w:t>
            </w:r>
          </w:p>
          <w:p w14:paraId="341F8BF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查看</w:t>
            </w:r>
          </w:p>
        </w:tc>
        <w:tc>
          <w:tcPr>
            <w:tcW w:w="996" w:type="dxa"/>
            <w:noWrap w:val="0"/>
            <w:vAlign w:val="center"/>
          </w:tcPr>
          <w:p w14:paraId="37780328">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5BD2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2" w:hRule="atLeast"/>
          <w:jc w:val="center"/>
        </w:trPr>
        <w:tc>
          <w:tcPr>
            <w:tcW w:w="1178" w:type="dxa"/>
            <w:vMerge w:val="restart"/>
            <w:noWrap w:val="0"/>
            <w:vAlign w:val="center"/>
          </w:tcPr>
          <w:p w14:paraId="1B734646">
            <w:pPr>
              <w:widowControl w:val="0"/>
              <w:spacing w:line="240" w:lineRule="auto"/>
              <w:ind w:left="0" w:leftChars="0" w:firstLine="0" w:firstLineChars="0"/>
              <w:jc w:val="both"/>
              <w:outlineLvl w:val="9"/>
              <w:rPr>
                <w:rFonts w:hint="eastAsia" w:ascii="宋体" w:hAnsi="宋体" w:eastAsia="宋体" w:cs="宋体"/>
                <w:color w:val="000000"/>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"A消防管理"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消防管理</w:t>
            </w:r>
            <w:r>
              <w:rPr>
                <w:rFonts w:hint="eastAsia" w:ascii="宋体" w:hAnsi="宋体" w:eastAsia="宋体" w:cs="宋体"/>
                <w:color w:val="000000"/>
                <w:sz w:val="24"/>
                <w:szCs w:val="24"/>
              </w:rPr>
              <w:fldChar w:fldCharType="end"/>
            </w:r>
            <w:r>
              <w:rPr>
                <w:rFonts w:hint="eastAsia" w:ascii="宋体" w:hAnsi="宋体" w:eastAsia="宋体" w:cs="宋体"/>
                <w:color w:val="000000"/>
                <w:sz w:val="24"/>
                <w:szCs w:val="24"/>
              </w:rPr>
              <w:t>（25分）</w:t>
            </w:r>
          </w:p>
        </w:tc>
        <w:tc>
          <w:tcPr>
            <w:tcW w:w="1430" w:type="dxa"/>
            <w:noWrap w:val="0"/>
            <w:vAlign w:val="center"/>
          </w:tcPr>
          <w:p w14:paraId="7EBC3E36">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设备工具</w:t>
            </w:r>
          </w:p>
          <w:p w14:paraId="0D1CCD80">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配置</w:t>
            </w:r>
          </w:p>
          <w:p w14:paraId="2F41F748">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（5分）</w:t>
            </w:r>
          </w:p>
        </w:tc>
        <w:tc>
          <w:tcPr>
            <w:tcW w:w="5884" w:type="dxa"/>
            <w:noWrap w:val="0"/>
            <w:vAlign w:val="center"/>
          </w:tcPr>
          <w:p w14:paraId="47C4FC6B">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96" w:name="_Toc7872"/>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灭火器参照《建筑灭火器配置设计规范》GB50140要求配置。</w:t>
            </w:r>
            <w:bookmarkEnd w:id="96"/>
          </w:p>
          <w:p w14:paraId="76971E18">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97" w:name="_Toc10149"/>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设备房、库房、控制中心、办公室等重要部位应配置相应种类的灭火器材。</w:t>
            </w:r>
            <w:bookmarkEnd w:id="97"/>
          </w:p>
          <w:p w14:paraId="4E203CC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98" w:name="_Toc12634"/>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轻便灭火器应挂置或装入灭火器箱，统一编号，并编制分布清单，列明品名、规格、数量、分布位置及有效期。</w:t>
            </w:r>
            <w:bookmarkEnd w:id="98"/>
          </w:p>
          <w:p w14:paraId="7E244ACC">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99" w:name="_Toc32130"/>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灭火器配置点位置明显便于拿取并有明显指示标识。</w:t>
            </w:r>
            <w:bookmarkEnd w:id="99"/>
          </w:p>
          <w:p w14:paraId="6D0E233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00" w:name="_Toc6626"/>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项目管理处备有消防斧、消防扳手、铁撬、铁锤以及警戒带、医疗箱及常用医药、防烟防毒等工具。</w:t>
            </w:r>
            <w:bookmarkEnd w:id="100"/>
          </w:p>
          <w:p w14:paraId="20ECA60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01" w:name="_Toc19493"/>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有首层消防设施平面图、煤气阀门平面图，且设施的图标与实际相符；有灭火作战示意图。</w:t>
            </w:r>
            <w:bookmarkEnd w:id="101"/>
          </w:p>
          <w:p w14:paraId="5C642C80">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02" w:name="_Toc16740"/>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高层建筑每层明显位置必须设置消防疏散示意图，且设施的图标与实际相符。</w:t>
            </w:r>
            <w:bookmarkEnd w:id="102"/>
          </w:p>
          <w:p w14:paraId="785843CD">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03" w:name="_Toc10706"/>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定期检查，过期的消防器材，必须清理。</w:t>
            </w:r>
            <w:bookmarkEnd w:id="103"/>
          </w:p>
        </w:tc>
        <w:tc>
          <w:tcPr>
            <w:tcW w:w="843" w:type="dxa"/>
            <w:noWrap w:val="0"/>
            <w:vAlign w:val="center"/>
          </w:tcPr>
          <w:p w14:paraId="2030238E">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w:t>
            </w:r>
          </w:p>
          <w:p w14:paraId="45852A8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文件</w:t>
            </w:r>
          </w:p>
          <w:p w14:paraId="2B41AA10">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记录</w:t>
            </w:r>
          </w:p>
          <w:p w14:paraId="48DFDA4F">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w:t>
            </w:r>
          </w:p>
          <w:p w14:paraId="409520F5">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查看</w:t>
            </w:r>
          </w:p>
        </w:tc>
        <w:tc>
          <w:tcPr>
            <w:tcW w:w="996" w:type="dxa"/>
            <w:noWrap w:val="0"/>
            <w:vAlign w:val="center"/>
          </w:tcPr>
          <w:p w14:paraId="0603BF23">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1E1C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2" w:hRule="atLeast"/>
          <w:jc w:val="center"/>
        </w:trPr>
        <w:tc>
          <w:tcPr>
            <w:tcW w:w="1178" w:type="dxa"/>
            <w:vMerge w:val="continue"/>
            <w:noWrap w:val="0"/>
            <w:vAlign w:val="center"/>
          </w:tcPr>
          <w:p w14:paraId="51E4A8D9">
            <w:pPr>
              <w:widowControl w:val="0"/>
              <w:spacing w:line="240" w:lineRule="auto"/>
              <w:jc w:val="center"/>
              <w:outlineLvl w:val="9"/>
              <w:rPr>
                <w:rFonts w:hint="eastAsia" w:ascii="宋体" w:hAnsi="宋体" w:eastAsia="宋体" w:cs="宋体"/>
                <w:color w:val="000000"/>
                <w:sz w:val="24"/>
                <w:szCs w:val="24"/>
              </w:rPr>
            </w:pPr>
          </w:p>
        </w:tc>
        <w:tc>
          <w:tcPr>
            <w:tcW w:w="1430" w:type="dxa"/>
            <w:noWrap w:val="0"/>
            <w:vAlign w:val="center"/>
          </w:tcPr>
          <w:p w14:paraId="1670DBAC">
            <w:pPr>
              <w:widowControl w:val="0"/>
              <w:adjustRightInd w:val="0"/>
              <w:spacing w:line="240" w:lineRule="auto"/>
              <w:ind w:left="0" w:leftChars="0" w:firstLine="0" w:firstLineChars="0"/>
              <w:jc w:val="center"/>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日常管理</w:t>
            </w:r>
          </w:p>
          <w:p w14:paraId="5C16EFF5">
            <w:pPr>
              <w:widowControl w:val="0"/>
              <w:adjustRightInd w:val="0"/>
              <w:spacing w:line="240" w:lineRule="auto"/>
              <w:ind w:left="0" w:leftChars="0" w:firstLine="0" w:firstLineChars="0"/>
              <w:jc w:val="center"/>
              <w:outlineLvl w:val="9"/>
              <w:rPr>
                <w:rFonts w:hint="eastAsia" w:ascii="宋体" w:hAnsi="宋体" w:eastAsia="宋体" w:cs="宋体"/>
                <w:color w:val="000000"/>
                <w:kern w:val="0"/>
                <w:sz w:val="24"/>
                <w:szCs w:val="24"/>
              </w:rPr>
            </w:pPr>
            <w:r>
              <w:rPr>
                <w:rFonts w:hint="eastAsia" w:ascii="宋体" w:hAnsi="宋体" w:eastAsia="宋体" w:cs="宋体"/>
                <w:color w:val="000000"/>
                <w:sz w:val="24"/>
                <w:szCs w:val="24"/>
              </w:rPr>
              <w:t>（12分）</w:t>
            </w:r>
          </w:p>
        </w:tc>
        <w:tc>
          <w:tcPr>
            <w:tcW w:w="5884" w:type="dxa"/>
            <w:noWrap w:val="0"/>
            <w:vAlign w:val="center"/>
          </w:tcPr>
          <w:p w14:paraId="2ACB34F6">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04" w:name="_Toc23389"/>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从事具有火灾危险的作业人员和自动消防系统的操作人员，必须有上岗证或操作证。</w:t>
            </w:r>
            <w:bookmarkEnd w:id="104"/>
          </w:p>
          <w:p w14:paraId="0FC229D7">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05" w:name="_Toc23013"/>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特殊情况下在具有火灾、爆炸危险隐患的场所使用明火，应按规定报批，并做好预防措施。</w:t>
            </w:r>
            <w:bookmarkEnd w:id="105"/>
          </w:p>
          <w:p w14:paraId="527A3B0E">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06" w:name="_Toc28995"/>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对办公、商场的装修应要求对方按规定报批。</w:t>
            </w:r>
            <w:bookmarkEnd w:id="106"/>
          </w:p>
          <w:p w14:paraId="1302A9B7">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07" w:name="_Toc19702"/>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对业主室内装修，安全员和技术员按要求进行检查。</w:t>
            </w:r>
            <w:bookmarkEnd w:id="107"/>
          </w:p>
          <w:p w14:paraId="224BF9F6">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08" w:name="_Toc1129"/>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每月组织人员进行防火安全检查，有检查记录。</w:t>
            </w:r>
            <w:bookmarkEnd w:id="108"/>
          </w:p>
          <w:p w14:paraId="61F06D2D">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09" w:name="_Toc11926"/>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消防栓、灭火器至少每月检查一次并现场有记录。</w:t>
            </w:r>
            <w:bookmarkEnd w:id="109"/>
          </w:p>
          <w:p w14:paraId="5EDD4559">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10" w:name="_Toc28144"/>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所有消防设备设施完好无损，功能正常，可随时启用，严禁挪作他用。</w:t>
            </w:r>
            <w:bookmarkEnd w:id="110"/>
          </w:p>
          <w:p w14:paraId="63125E7A">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11" w:name="_Toc10223"/>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消防通道畅通，无阻碍物，消防门等设施符合消防规范，安全疏散指示标识明确。</w:t>
            </w:r>
            <w:bookmarkEnd w:id="111"/>
          </w:p>
        </w:tc>
        <w:tc>
          <w:tcPr>
            <w:tcW w:w="843" w:type="dxa"/>
            <w:noWrap w:val="0"/>
            <w:vAlign w:val="center"/>
          </w:tcPr>
          <w:p w14:paraId="52E5CAB6">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w:t>
            </w:r>
          </w:p>
          <w:p w14:paraId="51BA3B45">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文件</w:t>
            </w:r>
          </w:p>
          <w:p w14:paraId="662FF731">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记录</w:t>
            </w:r>
          </w:p>
          <w:p w14:paraId="7AAE3EE5">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w:t>
            </w:r>
          </w:p>
          <w:p w14:paraId="7F9A0E29">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查看</w:t>
            </w:r>
          </w:p>
        </w:tc>
        <w:tc>
          <w:tcPr>
            <w:tcW w:w="996" w:type="dxa"/>
            <w:noWrap w:val="0"/>
            <w:vAlign w:val="center"/>
          </w:tcPr>
          <w:p w14:paraId="3D166292">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5B4F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1178" w:type="dxa"/>
            <w:vMerge w:val="continue"/>
            <w:noWrap w:val="0"/>
            <w:vAlign w:val="center"/>
          </w:tcPr>
          <w:p w14:paraId="1A688070">
            <w:pPr>
              <w:widowControl w:val="0"/>
              <w:spacing w:line="240" w:lineRule="auto"/>
              <w:jc w:val="center"/>
              <w:outlineLvl w:val="9"/>
              <w:rPr>
                <w:rFonts w:hint="eastAsia" w:ascii="宋体" w:hAnsi="宋体" w:eastAsia="宋体" w:cs="宋体"/>
                <w:color w:val="000000"/>
                <w:sz w:val="24"/>
                <w:szCs w:val="24"/>
              </w:rPr>
            </w:pPr>
          </w:p>
        </w:tc>
        <w:tc>
          <w:tcPr>
            <w:tcW w:w="1430" w:type="dxa"/>
            <w:noWrap w:val="0"/>
            <w:vAlign w:val="center"/>
          </w:tcPr>
          <w:p w14:paraId="05725578">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义务消防队</w:t>
            </w:r>
          </w:p>
          <w:p w14:paraId="63D98D00">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（5分）</w:t>
            </w:r>
          </w:p>
        </w:tc>
        <w:tc>
          <w:tcPr>
            <w:tcW w:w="5884" w:type="dxa"/>
            <w:noWrap w:val="0"/>
            <w:vAlign w:val="center"/>
          </w:tcPr>
          <w:p w14:paraId="5AD31A2E">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12" w:name="_Toc15544"/>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按预案的分工编制义务消防队员名单，人员变动后及时变更。</w:t>
            </w:r>
            <w:bookmarkEnd w:id="112"/>
          </w:p>
          <w:p w14:paraId="6BE10C2E">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13" w:name="_Toc30011"/>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队员熟悉岗位环境、设备及物品情况。</w:t>
            </w:r>
            <w:bookmarkEnd w:id="113"/>
          </w:p>
          <w:p w14:paraId="09C84BB6">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14" w:name="_Toc27017"/>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队员熟悉安全出口和消防器材的具体摆放位置。</w:t>
            </w:r>
            <w:bookmarkEnd w:id="114"/>
          </w:p>
          <w:p w14:paraId="67152531">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15" w:name="_Toc27596"/>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队员懂得消防器材的具体使用方法。</w:t>
            </w:r>
            <w:bookmarkEnd w:id="115"/>
          </w:p>
          <w:p w14:paraId="58B3381D">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16" w:name="_Toc23918"/>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队员会使用消防设施设备、掌握救生、疏散人员及报警的方法。</w:t>
            </w:r>
            <w:bookmarkEnd w:id="116"/>
          </w:p>
        </w:tc>
        <w:tc>
          <w:tcPr>
            <w:tcW w:w="843" w:type="dxa"/>
            <w:noWrap w:val="0"/>
            <w:vAlign w:val="center"/>
          </w:tcPr>
          <w:p w14:paraId="20CE0B9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w:t>
            </w:r>
          </w:p>
          <w:p w14:paraId="44663A73">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文件</w:t>
            </w:r>
          </w:p>
          <w:p w14:paraId="06B51592">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记录</w:t>
            </w:r>
          </w:p>
          <w:p w14:paraId="4480FA6F">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w:t>
            </w:r>
          </w:p>
          <w:p w14:paraId="7813A179">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提问</w:t>
            </w:r>
          </w:p>
        </w:tc>
        <w:tc>
          <w:tcPr>
            <w:tcW w:w="996" w:type="dxa"/>
            <w:noWrap w:val="0"/>
            <w:vAlign w:val="center"/>
          </w:tcPr>
          <w:p w14:paraId="4A55A930">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r w14:paraId="5BDA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1178" w:type="dxa"/>
            <w:vMerge w:val="continue"/>
            <w:noWrap w:val="0"/>
            <w:vAlign w:val="center"/>
          </w:tcPr>
          <w:p w14:paraId="5C677F9B">
            <w:pPr>
              <w:widowControl w:val="0"/>
              <w:spacing w:line="240" w:lineRule="auto"/>
              <w:jc w:val="center"/>
              <w:outlineLvl w:val="9"/>
              <w:rPr>
                <w:rFonts w:hint="eastAsia" w:ascii="宋体" w:hAnsi="宋体" w:eastAsia="宋体" w:cs="宋体"/>
                <w:color w:val="000000"/>
                <w:sz w:val="24"/>
                <w:szCs w:val="24"/>
              </w:rPr>
            </w:pPr>
          </w:p>
        </w:tc>
        <w:tc>
          <w:tcPr>
            <w:tcW w:w="1430" w:type="dxa"/>
            <w:noWrap w:val="0"/>
            <w:vAlign w:val="center"/>
          </w:tcPr>
          <w:p w14:paraId="2F7463D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宣传演练</w:t>
            </w:r>
          </w:p>
          <w:p w14:paraId="1DD02A47">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（3分）</w:t>
            </w:r>
          </w:p>
        </w:tc>
        <w:tc>
          <w:tcPr>
            <w:tcW w:w="5884" w:type="dxa"/>
            <w:noWrap w:val="0"/>
            <w:vAlign w:val="center"/>
          </w:tcPr>
          <w:p w14:paraId="3BB5ED1E">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17" w:name="_Toc7546"/>
            <w:r>
              <w:rPr>
                <w:rFonts w:hint="eastAsia" w:ascii="宋体" w:hAnsi="宋体" w:eastAsia="宋体" w:cs="宋体"/>
                <w:color w:val="000000"/>
                <w:sz w:val="24"/>
                <w:szCs w:val="24"/>
                <w:lang w:val="en-US" w:eastAsia="zh-CN"/>
              </w:rPr>
              <w:t>1</w:t>
            </w:r>
            <w:r>
              <w:rPr>
                <w:rFonts w:hint="eastAsia" w:eastAsia="宋体" w:cs="宋体"/>
                <w:color w:val="000000"/>
                <w:sz w:val="24"/>
                <w:szCs w:val="24"/>
                <w:lang w:val="en-US" w:eastAsia="zh-CN"/>
              </w:rPr>
              <w:t>、</w:t>
            </w:r>
            <w:r>
              <w:rPr>
                <w:rFonts w:hint="eastAsia" w:ascii="宋体" w:hAnsi="宋体" w:eastAsia="宋体" w:cs="宋体"/>
                <w:color w:val="000000"/>
                <w:sz w:val="24"/>
                <w:szCs w:val="24"/>
              </w:rPr>
              <w:t>定期举办各类消防宣传活动，项目对客户的消防宣传每半年至少一次，有记录。</w:t>
            </w:r>
            <w:bookmarkEnd w:id="117"/>
          </w:p>
          <w:p w14:paraId="76B2EA2A">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18" w:name="_Toc25581"/>
            <w:r>
              <w:rPr>
                <w:rFonts w:hint="eastAsia" w:ascii="宋体" w:hAnsi="宋体" w:eastAsia="宋体" w:cs="宋体"/>
                <w:color w:val="000000"/>
                <w:sz w:val="24"/>
                <w:szCs w:val="24"/>
                <w:lang w:val="en-US" w:eastAsia="zh-CN"/>
              </w:rPr>
              <w:t>2</w:t>
            </w:r>
            <w:r>
              <w:rPr>
                <w:rFonts w:hint="eastAsia" w:eastAsia="宋体" w:cs="宋体"/>
                <w:color w:val="000000"/>
                <w:sz w:val="24"/>
                <w:szCs w:val="24"/>
                <w:lang w:val="en-US" w:eastAsia="zh-CN"/>
              </w:rPr>
              <w:t>、</w:t>
            </w:r>
            <w:r>
              <w:rPr>
                <w:rFonts w:hint="eastAsia" w:ascii="宋体" w:hAnsi="宋体" w:eastAsia="宋体" w:cs="宋体"/>
                <w:color w:val="000000"/>
                <w:sz w:val="24"/>
                <w:szCs w:val="24"/>
              </w:rPr>
              <w:t>消防应急演练每年至少两次，有方案、记录、图片、总结。</w:t>
            </w:r>
            <w:bookmarkEnd w:id="118"/>
          </w:p>
          <w:p w14:paraId="4D2693C5">
            <w:pPr>
              <w:pStyle w:val="11"/>
              <w:keepNext w:val="0"/>
              <w:keepLines w:val="0"/>
              <w:pageBreakBefore w:val="0"/>
              <w:widowControl w:val="0"/>
              <w:numPr>
                <w:ilvl w:val="0"/>
                <w:numId w:val="0"/>
              </w:numPr>
              <w:tabs>
                <w:tab w:val="clear" w:pos="400"/>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宋体" w:hAnsi="宋体" w:eastAsia="宋体" w:cs="宋体"/>
                <w:color w:val="000000"/>
                <w:sz w:val="24"/>
                <w:szCs w:val="24"/>
              </w:rPr>
            </w:pPr>
            <w:bookmarkStart w:id="119" w:name="_Toc27773"/>
            <w:r>
              <w:rPr>
                <w:rFonts w:hint="eastAsia" w:ascii="宋体" w:hAnsi="宋体" w:eastAsia="宋体" w:cs="宋体"/>
                <w:color w:val="000000"/>
                <w:sz w:val="24"/>
                <w:szCs w:val="24"/>
                <w:lang w:val="en-US" w:eastAsia="zh-CN"/>
              </w:rPr>
              <w:t>3</w:t>
            </w:r>
            <w:r>
              <w:rPr>
                <w:rFonts w:hint="eastAsia" w:eastAsia="宋体" w:cs="宋体"/>
                <w:color w:val="000000"/>
                <w:sz w:val="24"/>
                <w:szCs w:val="24"/>
                <w:lang w:val="en-US" w:eastAsia="zh-CN"/>
              </w:rPr>
              <w:t>、</w:t>
            </w:r>
            <w:r>
              <w:rPr>
                <w:rFonts w:hint="eastAsia" w:ascii="宋体" w:hAnsi="宋体" w:eastAsia="宋体" w:cs="宋体"/>
                <w:color w:val="000000"/>
                <w:sz w:val="24"/>
                <w:szCs w:val="24"/>
              </w:rPr>
              <w:t>火灾警报后，救援队员应携带相应消防器具应在3分钟内赶到现场，各岗位能熟练地按照规定的灭火流程投入灭火工作。</w:t>
            </w:r>
            <w:bookmarkEnd w:id="119"/>
          </w:p>
        </w:tc>
        <w:tc>
          <w:tcPr>
            <w:tcW w:w="843" w:type="dxa"/>
            <w:noWrap w:val="0"/>
            <w:vAlign w:val="center"/>
          </w:tcPr>
          <w:p w14:paraId="7F8792BE">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查阅</w:t>
            </w:r>
          </w:p>
          <w:p w14:paraId="57058DCE">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记录</w:t>
            </w:r>
          </w:p>
          <w:p w14:paraId="4D309376">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现场</w:t>
            </w:r>
          </w:p>
          <w:p w14:paraId="4377CBDB">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模拟</w:t>
            </w:r>
          </w:p>
          <w:p w14:paraId="2A67A586">
            <w:pPr>
              <w:widowControl w:val="0"/>
              <w:spacing w:line="240" w:lineRule="auto"/>
              <w:ind w:left="0" w:leftChars="0" w:firstLine="0" w:firstLineChars="0"/>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测试</w:t>
            </w:r>
          </w:p>
        </w:tc>
        <w:tc>
          <w:tcPr>
            <w:tcW w:w="996" w:type="dxa"/>
            <w:noWrap w:val="0"/>
            <w:vAlign w:val="center"/>
          </w:tcPr>
          <w:p w14:paraId="7BD27DED">
            <w:pPr>
              <w:widowControl w:val="0"/>
              <w:spacing w:line="240" w:lineRule="auto"/>
              <w:ind w:left="0" w:leftChars="0" w:firstLine="0" w:firstLineChars="0"/>
              <w:jc w:val="both"/>
              <w:outlineLvl w:val="9"/>
              <w:rPr>
                <w:rFonts w:hint="eastAsia" w:ascii="宋体" w:hAnsi="宋体" w:eastAsia="宋体" w:cs="宋体"/>
                <w:color w:val="000000"/>
                <w:sz w:val="24"/>
                <w:szCs w:val="24"/>
              </w:rPr>
            </w:pPr>
          </w:p>
        </w:tc>
      </w:tr>
    </w:tbl>
    <w:p w14:paraId="684A1F35">
      <w:pPr>
        <w:pStyle w:val="5"/>
        <w:spacing w:line="360" w:lineRule="auto"/>
        <w:ind w:firstLine="475" w:firstLineChars="198"/>
        <w:outlineLvl w:val="9"/>
        <w:rPr>
          <w:rFonts w:hint="eastAsia" w:ascii="仿宋" w:hAnsi="仿宋" w:eastAsia="仿宋" w:cs="仿宋"/>
          <w:color w:val="000000"/>
          <w:sz w:val="24"/>
          <w:szCs w:val="24"/>
        </w:rPr>
        <w:sectPr>
          <w:footerReference r:id="rId5" w:type="default"/>
          <w:pgSz w:w="11906" w:h="16838"/>
          <w:pgMar w:top="1077" w:right="1134" w:bottom="964" w:left="1247" w:header="851" w:footer="720" w:gutter="0"/>
          <w:pgNumType w:fmt="decimal"/>
          <w:cols w:space="720" w:num="1"/>
          <w:docGrid w:linePitch="312" w:charSpace="0"/>
        </w:sectPr>
      </w:pPr>
    </w:p>
    <w:p w14:paraId="560E59D9">
      <w:pPr>
        <w:pStyle w:val="5"/>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合同附件4：安全管理协议</w:t>
      </w:r>
    </w:p>
    <w:p w14:paraId="4885DEC6">
      <w:pPr>
        <w:adjustRightInd w:val="0"/>
        <w:snapToGrid w:val="0"/>
        <w:spacing w:line="360" w:lineRule="auto"/>
        <w:jc w:val="center"/>
        <w:outlineLvl w:val="9"/>
        <w:rPr>
          <w:rFonts w:hint="eastAsia" w:ascii="仿宋" w:hAnsi="仿宋" w:eastAsia="仿宋" w:cs="仿宋"/>
          <w:sz w:val="24"/>
          <w:szCs w:val="24"/>
        </w:rPr>
      </w:pPr>
      <w:r>
        <w:rPr>
          <w:rFonts w:hint="eastAsia" w:ascii="宋体" w:hAnsi="宋体" w:eastAsia="宋体" w:cs="宋体"/>
          <w:b/>
          <w:sz w:val="24"/>
          <w:szCs w:val="24"/>
        </w:rPr>
        <w:t>安全管理协议</w:t>
      </w:r>
    </w:p>
    <w:p w14:paraId="27347C8D">
      <w:pPr>
        <w:adjustRightInd w:val="0"/>
        <w:snapToGrid w:val="0"/>
        <w:spacing w:line="360" w:lineRule="auto"/>
        <w:outlineLvl w:val="9"/>
        <w:rPr>
          <w:rFonts w:hint="default" w:ascii="宋体" w:hAnsi="宋体" w:eastAsia="宋体" w:cs="宋体"/>
          <w:sz w:val="24"/>
          <w:szCs w:val="24"/>
          <w:u w:val="single"/>
          <w:lang w:val="en-US"/>
        </w:rPr>
      </w:pPr>
      <w:r>
        <w:rPr>
          <w:rFonts w:hint="eastAsia" w:ascii="宋体" w:hAnsi="宋体" w:eastAsia="宋体" w:cs="宋体"/>
          <w:sz w:val="24"/>
          <w:szCs w:val="24"/>
        </w:rPr>
        <w:t>甲方（全称）：</w:t>
      </w:r>
      <w:r>
        <w:rPr>
          <w:rFonts w:hint="eastAsia" w:ascii="宋体" w:hAnsi="宋体" w:eastAsia="宋体" w:cs="宋体"/>
          <w:b/>
          <w:bCs/>
          <w:sz w:val="24"/>
          <w:szCs w:val="24"/>
          <w:u w:val="single"/>
          <w:lang w:val="en-US" w:eastAsia="zh-CN"/>
        </w:rPr>
        <w:t>深业物业运营集团股份有限公司</w:t>
      </w:r>
    </w:p>
    <w:p w14:paraId="6B460225">
      <w:pPr>
        <w:adjustRightInd w:val="0"/>
        <w:snapToGrid w:val="0"/>
        <w:spacing w:line="360" w:lineRule="auto"/>
        <w:outlineLvl w:val="9"/>
        <w:rPr>
          <w:rFonts w:hint="eastAsia" w:ascii="宋体" w:hAnsi="宋体" w:eastAsia="宋体" w:cs="宋体"/>
          <w:color w:val="FF0000"/>
          <w:sz w:val="24"/>
          <w:szCs w:val="24"/>
        </w:rPr>
      </w:pPr>
      <w:r>
        <w:rPr>
          <w:rFonts w:hint="eastAsia" w:ascii="宋体" w:hAnsi="宋体" w:eastAsia="宋体" w:cs="宋体"/>
          <w:sz w:val="24"/>
          <w:szCs w:val="24"/>
        </w:rPr>
        <w:t>乙方（全称）：</w:t>
      </w:r>
      <w:r>
        <w:rPr>
          <w:rFonts w:hint="eastAsia" w:ascii="宋体" w:hAnsi="宋体" w:cs="宋体"/>
          <w:b/>
          <w:bCs/>
          <w:color w:val="000000"/>
          <w:sz w:val="24"/>
          <w:u w:val="single"/>
          <w:lang w:val="en-US" w:eastAsia="zh-CN"/>
        </w:rPr>
        <w:t>深圳市福田区保安服务有限公司</w:t>
      </w:r>
    </w:p>
    <w:p w14:paraId="3260D1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依据《中华人民共和国民法典》、《中华人民共和国安全生产法》及其他有关法律、法规，为了保证甲乙双方生产安全，防止和减少生产安全事故发生，明确双方的安全管理职责和应当采取的安全措施，经双方共同协商一致，签订本协议如下：</w:t>
      </w:r>
    </w:p>
    <w:p w14:paraId="158777F2">
      <w:pPr>
        <w:adjustRightInd w:val="0"/>
        <w:snapToGrid w:val="0"/>
        <w:spacing w:line="360" w:lineRule="auto"/>
        <w:outlineLvl w:val="9"/>
        <w:rPr>
          <w:rFonts w:hint="eastAsia" w:ascii="宋体" w:hAnsi="宋体" w:eastAsia="宋体" w:cs="宋体"/>
          <w:b/>
          <w:sz w:val="24"/>
          <w:szCs w:val="24"/>
        </w:rPr>
      </w:pPr>
      <w:r>
        <w:rPr>
          <w:rFonts w:hint="eastAsia" w:ascii="宋体" w:hAnsi="宋体" w:eastAsia="宋体" w:cs="宋体"/>
          <w:b/>
          <w:sz w:val="24"/>
          <w:szCs w:val="24"/>
        </w:rPr>
        <w:t>一、甲方的责任与权利</w:t>
      </w:r>
    </w:p>
    <w:p w14:paraId="5B625327">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rPr>
        <w:t>甲方有权审查乙方资质，对不具备资质或资质与工作内容不相符的，有权拒绝为其办理任何施工手续。</w:t>
      </w:r>
    </w:p>
    <w:p w14:paraId="5146CB2E">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rPr>
        <w:t>甲方不得要求乙方违反安全管理规定进行施工。</w:t>
      </w:r>
    </w:p>
    <w:p w14:paraId="30E214B3">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rPr>
        <w:t>甲方不得对乙方提出与安全生产法律、法规和强制性标准规定相违背的要求。</w:t>
      </w:r>
    </w:p>
    <w:p w14:paraId="725D0D9C">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rPr>
        <w:t>甲方不得明示或者暗示乙方购买、租赁、使用不符合安全施工要求的防护用具、机械设备、施工机具及配件、消防设施和器材。</w:t>
      </w:r>
    </w:p>
    <w:p w14:paraId="077A389F">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5、</w:t>
      </w:r>
      <w:r>
        <w:rPr>
          <w:rFonts w:hint="eastAsia" w:ascii="宋体" w:hAnsi="宋体" w:eastAsia="宋体" w:cs="宋体"/>
          <w:sz w:val="24"/>
          <w:szCs w:val="24"/>
        </w:rPr>
        <w:t>对乙方提出的安全生产要求积极提供帮助。</w:t>
      </w:r>
    </w:p>
    <w:p w14:paraId="4D3B9F8F">
      <w:pPr>
        <w:adjustRightInd w:val="0"/>
        <w:snapToGrid w:val="0"/>
        <w:spacing w:line="360" w:lineRule="auto"/>
        <w:outlineLvl w:val="9"/>
        <w:rPr>
          <w:rFonts w:hint="eastAsia" w:ascii="宋体" w:hAnsi="宋体" w:eastAsia="宋体" w:cs="宋体"/>
          <w:b/>
          <w:sz w:val="24"/>
          <w:szCs w:val="24"/>
        </w:rPr>
      </w:pPr>
      <w:r>
        <w:rPr>
          <w:rFonts w:hint="eastAsia" w:ascii="宋体" w:hAnsi="宋体" w:eastAsia="宋体" w:cs="宋体"/>
          <w:b/>
          <w:sz w:val="24"/>
          <w:szCs w:val="24"/>
        </w:rPr>
        <w:t>二、乙方的责任与权利</w:t>
      </w:r>
    </w:p>
    <w:p w14:paraId="3887D668">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rPr>
        <w:t>乙方应认真贯彻执行国家有关施工安全生产的政策、法规、国家标准、行业标准、安全技术操作规程，建立健全安全生产责任制等各项安全生产管理制度。</w:t>
      </w:r>
    </w:p>
    <w:p w14:paraId="0FAA6B64">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rPr>
        <w:t>乙方应遵守落实甲方各项安全管理要求规定，对甲方提出的问题，及时整改回复。</w:t>
      </w:r>
    </w:p>
    <w:p w14:paraId="47747A99">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rPr>
        <w:t>因乙方原因造成的生产安全事故，包括导致发生安全、火灾等事故、治安案件及刑事案件的，由乙方承担由此引发的全部责任，并承担由此给甲方及第三方造成的全部损失。</w:t>
      </w:r>
    </w:p>
    <w:p w14:paraId="196EA664">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rPr>
        <w:t>乙方负责人是本项目的安全生产第一责任人，对本协议安全生产负全责。</w:t>
      </w:r>
    </w:p>
    <w:p w14:paraId="56C6F380">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5、</w:t>
      </w:r>
      <w:r>
        <w:rPr>
          <w:rFonts w:hint="eastAsia" w:ascii="宋体" w:hAnsi="宋体" w:eastAsia="宋体" w:cs="宋体"/>
          <w:sz w:val="24"/>
          <w:szCs w:val="24"/>
        </w:rPr>
        <w:t>乙方在开工前，按照合同履行地政府部门要求,到当地住建局或街道办事处办理《施工许可证》或《小散工程的备案回执》等相关许可证明。同时将相关许可证明张贴在工程的醒目位置。</w:t>
      </w:r>
    </w:p>
    <w:p w14:paraId="14BB55BA">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6、</w:t>
      </w:r>
      <w:r>
        <w:rPr>
          <w:rFonts w:hint="eastAsia" w:ascii="宋体" w:hAnsi="宋体" w:eastAsia="宋体" w:cs="宋体"/>
          <w:sz w:val="24"/>
          <w:szCs w:val="24"/>
        </w:rPr>
        <w:t>乙方应接受甲方对乙方安全生产资质的审查，按照规定进行登记，办理施工作业手续。</w:t>
      </w:r>
    </w:p>
    <w:p w14:paraId="64F52F02">
      <w:pPr>
        <w:widowControl/>
        <w:numPr>
          <w:ilvl w:val="0"/>
          <w:numId w:val="0"/>
        </w:numPr>
        <w:adjustRightInd w:val="0"/>
        <w:snapToGrid w:val="0"/>
        <w:spacing w:line="360" w:lineRule="auto"/>
        <w:jc w:val="left"/>
        <w:outlineLvl w:val="9"/>
        <w:rPr>
          <w:rFonts w:hint="eastAsia" w:ascii="Times New Roman" w:hAnsi="Times New Roman" w:eastAsia="宋体" w:cs="Times New Roman"/>
          <w:kern w:val="2"/>
          <w:sz w:val="21"/>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sz w:val="24"/>
          <w:szCs w:val="24"/>
        </w:rPr>
        <w:t>乙方应按规定配备安全管理人员。</w:t>
      </w:r>
    </w:p>
    <w:p w14:paraId="44CB48AB">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8、</w:t>
      </w:r>
      <w:r>
        <w:rPr>
          <w:rFonts w:hint="eastAsia" w:ascii="宋体" w:hAnsi="宋体" w:eastAsia="宋体" w:cs="宋体"/>
          <w:sz w:val="24"/>
          <w:szCs w:val="24"/>
        </w:rPr>
        <w:t>乙方的项目负责人、专（兼）职安全生产管理人员和特种作业人员应按照国家有关规定经过培训考核合格后，持证上岗。</w:t>
      </w:r>
    </w:p>
    <w:p w14:paraId="10E4419E">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9、</w:t>
      </w:r>
      <w:r>
        <w:rPr>
          <w:rFonts w:hint="eastAsia" w:ascii="宋体" w:hAnsi="宋体" w:eastAsia="宋体" w:cs="宋体"/>
          <w:sz w:val="24"/>
          <w:szCs w:val="24"/>
        </w:rPr>
        <w:t>乙方应按照国家有关法律、法规合法用工，严禁使用未成年工、有职业禁忌、患有妨碍工作病症的人员，严禁使用患有传染病、精神病的人员，严禁使用身份不明的人员。</w:t>
      </w:r>
    </w:p>
    <w:p w14:paraId="24E644EB">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10、</w:t>
      </w:r>
      <w:r>
        <w:rPr>
          <w:rFonts w:hint="eastAsia" w:ascii="宋体" w:hAnsi="宋体" w:eastAsia="宋体" w:cs="宋体"/>
          <w:sz w:val="24"/>
          <w:szCs w:val="24"/>
        </w:rPr>
        <w:t>乙方应定期对项目现场进行安全检查，分析各类安全风险，及时消除各类安全隐患。</w:t>
      </w:r>
    </w:p>
    <w:p w14:paraId="7955B251">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11、</w:t>
      </w:r>
      <w:r>
        <w:rPr>
          <w:rFonts w:hint="eastAsia" w:ascii="宋体" w:hAnsi="宋体" w:eastAsia="宋体" w:cs="宋体"/>
          <w:sz w:val="24"/>
          <w:szCs w:val="24"/>
        </w:rPr>
        <w:t>乙方应根据所承包项目的特点编制施工或作业方案，制定相应的安全技术措施和现场临时用电方案，达到一定规模的危险性较大的应编制专项施工方案，施工方案需按规定论证审批。</w:t>
      </w:r>
    </w:p>
    <w:p w14:paraId="497DA78E">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12、</w:t>
      </w:r>
      <w:r>
        <w:rPr>
          <w:rFonts w:hint="eastAsia" w:ascii="宋体" w:hAnsi="宋体" w:eastAsia="宋体" w:cs="宋体"/>
          <w:sz w:val="24"/>
          <w:szCs w:val="24"/>
        </w:rPr>
        <w:t>乙方作业中涉及小散工程的，应根据小散工程的技术特点，编制安全可靠的施工作业方案，经乙方单位技术负责人签字后实施，由安全生产管理人员进行现场监督。</w:t>
      </w:r>
    </w:p>
    <w:p w14:paraId="072E668B">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13、</w:t>
      </w:r>
      <w:r>
        <w:rPr>
          <w:rFonts w:hint="eastAsia" w:ascii="宋体" w:hAnsi="宋体" w:eastAsia="宋体" w:cs="宋体"/>
          <w:sz w:val="24"/>
          <w:szCs w:val="24"/>
        </w:rPr>
        <w:t>乙方负责人及管理人员应按规定接受安全教育和培训，同时要做好所属工作人员的安全教育和安全技术交底工作，未经安全教育培训的不得上岗作业。</w:t>
      </w:r>
    </w:p>
    <w:p w14:paraId="05F02B55">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14、</w:t>
      </w:r>
      <w:r>
        <w:rPr>
          <w:rFonts w:hint="eastAsia" w:ascii="宋体" w:hAnsi="宋体" w:eastAsia="宋体" w:cs="宋体"/>
          <w:sz w:val="24"/>
          <w:szCs w:val="24"/>
        </w:rPr>
        <w:t>乙方必须为所属人员办理社保及意外伤害保险，支付保险费。</w:t>
      </w:r>
    </w:p>
    <w:p w14:paraId="143A519B">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15、</w:t>
      </w:r>
      <w:r>
        <w:rPr>
          <w:rFonts w:hint="eastAsia" w:ascii="宋体" w:hAnsi="宋体" w:eastAsia="宋体" w:cs="宋体"/>
          <w:sz w:val="24"/>
          <w:szCs w:val="24"/>
        </w:rPr>
        <w:t>乙方在施工作业中涉及危险作业时，应按照规定办理作业审批手续。</w:t>
      </w:r>
    </w:p>
    <w:p w14:paraId="2D949E55">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16、</w:t>
      </w:r>
      <w:r>
        <w:rPr>
          <w:rFonts w:hint="eastAsia" w:ascii="宋体" w:hAnsi="宋体" w:eastAsia="宋体" w:cs="宋体"/>
          <w:sz w:val="24"/>
          <w:szCs w:val="24"/>
        </w:rPr>
        <w:t>乙方应购置配备安全防护设备和劳动保护用品，其使用要求符合国家标准。</w:t>
      </w:r>
    </w:p>
    <w:p w14:paraId="0B8D21C3">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17、</w:t>
      </w:r>
      <w:r>
        <w:rPr>
          <w:rFonts w:hint="eastAsia" w:ascii="宋体" w:hAnsi="宋体" w:eastAsia="宋体" w:cs="宋体"/>
          <w:sz w:val="24"/>
          <w:szCs w:val="24"/>
        </w:rPr>
        <w:t>乙方投入施工现场的全部机械设备及各类工具，必须经检验合格，符合国家相关标准遵守相关操作规程。</w:t>
      </w:r>
    </w:p>
    <w:p w14:paraId="0C491708">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18、</w:t>
      </w:r>
      <w:r>
        <w:rPr>
          <w:rFonts w:hint="eastAsia" w:ascii="宋体" w:hAnsi="宋体" w:eastAsia="宋体" w:cs="宋体"/>
          <w:sz w:val="24"/>
          <w:szCs w:val="24"/>
        </w:rPr>
        <w:t>乙方应在作业范围装设临时围栏或警告标志，不得超越指定的作业范围进行作业，禁止无关人员进入作业现场。未经甲方同意，乙方不得擅自使用与施工或作业无关的甲方设施设备；不得擅自拆除、变更甲方防护设施及标识，如因工作需要拆除的，需报甲方同意，事后必须及时恢复。</w:t>
      </w:r>
    </w:p>
    <w:p w14:paraId="197FBEBB">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19、</w:t>
      </w:r>
      <w:r>
        <w:rPr>
          <w:rFonts w:hint="eastAsia" w:ascii="宋体" w:hAnsi="宋体" w:eastAsia="宋体" w:cs="宋体"/>
          <w:sz w:val="24"/>
          <w:szCs w:val="24"/>
        </w:rPr>
        <w:t>乙方要做好项目现场的安全检查工作，自觉接受甲方安全、环境监督和检查，对安全隐患及时整改。对甲方检查后下达的安全隐患整改通知应无条件按要求整改。</w:t>
      </w:r>
    </w:p>
    <w:p w14:paraId="60B530DB">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20、</w:t>
      </w:r>
      <w:r>
        <w:rPr>
          <w:rFonts w:hint="eastAsia" w:ascii="宋体" w:hAnsi="宋体" w:eastAsia="宋体" w:cs="宋体"/>
          <w:sz w:val="24"/>
          <w:szCs w:val="24"/>
        </w:rPr>
        <w:t>乙方应采取措施，控制或处理作业过程产生的粉尘、废气、废水、固体废物和噪声对环境的污染和危害。</w:t>
      </w:r>
    </w:p>
    <w:p w14:paraId="0DFAE5C9">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21、</w:t>
      </w:r>
      <w:r>
        <w:rPr>
          <w:rFonts w:hint="eastAsia" w:ascii="宋体" w:hAnsi="宋体" w:eastAsia="宋体" w:cs="宋体"/>
          <w:sz w:val="24"/>
          <w:szCs w:val="24"/>
        </w:rPr>
        <w:t>乙方须及时或定期清理作业现场垃圾、废旧物品，要做到工完场清。因此造成甲方支出额外费用的由乙方承担。</w:t>
      </w:r>
    </w:p>
    <w:p w14:paraId="4CC52D2E">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22、</w:t>
      </w:r>
      <w:r>
        <w:rPr>
          <w:rFonts w:hint="eastAsia" w:ascii="宋体" w:hAnsi="宋体" w:eastAsia="宋体" w:cs="宋体"/>
          <w:sz w:val="24"/>
          <w:szCs w:val="24"/>
        </w:rPr>
        <w:t>乙方应建立危险品管理制度，派专人对危险品进行监督管理。</w:t>
      </w:r>
    </w:p>
    <w:p w14:paraId="0BEB893C">
      <w:pPr>
        <w:widowControl/>
        <w:numPr>
          <w:ilvl w:val="0"/>
          <w:numId w:val="0"/>
        </w:numPr>
        <w:adjustRightInd w:val="0"/>
        <w:snapToGrid w:val="0"/>
        <w:spacing w:line="360" w:lineRule="auto"/>
        <w:jc w:val="left"/>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23、</w:t>
      </w:r>
      <w:r>
        <w:rPr>
          <w:rFonts w:hint="eastAsia" w:ascii="宋体" w:hAnsi="宋体" w:eastAsia="宋体" w:cs="宋体"/>
          <w:sz w:val="24"/>
          <w:szCs w:val="24"/>
        </w:rPr>
        <w:t>乙方应编制相应的应急预案并组织演练，配备相应的应急人员与物资，满足现场应急要求。</w:t>
      </w:r>
    </w:p>
    <w:p w14:paraId="70D38EF9">
      <w:pPr>
        <w:widowControl/>
        <w:adjustRightInd w:val="0"/>
        <w:snapToGrid w:val="0"/>
        <w:spacing w:line="360" w:lineRule="auto"/>
        <w:jc w:val="left"/>
        <w:outlineLvl w:val="9"/>
        <w:rPr>
          <w:rFonts w:hint="eastAsia" w:ascii="宋体" w:hAnsi="宋体" w:eastAsia="宋体" w:cs="宋体"/>
          <w:sz w:val="24"/>
          <w:szCs w:val="24"/>
        </w:rPr>
      </w:pPr>
    </w:p>
    <w:p w14:paraId="645CDCEC">
      <w:pPr>
        <w:adjustRightInd w:val="0"/>
        <w:snapToGrid w:val="0"/>
        <w:spacing w:line="360" w:lineRule="auto"/>
        <w:outlineLvl w:val="9"/>
        <w:rPr>
          <w:rFonts w:hint="eastAsia" w:ascii="宋体" w:hAnsi="宋体" w:eastAsia="宋体" w:cs="宋体"/>
          <w:b/>
          <w:sz w:val="24"/>
          <w:szCs w:val="24"/>
        </w:rPr>
      </w:pPr>
      <w:r>
        <w:rPr>
          <w:rFonts w:hint="eastAsia" w:ascii="宋体" w:hAnsi="宋体" w:eastAsia="宋体" w:cs="宋体"/>
          <w:b/>
          <w:sz w:val="24"/>
          <w:szCs w:val="24"/>
        </w:rPr>
        <w:t>三、附则</w:t>
      </w:r>
    </w:p>
    <w:p w14:paraId="61191F1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color w:val="000000"/>
          <w:sz w:val="24"/>
          <w:szCs w:val="24"/>
        </w:rPr>
        <w:t>本合同一式</w:t>
      </w:r>
      <w:r>
        <w:rPr>
          <w:rFonts w:hint="eastAsia" w:ascii="宋体" w:hAnsi="宋体" w:eastAsia="宋体" w:cs="宋体"/>
          <w:color w:val="000000"/>
          <w:sz w:val="24"/>
          <w:szCs w:val="24"/>
          <w:lang w:val="en-US" w:eastAsia="zh-CN"/>
        </w:rPr>
        <w:t>伍</w:t>
      </w:r>
      <w:r>
        <w:rPr>
          <w:rFonts w:hint="eastAsia" w:ascii="宋体" w:hAnsi="宋体" w:eastAsia="宋体" w:cs="宋体"/>
          <w:color w:val="000000"/>
          <w:sz w:val="24"/>
          <w:szCs w:val="24"/>
        </w:rPr>
        <w:t>份，甲方执</w:t>
      </w:r>
      <w:r>
        <w:rPr>
          <w:rFonts w:hint="eastAsia" w:ascii="宋体" w:hAnsi="宋体" w:eastAsia="宋体" w:cs="宋体"/>
          <w:color w:val="000000"/>
          <w:sz w:val="24"/>
          <w:szCs w:val="24"/>
          <w:lang w:val="en-US" w:eastAsia="zh-CN"/>
        </w:rPr>
        <w:t>叁</w:t>
      </w:r>
      <w:r>
        <w:rPr>
          <w:rFonts w:hint="eastAsia" w:ascii="宋体" w:hAnsi="宋体" w:eastAsia="宋体" w:cs="宋体"/>
          <w:color w:val="000000"/>
          <w:sz w:val="24"/>
          <w:szCs w:val="24"/>
        </w:rPr>
        <w:t>份，乙方执</w:t>
      </w:r>
      <w:r>
        <w:rPr>
          <w:rFonts w:hint="eastAsia" w:ascii="宋体" w:hAnsi="宋体" w:eastAsia="宋体" w:cs="宋体"/>
          <w:color w:val="000000"/>
          <w:sz w:val="24"/>
          <w:szCs w:val="24"/>
          <w:lang w:val="en-US" w:eastAsia="zh-CN"/>
        </w:rPr>
        <w:t>贰</w:t>
      </w:r>
      <w:r>
        <w:rPr>
          <w:rFonts w:hint="eastAsia" w:ascii="宋体" w:hAnsi="宋体" w:eastAsia="宋体" w:cs="宋体"/>
          <w:color w:val="000000"/>
          <w:sz w:val="24"/>
          <w:szCs w:val="24"/>
        </w:rPr>
        <w:t>份</w:t>
      </w:r>
      <w:r>
        <w:rPr>
          <w:rFonts w:hint="eastAsia" w:ascii="宋体" w:hAnsi="宋体" w:eastAsia="宋体" w:cs="宋体"/>
          <w:sz w:val="24"/>
          <w:szCs w:val="24"/>
        </w:rPr>
        <w:t>。自双方法定代表人或授权代表签字并加盖公章之日起生效。</w:t>
      </w:r>
    </w:p>
    <w:p w14:paraId="09554887">
      <w:pPr>
        <w:adjustRightInd w:val="0"/>
        <w:snapToGrid w:val="0"/>
        <w:spacing w:line="360" w:lineRule="auto"/>
        <w:outlineLvl w:val="9"/>
        <w:rPr>
          <w:rFonts w:hint="eastAsia" w:ascii="宋体" w:hAnsi="宋体" w:eastAsia="宋体" w:cs="宋体"/>
          <w:sz w:val="24"/>
          <w:szCs w:val="24"/>
        </w:rPr>
      </w:pPr>
    </w:p>
    <w:p w14:paraId="01E2750B">
      <w:pPr>
        <w:adjustRightInd w:val="0"/>
        <w:snapToGrid w:val="0"/>
        <w:spacing w:line="360" w:lineRule="auto"/>
        <w:outlineLvl w:val="9"/>
        <w:rPr>
          <w:rFonts w:hint="eastAsia" w:ascii="宋体" w:hAnsi="宋体" w:eastAsia="宋体" w:cs="宋体"/>
          <w:sz w:val="24"/>
          <w:szCs w:val="24"/>
        </w:rPr>
      </w:pPr>
    </w:p>
    <w:p w14:paraId="27CCC055">
      <w:pPr>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甲方：                                    乙方：</w:t>
      </w:r>
    </w:p>
    <w:p w14:paraId="251E1450">
      <w:pPr>
        <w:spacing w:line="360" w:lineRule="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授权代表：                                授权代表：</w:t>
      </w:r>
    </w:p>
    <w:p w14:paraId="7432B340">
      <w:pPr>
        <w:adjustRightInd w:val="0"/>
        <w:snapToGrid w:val="0"/>
        <w:spacing w:line="360" w:lineRule="auto"/>
        <w:ind w:right="-275" w:rightChars="-131"/>
        <w:outlineLvl w:val="9"/>
        <w:rPr>
          <w:rFonts w:hint="eastAsia" w:ascii="宋体" w:hAnsi="宋体" w:eastAsia="宋体" w:cs="宋体"/>
          <w:sz w:val="24"/>
          <w:szCs w:val="24"/>
        </w:rPr>
      </w:pPr>
      <w:r>
        <w:rPr>
          <w:rFonts w:hint="eastAsia" w:ascii="宋体" w:hAnsi="宋体" w:eastAsia="宋体" w:cs="宋体"/>
          <w:color w:val="000000"/>
          <w:sz w:val="24"/>
          <w:szCs w:val="24"/>
        </w:rPr>
        <w:t>日期：    年   月    日                   日期：   年   月   日</w:t>
      </w:r>
    </w:p>
    <w:p w14:paraId="1CB8863E">
      <w:pPr>
        <w:pStyle w:val="5"/>
        <w:spacing w:line="360" w:lineRule="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br w:type="page"/>
      </w:r>
      <w:r>
        <w:rPr>
          <w:rFonts w:hint="eastAsia" w:ascii="宋体" w:hAnsi="宋体" w:eastAsia="宋体" w:cs="宋体"/>
          <w:color w:val="000000"/>
          <w:sz w:val="24"/>
          <w:szCs w:val="24"/>
        </w:rPr>
        <w:t>合同附件5：廉政诚信协议书</w:t>
      </w:r>
    </w:p>
    <w:p w14:paraId="5B13CB56">
      <w:pPr>
        <w:spacing w:line="360" w:lineRule="auto"/>
        <w:jc w:val="center"/>
        <w:outlineLvl w:val="9"/>
        <w:rPr>
          <w:rFonts w:hint="eastAsia" w:ascii="宋体" w:hAnsi="宋体" w:eastAsia="宋体" w:cs="宋体"/>
          <w:b/>
          <w:color w:val="000000"/>
          <w:sz w:val="24"/>
          <w:lang w:val="zh-CN"/>
        </w:rPr>
      </w:pPr>
      <w:r>
        <w:rPr>
          <w:rFonts w:hint="eastAsia" w:ascii="宋体" w:hAnsi="宋体" w:eastAsia="宋体" w:cs="宋体"/>
          <w:b/>
          <w:color w:val="000000"/>
          <w:sz w:val="24"/>
          <w:lang w:val="zh-CN"/>
        </w:rPr>
        <w:t>廉政诚信协议书</w:t>
      </w:r>
    </w:p>
    <w:p w14:paraId="59FD86B8">
      <w:pPr>
        <w:spacing w:line="360" w:lineRule="auto"/>
        <w:jc w:val="center"/>
        <w:outlineLvl w:val="9"/>
        <w:rPr>
          <w:rFonts w:hint="eastAsia" w:ascii="仿宋" w:hAnsi="仿宋" w:eastAsia="仿宋" w:cs="仿宋"/>
          <w:b/>
          <w:color w:val="000000"/>
          <w:sz w:val="24"/>
          <w:lang w:val="zh-CN"/>
        </w:rPr>
      </w:pPr>
    </w:p>
    <w:p w14:paraId="15EE64CD">
      <w:pPr>
        <w:tabs>
          <w:tab w:val="left" w:pos="0"/>
          <w:tab w:val="left" w:pos="993"/>
          <w:tab w:val="left" w:pos="1134"/>
        </w:tabs>
        <w:spacing w:line="360" w:lineRule="auto"/>
        <w:outlineLvl w:val="9"/>
        <w:rPr>
          <w:rFonts w:hint="eastAsia" w:ascii="宋体" w:hAnsi="宋体" w:eastAsia="宋体" w:cs="宋体"/>
          <w:color w:val="000000"/>
          <w:sz w:val="24"/>
          <w:u w:val="single"/>
          <w:lang w:val="zh-CN"/>
        </w:rPr>
      </w:pPr>
      <w:r>
        <w:rPr>
          <w:rFonts w:hint="eastAsia" w:ascii="宋体" w:hAnsi="宋体" w:eastAsia="宋体" w:cs="宋体"/>
          <w:b/>
          <w:bCs/>
          <w:color w:val="000000"/>
          <w:sz w:val="24"/>
          <w:lang w:val="zh-CN"/>
        </w:rPr>
        <w:t>发包人：</w:t>
      </w:r>
      <w:r>
        <w:rPr>
          <w:rFonts w:hint="eastAsia" w:ascii="宋体" w:hAnsi="宋体" w:eastAsia="宋体" w:cs="宋体"/>
          <w:b/>
          <w:bCs/>
          <w:sz w:val="24"/>
          <w:szCs w:val="24"/>
          <w:u w:val="single"/>
          <w:lang w:val="en-US" w:eastAsia="zh-CN"/>
        </w:rPr>
        <w:t>深业物业运营集团股份有限公司</w:t>
      </w:r>
      <w:r>
        <w:rPr>
          <w:rFonts w:hint="eastAsia" w:ascii="宋体" w:hAnsi="宋体" w:eastAsia="宋体" w:cs="宋体"/>
          <w:color w:val="000000"/>
          <w:sz w:val="24"/>
          <w:lang w:val="zh-CN"/>
        </w:rPr>
        <w:t>（以下简称甲方）</w:t>
      </w:r>
    </w:p>
    <w:p w14:paraId="60303228">
      <w:pPr>
        <w:spacing w:line="360" w:lineRule="auto"/>
        <w:outlineLvl w:val="9"/>
        <w:rPr>
          <w:rFonts w:hint="eastAsia" w:ascii="宋体" w:hAnsi="宋体" w:eastAsia="宋体" w:cs="宋体"/>
          <w:color w:val="000000"/>
          <w:sz w:val="24"/>
          <w:lang w:val="zh-CN"/>
        </w:rPr>
      </w:pPr>
      <w:r>
        <w:rPr>
          <w:rFonts w:hint="eastAsia" w:ascii="宋体" w:hAnsi="宋体" w:eastAsia="宋体" w:cs="宋体"/>
          <w:b/>
          <w:bCs/>
          <w:color w:val="000000"/>
          <w:sz w:val="24"/>
          <w:lang w:val="zh-CN"/>
        </w:rPr>
        <w:t>承包人：</w:t>
      </w:r>
      <w:r>
        <w:rPr>
          <w:rFonts w:hint="eastAsia" w:ascii="宋体" w:hAnsi="宋体" w:cs="宋体"/>
          <w:b/>
          <w:bCs/>
          <w:color w:val="000000"/>
          <w:sz w:val="24"/>
          <w:u w:val="single"/>
          <w:lang w:val="en-US" w:eastAsia="zh-CN"/>
        </w:rPr>
        <w:t>深圳市福田区保安服务有限公司</w:t>
      </w:r>
      <w:r>
        <w:rPr>
          <w:rFonts w:hint="eastAsia" w:ascii="宋体" w:hAnsi="宋体" w:eastAsia="宋体" w:cs="宋体"/>
          <w:b/>
          <w:bCs/>
          <w:color w:val="000000"/>
          <w:sz w:val="24"/>
          <w:u w:val="single"/>
          <w:lang w:val="zh-CN"/>
        </w:rPr>
        <w:t xml:space="preserve"> </w:t>
      </w:r>
      <w:r>
        <w:rPr>
          <w:rFonts w:hint="eastAsia" w:ascii="宋体" w:hAnsi="宋体" w:eastAsia="宋体" w:cs="宋体"/>
          <w:color w:val="000000"/>
          <w:sz w:val="24"/>
          <w:lang w:val="zh-CN"/>
        </w:rPr>
        <w:t>（以下简称乙方）</w:t>
      </w:r>
    </w:p>
    <w:p w14:paraId="770023BD">
      <w:pPr>
        <w:spacing w:line="360" w:lineRule="auto"/>
        <w:ind w:firstLine="420"/>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为了加强</w:t>
      </w:r>
      <w:r>
        <w:rPr>
          <w:rFonts w:hint="eastAsia" w:ascii="宋体" w:hAnsi="宋体" w:eastAsia="宋体" w:cs="宋体"/>
          <w:color w:val="000000"/>
          <w:sz w:val="24"/>
          <w:lang w:val="en-US" w:eastAsia="zh-CN"/>
        </w:rPr>
        <w:t>服务项目、</w:t>
      </w:r>
      <w:r>
        <w:rPr>
          <w:rFonts w:hint="eastAsia" w:ascii="宋体" w:hAnsi="宋体" w:eastAsia="宋体" w:cs="宋体"/>
          <w:color w:val="000000"/>
          <w:sz w:val="24"/>
          <w:lang w:val="zh-CN"/>
        </w:rPr>
        <w:t>工程项目建设中的廉政管理，杜绝各种不正当行为的发生，经甲乙双方同意，签订此廉政诚信协议书，作为甲乙双方共同遵守的廉政诚信行为准则：</w:t>
      </w:r>
    </w:p>
    <w:p w14:paraId="726CAFDB">
      <w:pPr>
        <w:spacing w:line="360" w:lineRule="auto"/>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1、甲方人员在</w:t>
      </w:r>
      <w:r>
        <w:rPr>
          <w:rFonts w:hint="eastAsia" w:ascii="宋体" w:hAnsi="宋体" w:eastAsia="宋体" w:cs="宋体"/>
          <w:color w:val="000000"/>
          <w:sz w:val="24"/>
          <w:lang w:val="en-US" w:eastAsia="zh-CN"/>
        </w:rPr>
        <w:t>服务项目招标、</w:t>
      </w:r>
      <w:r>
        <w:rPr>
          <w:rFonts w:hint="eastAsia" w:ascii="宋体" w:hAnsi="宋体" w:eastAsia="宋体" w:cs="宋体"/>
          <w:color w:val="000000"/>
          <w:sz w:val="24"/>
          <w:lang w:val="zh-CN"/>
        </w:rPr>
        <w:t>工程招标或</w:t>
      </w:r>
      <w:r>
        <w:rPr>
          <w:rFonts w:hint="eastAsia" w:ascii="宋体" w:hAnsi="宋体" w:eastAsia="宋体" w:cs="宋体"/>
          <w:color w:val="000000"/>
          <w:sz w:val="24"/>
          <w:lang w:val="en-US" w:eastAsia="zh-CN"/>
        </w:rPr>
        <w:t>服务、</w:t>
      </w:r>
      <w:r>
        <w:rPr>
          <w:rFonts w:hint="eastAsia" w:ascii="宋体" w:hAnsi="宋体" w:eastAsia="宋体" w:cs="宋体"/>
          <w:color w:val="000000"/>
          <w:sz w:val="24"/>
          <w:lang w:val="zh-CN"/>
        </w:rPr>
        <w:t>工程履行过程中，不得以任何形式向投标单位或乙方索要和收受回扣等好处费。</w:t>
      </w:r>
    </w:p>
    <w:p w14:paraId="386C31CD">
      <w:pPr>
        <w:spacing w:line="360" w:lineRule="auto"/>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2、甲方人员不得接受乙方的礼金、有价证劵，不得在乙方或材料设备供应商处报销任何由个人支付的费用。</w:t>
      </w:r>
    </w:p>
    <w:p w14:paraId="0EBF6962">
      <w:pPr>
        <w:spacing w:line="360" w:lineRule="auto"/>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3、甲方人员不得参加乙方非正常的宴请和娱乐活动。参加乙方邀的正常宴请和会议，需经主管领导同意。</w:t>
      </w:r>
    </w:p>
    <w:p w14:paraId="2750B172">
      <w:pPr>
        <w:spacing w:line="360" w:lineRule="auto"/>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4、甲方人员不得要求乙方或者接受乙方及材料设备供应商为其住房装修、婚丧嫁娶、家属和子女的工作安排以及出国等提供方便。</w:t>
      </w:r>
    </w:p>
    <w:p w14:paraId="63E25FF1">
      <w:pPr>
        <w:spacing w:line="360" w:lineRule="auto"/>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5、双方不得相互介绍家属或者亲友等利害关系人从事与甲方工程有关的经济活动。双方各工作人员不得至对方工作人员私人住所处联系各相关事宜。</w:t>
      </w:r>
    </w:p>
    <w:p w14:paraId="082F7DBC">
      <w:pPr>
        <w:spacing w:line="360" w:lineRule="auto"/>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6、甲方人员不得为谋取私利擅自与乙方工作人员及承包商、材料设备供应商就工程承包、工程费用、材料设备供应、工程量变动、工程验收、工程质量问题处理进行私下商谈或者达成默契。</w:t>
      </w:r>
    </w:p>
    <w:p w14:paraId="0485C6C1">
      <w:pPr>
        <w:spacing w:line="360" w:lineRule="auto"/>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7、乙方或材料设备供应商不得以洽谈工作、签订经济合同为借口，邀请甲方人员外出旅游和进入营业性娱乐场所。</w:t>
      </w:r>
    </w:p>
    <w:p w14:paraId="37F99961">
      <w:pPr>
        <w:spacing w:line="360" w:lineRule="auto"/>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8、乙方或材料设备供应商不得为甲方工作人员购置或者提供通讯工具、交通工具、家电、家具和高档办公用品等物品。</w:t>
      </w:r>
    </w:p>
    <w:p w14:paraId="404746EE">
      <w:pPr>
        <w:spacing w:line="360" w:lineRule="auto"/>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9、双方如发现对方人员有违反上述协议者，应向对方领导举报，双方不得找任何借口向对方进行报复。</w:t>
      </w:r>
    </w:p>
    <w:p w14:paraId="6D71272D">
      <w:pPr>
        <w:spacing w:line="360" w:lineRule="auto"/>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10、在投标活动中一经查实，立即取消乙方投标资格，没收投标保证金，且甲方保留进一步追究乙方法律责任的权利。</w:t>
      </w:r>
    </w:p>
    <w:p w14:paraId="28E227D1">
      <w:pPr>
        <w:spacing w:line="360" w:lineRule="auto"/>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11、在</w:t>
      </w:r>
      <w:r>
        <w:rPr>
          <w:rFonts w:hint="eastAsia" w:ascii="宋体" w:hAnsi="宋体" w:eastAsia="宋体" w:cs="宋体"/>
          <w:color w:val="000000"/>
          <w:sz w:val="24"/>
          <w:lang w:val="en-US" w:eastAsia="zh-CN"/>
        </w:rPr>
        <w:t>服务、</w:t>
      </w:r>
      <w:r>
        <w:rPr>
          <w:rFonts w:hint="eastAsia" w:ascii="宋体" w:hAnsi="宋体" w:eastAsia="宋体" w:cs="宋体"/>
          <w:color w:val="000000"/>
          <w:sz w:val="24"/>
          <w:lang w:val="zh-CN"/>
        </w:rPr>
        <w:t>工程履约过程中，经查实情节轻微的，甲方有权对乙方处以所涉金额5倍的违约处罚。经查实情节严重的，甲方有权扣除乙方合同价款的2%的违约金，同时甲方有权单方终止合同，乙方须承担由此造成的一切经济损失，且甲方保留进一步追究乙方法律责任的权利。</w:t>
      </w:r>
    </w:p>
    <w:p w14:paraId="3C2CCD7A">
      <w:pPr>
        <w:spacing w:line="360" w:lineRule="auto"/>
        <w:ind w:firstLine="420"/>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本廉政诚信协议作为合同附件与合同具有同等法律效力，经协议双方签署后生效。</w:t>
      </w:r>
    </w:p>
    <w:p w14:paraId="739CCA7E">
      <w:pPr>
        <w:spacing w:line="360" w:lineRule="auto"/>
        <w:ind w:firstLine="420"/>
        <w:outlineLvl w:val="9"/>
        <w:rPr>
          <w:rFonts w:hint="eastAsia" w:ascii="宋体" w:hAnsi="宋体" w:eastAsia="宋体" w:cs="宋体"/>
          <w:color w:val="000000"/>
          <w:sz w:val="24"/>
          <w:lang w:val="zh-CN"/>
        </w:rPr>
      </w:pPr>
    </w:p>
    <w:p w14:paraId="0D8F62AE">
      <w:pPr>
        <w:spacing w:line="360" w:lineRule="auto"/>
        <w:outlineLvl w:val="9"/>
        <w:rPr>
          <w:rFonts w:hint="eastAsia" w:ascii="宋体" w:hAnsi="宋体" w:eastAsia="宋体" w:cs="宋体"/>
          <w:color w:val="000000"/>
          <w:sz w:val="24"/>
          <w:lang w:val="zh-CN"/>
        </w:rPr>
      </w:pPr>
      <w:r>
        <w:rPr>
          <w:rFonts w:hint="eastAsia" w:ascii="宋体" w:hAnsi="宋体" w:eastAsia="宋体" w:cs="宋体"/>
          <w:b/>
          <w:color w:val="000000"/>
          <w:sz w:val="24"/>
          <w:lang w:val="zh-CN"/>
        </w:rPr>
        <w:t>甲方监督举报邮箱：</w:t>
      </w:r>
      <w:r>
        <w:rPr>
          <w:rFonts w:hint="eastAsia" w:ascii="宋体" w:hAnsi="宋体" w:eastAsia="宋体" w:cs="宋体"/>
          <w:color w:val="000000"/>
          <w:sz w:val="24"/>
          <w:lang w:val="zh-CN"/>
        </w:rPr>
        <w:t xml:space="preserve"> </w:t>
      </w:r>
    </w:p>
    <w:p w14:paraId="5E2D98B6">
      <w:pPr>
        <w:spacing w:line="360" w:lineRule="auto"/>
        <w:outlineLvl w:val="9"/>
        <w:rPr>
          <w:rFonts w:hint="eastAsia" w:ascii="宋体" w:hAnsi="宋体" w:eastAsia="宋体" w:cs="宋体"/>
          <w:color w:val="000000"/>
          <w:sz w:val="24"/>
        </w:rPr>
      </w:pPr>
      <w:r>
        <w:rPr>
          <w:rFonts w:hint="eastAsia" w:ascii="宋体" w:hAnsi="宋体" w:eastAsia="宋体" w:cs="宋体"/>
          <w:b/>
          <w:color w:val="000000"/>
          <w:sz w:val="24"/>
          <w:lang w:val="zh-CN"/>
        </w:rPr>
        <w:t>电</w:t>
      </w:r>
      <w:r>
        <w:rPr>
          <w:rFonts w:hint="eastAsia" w:ascii="宋体" w:hAnsi="宋体" w:eastAsia="宋体" w:cs="宋体"/>
          <w:b/>
          <w:color w:val="000000"/>
          <w:sz w:val="24"/>
        </w:rPr>
        <w:t xml:space="preserve"> </w:t>
      </w:r>
      <w:r>
        <w:rPr>
          <w:rFonts w:hint="eastAsia" w:ascii="宋体" w:hAnsi="宋体" w:eastAsia="宋体" w:cs="宋体"/>
          <w:b/>
          <w:color w:val="000000"/>
          <w:sz w:val="24"/>
          <w:lang w:val="zh-CN"/>
        </w:rPr>
        <w:t>话：</w:t>
      </w:r>
    </w:p>
    <w:p w14:paraId="185D9172">
      <w:pPr>
        <w:spacing w:line="360" w:lineRule="auto"/>
        <w:ind w:firstLine="420"/>
        <w:outlineLvl w:val="9"/>
        <w:rPr>
          <w:rFonts w:hint="eastAsia" w:ascii="宋体" w:hAnsi="宋体" w:eastAsia="宋体" w:cs="宋体"/>
          <w:color w:val="000000"/>
          <w:sz w:val="24"/>
          <w:lang w:val="zh-CN"/>
        </w:rPr>
      </w:pPr>
    </w:p>
    <w:p w14:paraId="11A613ED">
      <w:pPr>
        <w:spacing w:line="360" w:lineRule="auto"/>
        <w:ind w:firstLine="420"/>
        <w:outlineLvl w:val="9"/>
        <w:rPr>
          <w:rFonts w:hint="eastAsia" w:ascii="宋体" w:hAnsi="宋体" w:eastAsia="宋体" w:cs="宋体"/>
          <w:color w:val="000000"/>
          <w:sz w:val="24"/>
          <w:lang w:val="zh-CN"/>
        </w:rPr>
      </w:pPr>
      <w:r>
        <w:rPr>
          <w:rFonts w:hint="eastAsia" w:ascii="宋体" w:hAnsi="宋体" w:eastAsia="宋体" w:cs="宋体"/>
          <w:color w:val="000000"/>
          <w:sz w:val="24"/>
          <w:lang w:val="zh-CN"/>
        </w:rPr>
        <w:t>(以下无正文)</w:t>
      </w:r>
    </w:p>
    <w:p w14:paraId="4FF3FAAF">
      <w:pPr>
        <w:spacing w:line="360" w:lineRule="auto"/>
        <w:ind w:firstLine="420"/>
        <w:outlineLvl w:val="9"/>
        <w:rPr>
          <w:rFonts w:hint="eastAsia" w:ascii="宋体" w:hAnsi="宋体" w:eastAsia="宋体" w:cs="宋体"/>
          <w:color w:val="000000"/>
          <w:sz w:val="24"/>
          <w:lang w:val="zh-CN"/>
        </w:rPr>
      </w:pPr>
    </w:p>
    <w:p w14:paraId="0FE8E555">
      <w:pPr>
        <w:spacing w:line="360" w:lineRule="auto"/>
        <w:outlineLvl w:val="9"/>
        <w:rPr>
          <w:rFonts w:hint="eastAsia" w:ascii="宋体" w:hAnsi="宋体" w:eastAsia="宋体" w:cs="宋体"/>
          <w:color w:val="000000"/>
          <w:sz w:val="24"/>
        </w:rPr>
      </w:pPr>
      <w:r>
        <w:rPr>
          <w:rFonts w:hint="eastAsia" w:ascii="宋体" w:hAnsi="宋体" w:eastAsia="宋体" w:cs="宋体"/>
          <w:color w:val="000000"/>
          <w:sz w:val="24"/>
        </w:rPr>
        <w:t xml:space="preserve">甲方（发包人）：                           乙方（承包人）： </w:t>
      </w:r>
    </w:p>
    <w:p w14:paraId="78FD0C2A">
      <w:pPr>
        <w:spacing w:line="360" w:lineRule="auto"/>
        <w:outlineLvl w:val="9"/>
        <w:rPr>
          <w:rFonts w:hint="eastAsia" w:ascii="宋体" w:hAnsi="宋体" w:eastAsia="宋体" w:cs="宋体"/>
          <w:color w:val="000000"/>
          <w:sz w:val="24"/>
        </w:rPr>
      </w:pPr>
      <w:r>
        <w:rPr>
          <w:rFonts w:hint="eastAsia" w:ascii="宋体" w:hAnsi="宋体" w:eastAsia="宋体" w:cs="宋体"/>
          <w:color w:val="000000"/>
          <w:sz w:val="24"/>
        </w:rPr>
        <w:t>授权代表：                                授权代表：</w:t>
      </w:r>
    </w:p>
    <w:p w14:paraId="10BCB0C9">
      <w:pPr>
        <w:spacing w:line="360" w:lineRule="auto"/>
        <w:outlineLvl w:val="9"/>
        <w:rPr>
          <w:rFonts w:hint="eastAsia" w:ascii="宋体" w:hAnsi="宋体" w:eastAsia="宋体" w:cs="宋体"/>
          <w:color w:val="000000"/>
          <w:sz w:val="24"/>
        </w:rPr>
      </w:pPr>
      <w:r>
        <w:rPr>
          <w:rFonts w:hint="eastAsia" w:ascii="宋体" w:hAnsi="宋体" w:eastAsia="宋体" w:cs="宋体"/>
          <w:color w:val="000000"/>
          <w:sz w:val="24"/>
        </w:rPr>
        <w:t>日期：    年   月    日                   日期：   年   月   日</w:t>
      </w:r>
    </w:p>
    <w:p w14:paraId="60A80293"/>
    <w:p w14:paraId="0CD12616"/>
    <w:p w14:paraId="740B5C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5DA94">
    <w:pPr>
      <w:pStyle w:val="3"/>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83895"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8389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1D4CC">
                          <w:pPr>
                            <w:pStyle w:val="3"/>
                            <w:ind w:firstLine="360"/>
                          </w:pPr>
                          <w:r>
                            <w:fldChar w:fldCharType="begin"/>
                          </w:r>
                          <w:r>
                            <w:instrText xml:space="preserve"> PAGE  \* MERGEFORMAT </w:instrText>
                          </w:r>
                          <w:r>
                            <w:fldChar w:fldCharType="separate"/>
                          </w:r>
                          <w:r>
                            <w:t>33</w:t>
                          </w:r>
                          <w:r>
                            <w:fldChar w:fldCharType="end"/>
                          </w:r>
                          <w:r>
                            <w:t xml:space="preserve"> / </w:t>
                          </w:r>
                          <w:r>
                            <w:fldChar w:fldCharType="begin"/>
                          </w:r>
                          <w:r>
                            <w:instrText xml:space="preserve"> NUMPAGES  \* MERGEFORMAT </w:instrText>
                          </w:r>
                          <w:r>
                            <w:fldChar w:fldCharType="separate"/>
                          </w:r>
                          <w:r>
                            <w:t>98</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53.85pt;mso-position-horizontal:center;mso-position-horizontal-relative:margin;z-index:251659264;mso-width-relative:page;mso-height-relative:page;" filled="f" stroked="f" coordsize="21600,21600" o:gfxdata="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xBlEY1AAAAAUBAAAPAAAAAAAAAAEAIAAAACIAAABkcnMvZG93bnJldi54bWxQSwEC&#10;FAAUAAAACACHTuJABQQk6zECAABWBAAADgAAAAAAAAABACAAAAAjAQAAZHJzL2Uyb0RvYy54bWxQ&#10;SwUGAAAAAAYABgBZAQAAxgUAAAAA&#10;">
              <v:fill on="f" focussize="0,0"/>
              <v:stroke on="f" weight="0.5pt"/>
              <v:imagedata o:title=""/>
              <o:lock v:ext="edit" aspectratio="f"/>
              <v:textbox inset="0mm,0mm,0mm,0mm" style="mso-fit-shape-to-text:t;">
                <w:txbxContent>
                  <w:p w14:paraId="3AD1D4CC">
                    <w:pPr>
                      <w:pStyle w:val="3"/>
                      <w:ind w:firstLine="360"/>
                    </w:pPr>
                    <w:r>
                      <w:fldChar w:fldCharType="begin"/>
                    </w:r>
                    <w:r>
                      <w:instrText xml:space="preserve"> PAGE  \* MERGEFORMAT </w:instrText>
                    </w:r>
                    <w:r>
                      <w:fldChar w:fldCharType="separate"/>
                    </w:r>
                    <w:r>
                      <w:t>33</w:t>
                    </w:r>
                    <w:r>
                      <w:fldChar w:fldCharType="end"/>
                    </w:r>
                    <w:r>
                      <w:t xml:space="preserve"> / </w:t>
                    </w:r>
                    <w:r>
                      <w:fldChar w:fldCharType="begin"/>
                    </w:r>
                    <w:r>
                      <w:instrText xml:space="preserve"> NUMPAGES  \* MERGEFORMAT </w:instrText>
                    </w:r>
                    <w:r>
                      <w:fldChar w:fldCharType="separate"/>
                    </w:r>
                    <w:r>
                      <w:t>98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18F64">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E48B15">
                          <w:pPr>
                            <w:pStyle w:val="3"/>
                          </w:pPr>
                          <w:r>
                            <w:fldChar w:fldCharType="begin"/>
                          </w:r>
                          <w:r>
                            <w:instrText xml:space="preserve"> PAGE  \* MERGEFORMAT </w:instrText>
                          </w:r>
                          <w:r>
                            <w:fldChar w:fldCharType="separate"/>
                          </w:r>
                          <w:r>
                            <w:t>68</w:t>
                          </w:r>
                          <w:r>
                            <w:fldChar w:fldCharType="end"/>
                          </w:r>
                          <w:r>
                            <w:t xml:space="preserve"> / </w:t>
                          </w:r>
                          <w:r>
                            <w:fldChar w:fldCharType="begin"/>
                          </w:r>
                          <w:r>
                            <w:instrText xml:space="preserve"> NUMPAGES  \* MERGEFORMAT </w:instrText>
                          </w:r>
                          <w:r>
                            <w:fldChar w:fldCharType="separate"/>
                          </w:r>
                          <w:r>
                            <w:t>98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AyeMgBAACZAwAADgAAAGRycy9lMm9Eb2MueG1srVPNjtMwEL4j8Q6W&#10;79RpD2wV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ogMnjIAQAAmQMAAA4AAAAAAAAAAQAgAAAAHgEAAGRycy9lMm9Eb2Mu&#10;eG1sUEsFBgAAAAAGAAYAWQEAAFgFAAAAAA==&#10;">
              <v:fill on="f" focussize="0,0"/>
              <v:stroke on="f"/>
              <v:imagedata o:title=""/>
              <o:lock v:ext="edit" aspectratio="f"/>
              <v:textbox inset="0mm,0mm,0mm,0mm" style="mso-fit-shape-to-text:t;">
                <w:txbxContent>
                  <w:p w14:paraId="31E48B15">
                    <w:pPr>
                      <w:pStyle w:val="3"/>
                    </w:pPr>
                    <w:r>
                      <w:fldChar w:fldCharType="begin"/>
                    </w:r>
                    <w:r>
                      <w:instrText xml:space="preserve"> PAGE  \* MERGEFORMAT </w:instrText>
                    </w:r>
                    <w:r>
                      <w:fldChar w:fldCharType="separate"/>
                    </w:r>
                    <w:r>
                      <w:t>68</w:t>
                    </w:r>
                    <w:r>
                      <w:fldChar w:fldCharType="end"/>
                    </w:r>
                    <w:r>
                      <w:t xml:space="preserve"> / </w:t>
                    </w:r>
                    <w:r>
                      <w:fldChar w:fldCharType="begin"/>
                    </w:r>
                    <w:r>
                      <w:instrText xml:space="preserve"> NUMPAGES  \* MERGEFORMAT </w:instrText>
                    </w:r>
                    <w:r>
                      <w:fldChar w:fldCharType="separate"/>
                    </w:r>
                    <w:r>
                      <w:t>98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BA393">
    <w:pPr>
      <w:pStyle w:val="4"/>
      <w:pBdr>
        <w:bottom w:val="none" w:color="auto" w:sz="0" w:space="1"/>
      </w:pBdr>
      <w:jc w:val="both"/>
    </w:pPr>
    <w:r>
      <w:drawing>
        <wp:inline distT="0" distB="0" distL="114300" distR="114300">
          <wp:extent cx="906145" cy="344170"/>
          <wp:effectExtent l="0" t="0" r="0" b="0"/>
          <wp:docPr id="9" name="图片 1" descr="WPS图片-抠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WPS图片-抠图"/>
                  <pic:cNvPicPr>
                    <a:picLocks noChangeAspect="1"/>
                  </pic:cNvPicPr>
                </pic:nvPicPr>
                <pic:blipFill>
                  <a:blip r:embed="rId1"/>
                  <a:stretch>
                    <a:fillRect/>
                  </a:stretch>
                </pic:blipFill>
                <pic:spPr>
                  <a:xfrm>
                    <a:off x="0" y="0"/>
                    <a:ext cx="906145" cy="34417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2NGQ5YTJmOWIyZDEzYzMzNTY0OWE1YWE3MDk5MDUifQ=="/>
  </w:docVars>
  <w:rsids>
    <w:rsidRoot w:val="10E24FB8"/>
    <w:rsid w:val="04DB6A9E"/>
    <w:rsid w:val="10E24FB8"/>
    <w:rsid w:val="1225029C"/>
    <w:rsid w:val="16864FD3"/>
    <w:rsid w:val="18ED198A"/>
    <w:rsid w:val="1EF76076"/>
    <w:rsid w:val="2AE63C21"/>
    <w:rsid w:val="36AE68B2"/>
    <w:rsid w:val="36F54B93"/>
    <w:rsid w:val="3D537999"/>
    <w:rsid w:val="40363195"/>
    <w:rsid w:val="45DF78BD"/>
    <w:rsid w:val="4A941B15"/>
    <w:rsid w:val="4C206F35"/>
    <w:rsid w:val="5C725013"/>
    <w:rsid w:val="63DB4843"/>
    <w:rsid w:val="646F30FE"/>
    <w:rsid w:val="6E084950"/>
    <w:rsid w:val="6FBA7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pPr>
      <w:autoSpaceDE w:val="0"/>
      <w:autoSpaceDN w:val="0"/>
      <w:adjustRightInd w:val="0"/>
      <w:jc w:val="left"/>
    </w:pPr>
    <w:rPr>
      <w:rFonts w:hint="eastAsia" w:ascii="宋体"/>
      <w:kern w:val="0"/>
      <w:sz w:val="28"/>
      <w:szCs w:val="20"/>
    </w:rPr>
  </w:style>
  <w:style w:type="paragraph" w:styleId="3">
    <w:name w:val="footer"/>
    <w:basedOn w:val="1"/>
    <w:autoRedefine/>
    <w:qFormat/>
    <w:uiPriority w:val="99"/>
    <w:pPr>
      <w:tabs>
        <w:tab w:val="center" w:pos="4153"/>
        <w:tab w:val="right" w:pos="8306"/>
      </w:tabs>
      <w:autoSpaceDE w:val="0"/>
      <w:autoSpaceDN w:val="0"/>
      <w:adjustRightInd w:val="0"/>
      <w:snapToGrid w:val="0"/>
      <w:jc w:val="left"/>
      <w:textAlignment w:val="baseline"/>
    </w:pPr>
    <w:rPr>
      <w:rFonts w:ascii="宋体"/>
      <w:kern w:val="0"/>
      <w:sz w:val="18"/>
      <w:szCs w:val="20"/>
    </w:rPr>
  </w:style>
  <w:style w:type="paragraph" w:styleId="4">
    <w:name w:val="header"/>
    <w:basedOn w:val="1"/>
    <w:autoRedefine/>
    <w:semiHidden/>
    <w:qFormat/>
    <w:uiPriority w:val="0"/>
    <w:pPr>
      <w:pBdr>
        <w:bottom w:val="single" w:color="auto" w:sz="6" w:space="1"/>
      </w:pBdr>
      <w:tabs>
        <w:tab w:val="center" w:pos="4153"/>
        <w:tab w:val="right" w:pos="8306"/>
      </w:tabs>
      <w:autoSpaceDE w:val="0"/>
      <w:autoSpaceDN w:val="0"/>
      <w:adjustRightInd w:val="0"/>
      <w:snapToGrid w:val="0"/>
      <w:jc w:val="center"/>
      <w:textAlignment w:val="baseline"/>
    </w:pPr>
    <w:rPr>
      <w:rFonts w:ascii="宋体"/>
      <w:kern w:val="0"/>
      <w:sz w:val="18"/>
      <w:szCs w:val="20"/>
    </w:rPr>
  </w:style>
  <w:style w:type="paragraph" w:styleId="5">
    <w:name w:val="Body Text 2"/>
    <w:basedOn w:val="1"/>
    <w:autoRedefine/>
    <w:qFormat/>
    <w:uiPriority w:val="99"/>
    <w:rPr>
      <w:rFonts w:eastAsia="仿宋_GB2312"/>
      <w:sz w:val="30"/>
      <w:szCs w:val="30"/>
    </w:rPr>
  </w:style>
  <w:style w:type="table" w:styleId="7">
    <w:name w:val="Table Grid"/>
    <w:basedOn w:val="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autoRedefine/>
    <w:qFormat/>
    <w:uiPriority w:val="0"/>
    <w:pPr>
      <w:ind w:firstLine="420" w:firstLineChars="200"/>
    </w:pPr>
    <w:rPr>
      <w:rFonts w:ascii="Calibri" w:hAnsi="Calibri"/>
      <w:szCs w:val="22"/>
    </w:rPr>
  </w:style>
  <w:style w:type="table" w:customStyle="1" w:styleId="10">
    <w:name w:val="网格型5"/>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检查标准1"/>
    <w:basedOn w:val="1"/>
    <w:autoRedefine/>
    <w:qFormat/>
    <w:uiPriority w:val="0"/>
    <w:pPr>
      <w:tabs>
        <w:tab w:val="left" w:pos="400"/>
      </w:tabs>
      <w:ind w:left="420" w:hanging="420"/>
      <w:outlineLvl w:val="0"/>
    </w:pPr>
    <w:rPr>
      <w:rFonts w:ascii="宋体" w:hAnsi="宋体"/>
      <w:bCs/>
      <w:kern w:val="44"/>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14478</Words>
  <Characters>14632</Characters>
  <Lines>0</Lines>
  <Paragraphs>0</Paragraphs>
  <TotalTime>3</TotalTime>
  <ScaleCrop>false</ScaleCrop>
  <LinksUpToDate>false</LinksUpToDate>
  <CharactersWithSpaces>15059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2024-01-22T01:11:00Z</dcterms:created>
  <dc:creator>HP</dc:creator>
  <cp:lastModifiedBy>萧声断、何处莫凭栏</cp:lastModifiedBy>
  <dcterms:modified xsi:type="dcterms:W3CDTF">2025-11-02T08:19:29Z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77525E449E2B4B1F8692C2BAAF941AC5_13</vt:lpwstr>
  </property>
  <property fmtid="{D5CDD505-2E9C-101B-9397-08002B2CF9AE}" pid="4" name="KSOTemplateDocerSaveRecord">
    <vt:lpwstr>eyJoZGlkIjoiMDc2NGQ5YTJmOWIyZDEzYzMzNTY0OWE1YWE3MDk5MDUiLCJ1c2VySWQiOiIyNTQ0ODczNTYifQ==</vt:lpwstr>
  </property>
</Properties>
</file>