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776B9">
      <w:pPr>
        <w:rPr>
          <w:rFonts w:ascii="宋体"/>
        </w:rPr>
      </w:pPr>
    </w:p>
    <w:tbl>
      <w:tblPr>
        <w:tblStyle w:val="4"/>
        <w:tblpPr w:leftFromText="180" w:rightFromText="180" w:vertAnchor="text" w:horzAnchor="page" w:tblpX="1339" w:tblpY="580"/>
        <w:tblOverlap w:val="never"/>
        <w:tblW w:w="0" w:type="auto"/>
        <w:tblInd w:w="0" w:type="dxa"/>
        <w:tblLayout w:type="fixed"/>
        <w:tblCellMar>
          <w:top w:w="0" w:type="dxa"/>
          <w:left w:w="0" w:type="dxa"/>
          <w:bottom w:w="0" w:type="dxa"/>
          <w:right w:w="0" w:type="dxa"/>
        </w:tblCellMar>
      </w:tblPr>
      <w:tblGrid>
        <w:gridCol w:w="9184"/>
      </w:tblGrid>
      <w:tr w14:paraId="0C886D42">
        <w:tblPrEx>
          <w:tblCellMar>
            <w:top w:w="0" w:type="dxa"/>
            <w:left w:w="0" w:type="dxa"/>
            <w:bottom w:w="0" w:type="dxa"/>
            <w:right w:w="0" w:type="dxa"/>
          </w:tblCellMar>
        </w:tblPrEx>
        <w:trPr>
          <w:trHeight w:val="454" w:hRule="atLeast"/>
        </w:trPr>
        <w:tc>
          <w:tcPr>
            <w:tcW w:w="9184" w:type="dxa"/>
            <w:tcBorders>
              <w:top w:val="nil"/>
              <w:left w:val="nil"/>
              <w:right w:val="nil"/>
            </w:tcBorders>
            <w:tcMar>
              <w:left w:w="57" w:type="dxa"/>
              <w:right w:w="57" w:type="dxa"/>
            </w:tcMar>
            <w:vAlign w:val="center"/>
          </w:tcPr>
          <w:p w14:paraId="1774591B">
            <w:pPr>
              <w:widowControl/>
              <w:spacing w:line="360" w:lineRule="auto"/>
              <w:jc w:val="center"/>
              <w:rPr>
                <w:rFonts w:ascii="黑体" w:hAnsi="宋体" w:eastAsia="黑体" w:cs="宋体"/>
                <w:kern w:val="0"/>
                <w:sz w:val="28"/>
                <w:szCs w:val="28"/>
              </w:rPr>
            </w:pPr>
            <w:r>
              <w:rPr>
                <w:rFonts w:hint="eastAsia"/>
              </w:rPr>
              <w:drawing>
                <wp:inline distT="0" distB="0" distL="114300" distR="114300">
                  <wp:extent cx="4780280" cy="542925"/>
                  <wp:effectExtent l="0" t="0" r="1270" b="9525"/>
                  <wp:docPr id="2" name="图片 1" descr="167083653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670836534481"/>
                          <pic:cNvPicPr>
                            <a:picLocks noChangeAspect="1"/>
                          </pic:cNvPicPr>
                        </pic:nvPicPr>
                        <pic:blipFill>
                          <a:blip r:embed="rId7" cstate="print"/>
                          <a:stretch>
                            <a:fillRect/>
                          </a:stretch>
                        </pic:blipFill>
                        <pic:spPr>
                          <a:xfrm>
                            <a:off x="0" y="0"/>
                            <a:ext cx="4780280" cy="542925"/>
                          </a:xfrm>
                          <a:prstGeom prst="rect">
                            <a:avLst/>
                          </a:prstGeom>
                          <a:noFill/>
                          <a:ln>
                            <a:noFill/>
                          </a:ln>
                        </pic:spPr>
                      </pic:pic>
                    </a:graphicData>
                  </a:graphic>
                </wp:inline>
              </w:drawing>
            </w:r>
          </w:p>
          <w:p w14:paraId="56BDBF30">
            <w:pPr>
              <w:widowControl/>
              <w:spacing w:line="360" w:lineRule="auto"/>
              <w:rPr>
                <w:rFonts w:ascii="黑体" w:hAnsi="宋体" w:eastAsia="黑体" w:cs="宋体"/>
                <w:kern w:val="0"/>
                <w:sz w:val="28"/>
                <w:szCs w:val="28"/>
              </w:rPr>
            </w:pPr>
          </w:p>
        </w:tc>
      </w:tr>
      <w:tr w14:paraId="7BCB6F4B">
        <w:tblPrEx>
          <w:tblCellMar>
            <w:top w:w="0" w:type="dxa"/>
            <w:left w:w="0" w:type="dxa"/>
            <w:bottom w:w="0" w:type="dxa"/>
            <w:right w:w="0" w:type="dxa"/>
          </w:tblCellMar>
        </w:tblPrEx>
        <w:trPr>
          <w:trHeight w:val="454" w:hRule="atLeast"/>
        </w:trPr>
        <w:tc>
          <w:tcPr>
            <w:tcW w:w="9184" w:type="dxa"/>
            <w:tcBorders>
              <w:top w:val="nil"/>
              <w:left w:val="nil"/>
              <w:right w:val="nil"/>
            </w:tcBorders>
            <w:tcMar>
              <w:left w:w="57" w:type="dxa"/>
              <w:right w:w="57" w:type="dxa"/>
            </w:tcMar>
            <w:vAlign w:val="center"/>
          </w:tcPr>
          <w:p w14:paraId="05FAD707">
            <w:pPr>
              <w:widowControl/>
              <w:spacing w:line="360" w:lineRule="auto"/>
              <w:jc w:val="center"/>
              <w:rPr>
                <w:rFonts w:ascii="黑体" w:hAnsi="宋体" w:eastAsia="黑体" w:cs="宋体"/>
                <w:kern w:val="0"/>
                <w:sz w:val="28"/>
                <w:szCs w:val="28"/>
              </w:rPr>
            </w:pPr>
          </w:p>
          <w:p w14:paraId="7928BD5D">
            <w:pPr>
              <w:widowControl/>
              <w:spacing w:line="360" w:lineRule="auto"/>
              <w:jc w:val="center"/>
              <w:rPr>
                <w:rFonts w:ascii="黑体" w:hAnsi="宋体" w:eastAsia="黑体" w:cs="宋体"/>
                <w:kern w:val="0"/>
                <w:sz w:val="28"/>
                <w:szCs w:val="28"/>
              </w:rPr>
            </w:pPr>
          </w:p>
          <w:p w14:paraId="156B3BA0">
            <w:pPr>
              <w:widowControl/>
              <w:spacing w:line="360" w:lineRule="auto"/>
              <w:jc w:val="center"/>
              <w:rPr>
                <w:rFonts w:ascii="黑体" w:hAnsi="宋体" w:eastAsia="黑体" w:cs="宋体"/>
                <w:kern w:val="0"/>
                <w:sz w:val="28"/>
                <w:szCs w:val="28"/>
              </w:rPr>
            </w:pPr>
          </w:p>
          <w:p w14:paraId="4C4349C4">
            <w:pPr>
              <w:widowControl/>
              <w:spacing w:line="360" w:lineRule="auto"/>
              <w:jc w:val="center"/>
              <w:rPr>
                <w:rFonts w:ascii="黑体" w:hAnsi="宋体" w:eastAsia="黑体" w:cs="宋体"/>
                <w:kern w:val="0"/>
                <w:sz w:val="28"/>
                <w:szCs w:val="28"/>
              </w:rPr>
            </w:pPr>
          </w:p>
        </w:tc>
      </w:tr>
      <w:tr w14:paraId="028CAA68">
        <w:tblPrEx>
          <w:tblCellMar>
            <w:top w:w="0" w:type="dxa"/>
            <w:left w:w="0" w:type="dxa"/>
            <w:bottom w:w="0" w:type="dxa"/>
            <w:right w:w="0" w:type="dxa"/>
          </w:tblCellMar>
        </w:tblPrEx>
        <w:trPr>
          <w:trHeight w:val="454" w:hRule="atLeast"/>
        </w:trPr>
        <w:tc>
          <w:tcPr>
            <w:tcW w:w="9184" w:type="dxa"/>
            <w:tcBorders>
              <w:top w:val="nil"/>
              <w:left w:val="nil"/>
              <w:right w:val="nil"/>
            </w:tcBorders>
            <w:tcMar>
              <w:left w:w="57" w:type="dxa"/>
              <w:right w:w="57" w:type="dxa"/>
            </w:tcMar>
            <w:vAlign w:val="center"/>
          </w:tcPr>
          <w:p w14:paraId="2C8540A0">
            <w:pPr>
              <w:widowControl/>
              <w:spacing w:line="360" w:lineRule="auto"/>
              <w:jc w:val="center"/>
              <w:rPr>
                <w:rFonts w:ascii="黑体" w:hAnsi="宋体" w:eastAsia="黑体" w:cs="宋体"/>
                <w:kern w:val="0"/>
                <w:sz w:val="28"/>
                <w:szCs w:val="28"/>
              </w:rPr>
            </w:pPr>
          </w:p>
        </w:tc>
      </w:tr>
      <w:tr w14:paraId="56BD09A1">
        <w:tblPrEx>
          <w:tblCellMar>
            <w:top w:w="0" w:type="dxa"/>
            <w:left w:w="0" w:type="dxa"/>
            <w:bottom w:w="0" w:type="dxa"/>
            <w:right w:w="0" w:type="dxa"/>
          </w:tblCellMar>
        </w:tblPrEx>
        <w:trPr>
          <w:trHeight w:val="454" w:hRule="atLeast"/>
        </w:trPr>
        <w:tc>
          <w:tcPr>
            <w:tcW w:w="9184" w:type="dxa"/>
            <w:tcBorders>
              <w:top w:val="nil"/>
              <w:left w:val="nil"/>
              <w:right w:val="nil"/>
            </w:tcBorders>
            <w:tcMar>
              <w:left w:w="57" w:type="dxa"/>
              <w:right w:w="57" w:type="dxa"/>
            </w:tcMar>
            <w:vAlign w:val="center"/>
          </w:tcPr>
          <w:p w14:paraId="6EB1964E">
            <w:pPr>
              <w:widowControl/>
              <w:spacing w:line="360" w:lineRule="auto"/>
              <w:jc w:val="center"/>
              <w:rPr>
                <w:rFonts w:ascii="黑体" w:hAnsi="黑体" w:eastAsia="黑体" w:cs="仿宋_GB2312"/>
                <w:b/>
                <w:bCs/>
                <w:color w:val="000000"/>
                <w:sz w:val="44"/>
                <w:szCs w:val="44"/>
              </w:rPr>
            </w:pPr>
            <w:r>
              <w:rPr>
                <w:rFonts w:hint="eastAsia" w:ascii="黑体" w:hAnsi="黑体" w:eastAsia="黑体"/>
                <w:b/>
                <w:color w:val="000000" w:themeColor="text1"/>
                <w:sz w:val="36"/>
                <w:szCs w:val="36"/>
                <w:lang w:eastAsia="zh-CN"/>
                <w14:textFill>
                  <w14:solidFill>
                    <w14:schemeClr w14:val="tx1"/>
                  </w14:solidFill>
                </w14:textFill>
              </w:rPr>
              <w:t>深业中心202</w:t>
            </w:r>
            <w:r>
              <w:rPr>
                <w:rFonts w:hint="eastAsia" w:ascii="黑体" w:hAnsi="黑体" w:eastAsia="黑体"/>
                <w:b/>
                <w:color w:val="000000" w:themeColor="text1"/>
                <w:sz w:val="36"/>
                <w:szCs w:val="36"/>
                <w:lang w:val="en-US" w:eastAsia="zh-CN"/>
                <w14:textFill>
                  <w14:solidFill>
                    <w14:schemeClr w14:val="tx1"/>
                  </w14:solidFill>
                </w14:textFill>
              </w:rPr>
              <w:t>7</w:t>
            </w:r>
            <w:r>
              <w:rPr>
                <w:rFonts w:hint="eastAsia" w:ascii="黑体" w:hAnsi="黑体" w:eastAsia="黑体"/>
                <w:b/>
                <w:color w:val="000000" w:themeColor="text1"/>
                <w:sz w:val="36"/>
                <w:szCs w:val="36"/>
                <w:lang w:eastAsia="zh-CN"/>
                <w14:textFill>
                  <w14:solidFill>
                    <w14:schemeClr w14:val="tx1"/>
                  </w14:solidFill>
                </w14:textFill>
              </w:rPr>
              <w:t>年消防设施维护保养合同</w:t>
            </w:r>
          </w:p>
        </w:tc>
      </w:tr>
    </w:tbl>
    <w:p w14:paraId="5B6B914C">
      <w:pPr>
        <w:spacing w:line="360" w:lineRule="auto"/>
        <w:ind w:firstLine="480"/>
        <w:rPr>
          <w:rFonts w:ascii="宋体"/>
        </w:rPr>
      </w:pPr>
    </w:p>
    <w:p w14:paraId="0C129C32">
      <w:pPr>
        <w:spacing w:line="360" w:lineRule="auto"/>
        <w:ind w:firstLine="480"/>
        <w:rPr>
          <w:rFonts w:ascii="宋体"/>
        </w:rPr>
      </w:pPr>
    </w:p>
    <w:p w14:paraId="22328774">
      <w:pPr>
        <w:spacing w:line="360" w:lineRule="auto"/>
        <w:ind w:firstLine="480"/>
        <w:rPr>
          <w:rFonts w:ascii="宋体"/>
        </w:rPr>
      </w:pPr>
    </w:p>
    <w:p w14:paraId="1C20C853">
      <w:pPr>
        <w:spacing w:line="360" w:lineRule="auto"/>
        <w:jc w:val="left"/>
        <w:rPr>
          <w:rFonts w:ascii="仿宋" w:hAnsi="仿宋" w:eastAsia="仿宋"/>
          <w:sz w:val="32"/>
          <w:szCs w:val="32"/>
        </w:rPr>
      </w:pPr>
      <w:r>
        <w:rPr>
          <w:rFonts w:hint="eastAsia" w:ascii="宋体"/>
        </w:rPr>
        <w:t xml:space="preserve">            </w:t>
      </w:r>
      <w:r>
        <w:rPr>
          <w:rFonts w:hint="eastAsia" w:ascii="仿宋" w:hAnsi="仿宋" w:eastAsia="仿宋"/>
          <w:sz w:val="32"/>
          <w:szCs w:val="32"/>
        </w:rPr>
        <w:t>甲方：深业物业运营集团股份有限公司</w:t>
      </w:r>
    </w:p>
    <w:p w14:paraId="611407C6">
      <w:pPr>
        <w:spacing w:line="360" w:lineRule="auto"/>
        <w:ind w:firstLine="2240" w:firstLineChars="700"/>
        <w:jc w:val="left"/>
        <w:rPr>
          <w:rFonts w:hint="eastAsia" w:ascii="仿宋" w:hAnsi="仿宋" w:eastAsia="仿宋"/>
          <w:sz w:val="32"/>
          <w:szCs w:val="32"/>
          <w:lang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深业中心</w:t>
      </w:r>
      <w:r>
        <w:rPr>
          <w:rFonts w:hint="eastAsia" w:ascii="仿宋" w:hAnsi="仿宋" w:eastAsia="仿宋"/>
          <w:sz w:val="32"/>
          <w:szCs w:val="32"/>
          <w:lang w:val="en-US" w:eastAsia="zh-CN"/>
        </w:rPr>
        <w:t>管理处</w:t>
      </w:r>
    </w:p>
    <w:p w14:paraId="42A6768C">
      <w:pPr>
        <w:spacing w:line="360" w:lineRule="auto"/>
        <w:ind w:firstLine="1280" w:firstLineChars="400"/>
        <w:jc w:val="left"/>
        <w:rPr>
          <w:rFonts w:hint="eastAsia" w:ascii="仿宋" w:hAnsi="仿宋" w:eastAsia="仿宋"/>
          <w:sz w:val="32"/>
          <w:szCs w:val="32"/>
        </w:rPr>
        <w:sectPr>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r>
        <w:rPr>
          <w:rFonts w:hint="eastAsia" w:ascii="仿宋" w:hAnsi="仿宋" w:eastAsia="仿宋"/>
          <w:sz w:val="32"/>
          <w:szCs w:val="32"/>
        </w:rPr>
        <w:t>乙方：广东富盈建设有限公司</w:t>
      </w:r>
    </w:p>
    <w:p w14:paraId="03BE5A81">
      <w:pPr>
        <w:spacing w:line="360" w:lineRule="auto"/>
        <w:jc w:val="center"/>
        <w:rPr>
          <w:rFonts w:hint="eastAsia" w:ascii="宋体" w:hAnsi="宋体"/>
          <w:b/>
          <w:sz w:val="44"/>
          <w:szCs w:val="44"/>
        </w:rPr>
      </w:pPr>
      <w:r>
        <w:rPr>
          <w:rFonts w:hint="eastAsia" w:ascii="宋体" w:hAnsi="宋体"/>
          <w:b/>
          <w:sz w:val="44"/>
          <w:szCs w:val="44"/>
        </w:rPr>
        <w:t>深业中心2027年消防设施维护保养合同</w:t>
      </w:r>
    </w:p>
    <w:p w14:paraId="5F76A9B4">
      <w:pPr>
        <w:adjustRightInd w:val="0"/>
        <w:snapToGrid w:val="0"/>
        <w:spacing w:before="0" w:beforeAutospacing="0" w:after="0" w:afterAutospacing="0" w:line="360" w:lineRule="auto"/>
        <w:ind w:firstLine="560" w:firstLineChars="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合同编号：</w:t>
      </w:r>
    </w:p>
    <w:p w14:paraId="466DDAAD">
      <w:pPr>
        <w:adjustRightInd w:val="0"/>
        <w:snapToGrid w:val="0"/>
        <w:spacing w:before="0" w:beforeAutospacing="0" w:after="0" w:afterAutospacing="0" w:line="360" w:lineRule="auto"/>
        <w:ind w:firstLine="562" w:firstLineChars="200"/>
        <w:jc w:val="left"/>
        <w:rPr>
          <w:rFonts w:hint="eastAsia" w:ascii="宋体" w:hAnsi="宋体" w:eastAsia="宋体" w:cs="宋体"/>
          <w:sz w:val="28"/>
          <w:szCs w:val="28"/>
          <w:lang w:eastAsia="zh-CN"/>
        </w:rPr>
      </w:pPr>
      <w:r>
        <w:rPr>
          <w:rFonts w:hint="eastAsia" w:ascii="宋体" w:hAnsi="宋体" w:eastAsia="宋体" w:cs="宋体"/>
          <w:b/>
          <w:bCs/>
          <w:sz w:val="28"/>
          <w:szCs w:val="28"/>
        </w:rPr>
        <w:t>甲方（发包方）：</w:t>
      </w:r>
      <w:r>
        <w:rPr>
          <w:rFonts w:hint="eastAsia" w:ascii="宋体" w:hAnsi="宋体" w:eastAsia="宋体" w:cs="宋体"/>
          <w:sz w:val="28"/>
          <w:szCs w:val="28"/>
        </w:rPr>
        <w:t>深业物业运营集团股份有限公司深业中心</w:t>
      </w:r>
      <w:r>
        <w:rPr>
          <w:rFonts w:hint="eastAsia" w:ascii="宋体" w:hAnsi="宋体" w:eastAsia="宋体" w:cs="宋体"/>
          <w:sz w:val="28"/>
          <w:szCs w:val="28"/>
          <w:lang w:val="en-US" w:eastAsia="zh-CN"/>
        </w:rPr>
        <w:t>管理处</w:t>
      </w:r>
    </w:p>
    <w:p w14:paraId="5C9DA64C">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rPr>
        <w:t>负责人：</w:t>
      </w:r>
      <w:r>
        <w:rPr>
          <w:rFonts w:hint="eastAsia" w:ascii="宋体" w:hAnsi="宋体" w:eastAsia="宋体" w:cs="宋体"/>
          <w:sz w:val="28"/>
          <w:szCs w:val="28"/>
          <w:lang w:val="en-US" w:eastAsia="zh-CN"/>
        </w:rPr>
        <w:t>黎锐</w:t>
      </w:r>
    </w:p>
    <w:p w14:paraId="7B129BD3">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地址：深圳市罗湖区桂园街道深南东路5045号3102</w:t>
      </w:r>
    </w:p>
    <w:p w14:paraId="65BEFB85">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联系人：陈雄富</w:t>
      </w:r>
    </w:p>
    <w:p w14:paraId="5B949379">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联系电话：13501571771</w:t>
      </w:r>
    </w:p>
    <w:p w14:paraId="009D271A">
      <w:pPr>
        <w:adjustRightInd w:val="0"/>
        <w:snapToGrid w:val="0"/>
        <w:spacing w:before="0" w:beforeAutospacing="0" w:after="0" w:afterAutospacing="0" w:line="360" w:lineRule="auto"/>
        <w:ind w:firstLine="562" w:firstLineChars="200"/>
        <w:jc w:val="left"/>
        <w:rPr>
          <w:rFonts w:hint="eastAsia" w:ascii="宋体" w:hAnsi="宋体" w:eastAsia="宋体" w:cs="宋体"/>
          <w:sz w:val="28"/>
          <w:szCs w:val="28"/>
          <w:lang w:eastAsia="zh-CN"/>
        </w:rPr>
      </w:pPr>
      <w:r>
        <w:rPr>
          <w:rFonts w:hint="eastAsia" w:ascii="宋体" w:hAnsi="宋体" w:eastAsia="宋体" w:cs="宋体"/>
          <w:b/>
          <w:bCs/>
          <w:sz w:val="28"/>
          <w:szCs w:val="28"/>
        </w:rPr>
        <w:t>乙方（承包方）：</w:t>
      </w:r>
      <w:r>
        <w:rPr>
          <w:rFonts w:hint="eastAsia" w:ascii="宋体" w:hAnsi="宋体" w:eastAsia="宋体" w:cs="宋体"/>
          <w:sz w:val="28"/>
          <w:szCs w:val="28"/>
        </w:rPr>
        <w:t>广东富盈建设有限公司</w:t>
      </w:r>
    </w:p>
    <w:p w14:paraId="0E47D694">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法定代表人：吴桂喜</w:t>
      </w:r>
    </w:p>
    <w:p w14:paraId="0102D1F5">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地址：深圳市罗湖区金碧路46号原办公楼六楼605</w:t>
      </w:r>
    </w:p>
    <w:p w14:paraId="170EDE79">
      <w:pPr>
        <w:adjustRightInd w:val="0"/>
        <w:snapToGrid w:val="0"/>
        <w:spacing w:before="0" w:beforeAutospacing="0" w:after="0" w:afterAutospacing="0"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李航</w:t>
      </w:r>
    </w:p>
    <w:p w14:paraId="529075E8">
      <w:pPr>
        <w:adjustRightInd w:val="0"/>
        <w:snapToGrid w:val="0"/>
        <w:spacing w:before="0" w:beforeAutospacing="0" w:after="0" w:afterAutospacing="0" w:line="360" w:lineRule="auto"/>
        <w:ind w:firstLine="560" w:firstLineChars="200"/>
        <w:jc w:val="left"/>
        <w:rPr>
          <w:rFonts w:hint="default" w:ascii="宋体" w:hAnsi="宋体" w:eastAsia="宋体" w:cs="宋体"/>
          <w:sz w:val="28"/>
          <w:szCs w:val="28"/>
          <w:lang w:val="en-US"/>
        </w:rPr>
      </w:pPr>
      <w:r>
        <w:rPr>
          <w:rFonts w:hint="eastAsia" w:ascii="宋体" w:hAnsi="宋体" w:eastAsia="宋体" w:cs="宋体"/>
          <w:sz w:val="28"/>
          <w:szCs w:val="28"/>
        </w:rPr>
        <w:t>联系电话：</w:t>
      </w:r>
      <w:r>
        <w:rPr>
          <w:rFonts w:hint="eastAsia" w:ascii="宋体" w:hAnsi="宋体" w:eastAsia="宋体" w:cs="宋体"/>
          <w:sz w:val="28"/>
          <w:szCs w:val="28"/>
          <w:lang w:val="en-US" w:eastAsia="zh-CN"/>
        </w:rPr>
        <w:t>13662292579</w:t>
      </w:r>
    </w:p>
    <w:p w14:paraId="463110BC">
      <w:pPr>
        <w:adjustRightInd w:val="0"/>
        <w:snapToGrid w:val="0"/>
        <w:spacing w:before="0" w:beforeAutospacing="0" w:after="0" w:afterAutospacing="0" w:line="360" w:lineRule="auto"/>
        <w:ind w:firstLine="560" w:firstLineChars="200"/>
        <w:jc w:val="left"/>
        <w:rPr>
          <w:rFonts w:hint="default" w:ascii="宋体" w:hAnsi="宋体" w:eastAsia="宋体" w:cs="宋体"/>
          <w:sz w:val="28"/>
          <w:szCs w:val="28"/>
          <w:lang w:val="en-US" w:eastAsia="zh-CN"/>
        </w:rPr>
      </w:pPr>
      <w:r>
        <w:rPr>
          <w:rFonts w:hint="eastAsia" w:ascii="宋体" w:hAnsi="宋体" w:cs="宋体"/>
          <w:sz w:val="28"/>
          <w:szCs w:val="28"/>
        </w:rPr>
        <w:t>甲 方：深业物业运营集团股份有限公司</w:t>
      </w:r>
      <w:r>
        <w:rPr>
          <w:rFonts w:hint="eastAsia" w:ascii="宋体" w:hAnsi="宋体" w:cs="宋体"/>
          <w:sz w:val="28"/>
          <w:szCs w:val="28"/>
          <w:lang w:val="en-US" w:eastAsia="zh-CN"/>
        </w:rPr>
        <w:t>深业中心物业服务中心</w:t>
      </w:r>
    </w:p>
    <w:p w14:paraId="246BEFA6">
      <w:pPr>
        <w:adjustRightInd w:val="0"/>
        <w:snapToGrid w:val="0"/>
        <w:spacing w:before="0" w:beforeAutospacing="0" w:after="0" w:afterAutospacing="0" w:line="360" w:lineRule="auto"/>
        <w:ind w:firstLine="560" w:firstLineChars="200"/>
        <w:jc w:val="left"/>
        <w:outlineLvl w:val="0"/>
        <w:rPr>
          <w:rFonts w:hint="eastAsia" w:ascii="宋体" w:hAnsi="宋体" w:cs="宋体"/>
          <w:sz w:val="28"/>
          <w:szCs w:val="28"/>
        </w:rPr>
      </w:pPr>
      <w:r>
        <w:rPr>
          <w:rFonts w:hint="eastAsia" w:ascii="宋体" w:hAnsi="宋体" w:cs="宋体"/>
          <w:sz w:val="28"/>
          <w:szCs w:val="28"/>
        </w:rPr>
        <w:t xml:space="preserve">乙 方：广东富盈建设有限公司 </w:t>
      </w:r>
    </w:p>
    <w:p w14:paraId="62C3764A">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p>
    <w:p w14:paraId="7D050196">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为了确保甲方管理的</w:t>
      </w:r>
      <w:r>
        <w:rPr>
          <w:rFonts w:hint="eastAsia" w:ascii="宋体" w:hAnsi="宋体" w:cs="宋体"/>
          <w:sz w:val="28"/>
          <w:szCs w:val="28"/>
          <w:u w:val="single"/>
        </w:rPr>
        <w:t xml:space="preserve"> 深业中心大厦  </w:t>
      </w:r>
      <w:r>
        <w:rPr>
          <w:rFonts w:hint="eastAsia" w:ascii="宋体" w:hAnsi="宋体" w:cs="宋体"/>
          <w:sz w:val="28"/>
          <w:szCs w:val="28"/>
        </w:rPr>
        <w:t>消防设施正常运行，保障大厦安全和客户生命财产的安全，甲方将消防设施的维护保养工作委托给乙方，为明确责任，经甲乙双方友好协商，特制定本合同。</w:t>
      </w:r>
    </w:p>
    <w:p w14:paraId="6A0E72A7">
      <w:pPr>
        <w:adjustRightInd w:val="0"/>
        <w:snapToGrid w:val="0"/>
        <w:spacing w:before="0" w:beforeAutospacing="0" w:after="0" w:afterAutospacing="0" w:line="360" w:lineRule="auto"/>
        <w:jc w:val="left"/>
        <w:rPr>
          <w:rFonts w:hint="eastAsia" w:ascii="宋体" w:hAnsi="宋体" w:cs="宋体"/>
          <w:b/>
          <w:bCs/>
          <w:sz w:val="28"/>
          <w:szCs w:val="28"/>
        </w:rPr>
      </w:pPr>
      <w:r>
        <w:rPr>
          <w:rFonts w:hint="eastAsia" w:ascii="宋体" w:hAnsi="宋体" w:cs="宋体"/>
          <w:b/>
          <w:bCs/>
          <w:sz w:val="28"/>
          <w:szCs w:val="28"/>
        </w:rPr>
        <w:t>第一条 维保项目、范围、标准</w:t>
      </w:r>
    </w:p>
    <w:p w14:paraId="172E12B1">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项目：</w:t>
      </w:r>
      <w:r>
        <w:rPr>
          <w:rFonts w:hint="eastAsia" w:ascii="宋体" w:hAnsi="宋体"/>
          <w:sz w:val="28"/>
          <w:szCs w:val="28"/>
        </w:rPr>
        <w:t>深业中心大厦</w:t>
      </w:r>
    </w:p>
    <w:p w14:paraId="32E0A13C">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范围：火灾自动报警及联动系统、防排烟系统、消防给水及消防栓系统、自动喷淋系统、消防广播、对讲系统、应急疏散系统、气体灭火系统以及其他相关消防设施。主要消防设备设施见附件一。</w:t>
      </w:r>
    </w:p>
    <w:p w14:paraId="3F1ACE3A">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服务主要内容及要求：</w:t>
      </w:r>
    </w:p>
    <w:p w14:paraId="4AE9FF9F">
      <w:pPr>
        <w:numPr>
          <w:ilvl w:val="0"/>
          <w:numId w:val="1"/>
        </w:numPr>
        <w:tabs>
          <w:tab w:val="left" w:pos="1080"/>
          <w:tab w:val="clear" w:pos="980"/>
        </w:tabs>
        <w:adjustRightInd w:val="0"/>
        <w:snapToGrid w:val="0"/>
        <w:spacing w:before="0" w:beforeAutospacing="0" w:after="0" w:afterAutospacing="0" w:line="360" w:lineRule="auto"/>
        <w:ind w:left="0" w:firstLine="560"/>
        <w:jc w:val="left"/>
        <w:rPr>
          <w:rFonts w:hint="eastAsia" w:ascii="宋体" w:hAnsi="宋体" w:cs="宋体"/>
          <w:sz w:val="28"/>
          <w:szCs w:val="28"/>
        </w:rPr>
      </w:pPr>
      <w:r>
        <w:rPr>
          <w:rFonts w:hint="eastAsia" w:ascii="宋体" w:hAnsi="宋体" w:cs="宋体"/>
          <w:sz w:val="28"/>
          <w:szCs w:val="28"/>
        </w:rPr>
        <w:t>乙方应编制维护保养方案，维护保养计划安排应保证一个年度周期内对所有消防设施至少进行一次全面功能测试。</w:t>
      </w:r>
    </w:p>
    <w:p w14:paraId="2F1406DA">
      <w:pPr>
        <w:numPr>
          <w:ilvl w:val="0"/>
          <w:numId w:val="1"/>
        </w:numPr>
        <w:tabs>
          <w:tab w:val="left" w:pos="1080"/>
          <w:tab w:val="clear" w:pos="980"/>
        </w:tabs>
        <w:adjustRightInd w:val="0"/>
        <w:snapToGrid w:val="0"/>
        <w:spacing w:before="0" w:beforeAutospacing="0" w:after="0" w:afterAutospacing="0" w:line="360" w:lineRule="auto"/>
        <w:ind w:left="0" w:firstLine="560"/>
        <w:jc w:val="left"/>
        <w:rPr>
          <w:rFonts w:hint="eastAsia" w:ascii="宋体" w:hAnsi="宋体" w:cs="宋体"/>
          <w:sz w:val="28"/>
          <w:szCs w:val="28"/>
        </w:rPr>
      </w:pPr>
      <w:r>
        <w:rPr>
          <w:rFonts w:hint="eastAsia" w:ascii="宋体" w:hAnsi="宋体" w:cs="宋体"/>
          <w:sz w:val="28"/>
          <w:szCs w:val="28"/>
        </w:rPr>
        <w:t>乙方应按照相关规范要求每月、每季度、每半年、每年对大厦的消防设施开展检查维护保养（消防设施检查内容详见附件二），填写《消防设施维护保养原始记录表》，并出具《消防设施维护保养报告》，并加盖公章；</w:t>
      </w:r>
    </w:p>
    <w:p w14:paraId="29CDDD7E">
      <w:pPr>
        <w:numPr>
          <w:ilvl w:val="0"/>
          <w:numId w:val="1"/>
        </w:numPr>
        <w:tabs>
          <w:tab w:val="left" w:pos="1080"/>
          <w:tab w:val="left" w:pos="3240"/>
          <w:tab w:val="clear" w:pos="980"/>
        </w:tabs>
        <w:adjustRightInd w:val="0"/>
        <w:snapToGrid w:val="0"/>
        <w:spacing w:before="0" w:beforeAutospacing="0" w:after="0" w:afterAutospacing="0" w:line="360" w:lineRule="auto"/>
        <w:ind w:left="0" w:firstLine="560"/>
        <w:jc w:val="left"/>
        <w:rPr>
          <w:rFonts w:hint="eastAsia" w:ascii="宋体" w:hAnsi="宋体" w:cs="宋体"/>
          <w:sz w:val="28"/>
          <w:szCs w:val="28"/>
        </w:rPr>
      </w:pPr>
      <w:r>
        <w:rPr>
          <w:rFonts w:hint="eastAsia" w:ascii="宋体" w:hAnsi="宋体" w:cs="宋体"/>
          <w:sz w:val="28"/>
          <w:szCs w:val="28"/>
        </w:rPr>
        <w:t>乙方应在每年最后一个季度对消防设施进行年度维护保养，并将消防设施联动测试列入年度维护保养内容。</w:t>
      </w:r>
    </w:p>
    <w:p w14:paraId="78798F6D">
      <w:pPr>
        <w:numPr>
          <w:ilvl w:val="0"/>
          <w:numId w:val="1"/>
        </w:numPr>
        <w:tabs>
          <w:tab w:val="left" w:pos="1080"/>
          <w:tab w:val="clear" w:pos="980"/>
        </w:tabs>
        <w:adjustRightInd w:val="0"/>
        <w:snapToGrid w:val="0"/>
        <w:spacing w:before="0" w:beforeAutospacing="0" w:after="0" w:afterAutospacing="0" w:line="360" w:lineRule="auto"/>
        <w:ind w:left="0" w:firstLine="560"/>
        <w:jc w:val="left"/>
        <w:rPr>
          <w:rFonts w:hint="eastAsia" w:ascii="宋体" w:hAnsi="宋体" w:cs="宋体"/>
          <w:sz w:val="28"/>
          <w:szCs w:val="28"/>
        </w:rPr>
      </w:pPr>
      <w:r>
        <w:rPr>
          <w:rFonts w:hint="eastAsia" w:ascii="宋体" w:hAnsi="宋体" w:cs="宋体"/>
          <w:sz w:val="28"/>
          <w:szCs w:val="28"/>
        </w:rPr>
        <w:t>乙方每次维护保养不应少于</w:t>
      </w:r>
      <w:r>
        <w:rPr>
          <w:rFonts w:hint="eastAsia" w:ascii="宋体" w:hAnsi="宋体" w:cs="宋体"/>
          <w:sz w:val="28"/>
          <w:szCs w:val="28"/>
          <w:u w:val="single"/>
        </w:rPr>
        <w:t xml:space="preserve"> 2 </w:t>
      </w:r>
      <w:r>
        <w:rPr>
          <w:rFonts w:hint="eastAsia" w:ascii="宋体" w:hAnsi="宋体" w:cs="宋体"/>
          <w:sz w:val="28"/>
          <w:szCs w:val="28"/>
        </w:rPr>
        <w:t>人，维护保养人员应具有相应的注册消防工程师或消防设施操作员资格。维护保养时发现的问题和故障，能立即排除的乙方应及时处理，做好相关记录。对需更换配件才能排除的，应以书面形式告知甲方现场工作人员所需配件的具体位置、规格、型号数量等，甲方可自行维修，也可另行聘请乙方或第三方进行维修，乙方应予以相应配合。</w:t>
      </w:r>
    </w:p>
    <w:p w14:paraId="5462DEC1">
      <w:pPr>
        <w:adjustRightInd w:val="0"/>
        <w:snapToGrid w:val="0"/>
        <w:spacing w:before="0" w:beforeAutospacing="0" w:after="0" w:afterAutospacing="0" w:line="360" w:lineRule="auto"/>
        <w:ind w:firstLine="560" w:firstLineChars="200"/>
        <w:jc w:val="left"/>
        <w:outlineLvl w:val="0"/>
        <w:rPr>
          <w:rFonts w:hint="eastAsia" w:ascii="宋体" w:hAnsi="宋体" w:cs="宋体"/>
          <w:sz w:val="28"/>
          <w:szCs w:val="28"/>
        </w:rPr>
      </w:pPr>
      <w:r>
        <w:rPr>
          <w:rFonts w:hint="eastAsia" w:ascii="宋体" w:hAnsi="宋体" w:cs="宋体"/>
          <w:sz w:val="28"/>
          <w:szCs w:val="28"/>
        </w:rPr>
        <w:t>乙方应对大厦消防设施的维修改造提供技术指导。乙方应至少每半年对维保项目消防控制室值班人员开展一次消防设施操作培训，并填写培训记录表，并协助甲方开展灭火和应急疏散预案演练。</w:t>
      </w:r>
    </w:p>
    <w:p w14:paraId="36D8ECC2">
      <w:pPr>
        <w:numPr>
          <w:ilvl w:val="0"/>
          <w:numId w:val="1"/>
        </w:numPr>
        <w:tabs>
          <w:tab w:val="left" w:pos="1080"/>
          <w:tab w:val="clear" w:pos="980"/>
        </w:tabs>
        <w:adjustRightInd w:val="0"/>
        <w:snapToGrid w:val="0"/>
        <w:spacing w:before="0" w:beforeAutospacing="0" w:after="0" w:afterAutospacing="0" w:line="360" w:lineRule="auto"/>
        <w:ind w:left="0" w:firstLine="560"/>
        <w:jc w:val="left"/>
        <w:rPr>
          <w:rFonts w:hint="eastAsia" w:ascii="宋体" w:hAnsi="宋体" w:cs="宋体"/>
          <w:sz w:val="28"/>
          <w:szCs w:val="28"/>
        </w:rPr>
      </w:pPr>
      <w:r>
        <w:rPr>
          <w:rFonts w:hint="eastAsia" w:ascii="宋体" w:hAnsi="宋体" w:cs="宋体"/>
          <w:sz w:val="28"/>
          <w:szCs w:val="28"/>
        </w:rPr>
        <w:t>协助甲方接受政府职能部门对本项目的消防检查，在检查前乙方应提前做好检测工作，协助准备迎检相关资料，对发现的问题及时向物业服务中心反映，并指导物业服务中心及时维修。检查发现的问题乙方应以书面形式提出整改建议，协助甲方整改，并按消防主管部门要求报送相关资料；</w:t>
      </w:r>
    </w:p>
    <w:p w14:paraId="58E4A6FF">
      <w:pPr>
        <w:numPr>
          <w:ilvl w:val="0"/>
          <w:numId w:val="1"/>
        </w:numPr>
        <w:tabs>
          <w:tab w:val="left" w:pos="1080"/>
          <w:tab w:val="clear" w:pos="980"/>
        </w:tabs>
        <w:adjustRightInd w:val="0"/>
        <w:snapToGrid w:val="0"/>
        <w:spacing w:before="0" w:beforeAutospacing="0" w:after="0" w:afterAutospacing="0" w:line="360" w:lineRule="auto"/>
        <w:ind w:left="0" w:firstLine="560"/>
        <w:jc w:val="left"/>
        <w:rPr>
          <w:rFonts w:hint="eastAsia" w:ascii="宋体" w:hAnsi="宋体" w:cs="宋体"/>
          <w:sz w:val="28"/>
          <w:szCs w:val="28"/>
        </w:rPr>
      </w:pPr>
      <w:r>
        <w:rPr>
          <w:rFonts w:hint="eastAsia" w:ascii="宋体" w:hAnsi="宋体" w:cs="宋体"/>
          <w:sz w:val="28"/>
          <w:szCs w:val="28"/>
        </w:rPr>
        <w:t>甲方在日常管理和维护工作中，如发现消防设施故障不能排除且可能导致系统瘫痪或造成消防安全事故时，乙方在接到通知后2小时之内派人到现场协助解决；</w:t>
      </w:r>
    </w:p>
    <w:p w14:paraId="069AE791">
      <w:pPr>
        <w:numPr>
          <w:ilvl w:val="0"/>
          <w:numId w:val="1"/>
        </w:numPr>
        <w:tabs>
          <w:tab w:val="left" w:pos="1080"/>
          <w:tab w:val="clear" w:pos="980"/>
        </w:tabs>
        <w:adjustRightInd w:val="0"/>
        <w:snapToGrid w:val="0"/>
        <w:spacing w:before="0" w:beforeAutospacing="0" w:after="0" w:afterAutospacing="0" w:line="360" w:lineRule="auto"/>
        <w:ind w:left="0" w:firstLine="560"/>
        <w:jc w:val="left"/>
        <w:rPr>
          <w:rFonts w:hint="eastAsia" w:ascii="宋体" w:hAnsi="宋体" w:cs="宋体"/>
          <w:spacing w:val="-2"/>
          <w:sz w:val="28"/>
          <w:szCs w:val="28"/>
        </w:rPr>
      </w:pPr>
      <w:r>
        <w:rPr>
          <w:rFonts w:hint="eastAsia" w:ascii="宋体" w:hAnsi="宋体" w:cs="宋体"/>
          <w:spacing w:val="-2"/>
          <w:sz w:val="28"/>
          <w:szCs w:val="28"/>
        </w:rPr>
        <w:t>如发现消防设施瘫痪或发生火灾及其他消防安全事故时，乙方在接到通知后2小时之内派人到现场，协助甲方对问题或事故分析、处理和整改。</w:t>
      </w:r>
    </w:p>
    <w:p w14:paraId="62336545">
      <w:pPr>
        <w:adjustRightInd w:val="0"/>
        <w:snapToGrid w:val="0"/>
        <w:spacing w:before="0" w:beforeAutospacing="0" w:after="0" w:afterAutospacing="0" w:line="360" w:lineRule="auto"/>
        <w:jc w:val="left"/>
        <w:outlineLvl w:val="0"/>
        <w:rPr>
          <w:rFonts w:hint="eastAsia" w:ascii="宋体" w:hAnsi="宋体" w:cs="宋体"/>
          <w:spacing w:val="-2"/>
          <w:sz w:val="28"/>
          <w:szCs w:val="28"/>
        </w:rPr>
      </w:pPr>
      <w:r>
        <w:rPr>
          <w:rFonts w:hint="eastAsia" w:ascii="宋体" w:hAnsi="宋体" w:cs="宋体"/>
          <w:b/>
          <w:bCs/>
          <w:spacing w:val="-4"/>
          <w:sz w:val="28"/>
          <w:szCs w:val="28"/>
        </w:rPr>
        <w:t>第二条 合同期</w:t>
      </w:r>
      <w:r>
        <w:rPr>
          <w:rFonts w:hint="eastAsia" w:ascii="宋体" w:hAnsi="宋体" w:cs="宋体"/>
          <w:b/>
          <w:bCs/>
          <w:spacing w:val="-4"/>
          <w:sz w:val="28"/>
          <w:szCs w:val="28"/>
          <w:lang w:val="en-US" w:eastAsia="zh-CN"/>
        </w:rPr>
        <w:t>限</w:t>
      </w:r>
      <w:r>
        <w:rPr>
          <w:rFonts w:hint="eastAsia" w:ascii="宋体" w:hAnsi="宋体" w:cs="宋体"/>
          <w:spacing w:val="-4"/>
          <w:sz w:val="28"/>
          <w:szCs w:val="28"/>
        </w:rPr>
        <w:t>：12个月，从202</w:t>
      </w:r>
      <w:r>
        <w:rPr>
          <w:rFonts w:hint="eastAsia" w:ascii="宋体" w:hAnsi="宋体" w:cs="宋体"/>
          <w:spacing w:val="-4"/>
          <w:sz w:val="28"/>
          <w:szCs w:val="28"/>
          <w:lang w:val="en-US" w:eastAsia="zh-CN"/>
        </w:rPr>
        <w:t>6</w:t>
      </w:r>
      <w:r>
        <w:rPr>
          <w:rFonts w:hint="eastAsia" w:ascii="宋体" w:hAnsi="宋体" w:cs="宋体"/>
          <w:spacing w:val="-4"/>
          <w:sz w:val="28"/>
          <w:szCs w:val="28"/>
        </w:rPr>
        <w:t>年8月1日至202</w:t>
      </w:r>
      <w:r>
        <w:rPr>
          <w:rFonts w:hint="eastAsia" w:ascii="宋体" w:hAnsi="宋体" w:cs="宋体"/>
          <w:spacing w:val="-4"/>
          <w:sz w:val="28"/>
          <w:szCs w:val="28"/>
          <w:lang w:val="en-US" w:eastAsia="zh-CN"/>
        </w:rPr>
        <w:t>7</w:t>
      </w:r>
      <w:r>
        <w:rPr>
          <w:rFonts w:hint="eastAsia" w:ascii="宋体" w:hAnsi="宋体" w:cs="宋体"/>
          <w:spacing w:val="-4"/>
          <w:sz w:val="28"/>
          <w:szCs w:val="28"/>
        </w:rPr>
        <w:t>年7月31日止，若深业中心大厦未通过表决续聘深业物业运营集团股份有限公司，本合同自动终止，按实</w:t>
      </w:r>
      <w:r>
        <w:rPr>
          <w:rFonts w:hint="eastAsia" w:ascii="宋体" w:hAnsi="宋体" w:cs="宋体"/>
          <w:spacing w:val="-2"/>
          <w:sz w:val="28"/>
          <w:szCs w:val="28"/>
        </w:rPr>
        <w:t>际服务天数结算费用。</w:t>
      </w:r>
    </w:p>
    <w:p w14:paraId="16375F69">
      <w:pPr>
        <w:adjustRightInd w:val="0"/>
        <w:snapToGrid w:val="0"/>
        <w:spacing w:before="0" w:beforeAutospacing="0" w:after="0" w:afterAutospacing="0" w:line="360" w:lineRule="auto"/>
        <w:jc w:val="left"/>
        <w:rPr>
          <w:rFonts w:hint="eastAsia" w:ascii="宋体" w:hAnsi="宋体" w:cs="宋体"/>
          <w:b/>
          <w:bCs/>
          <w:sz w:val="28"/>
          <w:szCs w:val="28"/>
        </w:rPr>
      </w:pPr>
      <w:r>
        <w:rPr>
          <w:rFonts w:hint="eastAsia" w:ascii="宋体" w:hAnsi="宋体" w:cs="宋体"/>
          <w:b/>
          <w:bCs/>
          <w:sz w:val="28"/>
          <w:szCs w:val="28"/>
        </w:rPr>
        <w:t>第三条 合同金额及付款方式</w:t>
      </w:r>
    </w:p>
    <w:p w14:paraId="2F086ABE">
      <w:pPr>
        <w:adjustRightInd w:val="0"/>
        <w:snapToGrid w:val="0"/>
        <w:spacing w:before="0" w:beforeAutospacing="0" w:after="0" w:afterAutospacing="0" w:line="360" w:lineRule="auto"/>
        <w:ind w:firstLine="544" w:firstLineChars="200"/>
        <w:jc w:val="left"/>
        <w:outlineLvl w:val="0"/>
        <w:rPr>
          <w:rFonts w:hint="eastAsia" w:ascii="宋体" w:hAnsi="宋体" w:cs="宋体"/>
          <w:spacing w:val="-4"/>
          <w:sz w:val="28"/>
          <w:szCs w:val="28"/>
        </w:rPr>
      </w:pPr>
      <w:r>
        <w:rPr>
          <w:rFonts w:hint="eastAsia" w:ascii="宋体" w:hAnsi="宋体" w:cs="宋体"/>
          <w:spacing w:val="-4"/>
          <w:sz w:val="28"/>
          <w:szCs w:val="28"/>
        </w:rPr>
        <w:t xml:space="preserve">1、每年服务费：不含税人民币37000.00元，税率6%，含税总价人民币39220.00元（大写：叁万玖仟贰佰贰拾元整）；每季服务费含税总价为人民币9805.00元，税率6%，（大写：玖仟捌佰零伍元整）； </w:t>
      </w:r>
    </w:p>
    <w:p w14:paraId="1DC19998">
      <w:pPr>
        <w:adjustRightInd w:val="0"/>
        <w:snapToGrid w:val="0"/>
        <w:spacing w:before="0" w:beforeAutospacing="0" w:after="0" w:afterAutospacing="0" w:line="360" w:lineRule="auto"/>
        <w:ind w:firstLine="544" w:firstLineChars="200"/>
        <w:jc w:val="left"/>
        <w:outlineLvl w:val="0"/>
        <w:rPr>
          <w:rFonts w:hint="eastAsia" w:ascii="宋体" w:hAnsi="宋体" w:cs="宋体"/>
          <w:spacing w:val="-4"/>
          <w:sz w:val="28"/>
          <w:szCs w:val="28"/>
        </w:rPr>
      </w:pPr>
      <w:r>
        <w:rPr>
          <w:rFonts w:hint="eastAsia" w:ascii="宋体" w:hAnsi="宋体" w:cs="宋体"/>
          <w:spacing w:val="-4"/>
          <w:sz w:val="28"/>
          <w:szCs w:val="28"/>
        </w:rPr>
        <w:t>2、物业服务中心对维保服务进行监督，每季度末对维保服务进行考核，填写《消防维保费用结算确认函》（见附件三），乙方凭确认函报甲方支付每季度维保费人民币￥9805.00元（大写：玖仟捌佰零伍元整，乙方开具增值税专用发票）</w:t>
      </w:r>
    </w:p>
    <w:p w14:paraId="3D28B705">
      <w:pPr>
        <w:adjustRightInd w:val="0"/>
        <w:snapToGrid w:val="0"/>
        <w:spacing w:before="0" w:beforeAutospacing="0" w:after="0" w:afterAutospacing="0" w:line="360" w:lineRule="auto"/>
        <w:ind w:firstLine="544" w:firstLineChars="200"/>
        <w:jc w:val="left"/>
        <w:outlineLvl w:val="0"/>
        <w:rPr>
          <w:rFonts w:hint="eastAsia" w:ascii="宋体" w:hAnsi="宋体" w:cs="宋体"/>
          <w:spacing w:val="-4"/>
          <w:sz w:val="28"/>
          <w:szCs w:val="28"/>
          <w:lang w:val="en-US" w:eastAsia="zh-CN"/>
        </w:rPr>
      </w:pPr>
      <w:r>
        <w:rPr>
          <w:rFonts w:hint="eastAsia" w:ascii="宋体" w:hAnsi="宋体" w:cs="宋体"/>
          <w:spacing w:val="-4"/>
          <w:sz w:val="28"/>
          <w:szCs w:val="28"/>
          <w:lang w:val="en-US" w:eastAsia="zh-CN"/>
        </w:rPr>
        <w:t>3、乙方开票类型为增值税专用发票。甲方的增值税专用发票信息如下：</w:t>
      </w:r>
    </w:p>
    <w:p w14:paraId="4435FB8B">
      <w:pPr>
        <w:adjustRightInd w:val="0"/>
        <w:snapToGrid w:val="0"/>
        <w:spacing w:before="0" w:beforeAutospacing="0" w:after="0" w:afterAutospacing="0" w:line="360" w:lineRule="auto"/>
        <w:ind w:firstLine="544" w:firstLineChars="200"/>
        <w:jc w:val="left"/>
        <w:outlineLvl w:val="0"/>
        <w:rPr>
          <w:rFonts w:hint="eastAsia" w:ascii="宋体" w:hAnsi="宋体" w:cs="宋体"/>
          <w:spacing w:val="-4"/>
          <w:sz w:val="28"/>
          <w:szCs w:val="28"/>
          <w:lang w:val="en-US" w:eastAsia="zh-CN"/>
        </w:rPr>
      </w:pPr>
      <w:r>
        <w:rPr>
          <w:rFonts w:hint="eastAsia" w:ascii="宋体" w:hAnsi="宋体" w:cs="宋体"/>
          <w:spacing w:val="-4"/>
          <w:sz w:val="28"/>
          <w:szCs w:val="28"/>
          <w:lang w:val="en-US" w:eastAsia="zh-CN"/>
        </w:rPr>
        <w:t>公司名称：深业物业运营集团股份有限公司</w:t>
      </w:r>
    </w:p>
    <w:p w14:paraId="1DEC5EFB">
      <w:pPr>
        <w:adjustRightInd w:val="0"/>
        <w:snapToGrid w:val="0"/>
        <w:spacing w:before="0" w:beforeAutospacing="0" w:after="0" w:afterAutospacing="0" w:line="360" w:lineRule="auto"/>
        <w:ind w:firstLine="544" w:firstLineChars="200"/>
        <w:jc w:val="left"/>
        <w:outlineLvl w:val="0"/>
        <w:rPr>
          <w:rFonts w:hint="eastAsia" w:ascii="宋体" w:hAnsi="宋体" w:cs="宋体"/>
          <w:spacing w:val="-4"/>
          <w:sz w:val="28"/>
          <w:szCs w:val="28"/>
          <w:lang w:val="en-US" w:eastAsia="zh-CN"/>
        </w:rPr>
      </w:pPr>
      <w:r>
        <w:rPr>
          <w:rFonts w:hint="eastAsia" w:ascii="宋体" w:hAnsi="宋体" w:cs="宋体"/>
          <w:spacing w:val="-4"/>
          <w:sz w:val="28"/>
          <w:szCs w:val="28"/>
          <w:lang w:val="en-US" w:eastAsia="zh-CN"/>
        </w:rPr>
        <w:t>纳税人识别号：91440300618859546M</w:t>
      </w:r>
    </w:p>
    <w:p w14:paraId="4A13FBE4">
      <w:pPr>
        <w:adjustRightInd w:val="0"/>
        <w:snapToGrid w:val="0"/>
        <w:spacing w:before="0" w:beforeAutospacing="0" w:after="0" w:afterAutospacing="0" w:line="360" w:lineRule="auto"/>
        <w:ind w:left="1375" w:leftChars="266" w:hanging="816" w:hangingChars="300"/>
        <w:jc w:val="left"/>
        <w:outlineLvl w:val="0"/>
        <w:rPr>
          <w:rFonts w:hint="eastAsia" w:ascii="宋体" w:hAnsi="宋体" w:cs="宋体"/>
          <w:spacing w:val="-4"/>
          <w:sz w:val="28"/>
          <w:szCs w:val="28"/>
          <w:lang w:val="en-US" w:eastAsia="zh-CN"/>
        </w:rPr>
      </w:pPr>
      <w:r>
        <w:rPr>
          <w:rFonts w:hint="eastAsia" w:ascii="宋体" w:hAnsi="宋体" w:cs="宋体"/>
          <w:spacing w:val="-4"/>
          <w:sz w:val="28"/>
          <w:szCs w:val="28"/>
          <w:lang w:val="en-US" w:eastAsia="zh-CN"/>
        </w:rPr>
        <w:t>地址：深圳市罗湖区笋岗街道田心社区梨园路与梅园路交汇处东北侧深业泰富广场A座1701</w:t>
      </w:r>
    </w:p>
    <w:p w14:paraId="7C740FE6">
      <w:pPr>
        <w:adjustRightInd w:val="0"/>
        <w:snapToGrid w:val="0"/>
        <w:spacing w:before="0" w:beforeAutospacing="0" w:after="0" w:afterAutospacing="0" w:line="360" w:lineRule="auto"/>
        <w:ind w:firstLine="544" w:firstLineChars="200"/>
        <w:jc w:val="left"/>
        <w:outlineLvl w:val="0"/>
        <w:rPr>
          <w:rFonts w:hint="eastAsia" w:ascii="宋体" w:hAnsi="宋体" w:cs="宋体"/>
          <w:spacing w:val="-4"/>
          <w:sz w:val="28"/>
          <w:szCs w:val="28"/>
          <w:lang w:val="en-US" w:eastAsia="zh-CN"/>
        </w:rPr>
      </w:pPr>
      <w:r>
        <w:rPr>
          <w:rFonts w:hint="eastAsia" w:ascii="宋体" w:hAnsi="宋体" w:cs="宋体"/>
          <w:spacing w:val="-4"/>
          <w:sz w:val="28"/>
          <w:szCs w:val="28"/>
          <w:lang w:val="en-US" w:eastAsia="zh-CN"/>
        </w:rPr>
        <w:t>电话：0755-82204700</w:t>
      </w:r>
    </w:p>
    <w:p w14:paraId="192FAAE2">
      <w:pPr>
        <w:adjustRightInd w:val="0"/>
        <w:snapToGrid w:val="0"/>
        <w:spacing w:before="0" w:beforeAutospacing="0" w:after="0" w:afterAutospacing="0" w:line="360" w:lineRule="auto"/>
        <w:ind w:firstLine="544" w:firstLineChars="200"/>
        <w:jc w:val="left"/>
        <w:outlineLvl w:val="0"/>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开户银行：华夏银行深圳分行华强北支行</w:t>
      </w:r>
    </w:p>
    <w:p w14:paraId="05EC7101">
      <w:pPr>
        <w:adjustRightInd w:val="0"/>
        <w:snapToGrid w:val="0"/>
        <w:spacing w:before="0" w:beforeAutospacing="0" w:after="0" w:afterAutospacing="0" w:line="360" w:lineRule="auto"/>
        <w:ind w:firstLine="544" w:firstLineChars="200"/>
        <w:jc w:val="left"/>
        <w:outlineLvl w:val="0"/>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银行账户：10866000000541496</w:t>
      </w:r>
    </w:p>
    <w:p w14:paraId="69F15F9F">
      <w:pPr>
        <w:adjustRightInd w:val="0"/>
        <w:snapToGrid w:val="0"/>
        <w:spacing w:before="0" w:beforeAutospacing="0" w:after="0" w:afterAutospacing="0" w:line="360" w:lineRule="auto"/>
        <w:ind w:firstLine="560"/>
        <w:jc w:val="left"/>
        <w:rPr>
          <w:rFonts w:hint="eastAsia" w:ascii="宋体" w:hAnsi="宋体" w:cs="宋体"/>
          <w:color w:val="000000"/>
          <w:sz w:val="28"/>
          <w:szCs w:val="28"/>
        </w:rPr>
      </w:pPr>
      <w:r>
        <w:rPr>
          <w:rFonts w:hint="eastAsia" w:ascii="宋体" w:hAnsi="宋体" w:cs="宋体"/>
          <w:spacing w:val="-4"/>
          <w:sz w:val="28"/>
          <w:szCs w:val="28"/>
          <w:lang w:val="en-US" w:eastAsia="zh-CN"/>
        </w:rPr>
        <w:t>5、</w:t>
      </w:r>
      <w:r>
        <w:rPr>
          <w:rFonts w:hint="eastAsia" w:ascii="宋体" w:hAnsi="宋体" w:cs="宋体"/>
          <w:color w:val="000000"/>
          <w:sz w:val="28"/>
          <w:szCs w:val="28"/>
        </w:rPr>
        <w:t>乙方收款信息：</w:t>
      </w:r>
    </w:p>
    <w:p w14:paraId="6A24B6D8">
      <w:pPr>
        <w:adjustRightInd w:val="0"/>
        <w:snapToGrid w:val="0"/>
        <w:spacing w:before="0" w:beforeAutospacing="0" w:after="0" w:afterAutospacing="0" w:line="360" w:lineRule="auto"/>
        <w:ind w:firstLine="560"/>
        <w:jc w:val="left"/>
        <w:rPr>
          <w:rFonts w:hint="eastAsia" w:ascii="宋体" w:hAnsi="宋体" w:cs="宋体"/>
          <w:color w:val="000000"/>
          <w:sz w:val="28"/>
          <w:szCs w:val="28"/>
        </w:rPr>
      </w:pPr>
      <w:r>
        <w:rPr>
          <w:rFonts w:hint="eastAsia" w:ascii="宋体" w:hAnsi="宋体" w:cs="宋体"/>
          <w:color w:val="000000"/>
          <w:sz w:val="28"/>
          <w:szCs w:val="28"/>
        </w:rPr>
        <w:t>收款单位名称：广东富盈建设有限公司</w:t>
      </w:r>
    </w:p>
    <w:p w14:paraId="31288928">
      <w:pPr>
        <w:adjustRightInd w:val="0"/>
        <w:snapToGrid w:val="0"/>
        <w:spacing w:before="0" w:beforeAutospacing="0" w:after="0" w:afterAutospacing="0" w:line="360" w:lineRule="auto"/>
        <w:ind w:firstLine="560"/>
        <w:jc w:val="left"/>
        <w:rPr>
          <w:rFonts w:hint="eastAsia" w:ascii="宋体" w:hAnsi="宋体" w:cs="宋体"/>
          <w:sz w:val="28"/>
          <w:szCs w:val="28"/>
        </w:rPr>
      </w:pPr>
      <w:r>
        <w:rPr>
          <w:rFonts w:hint="eastAsia" w:ascii="宋体" w:hAnsi="宋体" w:cs="宋体"/>
          <w:sz w:val="28"/>
          <w:szCs w:val="28"/>
        </w:rPr>
        <w:t>银行账号：44250100006400002992</w:t>
      </w:r>
    </w:p>
    <w:p w14:paraId="1B5D10D8">
      <w:pPr>
        <w:adjustRightInd w:val="0"/>
        <w:snapToGrid w:val="0"/>
        <w:spacing w:before="0" w:beforeAutospacing="0" w:after="0" w:afterAutospacing="0" w:line="360" w:lineRule="auto"/>
        <w:ind w:firstLine="560"/>
        <w:jc w:val="left"/>
        <w:rPr>
          <w:rFonts w:hint="eastAsia" w:ascii="宋体" w:hAnsi="宋体" w:cs="宋体"/>
          <w:sz w:val="28"/>
          <w:szCs w:val="28"/>
        </w:rPr>
      </w:pPr>
      <w:r>
        <w:rPr>
          <w:rFonts w:hint="eastAsia" w:ascii="宋体" w:hAnsi="宋体" w:cs="宋体"/>
          <w:sz w:val="28"/>
          <w:szCs w:val="28"/>
        </w:rPr>
        <w:t>开户行： 建行深圳松岗支行</w:t>
      </w:r>
    </w:p>
    <w:p w14:paraId="5BBE789A">
      <w:pPr>
        <w:adjustRightInd w:val="0"/>
        <w:snapToGrid w:val="0"/>
        <w:spacing w:before="0" w:beforeAutospacing="0" w:after="0" w:afterAutospacing="0" w:line="360" w:lineRule="auto"/>
        <w:ind w:firstLine="544" w:firstLineChars="200"/>
        <w:jc w:val="left"/>
        <w:outlineLvl w:val="0"/>
        <w:rPr>
          <w:rFonts w:hint="eastAsia" w:ascii="宋体" w:hAnsi="宋体" w:cs="宋体"/>
          <w:spacing w:val="-4"/>
          <w:sz w:val="28"/>
          <w:szCs w:val="28"/>
          <w:lang w:val="en-US" w:eastAsia="zh-CN"/>
        </w:rPr>
      </w:pPr>
      <w:r>
        <w:rPr>
          <w:rFonts w:hint="eastAsia" w:ascii="宋体" w:hAnsi="宋体" w:cs="宋体"/>
          <w:spacing w:val="-4"/>
          <w:sz w:val="28"/>
          <w:szCs w:val="28"/>
          <w:lang w:val="en-US" w:eastAsia="zh-CN"/>
        </w:rPr>
        <w:t>6、乙方应至少提前10日提供真实有效的增值税专用发票给甲方</w:t>
      </w:r>
    </w:p>
    <w:p w14:paraId="7C4E160C">
      <w:pPr>
        <w:adjustRightInd w:val="0"/>
        <w:snapToGrid w:val="0"/>
        <w:spacing w:before="0" w:beforeAutospacing="0" w:after="0" w:afterAutospacing="0" w:line="360" w:lineRule="auto"/>
        <w:jc w:val="left"/>
        <w:rPr>
          <w:rFonts w:hint="eastAsia" w:ascii="宋体" w:hAnsi="宋体" w:cs="宋体"/>
          <w:b/>
          <w:bCs/>
          <w:sz w:val="28"/>
          <w:szCs w:val="28"/>
        </w:rPr>
      </w:pPr>
      <w:r>
        <w:rPr>
          <w:rFonts w:hint="eastAsia" w:ascii="宋体" w:hAnsi="宋体" w:cs="宋体"/>
          <w:b/>
          <w:bCs/>
          <w:sz w:val="28"/>
          <w:szCs w:val="28"/>
        </w:rPr>
        <w:t>第四条 甲方的权利与义务</w:t>
      </w:r>
    </w:p>
    <w:p w14:paraId="2613CA87">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1、甲方和物业服务中心依据本合同和招标邀请函的要求对乙方的服务进行监督和检查；</w:t>
      </w:r>
    </w:p>
    <w:p w14:paraId="2E0CBC75">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2、若乙方人员未按本合同要求提供服务或技术达不到要求，甲方有权要求乙方更换工作人员或进行整改。如整改仍达不到要求，甲方有权追究相关责任，拒付相关费用直至终止合同；</w:t>
      </w:r>
    </w:p>
    <w:p w14:paraId="097A9CAF">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3、甲方应向乙方提供乙方工作所需的资料、图纸和数据等。乙方必须保证对于从甲方获得的资料予以保密；</w:t>
      </w:r>
    </w:p>
    <w:p w14:paraId="4D506CFC">
      <w:pPr>
        <w:adjustRightInd w:val="0"/>
        <w:snapToGrid w:val="0"/>
        <w:spacing w:before="0" w:beforeAutospacing="0" w:after="0" w:afterAutospacing="0" w:line="360" w:lineRule="auto"/>
        <w:ind w:firstLine="560" w:firstLineChars="200"/>
        <w:jc w:val="left"/>
        <w:rPr>
          <w:rFonts w:ascii="宋体" w:hAnsi="宋体" w:cs="宋体"/>
          <w:sz w:val="28"/>
          <w:szCs w:val="28"/>
        </w:rPr>
      </w:pPr>
      <w:r>
        <w:rPr>
          <w:rFonts w:hint="eastAsia" w:ascii="宋体" w:hAnsi="宋体" w:cs="宋体"/>
          <w:sz w:val="28"/>
          <w:szCs w:val="28"/>
        </w:rPr>
        <w:t>4、甲方应协助乙方在大厦开展检测工作，并委派</w:t>
      </w:r>
      <w:r>
        <w:rPr>
          <w:rFonts w:hint="eastAsia" w:ascii="宋体" w:hAnsi="宋体" w:cs="宋体"/>
          <w:sz w:val="28"/>
          <w:szCs w:val="28"/>
          <w:u w:val="single"/>
        </w:rPr>
        <w:t xml:space="preserve"> 梁勇日 </w:t>
      </w:r>
      <w:r>
        <w:rPr>
          <w:rFonts w:hint="eastAsia" w:ascii="宋体" w:hAnsi="宋体" w:cs="宋体"/>
          <w:sz w:val="28"/>
          <w:szCs w:val="28"/>
        </w:rPr>
        <w:t>为本维保项目的现场负责人，联系电话：</w:t>
      </w:r>
      <w:r>
        <w:rPr>
          <w:rFonts w:hint="eastAsia" w:ascii="宋体" w:hAnsi="宋体" w:cs="宋体"/>
          <w:sz w:val="28"/>
          <w:szCs w:val="28"/>
          <w:u w:val="single"/>
        </w:rPr>
        <w:t xml:space="preserve"> 19868923054 </w:t>
      </w:r>
      <w:r>
        <w:rPr>
          <w:rFonts w:hint="eastAsia" w:ascii="宋体" w:hAnsi="宋体" w:cs="宋体"/>
          <w:sz w:val="28"/>
          <w:szCs w:val="28"/>
        </w:rPr>
        <w:t>。</w:t>
      </w:r>
    </w:p>
    <w:p w14:paraId="71EF7C90">
      <w:pPr>
        <w:adjustRightInd w:val="0"/>
        <w:snapToGrid w:val="0"/>
        <w:spacing w:before="0" w:beforeAutospacing="0" w:after="0" w:afterAutospacing="0" w:line="360" w:lineRule="auto"/>
        <w:jc w:val="left"/>
        <w:rPr>
          <w:rFonts w:hint="eastAsia" w:ascii="宋体" w:hAnsi="宋体" w:cs="宋体"/>
          <w:b/>
          <w:bCs/>
          <w:sz w:val="28"/>
          <w:szCs w:val="28"/>
        </w:rPr>
      </w:pPr>
      <w:r>
        <w:rPr>
          <w:rFonts w:hint="eastAsia" w:ascii="宋体" w:hAnsi="宋体" w:cs="宋体"/>
          <w:b/>
          <w:bCs/>
          <w:sz w:val="28"/>
          <w:szCs w:val="28"/>
        </w:rPr>
        <w:t>第五条 乙方权利与义务</w:t>
      </w:r>
    </w:p>
    <w:p w14:paraId="5301EF24">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1、乙方工作人员必须具有履行本合同所需的技能、资质和工作经验，按照有关规范和职业准则完成工作；</w:t>
      </w:r>
    </w:p>
    <w:p w14:paraId="5C529244">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2、在政府消防主管部门消防检查时，乙方必须派人到现场配合；</w:t>
      </w:r>
    </w:p>
    <w:p w14:paraId="03B36BEC">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3、乙方负责员工劳保用品、工具、维修设备和检测仪器；</w:t>
      </w:r>
    </w:p>
    <w:p w14:paraId="71D3413F">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4、为保证服务的有效实施，乙方指派专人进行服务，乙方人员在服务项目内必须遵守甲方的规章制度，服从甲方的管理，如乙方须更换服务人员，需经甲方同意；</w:t>
      </w:r>
    </w:p>
    <w:p w14:paraId="7B935679">
      <w:pPr>
        <w:adjustRightInd w:val="0"/>
        <w:snapToGrid w:val="0"/>
        <w:spacing w:before="0" w:beforeAutospacing="0" w:after="0" w:afterAutospacing="0" w:line="360" w:lineRule="auto"/>
        <w:ind w:firstLine="560" w:firstLineChars="200"/>
        <w:jc w:val="left"/>
        <w:rPr>
          <w:rFonts w:hint="eastAsia" w:ascii="宋体" w:hAnsi="宋体" w:cs="宋体"/>
          <w:color w:val="000000"/>
          <w:sz w:val="28"/>
          <w:szCs w:val="28"/>
        </w:rPr>
      </w:pPr>
      <w:r>
        <w:rPr>
          <w:rFonts w:hint="eastAsia" w:ascii="宋体" w:hAnsi="宋体" w:cs="宋体"/>
          <w:color w:val="000000"/>
          <w:sz w:val="28"/>
          <w:szCs w:val="28"/>
        </w:rPr>
        <w:t>5、乙方委派王丽娜为本维保项目负责人，</w:t>
      </w:r>
      <w:r>
        <w:rPr>
          <w:rFonts w:hint="eastAsia" w:ascii="宋体" w:hAnsi="宋体"/>
          <w:color w:val="000000"/>
          <w:sz w:val="28"/>
          <w:szCs w:val="28"/>
        </w:rPr>
        <w:t>技术负责人为徐显山，</w:t>
      </w:r>
      <w:r>
        <w:rPr>
          <w:rFonts w:hint="eastAsia" w:ascii="宋体" w:hAnsi="宋体" w:cs="宋体"/>
          <w:color w:val="000000"/>
          <w:sz w:val="28"/>
          <w:szCs w:val="28"/>
        </w:rPr>
        <w:t>联系电话：13662292579</w:t>
      </w:r>
    </w:p>
    <w:p w14:paraId="62B831E1">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6、乙方须按法规承担支付乙方人员之保险、工资、劳保福利及其它一切费用。乙方必须积极地处理与人员的纠纷，不得影响甲方或甲方客户的工作和声誉，如造成甲方或甲方客户的损失的，由乙方负责；</w:t>
      </w:r>
    </w:p>
    <w:p w14:paraId="1FE1C080">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7、由乙方人员责任损害甲方客户的权益，由乙方承担责任。</w:t>
      </w:r>
    </w:p>
    <w:p w14:paraId="4E8E4520">
      <w:pPr>
        <w:adjustRightInd w:val="0"/>
        <w:snapToGrid w:val="0"/>
        <w:spacing w:before="0" w:beforeAutospacing="0" w:after="0" w:afterAutospacing="0" w:line="360" w:lineRule="auto"/>
        <w:jc w:val="left"/>
        <w:rPr>
          <w:rFonts w:hint="eastAsia" w:ascii="宋体" w:hAnsi="宋体" w:cs="宋体"/>
          <w:b/>
          <w:bCs/>
          <w:sz w:val="28"/>
          <w:szCs w:val="28"/>
        </w:rPr>
      </w:pPr>
    </w:p>
    <w:p w14:paraId="4B78766E">
      <w:pPr>
        <w:adjustRightInd w:val="0"/>
        <w:snapToGrid w:val="0"/>
        <w:spacing w:before="0" w:beforeAutospacing="0" w:after="0" w:afterAutospacing="0" w:line="360" w:lineRule="auto"/>
        <w:jc w:val="left"/>
        <w:rPr>
          <w:rFonts w:hint="eastAsia" w:ascii="宋体" w:hAnsi="宋体" w:cs="宋体"/>
          <w:b/>
          <w:bCs/>
          <w:sz w:val="28"/>
          <w:szCs w:val="28"/>
        </w:rPr>
      </w:pPr>
      <w:r>
        <w:rPr>
          <w:rFonts w:hint="eastAsia" w:ascii="宋体" w:hAnsi="宋体" w:cs="宋体"/>
          <w:b/>
          <w:bCs/>
          <w:sz w:val="28"/>
          <w:szCs w:val="28"/>
        </w:rPr>
        <w:t>第六条 其他条款</w:t>
      </w:r>
    </w:p>
    <w:p w14:paraId="535BEE0C">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1、由于甲方是物业服务单位，受聘于业主委员会，如果甲方失去本合同服务项目的物业管理权，本合同自行终止，双方互不追究责任；</w:t>
      </w:r>
    </w:p>
    <w:p w14:paraId="1556E096">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2、由甲方原因要求终止合同，甲方应至少提前一个月通知乙方，否则甲方应赔偿乙方一个月费用；</w:t>
      </w:r>
    </w:p>
    <w:p w14:paraId="47D89113">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3、由于乙方原因要求终止合同，乙方应至少提前一个月通知甲方，并要承担违约责任，赔偿甲方一个月费用；</w:t>
      </w:r>
    </w:p>
    <w:p w14:paraId="01883B62">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4、招标邀请函是本合同的有效附件。</w:t>
      </w:r>
    </w:p>
    <w:p w14:paraId="649A403C">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5、在履行合同中因发生不可抗力(洪水、地震等)造成合同部分或全部不能履行，乙方不承担违约责任；</w:t>
      </w:r>
    </w:p>
    <w:p w14:paraId="5236B4DE">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6、合同期内，如出现国家法律、法规和政策等变化时，或有未尽事宜，双方另行友好协商，签订补充协议。无法取得共识的，提交甲方所在地人民法院诉讼解决。</w:t>
      </w:r>
    </w:p>
    <w:p w14:paraId="33586536">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r>
        <w:rPr>
          <w:rFonts w:hint="eastAsia" w:ascii="宋体" w:hAnsi="宋体" w:cs="宋体"/>
          <w:sz w:val="28"/>
          <w:szCs w:val="28"/>
        </w:rPr>
        <w:t>7、本合同自双方签字盖章后生效。本合同一式二份，双方各执一份，具有同等法律效力。</w:t>
      </w:r>
    </w:p>
    <w:p w14:paraId="51B09E55">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附件1：深业中心大厦消防设备设施明细</w:t>
      </w:r>
    </w:p>
    <w:p w14:paraId="4C235406">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附件2：消防设施检查内容</w:t>
      </w:r>
    </w:p>
    <w:p w14:paraId="41CF419D">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附件3：消防设施维护保养费用结算确认函</w:t>
      </w:r>
    </w:p>
    <w:p w14:paraId="27778F79">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lang w:val="zh-CN"/>
        </w:rPr>
      </w:pPr>
      <w:r>
        <w:rPr>
          <w:rFonts w:hint="eastAsia" w:ascii="宋体" w:hAnsi="宋体" w:eastAsia="宋体" w:cs="宋体"/>
          <w:sz w:val="28"/>
          <w:szCs w:val="28"/>
        </w:rPr>
        <w:t>附件</w:t>
      </w:r>
      <w:r>
        <w:rPr>
          <w:rFonts w:hint="eastAsia" w:ascii="宋体" w:hAnsi="宋体" w:eastAsia="宋体" w:cs="宋体"/>
          <w:sz w:val="28"/>
          <w:szCs w:val="28"/>
          <w:lang w:val="en-US" w:eastAsia="zh-CN"/>
        </w:rPr>
        <w:t>4</w:t>
      </w:r>
      <w:r>
        <w:rPr>
          <w:rFonts w:hint="eastAsia" w:ascii="宋体" w:hAnsi="宋体" w:eastAsia="宋体" w:cs="宋体"/>
          <w:sz w:val="28"/>
          <w:szCs w:val="28"/>
        </w:rPr>
        <w:t>：</w:t>
      </w:r>
      <w:r>
        <w:rPr>
          <w:rFonts w:hint="eastAsia" w:ascii="宋体" w:hAnsi="宋体" w:eastAsia="宋体" w:cs="宋体"/>
          <w:sz w:val="28"/>
          <w:szCs w:val="28"/>
          <w:lang w:val="zh-CN"/>
        </w:rPr>
        <w:t>廉政诚信协议书</w:t>
      </w:r>
    </w:p>
    <w:p w14:paraId="0BFEE481">
      <w:pPr>
        <w:adjustRightInd w:val="0"/>
        <w:snapToGrid w:val="0"/>
        <w:spacing w:before="0" w:beforeAutospacing="0" w:after="0" w:afterAutospacing="0"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附件5：消防维保安全管理协议</w:t>
      </w:r>
    </w:p>
    <w:p w14:paraId="2A75AEF4">
      <w:pPr>
        <w:adjustRightInd w:val="0"/>
        <w:snapToGrid w:val="0"/>
        <w:spacing w:before="0" w:beforeAutospacing="0" w:after="0" w:afterAutospacing="0"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（以下无正文）</w:t>
      </w:r>
    </w:p>
    <w:p w14:paraId="0E946EDC">
      <w:pPr>
        <w:adjustRightInd w:val="0"/>
        <w:snapToGrid w:val="0"/>
        <w:spacing w:before="0" w:beforeAutospacing="0" w:after="0" w:afterAutospacing="0" w:line="360" w:lineRule="auto"/>
        <w:jc w:val="left"/>
        <w:rPr>
          <w:rFonts w:hint="eastAsia" w:ascii="宋体" w:hAnsi="宋体" w:cs="宋体"/>
          <w:sz w:val="28"/>
          <w:szCs w:val="28"/>
        </w:rPr>
      </w:pPr>
    </w:p>
    <w:p w14:paraId="346749EB">
      <w:pPr>
        <w:adjustRightInd w:val="0"/>
        <w:snapToGrid w:val="0"/>
        <w:spacing w:before="0" w:beforeAutospacing="0" w:after="0" w:afterAutospacing="0" w:line="360" w:lineRule="auto"/>
        <w:jc w:val="left"/>
        <w:rPr>
          <w:rFonts w:hint="eastAsia" w:ascii="宋体" w:hAnsi="宋体" w:cs="宋体"/>
          <w:sz w:val="28"/>
          <w:szCs w:val="28"/>
        </w:rPr>
      </w:pPr>
      <w:r>
        <w:rPr>
          <w:rFonts w:hint="eastAsia" w:ascii="宋体" w:hAnsi="宋体" w:cs="宋体"/>
          <w:sz w:val="28"/>
          <w:szCs w:val="28"/>
        </w:rPr>
        <w:t>甲方（发包人）：                       乙方（承包人）：</w:t>
      </w:r>
    </w:p>
    <w:p w14:paraId="6F08A726">
      <w:pPr>
        <w:adjustRightInd w:val="0"/>
        <w:snapToGrid w:val="0"/>
        <w:spacing w:before="0" w:beforeAutospacing="0" w:after="0" w:afterAutospacing="0" w:line="360" w:lineRule="auto"/>
        <w:jc w:val="left"/>
        <w:rPr>
          <w:rFonts w:hint="eastAsia" w:ascii="宋体" w:hAnsi="宋体" w:cs="宋体"/>
          <w:sz w:val="28"/>
          <w:szCs w:val="28"/>
        </w:rPr>
      </w:pPr>
    </w:p>
    <w:p w14:paraId="3542F3AE">
      <w:pPr>
        <w:adjustRightInd w:val="0"/>
        <w:snapToGrid w:val="0"/>
        <w:spacing w:before="0" w:beforeAutospacing="0" w:after="0" w:afterAutospacing="0" w:line="360" w:lineRule="auto"/>
        <w:jc w:val="left"/>
        <w:rPr>
          <w:rFonts w:hint="eastAsia" w:ascii="宋体" w:hAnsi="宋体" w:cs="宋体"/>
          <w:sz w:val="28"/>
          <w:szCs w:val="28"/>
        </w:rPr>
      </w:pPr>
      <w:r>
        <w:rPr>
          <w:rFonts w:hint="eastAsia" w:ascii="宋体" w:hAnsi="宋体" w:cs="宋体"/>
          <w:sz w:val="28"/>
          <w:szCs w:val="28"/>
        </w:rPr>
        <w:t>授权代表：                            授权代表：</w:t>
      </w:r>
    </w:p>
    <w:p w14:paraId="4DC8BA67">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p>
    <w:p w14:paraId="7B1FF110">
      <w:pPr>
        <w:adjustRightInd w:val="0"/>
        <w:snapToGrid w:val="0"/>
        <w:spacing w:before="0" w:beforeAutospacing="0" w:after="0" w:afterAutospacing="0" w:line="360" w:lineRule="auto"/>
        <w:ind w:firstLine="560" w:firstLineChars="200"/>
        <w:jc w:val="left"/>
        <w:rPr>
          <w:rFonts w:hint="eastAsia" w:ascii="宋体" w:hAnsi="宋体" w:cs="宋体"/>
          <w:sz w:val="28"/>
          <w:szCs w:val="28"/>
        </w:rPr>
      </w:pPr>
    </w:p>
    <w:p w14:paraId="238B85C1">
      <w:pPr>
        <w:adjustRightInd w:val="0"/>
        <w:snapToGrid w:val="0"/>
        <w:spacing w:before="0" w:beforeAutospacing="0" w:after="0" w:afterAutospacing="0" w:line="360" w:lineRule="auto"/>
        <w:jc w:val="left"/>
        <w:rPr>
          <w:rFonts w:hint="eastAsia" w:ascii="宋体" w:hAnsi="宋体" w:cs="宋体"/>
          <w:b/>
          <w:sz w:val="28"/>
          <w:szCs w:val="28"/>
        </w:rPr>
      </w:pPr>
      <w:r>
        <w:rPr>
          <w:rFonts w:hint="eastAsia" w:ascii="宋体" w:hAnsi="宋体" w:cs="宋体"/>
          <w:sz w:val="28"/>
          <w:szCs w:val="28"/>
        </w:rPr>
        <w:t>日期：         年      月     日      日期：         年      月     日</w:t>
      </w:r>
      <w:r>
        <w:rPr>
          <w:rFonts w:hint="eastAsia" w:ascii="宋体" w:hAnsi="宋体" w:cs="宋体"/>
          <w:b/>
          <w:sz w:val="28"/>
          <w:szCs w:val="28"/>
        </w:rPr>
        <w:br w:type="page"/>
      </w:r>
      <w:r>
        <w:rPr>
          <w:rFonts w:hint="eastAsia" w:ascii="宋体" w:hAnsi="宋体" w:cs="宋体"/>
          <w:b/>
          <w:sz w:val="28"/>
          <w:szCs w:val="28"/>
        </w:rPr>
        <w:t xml:space="preserve">附件一  </w:t>
      </w:r>
    </w:p>
    <w:p w14:paraId="20CB2F6F">
      <w:pPr>
        <w:adjustRightInd w:val="0"/>
        <w:snapToGrid w:val="0"/>
        <w:spacing w:before="0" w:beforeAutospacing="0" w:after="0" w:afterAutospacing="0" w:line="360" w:lineRule="auto"/>
        <w:ind w:firstLine="2530" w:firstLineChars="900"/>
        <w:rPr>
          <w:rFonts w:hint="eastAsia" w:ascii="宋体" w:hAnsi="宋体"/>
          <w:b/>
          <w:color w:val="000000"/>
          <w:sz w:val="28"/>
          <w:szCs w:val="28"/>
        </w:rPr>
      </w:pPr>
      <w:r>
        <w:rPr>
          <w:rFonts w:hint="eastAsia" w:ascii="宋体" w:hAnsi="宋体"/>
          <w:b/>
          <w:color w:val="000000"/>
          <w:sz w:val="28"/>
          <w:szCs w:val="28"/>
        </w:rPr>
        <w:t>深业中心大厦消防设备设施明细</w:t>
      </w:r>
    </w:p>
    <w:p w14:paraId="18445A5E">
      <w:pPr>
        <w:adjustRightInd w:val="0"/>
        <w:snapToGrid w:val="0"/>
        <w:spacing w:before="0" w:beforeAutospacing="0" w:after="0" w:afterAutospacing="0" w:line="360" w:lineRule="auto"/>
        <w:outlineLvl w:val="0"/>
        <w:rPr>
          <w:rFonts w:hint="eastAsia" w:ascii="宋体" w:hAnsi="宋体" w:cs="宋体"/>
          <w:b/>
          <w:sz w:val="28"/>
          <w:szCs w:val="28"/>
        </w:rPr>
      </w:pPr>
    </w:p>
    <w:p w14:paraId="737CE1ED">
      <w:pPr>
        <w:adjustRightInd w:val="0"/>
        <w:snapToGrid w:val="0"/>
        <w:spacing w:before="0" w:beforeAutospacing="0" w:after="0" w:afterAutospacing="0" w:line="360" w:lineRule="auto"/>
        <w:outlineLvl w:val="0"/>
        <w:rPr>
          <w:rFonts w:hint="eastAsia" w:ascii="宋体" w:hAnsi="宋体" w:cs="宋体"/>
          <w:b/>
          <w:sz w:val="28"/>
          <w:szCs w:val="28"/>
        </w:rPr>
      </w:pPr>
    </w:p>
    <w:p w14:paraId="5AE5D7B9">
      <w:pPr>
        <w:adjustRightInd w:val="0"/>
        <w:snapToGrid w:val="0"/>
        <w:spacing w:before="0" w:beforeAutospacing="0" w:after="0" w:afterAutospacing="0" w:line="360" w:lineRule="auto"/>
        <w:ind w:firstLine="560" w:firstLineChars="200"/>
        <w:rPr>
          <w:rFonts w:hint="eastAsia" w:ascii="楷体" w:hAnsi="楷体" w:eastAsia="楷体"/>
          <w:sz w:val="28"/>
          <w:szCs w:val="28"/>
        </w:rPr>
      </w:pPr>
    </w:p>
    <w:p w14:paraId="56030ED7">
      <w:pPr>
        <w:adjustRightInd w:val="0"/>
        <w:snapToGrid w:val="0"/>
        <w:spacing w:before="0" w:beforeAutospacing="0" w:after="0" w:afterAutospacing="0" w:line="360" w:lineRule="auto"/>
        <w:ind w:firstLine="562" w:firstLineChars="200"/>
        <w:jc w:val="left"/>
        <w:outlineLvl w:val="0"/>
        <w:rPr>
          <w:rFonts w:hint="eastAsia" w:ascii="宋体" w:hAnsi="宋体" w:cs="宋体"/>
          <w:b/>
          <w:sz w:val="28"/>
          <w:szCs w:val="28"/>
        </w:rPr>
      </w:pPr>
    </w:p>
    <w:p w14:paraId="442385A2">
      <w:pPr>
        <w:adjustRightInd w:val="0"/>
        <w:snapToGrid w:val="0"/>
        <w:spacing w:before="0" w:beforeAutospacing="0" w:after="0" w:afterAutospacing="0" w:line="360" w:lineRule="auto"/>
        <w:ind w:firstLine="562" w:firstLineChars="200"/>
        <w:jc w:val="left"/>
        <w:outlineLvl w:val="0"/>
        <w:rPr>
          <w:rFonts w:hint="eastAsia" w:ascii="宋体" w:hAnsi="宋体" w:cs="宋体"/>
          <w:b/>
          <w:sz w:val="28"/>
          <w:szCs w:val="28"/>
        </w:rPr>
      </w:pPr>
    </w:p>
    <w:p w14:paraId="72D14F85">
      <w:pPr>
        <w:adjustRightInd w:val="0"/>
        <w:snapToGrid w:val="0"/>
        <w:spacing w:before="0" w:beforeAutospacing="0" w:after="0" w:afterAutospacing="0" w:line="360" w:lineRule="auto"/>
        <w:ind w:firstLine="562" w:firstLineChars="200"/>
        <w:jc w:val="left"/>
        <w:outlineLvl w:val="0"/>
        <w:rPr>
          <w:rFonts w:hint="eastAsia" w:ascii="宋体" w:hAnsi="宋体" w:cs="宋体"/>
          <w:b/>
          <w:sz w:val="28"/>
          <w:szCs w:val="28"/>
        </w:rPr>
      </w:pPr>
    </w:p>
    <w:p w14:paraId="681A54AC">
      <w:pPr>
        <w:adjustRightInd w:val="0"/>
        <w:snapToGrid w:val="0"/>
        <w:spacing w:before="0" w:beforeAutospacing="0" w:after="0" w:afterAutospacing="0" w:line="360" w:lineRule="auto"/>
        <w:ind w:firstLine="562" w:firstLineChars="200"/>
        <w:jc w:val="left"/>
        <w:outlineLvl w:val="0"/>
        <w:rPr>
          <w:rFonts w:hint="eastAsia" w:ascii="宋体" w:hAnsi="宋体" w:cs="宋体"/>
          <w:b/>
          <w:sz w:val="28"/>
          <w:szCs w:val="28"/>
        </w:rPr>
      </w:pPr>
    </w:p>
    <w:p w14:paraId="780209DC">
      <w:pPr>
        <w:adjustRightInd w:val="0"/>
        <w:snapToGrid w:val="0"/>
        <w:spacing w:before="0" w:beforeAutospacing="0" w:after="0" w:afterAutospacing="0" w:line="360" w:lineRule="auto"/>
        <w:ind w:firstLine="562" w:firstLineChars="200"/>
        <w:jc w:val="left"/>
        <w:outlineLvl w:val="0"/>
        <w:rPr>
          <w:rFonts w:hint="eastAsia" w:ascii="宋体" w:hAnsi="宋体" w:cs="宋体"/>
          <w:b/>
          <w:sz w:val="28"/>
          <w:szCs w:val="28"/>
        </w:rPr>
      </w:pPr>
    </w:p>
    <w:p w14:paraId="785A5657">
      <w:pPr>
        <w:adjustRightInd w:val="0"/>
        <w:snapToGrid w:val="0"/>
        <w:spacing w:before="0" w:beforeAutospacing="0" w:after="0" w:afterAutospacing="0" w:line="360" w:lineRule="auto"/>
        <w:ind w:firstLine="562" w:firstLineChars="200"/>
        <w:jc w:val="left"/>
        <w:outlineLvl w:val="0"/>
        <w:rPr>
          <w:rFonts w:hint="eastAsia" w:ascii="宋体" w:hAnsi="宋体" w:cs="宋体"/>
          <w:b/>
          <w:sz w:val="28"/>
          <w:szCs w:val="28"/>
        </w:rPr>
      </w:pPr>
    </w:p>
    <w:p w14:paraId="4D49622A">
      <w:pPr>
        <w:adjustRightInd w:val="0"/>
        <w:snapToGrid w:val="0"/>
        <w:spacing w:before="0" w:beforeAutospacing="0" w:after="0" w:afterAutospacing="0" w:line="360" w:lineRule="auto"/>
        <w:ind w:firstLine="562" w:firstLineChars="200"/>
        <w:jc w:val="left"/>
        <w:outlineLvl w:val="0"/>
        <w:rPr>
          <w:rFonts w:hint="eastAsia" w:ascii="宋体" w:hAnsi="宋体" w:cs="宋体"/>
          <w:b/>
          <w:sz w:val="28"/>
          <w:szCs w:val="28"/>
        </w:rPr>
      </w:pPr>
    </w:p>
    <w:p w14:paraId="2EDB7A51">
      <w:pPr>
        <w:adjustRightInd w:val="0"/>
        <w:snapToGrid w:val="0"/>
        <w:spacing w:before="0" w:beforeAutospacing="0" w:after="0" w:afterAutospacing="0" w:line="360" w:lineRule="auto"/>
        <w:ind w:firstLine="562" w:firstLineChars="200"/>
        <w:jc w:val="left"/>
        <w:outlineLvl w:val="0"/>
        <w:rPr>
          <w:rFonts w:hint="eastAsia" w:ascii="宋体" w:hAnsi="宋体" w:cs="宋体"/>
          <w:b/>
          <w:sz w:val="28"/>
          <w:szCs w:val="28"/>
        </w:rPr>
      </w:pPr>
    </w:p>
    <w:tbl>
      <w:tblPr>
        <w:tblStyle w:val="4"/>
        <w:tblpPr w:leftFromText="180" w:rightFromText="180" w:vertAnchor="page" w:horzAnchor="margin" w:tblpXSpec="center" w:tblpY="3091"/>
        <w:tblW w:w="4998" w:type="pct"/>
        <w:jc w:val="center"/>
        <w:tblLayout w:type="autofit"/>
        <w:tblCellMar>
          <w:top w:w="0" w:type="dxa"/>
          <w:left w:w="108" w:type="dxa"/>
          <w:bottom w:w="0" w:type="dxa"/>
          <w:right w:w="108" w:type="dxa"/>
        </w:tblCellMar>
      </w:tblPr>
      <w:tblGrid>
        <w:gridCol w:w="1252"/>
        <w:gridCol w:w="6299"/>
        <w:gridCol w:w="1112"/>
        <w:gridCol w:w="1295"/>
      </w:tblGrid>
      <w:tr w14:paraId="448911B5">
        <w:tblPrEx>
          <w:tblCellMar>
            <w:top w:w="0" w:type="dxa"/>
            <w:left w:w="108" w:type="dxa"/>
            <w:bottom w:w="0" w:type="dxa"/>
            <w:right w:w="108" w:type="dxa"/>
          </w:tblCellMar>
        </w:tblPrEx>
        <w:trPr>
          <w:trHeight w:val="439" w:hRule="atLeast"/>
          <w:jc w:val="center"/>
        </w:trPr>
        <w:tc>
          <w:tcPr>
            <w:tcW w:w="629" w:type="pct"/>
            <w:tcBorders>
              <w:top w:val="single" w:color="auto" w:sz="4" w:space="0"/>
              <w:left w:val="single" w:color="auto" w:sz="4" w:space="0"/>
              <w:bottom w:val="single" w:color="auto" w:sz="4" w:space="0"/>
              <w:right w:val="single" w:color="auto" w:sz="4" w:space="0"/>
            </w:tcBorders>
            <w:noWrap w:val="0"/>
            <w:vAlign w:val="center"/>
          </w:tcPr>
          <w:p w14:paraId="6DD2F77F">
            <w:pPr>
              <w:widowControl/>
              <w:adjustRightInd w:val="0"/>
              <w:snapToGrid w:val="0"/>
              <w:jc w:val="center"/>
              <w:rPr>
                <w:rFonts w:hint="eastAsia" w:ascii="宋体" w:hAnsi="宋体" w:cs="宋体"/>
                <w:color w:val="auto"/>
                <w:kern w:val="0"/>
                <w:sz w:val="28"/>
                <w:szCs w:val="28"/>
              </w:rPr>
            </w:pPr>
            <w:r>
              <w:rPr>
                <w:rFonts w:hint="eastAsia" w:ascii="宋体" w:hAnsi="宋体" w:cs="宋体"/>
                <w:color w:val="auto"/>
                <w:kern w:val="0"/>
                <w:sz w:val="28"/>
                <w:szCs w:val="28"/>
              </w:rPr>
              <w:t>序号</w:t>
            </w:r>
          </w:p>
        </w:tc>
        <w:tc>
          <w:tcPr>
            <w:tcW w:w="3162" w:type="pct"/>
            <w:tcBorders>
              <w:top w:val="single" w:color="auto" w:sz="4" w:space="0"/>
              <w:left w:val="nil"/>
              <w:bottom w:val="single" w:color="auto" w:sz="4" w:space="0"/>
              <w:right w:val="single" w:color="auto" w:sz="4" w:space="0"/>
            </w:tcBorders>
            <w:noWrap w:val="0"/>
            <w:vAlign w:val="center"/>
          </w:tcPr>
          <w:p w14:paraId="195414F1">
            <w:pPr>
              <w:widowControl/>
              <w:adjustRightInd w:val="0"/>
              <w:snapToGrid w:val="0"/>
              <w:jc w:val="center"/>
              <w:rPr>
                <w:rFonts w:hint="eastAsia" w:ascii="宋体" w:hAnsi="宋体" w:cs="宋体"/>
                <w:color w:val="auto"/>
                <w:kern w:val="0"/>
                <w:sz w:val="28"/>
                <w:szCs w:val="28"/>
              </w:rPr>
            </w:pPr>
            <w:r>
              <w:rPr>
                <w:rFonts w:hint="eastAsia" w:ascii="宋体" w:hAnsi="宋体" w:cs="宋体"/>
                <w:color w:val="auto"/>
                <w:kern w:val="0"/>
                <w:sz w:val="28"/>
                <w:szCs w:val="28"/>
              </w:rPr>
              <w:t>名称</w:t>
            </w:r>
          </w:p>
        </w:tc>
        <w:tc>
          <w:tcPr>
            <w:tcW w:w="558" w:type="pct"/>
            <w:tcBorders>
              <w:top w:val="single" w:color="auto" w:sz="4" w:space="0"/>
              <w:left w:val="single" w:color="auto" w:sz="4" w:space="0"/>
              <w:bottom w:val="single" w:color="auto" w:sz="4" w:space="0"/>
              <w:right w:val="single" w:color="auto" w:sz="4" w:space="0"/>
            </w:tcBorders>
            <w:noWrap w:val="0"/>
            <w:vAlign w:val="center"/>
          </w:tcPr>
          <w:p w14:paraId="2487B693">
            <w:pPr>
              <w:widowControl/>
              <w:adjustRightInd w:val="0"/>
              <w:snapToGrid w:val="0"/>
              <w:jc w:val="center"/>
              <w:rPr>
                <w:rFonts w:hint="eastAsia" w:ascii="宋体" w:hAnsi="宋体" w:cs="宋体"/>
                <w:color w:val="auto"/>
                <w:kern w:val="0"/>
                <w:sz w:val="28"/>
                <w:szCs w:val="28"/>
              </w:rPr>
            </w:pPr>
            <w:r>
              <w:rPr>
                <w:rFonts w:hint="eastAsia" w:ascii="宋体" w:hAnsi="宋体" w:cs="宋体"/>
                <w:color w:val="auto"/>
                <w:kern w:val="0"/>
                <w:sz w:val="28"/>
                <w:szCs w:val="28"/>
              </w:rPr>
              <w:t>单位</w:t>
            </w:r>
          </w:p>
        </w:tc>
        <w:tc>
          <w:tcPr>
            <w:tcW w:w="650" w:type="pct"/>
            <w:tcBorders>
              <w:top w:val="single" w:color="auto" w:sz="4" w:space="0"/>
              <w:left w:val="nil"/>
              <w:bottom w:val="single" w:color="auto" w:sz="4" w:space="0"/>
              <w:right w:val="single" w:color="auto" w:sz="4" w:space="0"/>
            </w:tcBorders>
            <w:noWrap w:val="0"/>
            <w:vAlign w:val="center"/>
          </w:tcPr>
          <w:p w14:paraId="2FDAC02F">
            <w:pPr>
              <w:widowControl/>
              <w:adjustRightInd w:val="0"/>
              <w:snapToGrid w:val="0"/>
              <w:jc w:val="center"/>
              <w:rPr>
                <w:rFonts w:hint="eastAsia" w:ascii="宋体" w:hAnsi="宋体" w:cs="宋体"/>
                <w:color w:val="auto"/>
                <w:kern w:val="0"/>
                <w:sz w:val="28"/>
                <w:szCs w:val="28"/>
              </w:rPr>
            </w:pPr>
            <w:r>
              <w:rPr>
                <w:rFonts w:hint="eastAsia" w:ascii="宋体" w:hAnsi="宋体" w:cs="宋体"/>
                <w:color w:val="auto"/>
                <w:kern w:val="0"/>
                <w:sz w:val="28"/>
                <w:szCs w:val="28"/>
              </w:rPr>
              <w:t>数量</w:t>
            </w:r>
          </w:p>
        </w:tc>
      </w:tr>
      <w:tr w14:paraId="551B8AF0">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291AFFC2">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3162" w:type="pct"/>
            <w:tcBorders>
              <w:top w:val="nil"/>
              <w:left w:val="nil"/>
              <w:bottom w:val="single" w:color="auto" w:sz="4" w:space="0"/>
              <w:right w:val="single" w:color="auto" w:sz="4" w:space="0"/>
            </w:tcBorders>
            <w:noWrap w:val="0"/>
            <w:vAlign w:val="center"/>
          </w:tcPr>
          <w:p w14:paraId="47D4935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报警主机、消防联动（泛海三江）</w:t>
            </w:r>
          </w:p>
        </w:tc>
        <w:tc>
          <w:tcPr>
            <w:tcW w:w="558" w:type="pct"/>
            <w:tcBorders>
              <w:top w:val="nil"/>
              <w:left w:val="single" w:color="auto" w:sz="4" w:space="0"/>
              <w:bottom w:val="single" w:color="auto" w:sz="4" w:space="0"/>
              <w:right w:val="single" w:color="auto" w:sz="4" w:space="0"/>
            </w:tcBorders>
            <w:noWrap w:val="0"/>
            <w:vAlign w:val="center"/>
          </w:tcPr>
          <w:p w14:paraId="790D9FBF">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650" w:type="pct"/>
            <w:tcBorders>
              <w:top w:val="nil"/>
              <w:left w:val="nil"/>
              <w:bottom w:val="single" w:color="auto" w:sz="4" w:space="0"/>
              <w:right w:val="single" w:color="auto" w:sz="4" w:space="0"/>
            </w:tcBorders>
            <w:noWrap w:val="0"/>
            <w:vAlign w:val="center"/>
          </w:tcPr>
          <w:p w14:paraId="7698E3A6">
            <w:pPr>
              <w:widowControl/>
              <w:adjustRightInd w:val="0"/>
              <w:snapToGrid w:val="0"/>
              <w:jc w:val="center"/>
              <w:rPr>
                <w:rFonts w:hint="eastAsia" w:ascii="宋体" w:hAnsi="宋体" w:cs="宋体"/>
                <w:color w:val="auto"/>
                <w:kern w:val="0"/>
                <w:sz w:val="24"/>
                <w:szCs w:val="24"/>
              </w:rPr>
            </w:pPr>
            <w:r>
              <w:rPr>
                <w:rFonts w:ascii="宋体" w:hAnsi="宋体" w:cs="宋体"/>
                <w:color w:val="auto"/>
                <w:kern w:val="0"/>
                <w:sz w:val="24"/>
                <w:szCs w:val="24"/>
              </w:rPr>
              <w:t>3</w:t>
            </w:r>
          </w:p>
        </w:tc>
      </w:tr>
      <w:tr w14:paraId="31459C02">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5ACC2CD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3162" w:type="pct"/>
            <w:tcBorders>
              <w:top w:val="nil"/>
              <w:left w:val="nil"/>
              <w:bottom w:val="single" w:color="auto" w:sz="4" w:space="0"/>
              <w:right w:val="single" w:color="auto" w:sz="4" w:space="0"/>
            </w:tcBorders>
            <w:noWrap w:val="0"/>
            <w:vAlign w:val="center"/>
          </w:tcPr>
          <w:p w14:paraId="28934F2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探测器</w:t>
            </w:r>
          </w:p>
        </w:tc>
        <w:tc>
          <w:tcPr>
            <w:tcW w:w="558" w:type="pct"/>
            <w:tcBorders>
              <w:top w:val="nil"/>
              <w:left w:val="single" w:color="auto" w:sz="4" w:space="0"/>
              <w:bottom w:val="single" w:color="auto" w:sz="4" w:space="0"/>
              <w:right w:val="single" w:color="auto" w:sz="4" w:space="0"/>
            </w:tcBorders>
            <w:noWrap w:val="0"/>
            <w:vAlign w:val="center"/>
          </w:tcPr>
          <w:p w14:paraId="6BFEAEA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650" w:type="pct"/>
            <w:tcBorders>
              <w:top w:val="nil"/>
              <w:left w:val="nil"/>
              <w:bottom w:val="single" w:color="auto" w:sz="4" w:space="0"/>
              <w:right w:val="single" w:color="auto" w:sz="4" w:space="0"/>
            </w:tcBorders>
            <w:noWrap w:val="0"/>
            <w:vAlign w:val="center"/>
          </w:tcPr>
          <w:p w14:paraId="1271699E">
            <w:pPr>
              <w:widowControl/>
              <w:adjustRightInd w:val="0"/>
              <w:snapToGrid w:val="0"/>
              <w:jc w:val="center"/>
              <w:rPr>
                <w:rFonts w:hint="eastAsia" w:ascii="宋体" w:hAnsi="宋体" w:cs="宋体"/>
                <w:color w:val="auto"/>
                <w:kern w:val="0"/>
                <w:sz w:val="24"/>
                <w:szCs w:val="24"/>
              </w:rPr>
            </w:pPr>
            <w:r>
              <w:rPr>
                <w:rFonts w:ascii="宋体" w:hAnsi="宋体" w:cs="宋体"/>
                <w:color w:val="auto"/>
                <w:kern w:val="0"/>
                <w:sz w:val="24"/>
                <w:szCs w:val="24"/>
              </w:rPr>
              <w:t>2215</w:t>
            </w:r>
          </w:p>
        </w:tc>
      </w:tr>
      <w:tr w14:paraId="65D9B744">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093F3F3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w:t>
            </w:r>
          </w:p>
        </w:tc>
        <w:tc>
          <w:tcPr>
            <w:tcW w:w="3162" w:type="pct"/>
            <w:tcBorders>
              <w:top w:val="nil"/>
              <w:left w:val="nil"/>
              <w:bottom w:val="single" w:color="auto" w:sz="4" w:space="0"/>
              <w:right w:val="single" w:color="auto" w:sz="4" w:space="0"/>
            </w:tcBorders>
            <w:noWrap w:val="0"/>
            <w:vAlign w:val="center"/>
          </w:tcPr>
          <w:p w14:paraId="6450266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模块</w:t>
            </w:r>
          </w:p>
        </w:tc>
        <w:tc>
          <w:tcPr>
            <w:tcW w:w="558" w:type="pct"/>
            <w:tcBorders>
              <w:top w:val="nil"/>
              <w:left w:val="single" w:color="auto" w:sz="4" w:space="0"/>
              <w:bottom w:val="single" w:color="auto" w:sz="4" w:space="0"/>
              <w:right w:val="single" w:color="auto" w:sz="4" w:space="0"/>
            </w:tcBorders>
            <w:noWrap w:val="0"/>
            <w:vAlign w:val="center"/>
          </w:tcPr>
          <w:p w14:paraId="5452261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650" w:type="pct"/>
            <w:tcBorders>
              <w:top w:val="nil"/>
              <w:left w:val="nil"/>
              <w:bottom w:val="single" w:color="auto" w:sz="4" w:space="0"/>
              <w:right w:val="single" w:color="auto" w:sz="4" w:space="0"/>
            </w:tcBorders>
            <w:noWrap w:val="0"/>
            <w:vAlign w:val="center"/>
          </w:tcPr>
          <w:p w14:paraId="1FD7B570">
            <w:pPr>
              <w:widowControl/>
              <w:adjustRightInd w:val="0"/>
              <w:snapToGrid w:val="0"/>
              <w:jc w:val="center"/>
              <w:rPr>
                <w:rFonts w:hint="eastAsia" w:ascii="宋体" w:hAnsi="宋体" w:cs="宋体"/>
                <w:color w:val="auto"/>
                <w:kern w:val="0"/>
                <w:sz w:val="24"/>
                <w:szCs w:val="24"/>
              </w:rPr>
            </w:pPr>
            <w:r>
              <w:rPr>
                <w:rFonts w:ascii="宋体" w:hAnsi="宋体" w:cs="宋体"/>
                <w:color w:val="auto"/>
                <w:kern w:val="0"/>
                <w:sz w:val="24"/>
                <w:szCs w:val="24"/>
              </w:rPr>
              <w:t>952</w:t>
            </w:r>
          </w:p>
        </w:tc>
      </w:tr>
      <w:tr w14:paraId="7821B6F5">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0AF85C8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4</w:t>
            </w:r>
          </w:p>
        </w:tc>
        <w:tc>
          <w:tcPr>
            <w:tcW w:w="3162" w:type="pct"/>
            <w:tcBorders>
              <w:top w:val="nil"/>
              <w:left w:val="nil"/>
              <w:bottom w:val="single" w:color="auto" w:sz="4" w:space="0"/>
              <w:right w:val="single" w:color="auto" w:sz="4" w:space="0"/>
            </w:tcBorders>
            <w:noWrap w:val="0"/>
            <w:vAlign w:val="center"/>
          </w:tcPr>
          <w:p w14:paraId="519F339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消火栓泵及楼层消火栓系统</w:t>
            </w:r>
          </w:p>
        </w:tc>
        <w:tc>
          <w:tcPr>
            <w:tcW w:w="558" w:type="pct"/>
            <w:tcBorders>
              <w:top w:val="nil"/>
              <w:left w:val="single" w:color="auto" w:sz="4" w:space="0"/>
              <w:bottom w:val="single" w:color="auto" w:sz="4" w:space="0"/>
              <w:right w:val="single" w:color="auto" w:sz="4" w:space="0"/>
            </w:tcBorders>
            <w:noWrap w:val="0"/>
            <w:vAlign w:val="center"/>
          </w:tcPr>
          <w:p w14:paraId="7EEB574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650" w:type="pct"/>
            <w:tcBorders>
              <w:top w:val="nil"/>
              <w:left w:val="nil"/>
              <w:bottom w:val="single" w:color="auto" w:sz="4" w:space="0"/>
              <w:right w:val="single" w:color="auto" w:sz="4" w:space="0"/>
            </w:tcBorders>
            <w:noWrap w:val="0"/>
            <w:vAlign w:val="center"/>
          </w:tcPr>
          <w:p w14:paraId="7DE83095">
            <w:pPr>
              <w:widowControl/>
              <w:adjustRightInd w:val="0"/>
              <w:snapToGrid w:val="0"/>
              <w:jc w:val="center"/>
              <w:rPr>
                <w:rFonts w:hint="eastAsia" w:ascii="宋体" w:hAnsi="宋体" w:cs="宋体"/>
                <w:color w:val="auto"/>
                <w:kern w:val="0"/>
                <w:sz w:val="24"/>
                <w:szCs w:val="24"/>
              </w:rPr>
            </w:pPr>
            <w:r>
              <w:rPr>
                <w:rFonts w:ascii="宋体" w:hAnsi="宋体" w:cs="宋体"/>
                <w:color w:val="auto"/>
                <w:kern w:val="0"/>
                <w:sz w:val="24"/>
                <w:szCs w:val="24"/>
              </w:rPr>
              <w:t>7</w:t>
            </w:r>
          </w:p>
        </w:tc>
      </w:tr>
      <w:tr w14:paraId="45BBAC36">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3FDBC11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5</w:t>
            </w:r>
          </w:p>
        </w:tc>
        <w:tc>
          <w:tcPr>
            <w:tcW w:w="3162" w:type="pct"/>
            <w:tcBorders>
              <w:top w:val="nil"/>
              <w:left w:val="nil"/>
              <w:bottom w:val="single" w:color="auto" w:sz="4" w:space="0"/>
              <w:right w:val="single" w:color="auto" w:sz="4" w:space="0"/>
            </w:tcBorders>
            <w:noWrap w:val="0"/>
            <w:vAlign w:val="center"/>
          </w:tcPr>
          <w:p w14:paraId="66222DFE">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喷淋泵及楼层喷淋系统</w:t>
            </w:r>
          </w:p>
        </w:tc>
        <w:tc>
          <w:tcPr>
            <w:tcW w:w="558" w:type="pct"/>
            <w:tcBorders>
              <w:top w:val="nil"/>
              <w:left w:val="single" w:color="auto" w:sz="4" w:space="0"/>
              <w:bottom w:val="single" w:color="auto" w:sz="4" w:space="0"/>
              <w:right w:val="single" w:color="auto" w:sz="4" w:space="0"/>
            </w:tcBorders>
            <w:noWrap w:val="0"/>
            <w:vAlign w:val="center"/>
          </w:tcPr>
          <w:p w14:paraId="0A2AFD1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650" w:type="pct"/>
            <w:tcBorders>
              <w:top w:val="nil"/>
              <w:left w:val="nil"/>
              <w:bottom w:val="single" w:color="auto" w:sz="4" w:space="0"/>
              <w:right w:val="single" w:color="auto" w:sz="4" w:space="0"/>
            </w:tcBorders>
            <w:noWrap w:val="0"/>
            <w:vAlign w:val="center"/>
          </w:tcPr>
          <w:p w14:paraId="4214BED8">
            <w:pPr>
              <w:widowControl/>
              <w:adjustRightInd w:val="0"/>
              <w:snapToGrid w:val="0"/>
              <w:jc w:val="center"/>
              <w:rPr>
                <w:rFonts w:hint="eastAsia" w:ascii="宋体" w:hAnsi="宋体" w:cs="宋体"/>
                <w:color w:val="auto"/>
                <w:kern w:val="0"/>
                <w:sz w:val="24"/>
                <w:szCs w:val="24"/>
              </w:rPr>
            </w:pPr>
            <w:r>
              <w:rPr>
                <w:rFonts w:ascii="宋体" w:hAnsi="宋体" w:cs="宋体"/>
                <w:color w:val="auto"/>
                <w:kern w:val="0"/>
                <w:sz w:val="24"/>
                <w:szCs w:val="24"/>
              </w:rPr>
              <w:t>4</w:t>
            </w:r>
          </w:p>
        </w:tc>
      </w:tr>
      <w:tr w14:paraId="05C387F7">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5CCFA42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6</w:t>
            </w:r>
          </w:p>
        </w:tc>
        <w:tc>
          <w:tcPr>
            <w:tcW w:w="3162" w:type="pct"/>
            <w:tcBorders>
              <w:top w:val="nil"/>
              <w:left w:val="nil"/>
              <w:bottom w:val="single" w:color="auto" w:sz="4" w:space="0"/>
              <w:right w:val="single" w:color="auto" w:sz="4" w:space="0"/>
            </w:tcBorders>
            <w:noWrap w:val="0"/>
            <w:vAlign w:val="center"/>
          </w:tcPr>
          <w:p w14:paraId="404901DE">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水幕泵及系统</w:t>
            </w:r>
          </w:p>
        </w:tc>
        <w:tc>
          <w:tcPr>
            <w:tcW w:w="558" w:type="pct"/>
            <w:tcBorders>
              <w:top w:val="nil"/>
              <w:left w:val="single" w:color="auto" w:sz="4" w:space="0"/>
              <w:bottom w:val="single" w:color="auto" w:sz="4" w:space="0"/>
              <w:right w:val="single" w:color="auto" w:sz="4" w:space="0"/>
            </w:tcBorders>
            <w:noWrap w:val="0"/>
            <w:vAlign w:val="center"/>
          </w:tcPr>
          <w:p w14:paraId="3554CDC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650" w:type="pct"/>
            <w:tcBorders>
              <w:top w:val="nil"/>
              <w:left w:val="nil"/>
              <w:bottom w:val="single" w:color="auto" w:sz="4" w:space="0"/>
              <w:right w:val="single" w:color="auto" w:sz="4" w:space="0"/>
            </w:tcBorders>
            <w:noWrap w:val="0"/>
            <w:vAlign w:val="center"/>
          </w:tcPr>
          <w:p w14:paraId="1651B671">
            <w:pPr>
              <w:widowControl/>
              <w:adjustRightInd w:val="0"/>
              <w:snapToGrid w:val="0"/>
              <w:jc w:val="center"/>
              <w:rPr>
                <w:rFonts w:hint="eastAsia" w:ascii="宋体" w:hAnsi="宋体" w:cs="宋体"/>
                <w:color w:val="auto"/>
                <w:kern w:val="0"/>
                <w:sz w:val="24"/>
                <w:szCs w:val="24"/>
              </w:rPr>
            </w:pPr>
            <w:r>
              <w:rPr>
                <w:rFonts w:ascii="宋体" w:hAnsi="宋体" w:cs="宋体"/>
                <w:color w:val="auto"/>
                <w:kern w:val="0"/>
                <w:sz w:val="24"/>
                <w:szCs w:val="24"/>
              </w:rPr>
              <w:t>2</w:t>
            </w:r>
          </w:p>
        </w:tc>
      </w:tr>
      <w:tr w14:paraId="1EF5EB3F">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6F6B8E4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7</w:t>
            </w:r>
          </w:p>
        </w:tc>
        <w:tc>
          <w:tcPr>
            <w:tcW w:w="3162" w:type="pct"/>
            <w:tcBorders>
              <w:top w:val="nil"/>
              <w:left w:val="nil"/>
              <w:bottom w:val="single" w:color="auto" w:sz="4" w:space="0"/>
              <w:right w:val="single" w:color="auto" w:sz="4" w:space="0"/>
            </w:tcBorders>
            <w:noWrap w:val="0"/>
            <w:vAlign w:val="center"/>
          </w:tcPr>
          <w:p w14:paraId="5F4205C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消防广播、背景音乐</w:t>
            </w:r>
          </w:p>
        </w:tc>
        <w:tc>
          <w:tcPr>
            <w:tcW w:w="558" w:type="pct"/>
            <w:tcBorders>
              <w:top w:val="nil"/>
              <w:left w:val="single" w:color="auto" w:sz="4" w:space="0"/>
              <w:bottom w:val="single" w:color="auto" w:sz="4" w:space="0"/>
              <w:right w:val="single" w:color="auto" w:sz="4" w:space="0"/>
            </w:tcBorders>
            <w:noWrap w:val="0"/>
            <w:vAlign w:val="center"/>
          </w:tcPr>
          <w:p w14:paraId="040A522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650" w:type="pct"/>
            <w:tcBorders>
              <w:top w:val="nil"/>
              <w:left w:val="nil"/>
              <w:bottom w:val="single" w:color="auto" w:sz="4" w:space="0"/>
              <w:right w:val="single" w:color="auto" w:sz="4" w:space="0"/>
            </w:tcBorders>
            <w:noWrap w:val="0"/>
            <w:vAlign w:val="center"/>
          </w:tcPr>
          <w:p w14:paraId="5112ADEE">
            <w:pPr>
              <w:widowControl/>
              <w:adjustRightInd w:val="0"/>
              <w:snapToGrid w:val="0"/>
              <w:jc w:val="center"/>
              <w:rPr>
                <w:rFonts w:hint="eastAsia" w:ascii="宋体" w:hAnsi="宋体" w:cs="宋体"/>
                <w:color w:val="auto"/>
                <w:kern w:val="0"/>
                <w:sz w:val="24"/>
                <w:szCs w:val="24"/>
              </w:rPr>
            </w:pPr>
            <w:r>
              <w:rPr>
                <w:rFonts w:ascii="宋体" w:hAnsi="宋体" w:cs="宋体"/>
                <w:color w:val="auto"/>
                <w:kern w:val="0"/>
                <w:sz w:val="24"/>
                <w:szCs w:val="24"/>
              </w:rPr>
              <w:t>1</w:t>
            </w:r>
          </w:p>
        </w:tc>
      </w:tr>
      <w:tr w14:paraId="6146FD03">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60AB6DF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w:t>
            </w:r>
          </w:p>
        </w:tc>
        <w:tc>
          <w:tcPr>
            <w:tcW w:w="3162" w:type="pct"/>
            <w:tcBorders>
              <w:top w:val="nil"/>
              <w:left w:val="nil"/>
              <w:bottom w:val="single" w:color="auto" w:sz="4" w:space="0"/>
              <w:right w:val="single" w:color="auto" w:sz="4" w:space="0"/>
            </w:tcBorders>
            <w:noWrap w:val="0"/>
            <w:vAlign w:val="center"/>
          </w:tcPr>
          <w:p w14:paraId="01EBB03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防排烟风机及风阀</w:t>
            </w:r>
          </w:p>
        </w:tc>
        <w:tc>
          <w:tcPr>
            <w:tcW w:w="558" w:type="pct"/>
            <w:tcBorders>
              <w:top w:val="nil"/>
              <w:left w:val="single" w:color="auto" w:sz="4" w:space="0"/>
              <w:bottom w:val="single" w:color="auto" w:sz="4" w:space="0"/>
              <w:right w:val="single" w:color="auto" w:sz="4" w:space="0"/>
            </w:tcBorders>
            <w:noWrap w:val="0"/>
            <w:vAlign w:val="center"/>
          </w:tcPr>
          <w:p w14:paraId="2B40557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650" w:type="pct"/>
            <w:tcBorders>
              <w:top w:val="nil"/>
              <w:left w:val="nil"/>
              <w:bottom w:val="single" w:color="auto" w:sz="4" w:space="0"/>
              <w:right w:val="single" w:color="auto" w:sz="4" w:space="0"/>
            </w:tcBorders>
            <w:noWrap w:val="0"/>
            <w:vAlign w:val="center"/>
          </w:tcPr>
          <w:p w14:paraId="0CFDEDC3">
            <w:pPr>
              <w:widowControl/>
              <w:adjustRightInd w:val="0"/>
              <w:snapToGrid w:val="0"/>
              <w:jc w:val="center"/>
              <w:rPr>
                <w:rFonts w:hint="eastAsia" w:ascii="宋体" w:hAnsi="宋体" w:cs="宋体"/>
                <w:color w:val="auto"/>
                <w:kern w:val="0"/>
                <w:sz w:val="24"/>
                <w:szCs w:val="24"/>
              </w:rPr>
            </w:pPr>
            <w:r>
              <w:rPr>
                <w:rFonts w:ascii="宋体" w:hAnsi="宋体" w:cs="宋体"/>
                <w:color w:val="auto"/>
                <w:kern w:val="0"/>
                <w:sz w:val="24"/>
                <w:szCs w:val="24"/>
              </w:rPr>
              <w:t>27</w:t>
            </w:r>
          </w:p>
        </w:tc>
      </w:tr>
      <w:tr w14:paraId="51021F14">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2A0F231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9</w:t>
            </w:r>
          </w:p>
        </w:tc>
        <w:tc>
          <w:tcPr>
            <w:tcW w:w="3162" w:type="pct"/>
            <w:tcBorders>
              <w:top w:val="nil"/>
              <w:left w:val="nil"/>
              <w:bottom w:val="single" w:color="auto" w:sz="4" w:space="0"/>
              <w:right w:val="single" w:color="auto" w:sz="4" w:space="0"/>
            </w:tcBorders>
            <w:noWrap w:val="0"/>
            <w:vAlign w:val="center"/>
          </w:tcPr>
          <w:p w14:paraId="14E18D9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防火卷帘系统</w:t>
            </w:r>
          </w:p>
        </w:tc>
        <w:tc>
          <w:tcPr>
            <w:tcW w:w="558" w:type="pct"/>
            <w:tcBorders>
              <w:top w:val="nil"/>
              <w:left w:val="single" w:color="auto" w:sz="4" w:space="0"/>
              <w:bottom w:val="single" w:color="auto" w:sz="4" w:space="0"/>
              <w:right w:val="single" w:color="auto" w:sz="4" w:space="0"/>
            </w:tcBorders>
            <w:noWrap w:val="0"/>
            <w:vAlign w:val="center"/>
          </w:tcPr>
          <w:p w14:paraId="22BA7BFD">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扇</w:t>
            </w:r>
          </w:p>
        </w:tc>
        <w:tc>
          <w:tcPr>
            <w:tcW w:w="650" w:type="pct"/>
            <w:tcBorders>
              <w:top w:val="nil"/>
              <w:left w:val="nil"/>
              <w:bottom w:val="single" w:color="auto" w:sz="4" w:space="0"/>
              <w:right w:val="single" w:color="auto" w:sz="4" w:space="0"/>
            </w:tcBorders>
            <w:noWrap w:val="0"/>
            <w:vAlign w:val="center"/>
          </w:tcPr>
          <w:p w14:paraId="009916AF">
            <w:pPr>
              <w:widowControl/>
              <w:adjustRightInd w:val="0"/>
              <w:snapToGrid w:val="0"/>
              <w:jc w:val="center"/>
              <w:rPr>
                <w:rFonts w:hint="eastAsia" w:ascii="宋体" w:hAnsi="宋体" w:cs="宋体"/>
                <w:color w:val="auto"/>
                <w:kern w:val="0"/>
                <w:sz w:val="24"/>
                <w:szCs w:val="24"/>
              </w:rPr>
            </w:pPr>
            <w:r>
              <w:rPr>
                <w:rFonts w:ascii="宋体" w:hAnsi="宋体" w:cs="宋体"/>
                <w:color w:val="auto"/>
                <w:kern w:val="0"/>
                <w:sz w:val="24"/>
                <w:szCs w:val="24"/>
              </w:rPr>
              <w:t>20</w:t>
            </w:r>
          </w:p>
        </w:tc>
      </w:tr>
      <w:tr w14:paraId="1741160F">
        <w:tblPrEx>
          <w:tblCellMar>
            <w:top w:w="0" w:type="dxa"/>
            <w:left w:w="108" w:type="dxa"/>
            <w:bottom w:w="0" w:type="dxa"/>
            <w:right w:w="108" w:type="dxa"/>
          </w:tblCellMar>
        </w:tblPrEx>
        <w:trPr>
          <w:trHeight w:val="567" w:hRule="atLeast"/>
          <w:jc w:val="center"/>
        </w:trPr>
        <w:tc>
          <w:tcPr>
            <w:tcW w:w="629" w:type="pct"/>
            <w:tcBorders>
              <w:top w:val="nil"/>
              <w:left w:val="single" w:color="auto" w:sz="4" w:space="0"/>
              <w:bottom w:val="single" w:color="auto" w:sz="4" w:space="0"/>
              <w:right w:val="single" w:color="auto" w:sz="4" w:space="0"/>
            </w:tcBorders>
            <w:noWrap w:val="0"/>
            <w:vAlign w:val="center"/>
          </w:tcPr>
          <w:p w14:paraId="1778880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10</w:t>
            </w:r>
          </w:p>
        </w:tc>
        <w:tc>
          <w:tcPr>
            <w:tcW w:w="3162" w:type="pct"/>
            <w:tcBorders>
              <w:top w:val="nil"/>
              <w:left w:val="nil"/>
              <w:bottom w:val="single" w:color="auto" w:sz="4" w:space="0"/>
              <w:right w:val="single" w:color="auto" w:sz="4" w:space="0"/>
            </w:tcBorders>
            <w:noWrap w:val="0"/>
            <w:vAlign w:val="center"/>
          </w:tcPr>
          <w:p w14:paraId="4253DBA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气体灭火系统</w:t>
            </w:r>
          </w:p>
        </w:tc>
        <w:tc>
          <w:tcPr>
            <w:tcW w:w="558" w:type="pct"/>
            <w:tcBorders>
              <w:top w:val="nil"/>
              <w:left w:val="single" w:color="auto" w:sz="4" w:space="0"/>
              <w:bottom w:val="single" w:color="auto" w:sz="4" w:space="0"/>
              <w:right w:val="single" w:color="auto" w:sz="4" w:space="0"/>
            </w:tcBorders>
            <w:noWrap w:val="0"/>
            <w:vAlign w:val="center"/>
          </w:tcPr>
          <w:p w14:paraId="19724D3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650" w:type="pct"/>
            <w:tcBorders>
              <w:top w:val="nil"/>
              <w:left w:val="nil"/>
              <w:bottom w:val="single" w:color="auto" w:sz="4" w:space="0"/>
              <w:right w:val="single" w:color="auto" w:sz="4" w:space="0"/>
            </w:tcBorders>
            <w:noWrap w:val="0"/>
            <w:vAlign w:val="center"/>
          </w:tcPr>
          <w:p w14:paraId="7F0878D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r>
    </w:tbl>
    <w:p w14:paraId="262C602A">
      <w:pPr>
        <w:adjustRightInd w:val="0"/>
        <w:snapToGrid w:val="0"/>
        <w:spacing w:before="0" w:beforeAutospacing="0" w:after="0" w:afterAutospacing="0" w:line="360" w:lineRule="auto"/>
        <w:ind w:firstLine="562" w:firstLineChars="200"/>
        <w:jc w:val="left"/>
        <w:outlineLvl w:val="0"/>
        <w:rPr>
          <w:rFonts w:hint="eastAsia" w:ascii="宋体" w:hAnsi="宋体" w:cs="宋体"/>
          <w:b/>
          <w:sz w:val="28"/>
          <w:szCs w:val="28"/>
        </w:rPr>
      </w:pPr>
    </w:p>
    <w:p w14:paraId="14CA10F3">
      <w:pPr>
        <w:rPr>
          <w:rFonts w:hint="eastAsia" w:ascii="宋体" w:hAnsi="宋体" w:cs="宋体"/>
          <w:spacing w:val="-6"/>
          <w:sz w:val="28"/>
          <w:szCs w:val="28"/>
        </w:rPr>
      </w:pPr>
      <w:r>
        <w:rPr>
          <w:rFonts w:hint="eastAsia" w:ascii="宋体" w:hAnsi="宋体" w:cs="宋体"/>
          <w:b/>
          <w:sz w:val="28"/>
          <w:szCs w:val="28"/>
        </w:rPr>
        <w:br w:type="page"/>
      </w:r>
      <w:r>
        <w:rPr>
          <w:rFonts w:hint="eastAsia" w:ascii="宋体" w:hAnsi="宋体" w:cs="宋体"/>
          <w:b/>
          <w:sz w:val="28"/>
          <w:szCs w:val="28"/>
        </w:rPr>
        <w:t>附件二</w:t>
      </w:r>
      <w:r>
        <w:rPr>
          <w:rFonts w:hint="eastAsia" w:ascii="宋体" w:hAnsi="宋体" w:cs="宋体"/>
          <w:sz w:val="28"/>
          <w:szCs w:val="28"/>
        </w:rPr>
        <w:t>：</w:t>
      </w:r>
      <w:r>
        <w:rPr>
          <w:rFonts w:hint="eastAsia" w:ascii="宋体" w:hAnsi="宋体" w:cs="宋体"/>
          <w:spacing w:val="-6"/>
          <w:sz w:val="28"/>
          <w:szCs w:val="28"/>
        </w:rPr>
        <w:t>消防设施检查内容（可根据现场实际情况调整，不限以下内容）</w:t>
      </w:r>
    </w:p>
    <w:p w14:paraId="55764DB7">
      <w:pPr>
        <w:adjustRightInd w:val="0"/>
        <w:snapToGrid w:val="0"/>
        <w:spacing w:before="0" w:beforeAutospacing="0" w:after="0" w:afterAutospacing="0" w:line="4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1、火灾自动报警系统:</w:t>
      </w:r>
    </w:p>
    <w:p w14:paraId="68906910">
      <w:pPr>
        <w:adjustRightInd w:val="0"/>
        <w:snapToGrid w:val="0"/>
        <w:spacing w:before="0" w:beforeAutospacing="0" w:after="0" w:afterAutospacing="0" w:line="460" w:lineRule="exact"/>
        <w:ind w:firstLine="560" w:firstLineChars="200"/>
        <w:jc w:val="left"/>
        <w:rPr>
          <w:rFonts w:hint="eastAsia" w:ascii="宋体" w:hAnsi="宋体" w:cs="宋体"/>
          <w:sz w:val="28"/>
          <w:szCs w:val="28"/>
        </w:rPr>
      </w:pPr>
      <w:r>
        <w:rPr>
          <w:rFonts w:hint="eastAsia" w:ascii="宋体" w:hAnsi="宋体" w:cs="宋体"/>
          <w:sz w:val="28"/>
          <w:szCs w:val="28"/>
        </w:rPr>
        <w:t>检查火灾报警主机、回路电压、打印机、蓄电池、感烟、感温探测器、模块、手动报警按钮及警铃，对火灾进行模拟联动测试等。</w:t>
      </w:r>
    </w:p>
    <w:p w14:paraId="54E89BAB">
      <w:pPr>
        <w:adjustRightInd w:val="0"/>
        <w:snapToGrid w:val="0"/>
        <w:spacing w:before="0" w:beforeAutospacing="0" w:after="0" w:afterAutospacing="0" w:line="4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2、消防联动控制系统:</w:t>
      </w:r>
    </w:p>
    <w:p w14:paraId="42FC4A62">
      <w:pPr>
        <w:adjustRightInd w:val="0"/>
        <w:snapToGrid w:val="0"/>
        <w:spacing w:before="0" w:beforeAutospacing="0" w:after="0" w:afterAutospacing="0" w:line="460" w:lineRule="exact"/>
        <w:ind w:firstLine="560" w:firstLineChars="200"/>
        <w:jc w:val="left"/>
        <w:rPr>
          <w:rFonts w:hint="eastAsia" w:ascii="宋体" w:hAnsi="宋体" w:cs="宋体"/>
          <w:sz w:val="28"/>
          <w:szCs w:val="28"/>
        </w:rPr>
      </w:pPr>
      <w:r>
        <w:rPr>
          <w:rFonts w:hint="eastAsia" w:ascii="宋体" w:hAnsi="宋体" w:cs="宋体"/>
          <w:sz w:val="28"/>
          <w:szCs w:val="28"/>
        </w:rPr>
        <w:t>检查联动控制台的控制按钮、信号灯、继电器、及消防电源切换等。</w:t>
      </w:r>
    </w:p>
    <w:p w14:paraId="2AC4BC92">
      <w:pPr>
        <w:adjustRightInd w:val="0"/>
        <w:snapToGrid w:val="0"/>
        <w:spacing w:before="0" w:beforeAutospacing="0" w:after="0" w:afterAutospacing="0" w:line="4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3、消火栓系统:</w:t>
      </w:r>
    </w:p>
    <w:p w14:paraId="76B42ECC">
      <w:pPr>
        <w:adjustRightInd w:val="0"/>
        <w:snapToGrid w:val="0"/>
        <w:spacing w:before="0" w:beforeAutospacing="0" w:after="0" w:afterAutospacing="0" w:line="460" w:lineRule="exact"/>
        <w:ind w:firstLine="560" w:firstLineChars="200"/>
        <w:jc w:val="left"/>
        <w:rPr>
          <w:rFonts w:hint="eastAsia" w:ascii="宋体" w:hAnsi="宋体" w:cs="宋体"/>
          <w:sz w:val="28"/>
          <w:szCs w:val="28"/>
        </w:rPr>
      </w:pPr>
      <w:r>
        <w:rPr>
          <w:rFonts w:hint="eastAsia" w:ascii="宋体" w:hAnsi="宋体" w:cs="宋体"/>
          <w:sz w:val="28"/>
          <w:szCs w:val="28"/>
        </w:rPr>
        <w:t>检查泵控制柜、消火栓泵、阀门、管网压力、室内外消防栓、末端消火栓放水试验、水泵运行、停止反馈信号测试，联动柜远程、手动控制水泵测试，消火栓按钮远程、联动水泵测试等。</w:t>
      </w:r>
    </w:p>
    <w:p w14:paraId="65BC1D04">
      <w:pPr>
        <w:adjustRightInd w:val="0"/>
        <w:snapToGrid w:val="0"/>
        <w:spacing w:before="0" w:beforeAutospacing="0" w:after="0" w:afterAutospacing="0" w:line="4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4、水喷淋系统：</w:t>
      </w:r>
    </w:p>
    <w:p w14:paraId="3AB0CFD3">
      <w:pPr>
        <w:adjustRightInd w:val="0"/>
        <w:snapToGrid w:val="0"/>
        <w:spacing w:before="0" w:beforeAutospacing="0" w:after="0" w:afterAutospacing="0" w:line="460" w:lineRule="exact"/>
        <w:ind w:firstLine="560" w:firstLineChars="200"/>
        <w:jc w:val="left"/>
        <w:rPr>
          <w:rFonts w:hint="eastAsia" w:ascii="宋体" w:hAnsi="宋体" w:cs="宋体"/>
          <w:sz w:val="28"/>
          <w:szCs w:val="28"/>
        </w:rPr>
      </w:pPr>
      <w:r>
        <w:rPr>
          <w:rFonts w:hint="eastAsia" w:ascii="宋体" w:hAnsi="宋体" w:cs="宋体"/>
          <w:sz w:val="28"/>
          <w:szCs w:val="28"/>
        </w:rPr>
        <w:t>检查水泵控制柜、喷淋泵、稳压设备、阀门、管网压力、喷淋头、水力警铃、水流指示器、湿式报警阀、延迟器等；水泵运行、停止、反馈信号测试，联动柜远程手动控制水泵测试，未端放水(或其它方式)远程联动水泵测试。</w:t>
      </w:r>
    </w:p>
    <w:p w14:paraId="4F706EE0">
      <w:pPr>
        <w:adjustRightInd w:val="0"/>
        <w:snapToGrid w:val="0"/>
        <w:spacing w:before="0" w:beforeAutospacing="0" w:after="0" w:afterAutospacing="0" w:line="4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5、防排烟系统:</w:t>
      </w:r>
    </w:p>
    <w:p w14:paraId="7A1BB585">
      <w:pPr>
        <w:adjustRightInd w:val="0"/>
        <w:snapToGrid w:val="0"/>
        <w:spacing w:before="0" w:beforeAutospacing="0" w:after="0" w:afterAutospacing="0" w:line="460" w:lineRule="exact"/>
        <w:ind w:firstLine="560" w:firstLineChars="200"/>
        <w:jc w:val="left"/>
        <w:rPr>
          <w:rFonts w:hint="eastAsia" w:ascii="宋体" w:hAnsi="宋体" w:cs="宋体"/>
          <w:sz w:val="28"/>
          <w:szCs w:val="28"/>
        </w:rPr>
      </w:pPr>
      <w:r>
        <w:rPr>
          <w:rFonts w:hint="eastAsia" w:ascii="宋体" w:hAnsi="宋体" w:cs="宋体"/>
          <w:sz w:val="28"/>
          <w:szCs w:val="28"/>
        </w:rPr>
        <w:t>检查送风、排烟机，风机控制箱、防火阀等；模拟火灾信号联动风阀测试，控制台远程联动送风、排烟机及反馈信号测试。</w:t>
      </w:r>
    </w:p>
    <w:p w14:paraId="18441A22">
      <w:pPr>
        <w:adjustRightInd w:val="0"/>
        <w:snapToGrid w:val="0"/>
        <w:spacing w:before="0" w:beforeAutospacing="0" w:after="0" w:afterAutospacing="0" w:line="4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6、消防广播及消防电话系统：</w:t>
      </w:r>
    </w:p>
    <w:p w14:paraId="04C3D2CD">
      <w:pPr>
        <w:adjustRightInd w:val="0"/>
        <w:snapToGrid w:val="0"/>
        <w:spacing w:before="0" w:beforeAutospacing="0" w:after="0" w:afterAutospacing="0" w:line="460" w:lineRule="exact"/>
        <w:ind w:firstLine="560" w:firstLineChars="200"/>
        <w:jc w:val="left"/>
        <w:rPr>
          <w:rFonts w:hint="eastAsia" w:ascii="宋体" w:hAnsi="宋体" w:cs="宋体"/>
          <w:sz w:val="28"/>
          <w:szCs w:val="28"/>
        </w:rPr>
      </w:pPr>
      <w:r>
        <w:rPr>
          <w:rFonts w:hint="eastAsia" w:ascii="宋体" w:hAnsi="宋体" w:cs="宋体"/>
          <w:sz w:val="28"/>
          <w:szCs w:val="28"/>
        </w:rPr>
        <w:t>检查电话插孔、对讲电话分机、播音设备、喇叭等；检测通话和消防广播质量，背景音乐、切换消防广播测试。</w:t>
      </w:r>
    </w:p>
    <w:p w14:paraId="0718B68B">
      <w:pPr>
        <w:adjustRightInd w:val="0"/>
        <w:snapToGrid w:val="0"/>
        <w:spacing w:before="0" w:beforeAutospacing="0" w:after="0" w:afterAutospacing="0" w:line="4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7、防火卷帘系统：</w:t>
      </w:r>
    </w:p>
    <w:p w14:paraId="3D6A0757">
      <w:pPr>
        <w:adjustRightInd w:val="0"/>
        <w:snapToGrid w:val="0"/>
        <w:spacing w:before="0" w:beforeAutospacing="0" w:after="0" w:afterAutospacing="0" w:line="460" w:lineRule="exact"/>
        <w:ind w:firstLine="560" w:firstLineChars="200"/>
        <w:jc w:val="left"/>
        <w:rPr>
          <w:rFonts w:hint="eastAsia" w:ascii="宋体" w:hAnsi="宋体" w:cs="宋体"/>
          <w:sz w:val="28"/>
          <w:szCs w:val="28"/>
        </w:rPr>
      </w:pPr>
      <w:r>
        <w:rPr>
          <w:rFonts w:hint="eastAsia" w:ascii="宋体" w:hAnsi="宋体" w:cs="宋体"/>
          <w:sz w:val="28"/>
          <w:szCs w:val="28"/>
        </w:rPr>
        <w:t>按钮测试；行程限位的调整（指导）；联动防火卷帘门及动作反馈信号测试。</w:t>
      </w:r>
    </w:p>
    <w:p w14:paraId="221D452A">
      <w:pPr>
        <w:adjustRightInd w:val="0"/>
        <w:snapToGrid w:val="0"/>
        <w:spacing w:before="0" w:beforeAutospacing="0" w:after="0" w:afterAutospacing="0" w:line="4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8、气体灭火系统：</w:t>
      </w:r>
    </w:p>
    <w:p w14:paraId="0378D295">
      <w:pPr>
        <w:adjustRightInd w:val="0"/>
        <w:snapToGrid w:val="0"/>
        <w:spacing w:before="0" w:beforeAutospacing="0" w:after="0" w:afterAutospacing="0" w:line="460" w:lineRule="exact"/>
        <w:ind w:firstLine="560" w:firstLineChars="200"/>
        <w:jc w:val="left"/>
        <w:rPr>
          <w:rFonts w:hint="eastAsia" w:ascii="宋体" w:hAnsi="宋体" w:cs="宋体"/>
          <w:sz w:val="28"/>
          <w:szCs w:val="28"/>
        </w:rPr>
      </w:pPr>
      <w:r>
        <w:rPr>
          <w:rFonts w:hint="eastAsia" w:ascii="宋体" w:hAnsi="宋体" w:cs="宋体"/>
          <w:sz w:val="28"/>
          <w:szCs w:val="28"/>
        </w:rPr>
        <w:t>检查贮存容器的压力或称重；触发单组/双组探测器测试报警联动功能；检查手动控制装置是否能正常操作。</w:t>
      </w:r>
    </w:p>
    <w:p w14:paraId="0D929931">
      <w:pPr>
        <w:numPr>
          <w:ilvl w:val="0"/>
          <w:numId w:val="2"/>
        </w:numPr>
        <w:adjustRightInd w:val="0"/>
        <w:snapToGrid w:val="0"/>
        <w:spacing w:before="0" w:beforeAutospacing="0" w:after="0" w:afterAutospacing="0" w:line="460" w:lineRule="exact"/>
        <w:ind w:firstLine="560" w:firstLineChars="200"/>
        <w:jc w:val="left"/>
        <w:rPr>
          <w:rFonts w:hint="eastAsia" w:ascii="宋体" w:hAnsi="宋体" w:cs="宋体"/>
          <w:sz w:val="28"/>
          <w:szCs w:val="28"/>
        </w:rPr>
      </w:pPr>
      <w:r>
        <w:rPr>
          <w:rFonts w:hint="eastAsia" w:ascii="宋体" w:hAnsi="宋体" w:cs="宋体"/>
          <w:sz w:val="28"/>
          <w:szCs w:val="28"/>
        </w:rPr>
        <w:t>电梯迫降：</w:t>
      </w:r>
    </w:p>
    <w:p w14:paraId="5725BD01">
      <w:pPr>
        <w:adjustRightInd w:val="0"/>
        <w:snapToGrid w:val="0"/>
        <w:spacing w:before="0" w:beforeAutospacing="0" w:after="0" w:afterAutospacing="0" w:line="460" w:lineRule="exact"/>
        <w:jc w:val="left"/>
        <w:rPr>
          <w:rFonts w:hint="eastAsia" w:ascii="宋体" w:hAnsi="宋体" w:cs="宋体"/>
          <w:b/>
          <w:sz w:val="28"/>
          <w:szCs w:val="28"/>
        </w:rPr>
      </w:pPr>
      <w:r>
        <w:rPr>
          <w:rFonts w:hint="eastAsia" w:ascii="宋体" w:hAnsi="宋体" w:cs="宋体"/>
          <w:sz w:val="28"/>
          <w:szCs w:val="28"/>
        </w:rPr>
        <w:t xml:space="preserve">    检查火灾报警主机在火警联动状态下，所有电梯回航至首层或转换层是否正常以及消防电梯消防员功能是否正常。</w:t>
      </w:r>
    </w:p>
    <w:p w14:paraId="173420B6">
      <w:pPr>
        <w:rPr>
          <w:rFonts w:hint="eastAsia" w:ascii="宋体" w:hAnsi="宋体" w:cs="宋体"/>
          <w:b/>
          <w:sz w:val="28"/>
          <w:szCs w:val="28"/>
        </w:rPr>
      </w:pPr>
      <w:r>
        <w:rPr>
          <w:rFonts w:hint="eastAsia" w:ascii="宋体" w:hAnsi="宋体" w:cs="宋体"/>
          <w:b/>
          <w:sz w:val="28"/>
          <w:szCs w:val="28"/>
        </w:rPr>
        <w:br w:type="page"/>
      </w:r>
      <w:r>
        <w:rPr>
          <w:rFonts w:hint="eastAsia" w:ascii="宋体" w:hAnsi="宋体" w:cs="宋体"/>
          <w:b/>
          <w:sz w:val="28"/>
          <w:szCs w:val="28"/>
        </w:rPr>
        <w:t>附件三</w:t>
      </w:r>
    </w:p>
    <w:p w14:paraId="6720EA37">
      <w:pPr>
        <w:adjustRightInd w:val="0"/>
        <w:snapToGrid w:val="0"/>
        <w:spacing w:line="360" w:lineRule="auto"/>
        <w:ind w:firstLine="643" w:firstLineChars="200"/>
        <w:jc w:val="center"/>
        <w:outlineLvl w:val="0"/>
        <w:rPr>
          <w:rFonts w:hint="eastAsia" w:ascii="宋体" w:hAnsi="宋体" w:cs="宋体"/>
          <w:b/>
          <w:sz w:val="32"/>
          <w:szCs w:val="32"/>
        </w:rPr>
      </w:pPr>
      <w:r>
        <w:rPr>
          <w:rFonts w:hint="eastAsia" w:ascii="宋体" w:hAnsi="宋体" w:cs="宋体"/>
          <w:b/>
          <w:sz w:val="32"/>
          <w:szCs w:val="32"/>
        </w:rPr>
        <w:t>消防设施维护保养费用结算确认函</w:t>
      </w:r>
    </w:p>
    <w:p w14:paraId="3678D699">
      <w:pPr>
        <w:adjustRightInd w:val="0"/>
        <w:snapToGrid w:val="0"/>
        <w:spacing w:line="360" w:lineRule="exact"/>
        <w:ind w:firstLine="560" w:firstLineChars="200"/>
        <w:jc w:val="left"/>
        <w:rPr>
          <w:rFonts w:hint="eastAsia" w:ascii="宋体" w:hAnsi="宋体" w:cs="宋体"/>
          <w:sz w:val="28"/>
          <w:szCs w:val="28"/>
        </w:rPr>
      </w:pPr>
      <w:r>
        <w:rPr>
          <w:rFonts w:hint="eastAsia" w:ascii="宋体" w:hAnsi="宋体" w:cs="宋体"/>
          <w:sz w:val="28"/>
          <w:szCs w:val="28"/>
        </w:rPr>
        <w:t>根据我物业服务中心与</w:t>
      </w:r>
      <w:r>
        <w:rPr>
          <w:rFonts w:hint="eastAsia" w:ascii="宋体" w:hAnsi="宋体" w:cs="宋体"/>
          <w:sz w:val="28"/>
          <w:szCs w:val="28"/>
          <w:u w:val="single"/>
        </w:rPr>
        <w:t xml:space="preserve">  广东富盈建设有限  </w:t>
      </w:r>
      <w:r>
        <w:rPr>
          <w:rFonts w:hint="eastAsia" w:ascii="宋体" w:hAnsi="宋体" w:cs="宋体"/>
          <w:sz w:val="28"/>
          <w:szCs w:val="28"/>
        </w:rPr>
        <w:t>公司签订的《消防设施维护保养合同》的付款约定，我物业服务中心（管理处）经过对维保单位季度考核，具体情况如下：</w:t>
      </w:r>
    </w:p>
    <w:p w14:paraId="0878403C">
      <w:pPr>
        <w:numPr>
          <w:ilvl w:val="0"/>
          <w:numId w:val="3"/>
        </w:numPr>
        <w:adjustRightInd w:val="0"/>
        <w:snapToGrid w:val="0"/>
        <w:spacing w:before="0" w:beforeAutospacing="0" w:after="0" w:afterAutospacing="0" w:line="360" w:lineRule="exact"/>
        <w:ind w:left="0" w:firstLine="560" w:firstLineChars="200"/>
        <w:jc w:val="left"/>
        <w:outlineLvl w:val="0"/>
        <w:rPr>
          <w:rFonts w:hint="eastAsia" w:ascii="宋体" w:hAnsi="宋体" w:cs="宋体"/>
          <w:sz w:val="28"/>
          <w:szCs w:val="28"/>
        </w:rPr>
      </w:pPr>
      <w:r>
        <w:rPr>
          <w:rFonts w:hint="eastAsia" w:ascii="宋体" w:hAnsi="宋体" w:cs="宋体"/>
          <w:sz w:val="28"/>
          <w:szCs w:val="28"/>
        </w:rPr>
        <w:t>季度考核情况：</w:t>
      </w:r>
    </w:p>
    <w:p w14:paraId="2EEF9FEB">
      <w:pPr>
        <w:adjustRightInd w:val="0"/>
        <w:snapToGrid w:val="0"/>
        <w:spacing w:line="360" w:lineRule="exact"/>
        <w:ind w:firstLine="560" w:firstLineChars="200"/>
        <w:jc w:val="left"/>
        <w:rPr>
          <w:rFonts w:hint="eastAsia" w:ascii="宋体" w:hAnsi="宋体" w:cs="宋体"/>
          <w:sz w:val="28"/>
          <w:szCs w:val="28"/>
        </w:rPr>
      </w:pPr>
      <w:r>
        <w:rPr>
          <w:rFonts w:hint="eastAsia" w:ascii="宋体" w:hAnsi="宋体" w:cs="宋体"/>
          <w:sz w:val="28"/>
          <w:szCs w:val="28"/>
        </w:rPr>
        <w:t>问题描述</w:t>
      </w:r>
    </w:p>
    <w:p w14:paraId="62115EA2">
      <w:pPr>
        <w:adjustRightInd w:val="0"/>
        <w:snapToGrid w:val="0"/>
        <w:spacing w:line="360" w:lineRule="exact"/>
        <w:ind w:firstLine="560" w:firstLineChars="200"/>
        <w:jc w:val="left"/>
        <w:rPr>
          <w:rFonts w:hint="eastAsia" w:ascii="宋体" w:hAnsi="宋体" w:cs="宋体"/>
          <w:sz w:val="28"/>
          <w:szCs w:val="28"/>
        </w:rPr>
      </w:pPr>
    </w:p>
    <w:p w14:paraId="5C8D20F2">
      <w:pPr>
        <w:adjustRightInd w:val="0"/>
        <w:snapToGrid w:val="0"/>
        <w:spacing w:line="3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2、季度维保费用结算：</w:t>
      </w:r>
    </w:p>
    <w:p w14:paraId="21EA3D79">
      <w:pPr>
        <w:adjustRightInd w:val="0"/>
        <w:snapToGrid w:val="0"/>
        <w:spacing w:line="360" w:lineRule="exact"/>
        <w:ind w:firstLine="560" w:firstLineChars="200"/>
        <w:jc w:val="left"/>
        <w:rPr>
          <w:rFonts w:hint="eastAsia" w:ascii="宋体" w:hAnsi="宋体" w:cs="宋体"/>
          <w:sz w:val="28"/>
          <w:szCs w:val="28"/>
        </w:rPr>
      </w:pPr>
      <w:r>
        <w:rPr>
          <w:rFonts w:hint="eastAsia" w:ascii="宋体" w:hAnsi="宋体" w:cs="宋体"/>
          <w:sz w:val="28"/>
          <w:szCs w:val="28"/>
        </w:rPr>
        <w:t>根据合同规定，20</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 xml:space="preserve">季度的维保费为 </w:t>
      </w:r>
      <w:r>
        <w:rPr>
          <w:rFonts w:hint="eastAsia" w:ascii="宋体" w:hAnsi="宋体" w:cs="宋体"/>
          <w:sz w:val="28"/>
          <w:szCs w:val="28"/>
          <w:u w:val="single"/>
        </w:rPr>
        <w:t xml:space="preserve">        </w:t>
      </w:r>
      <w:r>
        <w:rPr>
          <w:rFonts w:hint="eastAsia" w:ascii="宋体" w:hAnsi="宋体" w:cs="宋体"/>
          <w:sz w:val="28"/>
          <w:szCs w:val="28"/>
        </w:rPr>
        <w:t>元，需扣减费用</w:t>
      </w:r>
      <w:r>
        <w:rPr>
          <w:rFonts w:hint="eastAsia" w:ascii="宋体" w:hAnsi="宋体" w:cs="宋体"/>
          <w:sz w:val="28"/>
          <w:szCs w:val="28"/>
          <w:u w:val="single"/>
        </w:rPr>
        <w:t xml:space="preserve">           </w:t>
      </w:r>
      <w:r>
        <w:rPr>
          <w:rFonts w:hint="eastAsia" w:ascii="宋体" w:hAnsi="宋体" w:cs="宋体"/>
          <w:sz w:val="28"/>
          <w:szCs w:val="28"/>
        </w:rPr>
        <w:t>元，实际应付费用为</w:t>
      </w:r>
      <w:r>
        <w:rPr>
          <w:rFonts w:hint="eastAsia" w:ascii="宋体" w:hAnsi="宋体" w:cs="宋体"/>
          <w:sz w:val="28"/>
          <w:szCs w:val="28"/>
          <w:u w:val="single"/>
        </w:rPr>
        <w:t xml:space="preserve">          </w:t>
      </w:r>
      <w:r>
        <w:rPr>
          <w:rFonts w:hint="eastAsia" w:ascii="宋体" w:hAnsi="宋体" w:cs="宋体"/>
          <w:sz w:val="28"/>
          <w:szCs w:val="28"/>
        </w:rPr>
        <w:t>元。</w:t>
      </w:r>
    </w:p>
    <w:p w14:paraId="5B831879">
      <w:pPr>
        <w:adjustRightInd w:val="0"/>
        <w:snapToGrid w:val="0"/>
        <w:spacing w:line="360" w:lineRule="exact"/>
        <w:ind w:firstLine="560" w:firstLineChars="200"/>
        <w:jc w:val="left"/>
        <w:rPr>
          <w:rFonts w:hint="eastAsia" w:ascii="宋体" w:hAnsi="宋体" w:cs="宋体"/>
          <w:sz w:val="28"/>
          <w:szCs w:val="28"/>
        </w:rPr>
      </w:pPr>
      <w:r>
        <w:rPr>
          <w:rFonts w:hint="eastAsia" w:ascii="宋体" w:hAnsi="宋体" w:cs="宋体"/>
          <w:sz w:val="28"/>
          <w:szCs w:val="28"/>
        </w:rPr>
        <w:t>扣款原因：</w:t>
      </w:r>
    </w:p>
    <w:p w14:paraId="0C17B087">
      <w:pPr>
        <w:adjustRightInd w:val="0"/>
        <w:snapToGrid w:val="0"/>
        <w:spacing w:line="360" w:lineRule="exact"/>
        <w:ind w:firstLine="560" w:firstLineChars="200"/>
        <w:jc w:val="left"/>
        <w:rPr>
          <w:rFonts w:hint="eastAsia" w:ascii="宋体" w:hAnsi="宋体" w:cs="宋体"/>
          <w:sz w:val="28"/>
          <w:szCs w:val="28"/>
        </w:rPr>
      </w:pPr>
    </w:p>
    <w:p w14:paraId="230F21F2">
      <w:pPr>
        <w:adjustRightInd w:val="0"/>
        <w:snapToGrid w:val="0"/>
        <w:spacing w:line="3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3、维保单位确认</w:t>
      </w:r>
    </w:p>
    <w:p w14:paraId="7C25D29B">
      <w:pPr>
        <w:adjustRightInd w:val="0"/>
        <w:snapToGrid w:val="0"/>
        <w:spacing w:line="360" w:lineRule="exact"/>
        <w:ind w:firstLine="560" w:firstLineChars="200"/>
        <w:jc w:val="left"/>
        <w:rPr>
          <w:rFonts w:hint="eastAsia" w:ascii="宋体" w:hAnsi="宋体" w:cs="宋体"/>
          <w:sz w:val="28"/>
          <w:szCs w:val="28"/>
        </w:rPr>
      </w:pPr>
      <w:r>
        <w:rPr>
          <w:rFonts w:hint="eastAsia" w:ascii="宋体" w:hAnsi="宋体" w:cs="宋体"/>
          <w:sz w:val="28"/>
          <w:szCs w:val="28"/>
        </w:rPr>
        <w:t>我司承诺尽快整改第1项中描述的问题，并同意按第2项核对的费用进行付款。</w:t>
      </w:r>
    </w:p>
    <w:p w14:paraId="32FE12CB">
      <w:pPr>
        <w:adjustRightInd w:val="0"/>
        <w:snapToGrid w:val="0"/>
        <w:spacing w:line="360" w:lineRule="exact"/>
        <w:ind w:firstLine="4620" w:firstLineChars="1650"/>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u w:val="single"/>
        </w:rPr>
        <w:t xml:space="preserve">                </w:t>
      </w:r>
      <w:r>
        <w:rPr>
          <w:rFonts w:hint="eastAsia" w:ascii="宋体" w:hAnsi="宋体" w:cs="宋体"/>
          <w:sz w:val="28"/>
          <w:szCs w:val="28"/>
        </w:rPr>
        <w:t>公司（盖章）</w:t>
      </w:r>
    </w:p>
    <w:p w14:paraId="74991503">
      <w:pPr>
        <w:adjustRightInd w:val="0"/>
        <w:snapToGrid w:val="0"/>
        <w:spacing w:line="360" w:lineRule="exact"/>
        <w:ind w:firstLine="560" w:firstLineChars="200"/>
        <w:jc w:val="left"/>
        <w:rPr>
          <w:rFonts w:hint="eastAsia" w:ascii="宋体" w:hAnsi="宋体" w:cs="宋体"/>
          <w:sz w:val="28"/>
          <w:szCs w:val="28"/>
        </w:rPr>
      </w:pPr>
      <w:r>
        <w:rPr>
          <w:rFonts w:hint="eastAsia" w:ascii="宋体" w:hAnsi="宋体" w:cs="宋体"/>
          <w:sz w:val="28"/>
          <w:szCs w:val="28"/>
        </w:rPr>
        <w:t xml:space="preserve">                                      代表签名：</w:t>
      </w:r>
    </w:p>
    <w:p w14:paraId="11578B09">
      <w:pPr>
        <w:adjustRightInd w:val="0"/>
        <w:snapToGrid w:val="0"/>
        <w:spacing w:line="360" w:lineRule="exact"/>
        <w:ind w:firstLine="560" w:firstLineChars="200"/>
        <w:jc w:val="left"/>
        <w:rPr>
          <w:rFonts w:hint="eastAsia" w:ascii="宋体" w:hAnsi="宋体" w:cs="宋体"/>
          <w:sz w:val="28"/>
          <w:szCs w:val="28"/>
        </w:rPr>
      </w:pPr>
      <w:r>
        <w:rPr>
          <w:rFonts w:hint="eastAsia" w:ascii="宋体" w:hAnsi="宋体" w:cs="宋体"/>
          <w:sz w:val="28"/>
          <w:szCs w:val="28"/>
        </w:rPr>
        <w:t xml:space="preserve">                                          年    月    日</w:t>
      </w:r>
    </w:p>
    <w:p w14:paraId="6E7D4455">
      <w:pPr>
        <w:adjustRightInd w:val="0"/>
        <w:snapToGrid w:val="0"/>
        <w:spacing w:line="360" w:lineRule="exact"/>
        <w:ind w:firstLine="560" w:firstLineChars="200"/>
        <w:jc w:val="left"/>
        <w:outlineLvl w:val="0"/>
        <w:rPr>
          <w:rFonts w:hint="eastAsia" w:ascii="宋体" w:hAnsi="宋体" w:cs="宋体"/>
          <w:sz w:val="28"/>
          <w:szCs w:val="28"/>
        </w:rPr>
      </w:pPr>
      <w:r>
        <w:rPr>
          <w:rFonts w:hint="eastAsia" w:ascii="宋体" w:hAnsi="宋体" w:cs="宋体"/>
          <w:sz w:val="28"/>
          <w:szCs w:val="28"/>
        </w:rPr>
        <w:t>4、物业服务中心（管理处）确认</w:t>
      </w:r>
    </w:p>
    <w:p w14:paraId="1647D5A6">
      <w:pPr>
        <w:adjustRightInd w:val="0"/>
        <w:snapToGrid w:val="0"/>
        <w:spacing w:line="360" w:lineRule="exact"/>
        <w:ind w:firstLine="560" w:firstLineChars="200"/>
        <w:jc w:val="left"/>
        <w:rPr>
          <w:rFonts w:hint="eastAsia" w:ascii="宋体" w:hAnsi="宋体" w:cs="宋体"/>
          <w:sz w:val="28"/>
          <w:szCs w:val="28"/>
        </w:rPr>
      </w:pPr>
      <w:r>
        <w:rPr>
          <w:rFonts w:hint="eastAsia" w:ascii="宋体" w:hAnsi="宋体" w:cs="宋体"/>
          <w:sz w:val="28"/>
          <w:szCs w:val="28"/>
        </w:rPr>
        <w:t>同意按第2项核对的费用进行付款</w:t>
      </w:r>
    </w:p>
    <w:p w14:paraId="09C2077C">
      <w:pPr>
        <w:adjustRightInd w:val="0"/>
        <w:snapToGrid w:val="0"/>
        <w:spacing w:line="360" w:lineRule="exact"/>
        <w:ind w:firstLine="4760" w:firstLineChars="1700"/>
        <w:jc w:val="left"/>
        <w:rPr>
          <w:rFonts w:hint="eastAsia" w:ascii="宋体" w:hAnsi="宋体" w:cs="宋体"/>
          <w:sz w:val="28"/>
          <w:szCs w:val="28"/>
        </w:rPr>
      </w:pPr>
      <w:r>
        <w:rPr>
          <w:rFonts w:hint="eastAsia" w:ascii="宋体" w:hAnsi="宋体" w:cs="宋体"/>
          <w:sz w:val="28"/>
          <w:szCs w:val="28"/>
          <w:u w:val="single"/>
        </w:rPr>
        <w:t xml:space="preserve">            </w:t>
      </w:r>
      <w:r>
        <w:rPr>
          <w:rFonts w:hint="eastAsia" w:ascii="宋体" w:hAnsi="宋体" w:cs="宋体"/>
          <w:sz w:val="28"/>
          <w:szCs w:val="28"/>
        </w:rPr>
        <w:t>物业服务中心（盖章）</w:t>
      </w:r>
    </w:p>
    <w:p w14:paraId="0668EC6C">
      <w:pPr>
        <w:adjustRightInd w:val="0"/>
        <w:snapToGrid w:val="0"/>
        <w:spacing w:line="360" w:lineRule="auto"/>
        <w:ind w:firstLine="560" w:firstLineChars="200"/>
        <w:jc w:val="left"/>
        <w:rPr>
          <w:rFonts w:ascii="仿宋" w:hAnsi="仿宋" w:eastAsia="仿宋"/>
          <w:sz w:val="28"/>
          <w:szCs w:val="28"/>
        </w:rPr>
      </w:pPr>
      <w:r>
        <w:rPr>
          <w:rFonts w:hint="eastAsia" w:ascii="宋体" w:hAnsi="宋体" w:cs="宋体"/>
          <w:sz w:val="28"/>
          <w:szCs w:val="28"/>
        </w:rPr>
        <w:t xml:space="preserve">                                          年   </w:t>
      </w:r>
      <w:r>
        <w:rPr>
          <w:rFonts w:hint="eastAsia" w:ascii="仿宋" w:hAnsi="仿宋" w:eastAsia="仿宋"/>
          <w:sz w:val="28"/>
          <w:szCs w:val="28"/>
        </w:rPr>
        <w:t xml:space="preserve"> 月    日</w:t>
      </w:r>
    </w:p>
    <w:p w14:paraId="4D205C1E">
      <w:pPr>
        <w:adjustRightInd w:val="0"/>
        <w:snapToGrid w:val="0"/>
        <w:spacing w:line="360" w:lineRule="auto"/>
        <w:jc w:val="left"/>
        <w:rPr>
          <w:rFonts w:ascii="宋体" w:hAnsi="宋体"/>
          <w:b/>
          <w:color w:val="000000"/>
          <w:sz w:val="24"/>
          <w:lang w:val="zh-CN"/>
        </w:rPr>
      </w:pPr>
      <w:r>
        <w:rPr>
          <w:rFonts w:hint="eastAsia" w:ascii="宋体" w:hAnsi="宋体" w:cs="宋体"/>
          <w:b/>
          <w:sz w:val="28"/>
          <w:szCs w:val="28"/>
        </w:rPr>
        <w:t>附件</w:t>
      </w:r>
      <w:r>
        <w:rPr>
          <w:rFonts w:hint="eastAsia" w:ascii="宋体" w:hAnsi="宋体" w:cs="宋体"/>
          <w:b/>
          <w:sz w:val="28"/>
          <w:szCs w:val="28"/>
          <w:lang w:val="en-US" w:eastAsia="zh-CN"/>
        </w:rPr>
        <w:t>四</w:t>
      </w:r>
      <w:r>
        <w:rPr>
          <w:rFonts w:hint="eastAsia" w:ascii="宋体" w:hAnsi="宋体"/>
          <w:color w:val="000000"/>
          <w:sz w:val="24"/>
        </w:rPr>
        <w:t>：</w:t>
      </w:r>
    </w:p>
    <w:p w14:paraId="51669B23">
      <w:pPr>
        <w:spacing w:line="360" w:lineRule="auto"/>
        <w:jc w:val="center"/>
        <w:rPr>
          <w:rFonts w:ascii="宋体" w:hAnsi="宋体"/>
          <w:b/>
          <w:color w:val="000000"/>
          <w:sz w:val="24"/>
          <w:lang w:val="zh-CN"/>
        </w:rPr>
      </w:pPr>
      <w:r>
        <w:rPr>
          <w:rFonts w:hint="eastAsia" w:ascii="宋体" w:hAnsi="宋体"/>
          <w:b/>
          <w:color w:val="000000"/>
          <w:sz w:val="24"/>
          <w:lang w:val="zh-CN"/>
        </w:rPr>
        <w:t>廉政诚信协议书</w:t>
      </w:r>
    </w:p>
    <w:p w14:paraId="001399FD">
      <w:pPr>
        <w:tabs>
          <w:tab w:val="left" w:pos="0"/>
          <w:tab w:val="left" w:pos="993"/>
          <w:tab w:val="left" w:pos="1134"/>
        </w:tabs>
        <w:spacing w:line="360" w:lineRule="auto"/>
        <w:rPr>
          <w:rFonts w:ascii="宋体" w:hAnsi="宋体"/>
          <w:color w:val="000000"/>
          <w:sz w:val="24"/>
          <w:u w:val="single"/>
          <w:lang w:val="zh-CN"/>
        </w:rPr>
      </w:pPr>
      <w:r>
        <w:rPr>
          <w:rFonts w:hint="eastAsia" w:ascii="宋体" w:hAnsi="宋体"/>
          <w:b/>
          <w:bCs/>
          <w:color w:val="000000"/>
          <w:sz w:val="24"/>
          <w:lang w:val="zh-CN"/>
        </w:rPr>
        <w:t>发包人：</w:t>
      </w:r>
      <w:r>
        <w:rPr>
          <w:rFonts w:hint="eastAsia" w:ascii="宋体" w:hAnsi="宋体" w:cs="宋体"/>
          <w:sz w:val="24"/>
        </w:rPr>
        <w:t>深业物业运营集团股份有限公司</w:t>
      </w:r>
      <w:r>
        <w:rPr>
          <w:rFonts w:hint="eastAsia" w:ascii="宋体" w:hAnsi="宋体" w:cs="宋体"/>
          <w:sz w:val="24"/>
          <w:lang w:val="en-US" w:eastAsia="zh-CN"/>
        </w:rPr>
        <w:t>深业中心管理处</w:t>
      </w:r>
      <w:r>
        <w:rPr>
          <w:rFonts w:hint="eastAsia" w:ascii="宋体" w:hAnsi="宋体"/>
          <w:color w:val="000000"/>
          <w:sz w:val="24"/>
          <w:lang w:val="zh-CN"/>
        </w:rPr>
        <w:t>（以下简称甲方）</w:t>
      </w:r>
    </w:p>
    <w:p w14:paraId="168FC59F">
      <w:pPr>
        <w:spacing w:line="360" w:lineRule="auto"/>
        <w:rPr>
          <w:rFonts w:ascii="宋体" w:hAnsi="宋体"/>
          <w:color w:val="000000"/>
          <w:sz w:val="24"/>
          <w:lang w:val="zh-CN"/>
        </w:rPr>
      </w:pPr>
      <w:r>
        <w:rPr>
          <w:rFonts w:hint="eastAsia" w:ascii="宋体" w:hAnsi="宋体"/>
          <w:b/>
          <w:bCs/>
          <w:color w:val="000000"/>
          <w:sz w:val="24"/>
          <w:lang w:val="zh-CN"/>
        </w:rPr>
        <w:t>承包人：</w:t>
      </w:r>
      <w:r>
        <w:rPr>
          <w:rFonts w:hint="eastAsia" w:ascii="宋体" w:hAnsi="宋体" w:cs="宋体"/>
          <w:sz w:val="24"/>
        </w:rPr>
        <w:t>广东富盈建设有限公司（以下简称乙方）</w:t>
      </w:r>
    </w:p>
    <w:p w14:paraId="4FF8A22F">
      <w:pPr>
        <w:spacing w:line="360" w:lineRule="auto"/>
        <w:ind w:firstLine="420"/>
        <w:rPr>
          <w:rFonts w:ascii="宋体" w:hAnsi="宋体"/>
          <w:color w:val="000000"/>
          <w:sz w:val="24"/>
          <w:lang w:val="zh-CN"/>
        </w:rPr>
      </w:pPr>
      <w:r>
        <w:rPr>
          <w:rFonts w:hint="eastAsia" w:ascii="宋体" w:hAnsi="宋体"/>
          <w:color w:val="000000"/>
          <w:sz w:val="24"/>
          <w:lang w:val="zh-CN"/>
        </w:rPr>
        <w:t>为了加强工程项目建设中的廉政管理，杜绝各种不正当行为的发生，经甲乙双方同意，签订此廉政诚信协议书，作为甲乙双方共同遵守的廉政诚信行为准则：</w:t>
      </w:r>
    </w:p>
    <w:p w14:paraId="79D588B9">
      <w:pPr>
        <w:spacing w:line="360" w:lineRule="auto"/>
        <w:ind w:firstLine="420"/>
        <w:rPr>
          <w:rFonts w:ascii="宋体" w:hAnsi="宋体"/>
          <w:color w:val="000000"/>
          <w:sz w:val="24"/>
          <w:lang w:val="zh-CN"/>
        </w:rPr>
      </w:pPr>
      <w:r>
        <w:rPr>
          <w:rFonts w:hint="eastAsia" w:ascii="宋体" w:hAnsi="宋体"/>
          <w:color w:val="000000"/>
          <w:sz w:val="24"/>
          <w:lang w:val="zh-CN"/>
        </w:rPr>
        <w:t>1．甲方人员在工程招标或工程履行过程中，不得以任何形式向投标单位或乙方索要和收受回扣等好处费。</w:t>
      </w:r>
    </w:p>
    <w:p w14:paraId="7B0B0F1B">
      <w:pPr>
        <w:spacing w:line="360" w:lineRule="auto"/>
        <w:ind w:firstLine="420"/>
        <w:rPr>
          <w:rFonts w:ascii="宋体" w:hAnsi="宋体"/>
          <w:color w:val="000000"/>
          <w:sz w:val="24"/>
          <w:lang w:val="zh-CN"/>
        </w:rPr>
      </w:pPr>
      <w:r>
        <w:rPr>
          <w:rFonts w:hint="eastAsia" w:ascii="宋体" w:hAnsi="宋体"/>
          <w:color w:val="000000"/>
          <w:sz w:val="24"/>
          <w:lang w:val="zh-CN"/>
        </w:rPr>
        <w:t>2．甲方人员不得接受乙方的礼金、有价证劵，不得在乙方或材料设备供应商处报销任何由个人支付的费用。</w:t>
      </w:r>
    </w:p>
    <w:p w14:paraId="40125B81">
      <w:pPr>
        <w:spacing w:line="360" w:lineRule="auto"/>
        <w:ind w:firstLine="420"/>
        <w:rPr>
          <w:rFonts w:ascii="宋体" w:hAnsi="宋体"/>
          <w:color w:val="000000"/>
          <w:sz w:val="24"/>
          <w:lang w:val="zh-CN"/>
        </w:rPr>
      </w:pPr>
      <w:r>
        <w:rPr>
          <w:rFonts w:hint="eastAsia" w:ascii="宋体" w:hAnsi="宋体"/>
          <w:color w:val="000000"/>
          <w:sz w:val="24"/>
          <w:lang w:val="zh-CN"/>
        </w:rPr>
        <w:t>3．甲方人员不得参加乙方非正常的宴请和娱乐活动。参加乙方邀的正常宴请和会议，需经主管领导同意。</w:t>
      </w:r>
    </w:p>
    <w:p w14:paraId="737DE868">
      <w:pPr>
        <w:spacing w:line="360" w:lineRule="auto"/>
        <w:ind w:firstLine="420"/>
        <w:rPr>
          <w:rFonts w:ascii="宋体" w:hAnsi="宋体"/>
          <w:color w:val="000000"/>
          <w:sz w:val="24"/>
          <w:lang w:val="zh-CN"/>
        </w:rPr>
      </w:pPr>
      <w:r>
        <w:rPr>
          <w:rFonts w:hint="eastAsia" w:ascii="宋体" w:hAnsi="宋体"/>
          <w:color w:val="000000"/>
          <w:sz w:val="24"/>
          <w:lang w:val="zh-CN"/>
        </w:rPr>
        <w:t>4．甲方人员不得要求乙方或者接受乙方及材料设备供应商为其住房装修、婚丧嫁娶、家属和子女的工作安排以及出国等提供方便。</w:t>
      </w:r>
    </w:p>
    <w:p w14:paraId="3509A755">
      <w:pPr>
        <w:spacing w:line="360" w:lineRule="auto"/>
        <w:ind w:firstLine="420"/>
        <w:rPr>
          <w:rFonts w:ascii="宋体" w:hAnsi="宋体"/>
          <w:color w:val="000000"/>
          <w:sz w:val="24"/>
          <w:lang w:val="zh-CN"/>
        </w:rPr>
      </w:pPr>
      <w:r>
        <w:rPr>
          <w:rFonts w:hint="eastAsia" w:ascii="宋体" w:hAnsi="宋体"/>
          <w:color w:val="000000"/>
          <w:sz w:val="24"/>
          <w:lang w:val="zh-CN"/>
        </w:rPr>
        <w:t>5．双方不得相互介绍家属或者亲友等利害关系人从事与甲方工程有关的经济活动。双方各工作人员不得至对方工作人员私人住所处联系各相关事宜。</w:t>
      </w:r>
    </w:p>
    <w:p w14:paraId="2DB92367">
      <w:pPr>
        <w:spacing w:line="360" w:lineRule="auto"/>
        <w:ind w:firstLine="420"/>
        <w:rPr>
          <w:rFonts w:ascii="宋体" w:hAnsi="宋体"/>
          <w:color w:val="000000"/>
          <w:sz w:val="24"/>
          <w:lang w:val="zh-CN"/>
        </w:rPr>
      </w:pPr>
      <w:r>
        <w:rPr>
          <w:rFonts w:hint="eastAsia" w:ascii="宋体" w:hAnsi="宋体"/>
          <w:color w:val="000000"/>
          <w:sz w:val="24"/>
          <w:lang w:val="zh-CN"/>
        </w:rPr>
        <w:t>6．甲方人员不得为谋取私利擅自与乙方工作人员及承包商、材料设备供应商就工程承包、工程费用、材料设备供应、工程量变动、工程验收、工程质量问题处理进行私下商谈或者达成默契。</w:t>
      </w:r>
    </w:p>
    <w:p w14:paraId="3E153131">
      <w:pPr>
        <w:spacing w:line="360" w:lineRule="auto"/>
        <w:ind w:firstLine="420"/>
        <w:rPr>
          <w:rFonts w:ascii="宋体" w:hAnsi="宋体"/>
          <w:color w:val="000000"/>
          <w:sz w:val="24"/>
          <w:lang w:val="zh-CN"/>
        </w:rPr>
      </w:pPr>
      <w:r>
        <w:rPr>
          <w:rFonts w:hint="eastAsia" w:ascii="宋体" w:hAnsi="宋体"/>
          <w:color w:val="000000"/>
          <w:sz w:val="24"/>
          <w:lang w:val="zh-CN"/>
        </w:rPr>
        <w:t>7．乙方或材料设备供应商不得以洽谈工作、签订经济合同为借口，邀请甲方人员外出旅游和进入营业性娱乐场所。</w:t>
      </w:r>
    </w:p>
    <w:p w14:paraId="642A62A0">
      <w:pPr>
        <w:spacing w:line="360" w:lineRule="auto"/>
        <w:ind w:firstLine="420"/>
        <w:rPr>
          <w:rFonts w:ascii="宋体" w:hAnsi="宋体"/>
          <w:color w:val="000000"/>
          <w:sz w:val="24"/>
          <w:lang w:val="zh-CN"/>
        </w:rPr>
      </w:pPr>
      <w:r>
        <w:rPr>
          <w:rFonts w:hint="eastAsia" w:ascii="宋体" w:hAnsi="宋体"/>
          <w:color w:val="000000"/>
          <w:sz w:val="24"/>
          <w:lang w:val="zh-CN"/>
        </w:rPr>
        <w:t>8．乙方或材料设备供应商不得为甲方工作人员购置或者提供通讯工具、交通工具、家电、家具和高档办公用品等物品。</w:t>
      </w:r>
    </w:p>
    <w:p w14:paraId="2A757C68">
      <w:pPr>
        <w:spacing w:line="360" w:lineRule="auto"/>
        <w:ind w:firstLine="420"/>
        <w:rPr>
          <w:rFonts w:ascii="宋体" w:hAnsi="宋体"/>
          <w:color w:val="000000"/>
          <w:sz w:val="24"/>
          <w:lang w:val="zh-CN"/>
        </w:rPr>
      </w:pPr>
      <w:r>
        <w:rPr>
          <w:rFonts w:hint="eastAsia" w:ascii="宋体" w:hAnsi="宋体"/>
          <w:color w:val="000000"/>
          <w:sz w:val="24"/>
          <w:lang w:val="zh-CN"/>
        </w:rPr>
        <w:t>9．双方如发现对方人员有违反上述协议者，应向对方领导举报，双方不得找任何借口向对方进行报复。</w:t>
      </w:r>
    </w:p>
    <w:p w14:paraId="7E92B859">
      <w:pPr>
        <w:spacing w:line="360" w:lineRule="auto"/>
        <w:ind w:firstLine="420"/>
        <w:rPr>
          <w:rFonts w:ascii="宋体" w:hAnsi="宋体"/>
          <w:color w:val="000000"/>
          <w:sz w:val="24"/>
          <w:lang w:val="zh-CN"/>
        </w:rPr>
      </w:pPr>
      <w:r>
        <w:rPr>
          <w:rFonts w:hint="eastAsia" w:ascii="宋体" w:hAnsi="宋体"/>
          <w:color w:val="000000"/>
          <w:sz w:val="24"/>
          <w:lang w:val="zh-CN"/>
        </w:rPr>
        <w:t>10．在投标活动中一经查实，立即取消乙方投标资格，没收投标保证金，且甲方保留进一步追究乙方法律责任的权利。</w:t>
      </w:r>
    </w:p>
    <w:p w14:paraId="525596A0">
      <w:pPr>
        <w:spacing w:line="360" w:lineRule="auto"/>
        <w:ind w:firstLine="420"/>
        <w:rPr>
          <w:rFonts w:ascii="宋体" w:hAnsi="宋体"/>
          <w:color w:val="000000"/>
          <w:sz w:val="24"/>
          <w:lang w:val="zh-CN"/>
        </w:rPr>
      </w:pPr>
      <w:r>
        <w:rPr>
          <w:rFonts w:hint="eastAsia" w:ascii="宋体" w:hAnsi="宋体"/>
          <w:color w:val="000000"/>
          <w:sz w:val="24"/>
          <w:lang w:val="zh-CN"/>
        </w:rPr>
        <w:t>11．在工程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14:paraId="79D4CA1E">
      <w:pPr>
        <w:spacing w:line="360" w:lineRule="auto"/>
        <w:ind w:firstLine="420"/>
        <w:rPr>
          <w:rFonts w:ascii="宋体" w:hAnsi="宋体"/>
          <w:color w:val="000000"/>
          <w:sz w:val="24"/>
          <w:lang w:val="zh-CN"/>
        </w:rPr>
      </w:pPr>
      <w:r>
        <w:rPr>
          <w:rFonts w:hint="eastAsia" w:ascii="宋体" w:hAnsi="宋体"/>
          <w:color w:val="000000"/>
          <w:sz w:val="24"/>
          <w:lang w:val="zh-CN"/>
        </w:rPr>
        <w:t>本廉政诚信协议作为合同附件与合同具有同等法律效力，经协议双方签署后生效。</w:t>
      </w:r>
    </w:p>
    <w:p w14:paraId="7DC2914A">
      <w:pPr>
        <w:spacing w:line="360" w:lineRule="auto"/>
        <w:ind w:firstLine="420"/>
        <w:rPr>
          <w:rFonts w:ascii="宋体" w:hAnsi="宋体"/>
          <w:color w:val="000000"/>
          <w:sz w:val="24"/>
          <w:lang w:val="zh-CN"/>
        </w:rPr>
      </w:pPr>
    </w:p>
    <w:p w14:paraId="18BDE160">
      <w:pPr>
        <w:spacing w:line="360" w:lineRule="auto"/>
        <w:ind w:firstLine="422"/>
        <w:rPr>
          <w:rFonts w:hint="eastAsia" w:ascii="宋体" w:hAnsi="宋体"/>
          <w:color w:val="000000" w:themeColor="text1"/>
          <w:sz w:val="24"/>
          <w:lang w:val="zh-CN"/>
          <w14:textFill>
            <w14:solidFill>
              <w14:schemeClr w14:val="tx1"/>
            </w14:solidFill>
          </w14:textFill>
        </w:rPr>
      </w:pPr>
      <w:r>
        <w:rPr>
          <w:rFonts w:hint="eastAsia" w:ascii="宋体" w:hAnsi="宋体"/>
          <w:b/>
          <w:color w:val="000000" w:themeColor="text1"/>
          <w:sz w:val="24"/>
          <w:lang w:val="zh-CN"/>
          <w14:textFill>
            <w14:solidFill>
              <w14:schemeClr w14:val="tx1"/>
            </w14:solidFill>
          </w14:textFill>
        </w:rPr>
        <w:t>甲方监督举报邮箱：</w:t>
      </w:r>
      <w:r>
        <w:rPr>
          <w:rFonts w:hint="eastAsia" w:ascii="宋体" w:hAnsi="宋体"/>
          <w:b/>
          <w:bCs/>
          <w:color w:val="000000" w:themeColor="text1"/>
          <w:sz w:val="24"/>
          <w:lang w:val="zh-CN"/>
          <w14:textFill>
            <w14:solidFill>
              <w14:schemeClr w14:val="tx1"/>
            </w14:solidFill>
          </w14:textFill>
        </w:rPr>
        <w:t xml:space="preserve">316498210@qq.com </w:t>
      </w:r>
      <w:r>
        <w:rPr>
          <w:rFonts w:hint="eastAsia" w:ascii="宋体" w:hAnsi="宋体"/>
          <w:color w:val="000000" w:themeColor="text1"/>
          <w:sz w:val="24"/>
          <w:lang w:val="zh-CN"/>
          <w14:textFill>
            <w14:solidFill>
              <w14:schemeClr w14:val="tx1"/>
            </w14:solidFill>
          </w14:textFill>
        </w:rPr>
        <w:t xml:space="preserve"> </w:t>
      </w:r>
    </w:p>
    <w:p w14:paraId="54031CD5">
      <w:pPr>
        <w:spacing w:line="360" w:lineRule="auto"/>
        <w:ind w:firstLine="422"/>
        <w:rPr>
          <w:rFonts w:ascii="宋体" w:hAnsi="宋体"/>
          <w:color w:val="000000" w:themeColor="text1"/>
          <w:sz w:val="24"/>
          <w:lang w:val="zh-CN"/>
          <w14:textFill>
            <w14:solidFill>
              <w14:schemeClr w14:val="tx1"/>
            </w14:solidFill>
          </w14:textFill>
        </w:rPr>
      </w:pPr>
      <w:r>
        <w:rPr>
          <w:rFonts w:hint="eastAsia" w:ascii="宋体" w:hAnsi="宋体"/>
          <w:b/>
          <w:color w:val="000000" w:themeColor="text1"/>
          <w:sz w:val="24"/>
          <w:lang w:val="zh-CN"/>
          <w14:textFill>
            <w14:solidFill>
              <w14:schemeClr w14:val="tx1"/>
            </w14:solidFill>
          </w14:textFill>
        </w:rPr>
        <w:t>电话：</w:t>
      </w:r>
      <w:r>
        <w:rPr>
          <w:rFonts w:hint="eastAsia" w:ascii="宋体" w:hAnsi="宋体"/>
          <w:b/>
          <w:color w:val="000000" w:themeColor="text1"/>
          <w:sz w:val="24"/>
          <w:lang w:val="en-US" w:eastAsia="zh-CN"/>
          <w14:textFill>
            <w14:solidFill>
              <w14:schemeClr w14:val="tx1"/>
            </w14:solidFill>
          </w14:textFill>
        </w:rPr>
        <w:t>0755-</w:t>
      </w:r>
      <w:r>
        <w:rPr>
          <w:rFonts w:hint="eastAsia" w:ascii="宋体" w:hAnsi="宋体"/>
          <w:b/>
          <w:color w:val="000000" w:themeColor="text1"/>
          <w:sz w:val="24"/>
          <w:lang w:val="zh-CN"/>
          <w14:textFill>
            <w14:solidFill>
              <w14:schemeClr w14:val="tx1"/>
            </w14:solidFill>
          </w14:textFill>
        </w:rPr>
        <w:t>82204617</w:t>
      </w:r>
      <w:bookmarkStart w:id="0" w:name="_GoBack"/>
      <w:bookmarkEnd w:id="0"/>
    </w:p>
    <w:p w14:paraId="29BC6E4D">
      <w:pPr>
        <w:spacing w:line="360" w:lineRule="auto"/>
        <w:ind w:firstLine="420"/>
        <w:rPr>
          <w:rFonts w:ascii="宋体" w:hAnsi="宋体"/>
          <w:color w:val="000000"/>
          <w:sz w:val="24"/>
          <w:lang w:val="zh-CN"/>
        </w:rPr>
      </w:pPr>
    </w:p>
    <w:p w14:paraId="2F12F71E">
      <w:pPr>
        <w:spacing w:line="360" w:lineRule="auto"/>
        <w:ind w:firstLine="420"/>
        <w:rPr>
          <w:rFonts w:ascii="宋体" w:hAnsi="宋体"/>
          <w:color w:val="000000"/>
          <w:sz w:val="24"/>
          <w:lang w:val="zh-CN"/>
        </w:rPr>
      </w:pPr>
      <w:r>
        <w:rPr>
          <w:rFonts w:hint="eastAsia" w:ascii="宋体" w:hAnsi="宋体"/>
          <w:color w:val="000000"/>
          <w:sz w:val="24"/>
          <w:lang w:val="zh-CN"/>
        </w:rPr>
        <w:t>(以下仅签章，无正文)</w:t>
      </w:r>
    </w:p>
    <w:p w14:paraId="773E6C10">
      <w:pPr>
        <w:spacing w:line="360" w:lineRule="auto"/>
        <w:ind w:firstLine="420"/>
        <w:rPr>
          <w:rFonts w:ascii="宋体" w:hAnsi="宋体"/>
          <w:color w:val="000000"/>
          <w:sz w:val="24"/>
          <w:lang w:val="zh-CN"/>
        </w:rPr>
      </w:pPr>
    </w:p>
    <w:p w14:paraId="47A3C14C">
      <w:pPr>
        <w:spacing w:line="360" w:lineRule="auto"/>
        <w:rPr>
          <w:rFonts w:ascii="宋体" w:hAnsi="宋体"/>
          <w:color w:val="000000"/>
          <w:sz w:val="24"/>
        </w:rPr>
      </w:pPr>
      <w:r>
        <w:rPr>
          <w:rFonts w:hint="eastAsia" w:ascii="宋体" w:hAnsi="宋体"/>
          <w:color w:val="000000"/>
          <w:sz w:val="24"/>
        </w:rPr>
        <w:t>甲方（发包人）：                      乙方（承包人）：</w:t>
      </w:r>
    </w:p>
    <w:p w14:paraId="255CF4DC">
      <w:pPr>
        <w:spacing w:line="360" w:lineRule="auto"/>
        <w:rPr>
          <w:rFonts w:ascii="宋体" w:hAnsi="宋体"/>
          <w:color w:val="000000"/>
          <w:sz w:val="24"/>
        </w:rPr>
      </w:pPr>
      <w:r>
        <w:rPr>
          <w:rFonts w:hint="eastAsia" w:ascii="宋体" w:hAnsi="宋体"/>
          <w:color w:val="000000"/>
          <w:sz w:val="24"/>
        </w:rPr>
        <w:t>授权代表：                           授权代表：</w:t>
      </w:r>
    </w:p>
    <w:p w14:paraId="6821F4CA">
      <w:pPr>
        <w:spacing w:line="360" w:lineRule="auto"/>
        <w:rPr>
          <w:rFonts w:ascii="宋体" w:hAnsi="宋体"/>
          <w:color w:val="000000"/>
          <w:sz w:val="24"/>
        </w:rPr>
      </w:pPr>
    </w:p>
    <w:p w14:paraId="273D9BFF">
      <w:pPr>
        <w:spacing w:line="360" w:lineRule="auto"/>
        <w:rPr>
          <w:rFonts w:ascii="宋体" w:hAnsi="宋体"/>
          <w:color w:val="000000"/>
          <w:sz w:val="24"/>
        </w:rPr>
      </w:pPr>
    </w:p>
    <w:p w14:paraId="5C392F17">
      <w:pPr>
        <w:rPr>
          <w:rFonts w:hint="eastAsia" w:ascii="宋体" w:hAnsi="宋体"/>
          <w:color w:val="000000"/>
          <w:sz w:val="24"/>
        </w:rPr>
      </w:pPr>
      <w:r>
        <w:rPr>
          <w:rFonts w:hint="eastAsia" w:ascii="宋体" w:hAnsi="宋体"/>
          <w:color w:val="000000"/>
          <w:sz w:val="24"/>
        </w:rPr>
        <w:t>日期：      年     月     日          日期：     年    月    日</w:t>
      </w:r>
    </w:p>
    <w:p w14:paraId="093DCE92">
      <w:pPr>
        <w:rPr>
          <w:rFonts w:hint="eastAsia" w:ascii="宋体" w:hAnsi="宋体"/>
          <w:color w:val="000000"/>
          <w:sz w:val="24"/>
        </w:rPr>
      </w:pPr>
      <w:r>
        <w:rPr>
          <w:rFonts w:hint="eastAsia" w:ascii="宋体" w:hAnsi="宋体"/>
          <w:color w:val="000000"/>
          <w:sz w:val="24"/>
        </w:rPr>
        <w:br w:type="page"/>
      </w:r>
    </w:p>
    <w:p w14:paraId="1EE6978C">
      <w:pPr>
        <w:jc w:val="center"/>
        <w:rPr>
          <w:rFonts w:hint="eastAsia" w:ascii="宋体" w:hAnsi="宋体" w:cs="楷体_GB2312"/>
          <w:color w:val="000000"/>
          <w:sz w:val="24"/>
        </w:rPr>
      </w:pPr>
      <w:r>
        <w:rPr>
          <w:rFonts w:hint="eastAsia"/>
          <w:sz w:val="44"/>
        </w:rPr>
        <w:t>消防维保安全管理协议</w:t>
      </w:r>
    </w:p>
    <w:p w14:paraId="3108B478">
      <w:pPr>
        <w:autoSpaceDE w:val="0"/>
        <w:autoSpaceDN w:val="0"/>
        <w:adjustRightInd w:val="0"/>
        <w:snapToGrid w:val="0"/>
        <w:spacing w:before="78" w:beforeLines="25"/>
        <w:jc w:val="left"/>
        <w:rPr>
          <w:rFonts w:hint="default" w:ascii="宋体" w:hAnsi="宋体" w:eastAsia="宋体" w:cs="楷体_GB2312"/>
          <w:color w:val="000000"/>
          <w:sz w:val="24"/>
          <w:lang w:val="en-US" w:eastAsia="zh-CN"/>
        </w:rPr>
      </w:pPr>
      <w:r>
        <w:rPr>
          <w:rFonts w:hint="eastAsia" w:ascii="宋体" w:hAnsi="宋体" w:cs="楷体_GB2312"/>
          <w:color w:val="000000"/>
          <w:sz w:val="24"/>
        </w:rPr>
        <w:t>发包方（以下简称“甲方”）：深业物业运营集团股份有限公司</w:t>
      </w:r>
      <w:r>
        <w:rPr>
          <w:rFonts w:hint="eastAsia" w:ascii="宋体" w:hAnsi="宋体" w:cs="楷体_GB2312"/>
          <w:color w:val="000000"/>
          <w:sz w:val="24"/>
          <w:lang w:val="en-US" w:eastAsia="zh-CN"/>
        </w:rPr>
        <w:t>深业中心管理处</w:t>
      </w:r>
    </w:p>
    <w:p w14:paraId="263B7DA0">
      <w:pPr>
        <w:autoSpaceDE w:val="0"/>
        <w:autoSpaceDN w:val="0"/>
        <w:adjustRightInd w:val="0"/>
        <w:snapToGrid w:val="0"/>
        <w:spacing w:before="78" w:beforeLines="25" w:line="480" w:lineRule="exact"/>
        <w:jc w:val="left"/>
        <w:rPr>
          <w:rFonts w:hint="eastAsia" w:ascii="宋体" w:hAnsi="宋体" w:cs="楷体_GB2312"/>
          <w:color w:val="000000"/>
          <w:sz w:val="24"/>
        </w:rPr>
      </w:pPr>
      <w:r>
        <w:rPr>
          <w:rFonts w:hint="eastAsia" w:ascii="宋体" w:hAnsi="宋体" w:cs="楷体_GB2312"/>
          <w:color w:val="000000"/>
          <w:sz w:val="24"/>
        </w:rPr>
        <w:t>承包方（以下简称“乙方”）：广东富盈建设有限公司</w:t>
      </w:r>
    </w:p>
    <w:p w14:paraId="04D61F22">
      <w:pPr>
        <w:spacing w:line="480" w:lineRule="exact"/>
        <w:ind w:firstLine="480" w:firstLineChars="200"/>
        <w:rPr>
          <w:rFonts w:hint="eastAsia" w:ascii="Arial" w:hAnsi="Arial"/>
          <w:b/>
          <w:bCs/>
          <w:color w:val="000000"/>
          <w:sz w:val="24"/>
          <w:shd w:val="clear" w:color="auto" w:fill="FFFFFF"/>
        </w:rPr>
      </w:pPr>
      <w:r>
        <w:rPr>
          <w:rFonts w:hint="eastAsia" w:ascii="Arial" w:hAnsi="Arial" w:cs="Arial"/>
          <w:color w:val="000000"/>
          <w:sz w:val="24"/>
          <w:shd w:val="clear" w:color="auto" w:fill="FFFFFF"/>
        </w:rPr>
        <w:t>为了贯彻</w:t>
      </w:r>
      <w:r>
        <w:rPr>
          <w:rFonts w:ascii="Arial" w:hAnsi="Arial" w:cs="Arial"/>
          <w:color w:val="000000"/>
          <w:sz w:val="24"/>
          <w:shd w:val="clear" w:color="auto" w:fill="FFFFFF"/>
        </w:rPr>
        <w:t>“</w:t>
      </w:r>
      <w:r>
        <w:rPr>
          <w:rFonts w:hint="eastAsia" w:ascii="Arial" w:hAnsi="Arial" w:cs="Arial"/>
          <w:color w:val="000000"/>
          <w:sz w:val="24"/>
          <w:shd w:val="clear" w:color="auto" w:fill="FFFFFF"/>
        </w:rPr>
        <w:t>安全第一、预防为主</w:t>
      </w:r>
      <w:r>
        <w:rPr>
          <w:rFonts w:ascii="Arial" w:hAnsi="Arial" w:cs="Arial"/>
          <w:color w:val="000000"/>
          <w:sz w:val="24"/>
          <w:shd w:val="clear" w:color="auto" w:fill="FFFFFF"/>
        </w:rPr>
        <w:t>”</w:t>
      </w:r>
      <w:r>
        <w:rPr>
          <w:rFonts w:hint="eastAsia" w:ascii="Arial" w:hAnsi="Arial" w:cs="Arial"/>
          <w:color w:val="000000"/>
          <w:sz w:val="24"/>
          <w:shd w:val="clear" w:color="auto" w:fill="FFFFFF"/>
        </w:rPr>
        <w:t>的安全生产方针，落实《中华人民共和国安全生产法》、《中华人民共和国消防法》、《安全生产许可证条例》等有关安全生产法律、法规，明确各自管理范围内的安全生产责任，确保实现安全生产管理目标。甲乙双方在签订消防系统技术服务合同的同时，双方就安全管理责任事项协商达成一致，签订本协议，双方必须严格执行。</w:t>
      </w:r>
      <w:r>
        <w:rPr>
          <w:rFonts w:ascii="Arial" w:hAnsi="Arial" w:cs="Arial"/>
          <w:color w:val="000000"/>
          <w:sz w:val="24"/>
          <w:shd w:val="clear" w:color="auto" w:fill="FFFFFF"/>
        </w:rPr>
        <w:br w:type="textWrapping"/>
      </w:r>
      <w:r>
        <w:rPr>
          <w:rFonts w:hint="eastAsia" w:ascii="Arial" w:hAnsi="Arial" w:cs="Arial"/>
          <w:color w:val="000000"/>
          <w:sz w:val="24"/>
          <w:shd w:val="clear" w:color="auto" w:fill="FFFFFF"/>
        </w:rPr>
        <w:t xml:space="preserve">  </w:t>
      </w:r>
      <w:r>
        <w:rPr>
          <w:rFonts w:hint="eastAsia" w:ascii="Arial" w:hAnsi="Arial" w:cs="Arial"/>
          <w:b/>
          <w:bCs/>
          <w:color w:val="000000"/>
          <w:sz w:val="24"/>
          <w:shd w:val="clear" w:color="auto" w:fill="FFFFFF"/>
        </w:rPr>
        <w:t xml:space="preserve">  一、</w:t>
      </w:r>
      <w:r>
        <w:rPr>
          <w:rFonts w:hint="eastAsia" w:ascii="Arial" w:hAnsi="Arial"/>
          <w:b/>
          <w:bCs/>
          <w:color w:val="000000"/>
          <w:sz w:val="24"/>
          <w:shd w:val="clear" w:color="auto" w:fill="FFFFFF"/>
        </w:rPr>
        <w:t>甲方责任：</w:t>
      </w:r>
    </w:p>
    <w:p w14:paraId="73F0280D">
      <w:pPr>
        <w:spacing w:line="480" w:lineRule="exact"/>
        <w:ind w:firstLine="480" w:firstLineChars="200"/>
        <w:rPr>
          <w:rFonts w:hint="eastAsia" w:ascii="Arial" w:hAnsi="Arial"/>
          <w:color w:val="000000"/>
          <w:sz w:val="24"/>
          <w:shd w:val="clear" w:color="auto" w:fill="FFFFFF"/>
        </w:rPr>
      </w:pPr>
      <w:r>
        <w:rPr>
          <w:rFonts w:hint="eastAsia" w:ascii="Arial" w:hAnsi="Arial"/>
          <w:color w:val="000000"/>
          <w:sz w:val="24"/>
          <w:shd w:val="clear" w:color="auto" w:fill="FFFFFF"/>
        </w:rPr>
        <w:t>1、贯彻执行国家有关安全生产、劳动保护、消防安全、环境保护等法律、法规。</w:t>
      </w:r>
    </w:p>
    <w:p w14:paraId="0FEEB794">
      <w:pPr>
        <w:spacing w:line="480" w:lineRule="exact"/>
        <w:ind w:firstLine="480" w:firstLineChars="200"/>
        <w:rPr>
          <w:rFonts w:hint="eastAsia" w:ascii="Arial" w:hAnsi="Arial" w:cs="Arial"/>
          <w:color w:val="000000"/>
          <w:sz w:val="24"/>
          <w:shd w:val="clear" w:color="auto" w:fill="FFFFFF"/>
        </w:rPr>
      </w:pPr>
      <w:r>
        <w:rPr>
          <w:rFonts w:ascii="Arial" w:hAnsi="Arial" w:cs="Arial"/>
          <w:color w:val="000000"/>
          <w:sz w:val="24"/>
          <w:shd w:val="clear" w:color="auto" w:fill="FFFFFF"/>
        </w:rPr>
        <w:t>2</w:t>
      </w:r>
      <w:r>
        <w:rPr>
          <w:rFonts w:hint="eastAsia" w:ascii="Arial" w:hAnsi="Arial" w:cs="Arial"/>
          <w:color w:val="000000"/>
          <w:sz w:val="24"/>
          <w:shd w:val="clear" w:color="auto" w:fill="FFFFFF"/>
        </w:rPr>
        <w:t>、有权监督检查乙方安全生产组织机构的建立，专职安全管理人员的配备，安全管理目标分解落实情况。</w:t>
      </w:r>
      <w:r>
        <w:rPr>
          <w:rFonts w:ascii="Arial" w:hAnsi="Arial" w:cs="Arial"/>
          <w:color w:val="000000"/>
          <w:sz w:val="24"/>
          <w:shd w:val="clear" w:color="auto" w:fill="FFFFFF"/>
        </w:rPr>
        <w:t> </w:t>
      </w:r>
    </w:p>
    <w:p w14:paraId="237B5455">
      <w:pPr>
        <w:spacing w:line="480" w:lineRule="exact"/>
        <w:ind w:firstLine="480" w:firstLineChars="200"/>
        <w:rPr>
          <w:rFonts w:hint="eastAsia" w:ascii="Arial" w:hAnsi="Arial" w:cs="Arial"/>
          <w:color w:val="000000"/>
          <w:sz w:val="24"/>
          <w:shd w:val="clear" w:color="auto" w:fill="FFFFFF"/>
        </w:rPr>
      </w:pPr>
      <w:r>
        <w:rPr>
          <w:rFonts w:ascii="Arial" w:hAnsi="Arial" w:cs="Arial"/>
          <w:color w:val="000000"/>
          <w:sz w:val="24"/>
          <w:shd w:val="clear" w:color="auto" w:fill="FFFFFF"/>
        </w:rPr>
        <w:t>3</w:t>
      </w:r>
      <w:r>
        <w:rPr>
          <w:rFonts w:hint="eastAsia" w:ascii="Arial" w:hAnsi="Arial" w:cs="Arial"/>
          <w:color w:val="000000"/>
          <w:sz w:val="24"/>
          <w:shd w:val="clear" w:color="auto" w:fill="FFFFFF"/>
        </w:rPr>
        <w:t>、有权监督检查乙方各级人员安全生产责任制的落实，安全规章制度执行等情况。</w:t>
      </w:r>
    </w:p>
    <w:p w14:paraId="4887A13D">
      <w:pPr>
        <w:spacing w:line="480" w:lineRule="exact"/>
        <w:ind w:firstLine="480" w:firstLineChars="200"/>
        <w:rPr>
          <w:rFonts w:hint="eastAsia" w:ascii="Arial" w:hAnsi="Arial" w:cs="Arial"/>
          <w:color w:val="000000"/>
          <w:sz w:val="24"/>
          <w:shd w:val="clear" w:color="auto" w:fill="FFFFFF"/>
        </w:rPr>
      </w:pPr>
      <w:r>
        <w:rPr>
          <w:rFonts w:ascii="Arial" w:hAnsi="Arial" w:cs="Arial"/>
          <w:color w:val="000000"/>
          <w:sz w:val="24"/>
          <w:shd w:val="clear" w:color="auto" w:fill="FFFFFF"/>
        </w:rPr>
        <w:t>4</w:t>
      </w:r>
      <w:r>
        <w:rPr>
          <w:rFonts w:hint="eastAsia" w:ascii="Arial" w:hAnsi="Arial" w:cs="Arial"/>
          <w:color w:val="000000"/>
          <w:sz w:val="24"/>
          <w:shd w:val="clear" w:color="auto" w:fill="FFFFFF"/>
        </w:rPr>
        <w:t>、有权检查乙方有关管理人员安全生产培训持证情况及特种作业人员持证上岗情况。</w:t>
      </w:r>
    </w:p>
    <w:p w14:paraId="101C9387">
      <w:pPr>
        <w:spacing w:line="480" w:lineRule="exact"/>
        <w:ind w:firstLine="480" w:firstLineChars="200"/>
        <w:rPr>
          <w:rFonts w:hint="eastAsia" w:ascii="Arial" w:hAnsi="Arial" w:cs="Arial"/>
          <w:color w:val="000000"/>
          <w:sz w:val="24"/>
          <w:shd w:val="clear" w:color="auto" w:fill="FFFFFF"/>
        </w:rPr>
      </w:pPr>
      <w:r>
        <w:rPr>
          <w:rFonts w:ascii="Arial" w:hAnsi="Arial" w:cs="Arial"/>
          <w:color w:val="000000"/>
          <w:sz w:val="24"/>
          <w:shd w:val="clear" w:color="auto" w:fill="FFFFFF"/>
        </w:rPr>
        <w:t>5</w:t>
      </w:r>
      <w:r>
        <w:rPr>
          <w:rFonts w:hint="eastAsia" w:ascii="Arial" w:hAnsi="Arial" w:cs="Arial"/>
          <w:color w:val="000000"/>
          <w:sz w:val="24"/>
          <w:shd w:val="clear" w:color="auto" w:fill="FFFFFF"/>
        </w:rPr>
        <w:t>、监督并促进乙方对安全生产各项活动的开展。</w:t>
      </w:r>
      <w:r>
        <w:rPr>
          <w:rFonts w:ascii="Arial" w:hAnsi="Arial" w:cs="Arial"/>
          <w:color w:val="000000"/>
          <w:sz w:val="24"/>
          <w:shd w:val="clear" w:color="auto" w:fill="FFFFFF"/>
        </w:rPr>
        <w:t> </w:t>
      </w:r>
    </w:p>
    <w:p w14:paraId="5E962F77">
      <w:pPr>
        <w:spacing w:line="480" w:lineRule="exact"/>
        <w:ind w:firstLine="480" w:firstLineChars="200"/>
        <w:rPr>
          <w:rFonts w:hint="eastAsia" w:ascii="Arial" w:hAnsi="Arial" w:cs="Arial"/>
          <w:color w:val="000000"/>
          <w:sz w:val="24"/>
          <w:shd w:val="clear" w:color="auto" w:fill="FFFFFF"/>
        </w:rPr>
      </w:pPr>
      <w:r>
        <w:rPr>
          <w:rFonts w:ascii="Arial" w:hAnsi="Arial" w:cs="Arial"/>
          <w:color w:val="000000"/>
          <w:sz w:val="24"/>
          <w:shd w:val="clear" w:color="auto" w:fill="FFFFFF"/>
        </w:rPr>
        <w:t>6</w:t>
      </w:r>
      <w:r>
        <w:rPr>
          <w:rFonts w:hint="eastAsia" w:ascii="Arial" w:hAnsi="Arial" w:cs="Arial"/>
          <w:color w:val="000000"/>
          <w:sz w:val="24"/>
          <w:shd w:val="clear" w:color="auto" w:fill="FFFFFF"/>
        </w:rPr>
        <w:t>、督促乙方做好环境保护和职业病防治工作。</w:t>
      </w:r>
    </w:p>
    <w:p w14:paraId="27D7C17E">
      <w:pPr>
        <w:spacing w:line="480" w:lineRule="exact"/>
        <w:ind w:firstLine="480" w:firstLineChars="200"/>
        <w:rPr>
          <w:rFonts w:hint="eastAsia" w:ascii="Arial" w:hAnsi="Arial" w:cs="Arial"/>
          <w:color w:val="000000"/>
          <w:sz w:val="24"/>
          <w:shd w:val="clear" w:color="auto" w:fill="FFFFFF"/>
        </w:rPr>
      </w:pPr>
      <w:r>
        <w:rPr>
          <w:rFonts w:ascii="Arial" w:hAnsi="Arial" w:cs="Arial"/>
          <w:color w:val="000000"/>
          <w:sz w:val="24"/>
          <w:shd w:val="clear" w:color="auto" w:fill="FFFFFF"/>
        </w:rPr>
        <w:t>7</w:t>
      </w:r>
      <w:r>
        <w:rPr>
          <w:rFonts w:hint="eastAsia" w:ascii="Arial" w:hAnsi="Arial" w:cs="Arial"/>
          <w:color w:val="000000"/>
          <w:sz w:val="24"/>
          <w:shd w:val="clear" w:color="auto" w:fill="FFFFFF"/>
        </w:rPr>
        <w:t>、有权组织安全生产定期不定期检查，专项治理检查，及时消除生产安全事故隐患。</w:t>
      </w:r>
    </w:p>
    <w:p w14:paraId="44987B2A">
      <w:pPr>
        <w:spacing w:line="480" w:lineRule="exact"/>
        <w:ind w:firstLine="480" w:firstLineChars="200"/>
        <w:rPr>
          <w:rFonts w:hint="eastAsia" w:ascii="Arial" w:hAnsi="Arial" w:cs="Arial"/>
          <w:color w:val="000000"/>
          <w:sz w:val="24"/>
          <w:shd w:val="clear" w:color="auto" w:fill="FFFFFF"/>
        </w:rPr>
      </w:pPr>
      <w:r>
        <w:rPr>
          <w:rFonts w:ascii="Arial" w:hAnsi="Arial" w:cs="Arial"/>
          <w:color w:val="000000"/>
          <w:sz w:val="24"/>
          <w:shd w:val="clear" w:color="auto" w:fill="FFFFFF"/>
        </w:rPr>
        <w:t>8</w:t>
      </w:r>
      <w:r>
        <w:rPr>
          <w:rFonts w:hint="eastAsia" w:ascii="Arial" w:hAnsi="Arial" w:cs="Arial"/>
          <w:color w:val="000000"/>
          <w:sz w:val="24"/>
          <w:shd w:val="clear" w:color="auto" w:fill="FFFFFF"/>
        </w:rPr>
        <w:t>、检查和评审乙方编制的生产安全事故应急预案。</w:t>
      </w:r>
    </w:p>
    <w:p w14:paraId="2F38AB5A">
      <w:pPr>
        <w:spacing w:line="480" w:lineRule="exact"/>
        <w:ind w:firstLine="480" w:firstLineChars="200"/>
        <w:rPr>
          <w:rFonts w:hint="eastAsia" w:ascii="Arial" w:hAnsi="Arial" w:cs="Arial"/>
          <w:b/>
          <w:bCs/>
          <w:color w:val="000000"/>
          <w:sz w:val="24"/>
          <w:shd w:val="clear" w:color="auto" w:fill="FFFFFF"/>
        </w:rPr>
      </w:pPr>
      <w:r>
        <w:rPr>
          <w:rFonts w:ascii="Arial" w:hAnsi="Arial" w:cs="Arial"/>
          <w:color w:val="000000"/>
          <w:sz w:val="24"/>
          <w:shd w:val="clear" w:color="auto" w:fill="FFFFFF"/>
        </w:rPr>
        <w:t>9</w:t>
      </w:r>
      <w:r>
        <w:rPr>
          <w:rFonts w:hint="eastAsia" w:ascii="Arial" w:hAnsi="Arial" w:cs="Arial"/>
          <w:color w:val="000000"/>
          <w:sz w:val="24"/>
          <w:shd w:val="clear" w:color="auto" w:fill="FFFFFF"/>
        </w:rPr>
        <w:t>、监督检查乙方的维保作业情况。因乙方违规作业而影响甲方正常生产时，有权停止其作业至整改验收合格为止。</w:t>
      </w:r>
      <w:r>
        <w:rPr>
          <w:rFonts w:ascii="Arial" w:hAnsi="Arial" w:cs="Arial"/>
          <w:color w:val="000000"/>
          <w:sz w:val="24"/>
          <w:shd w:val="clear" w:color="auto" w:fill="FFFFFF"/>
        </w:rPr>
        <w:br w:type="textWrapping"/>
      </w:r>
      <w:r>
        <w:rPr>
          <w:rFonts w:hint="eastAsia" w:ascii="Arial" w:hAnsi="Arial" w:cs="Arial"/>
          <w:color w:val="000000"/>
          <w:sz w:val="24"/>
          <w:shd w:val="clear" w:color="auto" w:fill="FFFFFF"/>
        </w:rPr>
        <w:t xml:space="preserve">    </w:t>
      </w:r>
      <w:r>
        <w:rPr>
          <w:rFonts w:hint="eastAsia" w:ascii="Arial" w:hAnsi="Arial" w:cs="Arial"/>
          <w:b/>
          <w:bCs/>
          <w:color w:val="000000"/>
          <w:sz w:val="24"/>
          <w:shd w:val="clear" w:color="auto" w:fill="FFFFFF"/>
        </w:rPr>
        <w:t>二、乙方责任：</w:t>
      </w:r>
    </w:p>
    <w:p w14:paraId="54919EFB">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w:t>
      </w:r>
      <w:r>
        <w:rPr>
          <w:rFonts w:hint="eastAsia" w:ascii="Arial" w:hAnsi="Arial" w:cs="Arial"/>
          <w:color w:val="000000"/>
          <w:sz w:val="24"/>
          <w:shd w:val="clear" w:color="auto" w:fill="FFFFFF"/>
        </w:rPr>
        <w:t>、乙方应有安全管理组织体制，包括分管安全生产的领导，各级专职和兼职的安全员；应有各工种的安全操作规程、特种作业工人的审证考核制度及各级安全生产岗位责任制和定期安全检查制度。</w:t>
      </w:r>
    </w:p>
    <w:p w14:paraId="690974E2">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2</w:t>
      </w:r>
      <w:r>
        <w:rPr>
          <w:rFonts w:hint="eastAsia" w:ascii="Arial" w:hAnsi="Arial" w:cs="Arial"/>
          <w:color w:val="000000"/>
          <w:sz w:val="24"/>
          <w:shd w:val="clear" w:color="auto" w:fill="FFFFFF"/>
        </w:rPr>
        <w:t>、乙方明确由</w:t>
      </w:r>
      <w:r>
        <w:rPr>
          <w:rFonts w:ascii="Arial" w:hAnsi="Arial" w:cs="Arial"/>
          <w:color w:val="000000"/>
          <w:sz w:val="24"/>
          <w:u w:val="single"/>
          <w:shd w:val="clear" w:color="auto" w:fill="FFFFFF"/>
        </w:rPr>
        <w:t xml:space="preserve"> 李航 </w:t>
      </w:r>
      <w:r>
        <w:rPr>
          <w:rFonts w:hint="eastAsia" w:ascii="Arial" w:hAnsi="Arial" w:cs="Arial"/>
          <w:color w:val="000000"/>
          <w:sz w:val="24"/>
          <w:shd w:val="clear" w:color="auto" w:fill="FFFFFF"/>
        </w:rPr>
        <w:t>同志为乙方现场维保负责人，并对本单位维保作业范围内的安全生产管理工作负全面责任。</w:t>
      </w:r>
      <w:r>
        <w:rPr>
          <w:rFonts w:ascii="Arial" w:hAnsi="Arial" w:cs="Arial"/>
          <w:color w:val="000000"/>
          <w:sz w:val="24"/>
          <w:shd w:val="clear" w:color="auto" w:fill="FFFFFF"/>
        </w:rPr>
        <w:t> </w:t>
      </w:r>
    </w:p>
    <w:p w14:paraId="4E4BB264">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3</w:t>
      </w:r>
      <w:r>
        <w:rPr>
          <w:rFonts w:hint="eastAsia" w:ascii="Arial" w:hAnsi="Arial" w:cs="Arial"/>
          <w:color w:val="000000"/>
          <w:sz w:val="24"/>
          <w:shd w:val="clear" w:color="auto" w:fill="FFFFFF"/>
        </w:rPr>
        <w:t>、乙方必须遵守国家有关安全生产、劳动保护、消防安全、环境保护等相关法律、法规及条例，贯彻执行安全生产责任制，安全规章制度，安全技术操作规程，严格按照上述法律、法规、条例、安全规章制度、安全技术操作规程、质量、环境、职业健康安全管理体系组织维保。承担由于自身管理缺陷、安全措施不力造成的案件、事故、事件等责任和因此发生的所有费用。</w:t>
      </w:r>
    </w:p>
    <w:p w14:paraId="51EDAA55">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4</w:t>
      </w:r>
      <w:r>
        <w:rPr>
          <w:rFonts w:hint="eastAsia" w:ascii="Arial" w:hAnsi="Arial" w:cs="Arial"/>
          <w:color w:val="000000"/>
          <w:sz w:val="24"/>
          <w:shd w:val="clear" w:color="auto" w:fill="FFFFFF"/>
        </w:rPr>
        <w:t>、按有关要求对项目危险源、环境因素进行辩识评价，针对评价出的重大危险源、重大环境因素制定管理方案，经批准后组织实施。</w:t>
      </w:r>
    </w:p>
    <w:p w14:paraId="500C8C07">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5</w:t>
      </w:r>
      <w:r>
        <w:rPr>
          <w:rFonts w:hint="eastAsia" w:ascii="Arial" w:hAnsi="Arial" w:cs="Arial"/>
          <w:color w:val="000000"/>
          <w:sz w:val="24"/>
          <w:shd w:val="clear" w:color="auto" w:fill="FFFFFF"/>
        </w:rPr>
        <w:t>、保证项目足够的安全生产投入并有效实施。</w:t>
      </w:r>
    </w:p>
    <w:p w14:paraId="7D74774E">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6</w:t>
      </w:r>
      <w:r>
        <w:rPr>
          <w:rFonts w:hint="eastAsia" w:ascii="Arial" w:hAnsi="Arial" w:cs="Arial"/>
          <w:color w:val="000000"/>
          <w:sz w:val="24"/>
          <w:shd w:val="clear" w:color="auto" w:fill="FFFFFF"/>
        </w:rPr>
        <w:t>、乙方为进场作业人员办理合法的用工手续。管理人员必须具备安全教育培训合格证。特种作业人员具备特种作业操作证。作业人员经过三级安全教育培训，并经考核合格。乙方因违反上述规定造成的案件、事故、事件等，乙方承担其法律责任和因此发生的一切费用。</w:t>
      </w:r>
    </w:p>
    <w:p w14:paraId="74EAD134">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7</w:t>
      </w:r>
      <w:r>
        <w:rPr>
          <w:rFonts w:hint="eastAsia" w:ascii="Arial" w:hAnsi="Arial" w:cs="Arial"/>
          <w:color w:val="000000"/>
          <w:sz w:val="24"/>
          <w:shd w:val="clear" w:color="auto" w:fill="FFFFFF"/>
        </w:rPr>
        <w:t>、采取一切合理的措施，防止其劳务人员发生任何违法和妨碍治安的行为。保持安定局面并且保护工程周边人员和财产不受上述行为的危害。否则，乙方承担由此造成的一切损失及费用。</w:t>
      </w:r>
    </w:p>
    <w:p w14:paraId="33487F6E">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8</w:t>
      </w:r>
      <w:r>
        <w:rPr>
          <w:rFonts w:hint="eastAsia" w:ascii="Arial" w:hAnsi="Arial" w:cs="Arial"/>
          <w:color w:val="000000"/>
          <w:sz w:val="24"/>
          <w:shd w:val="clear" w:color="auto" w:fill="FFFFFF"/>
        </w:rPr>
        <w:t>、维保单位对现场维保作业的安全负全面责任。</w:t>
      </w:r>
      <w:r>
        <w:rPr>
          <w:rFonts w:ascii="Arial" w:hAnsi="Arial" w:cs="Arial"/>
          <w:color w:val="000000"/>
          <w:sz w:val="24"/>
          <w:shd w:val="clear" w:color="auto" w:fill="FFFFFF"/>
        </w:rPr>
        <w:br w:type="textWrapping"/>
      </w:r>
      <w:r>
        <w:rPr>
          <w:rFonts w:ascii="Arial" w:hAnsi="Arial" w:cs="Arial"/>
          <w:color w:val="000000"/>
          <w:sz w:val="24"/>
          <w:shd w:val="clear" w:color="auto" w:fill="FFFFFF"/>
        </w:rPr>
        <w:t xml:space="preserve">    </w:t>
      </w:r>
      <w:r>
        <w:rPr>
          <w:rFonts w:hint="eastAsia" w:ascii="Arial" w:hAnsi="Arial" w:cs="Arial"/>
          <w:color w:val="000000"/>
          <w:sz w:val="24"/>
          <w:shd w:val="clear" w:color="auto" w:fill="FFFFFF"/>
        </w:rPr>
        <w:t>（</w:t>
      </w:r>
      <w:r>
        <w:rPr>
          <w:rFonts w:ascii="Arial" w:hAnsi="Arial" w:cs="Arial"/>
          <w:color w:val="000000"/>
          <w:sz w:val="24"/>
          <w:shd w:val="clear" w:color="auto" w:fill="FFFFFF"/>
        </w:rPr>
        <w:t>1</w:t>
      </w:r>
      <w:r>
        <w:rPr>
          <w:rFonts w:hint="eastAsia" w:ascii="Arial" w:hAnsi="Arial" w:cs="Arial"/>
          <w:color w:val="000000"/>
          <w:sz w:val="24"/>
          <w:shd w:val="clear" w:color="auto" w:fill="FFFFFF"/>
        </w:rPr>
        <w:t>）乙方在进行消防消防设施检查测试、维护保养前要认真勘察现场：</w:t>
      </w:r>
      <w:r>
        <w:rPr>
          <w:rFonts w:ascii="Arial" w:hAnsi="Arial" w:cs="Arial"/>
          <w:color w:val="000000"/>
          <w:sz w:val="24"/>
          <w:shd w:val="clear" w:color="auto" w:fill="FFFFFF"/>
        </w:rPr>
        <w:br w:type="textWrapping"/>
      </w:r>
      <w:r>
        <w:rPr>
          <w:rFonts w:ascii="Arial" w:hAnsi="Arial" w:cs="Arial"/>
          <w:color w:val="000000"/>
          <w:sz w:val="24"/>
          <w:shd w:val="clear" w:color="auto" w:fill="FFFFFF"/>
        </w:rPr>
        <w:t xml:space="preserve">    </w:t>
      </w:r>
      <w:r>
        <w:rPr>
          <w:rFonts w:hint="eastAsia" w:ascii="Arial" w:hAnsi="Arial" w:cs="Arial"/>
          <w:color w:val="000000"/>
          <w:sz w:val="24"/>
          <w:shd w:val="clear" w:color="auto" w:fill="FFFFFF"/>
        </w:rPr>
        <w:t>（</w:t>
      </w:r>
      <w:r>
        <w:rPr>
          <w:rFonts w:ascii="Arial" w:hAnsi="Arial" w:cs="Arial"/>
          <w:color w:val="000000"/>
          <w:sz w:val="24"/>
          <w:shd w:val="clear" w:color="auto" w:fill="FFFFFF"/>
        </w:rPr>
        <w:t>2</w:t>
      </w:r>
      <w:r>
        <w:rPr>
          <w:rFonts w:hint="eastAsia" w:ascii="Arial" w:hAnsi="Arial" w:cs="Arial"/>
          <w:color w:val="000000"/>
          <w:sz w:val="24"/>
          <w:shd w:val="clear" w:color="auto" w:fill="FFFFFF"/>
        </w:rPr>
        <w:t>）针对工程项目由乙方自行编制维保组织设计，制订有针对性的安全技术措施，乙方必须严格按维保组织设计的要求维保。</w:t>
      </w:r>
    </w:p>
    <w:p w14:paraId="4BBC5473">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9</w:t>
      </w:r>
      <w:r>
        <w:rPr>
          <w:rFonts w:hint="eastAsia" w:ascii="Arial" w:hAnsi="Arial" w:cs="Arial"/>
          <w:color w:val="000000"/>
          <w:sz w:val="24"/>
          <w:shd w:val="clear" w:color="auto" w:fill="FFFFFF"/>
        </w:rPr>
        <w:t>、乙方在维保期间必须严格执行和遵守国家有关的安全生产、防火防毒、特种作业、有限空间作业、高处作业等各类规定，接受甲方的督促、检查和指导。甲方有协助乙方搞好安全生产管理以及督促定期检查的义务，对于查出隐患，乙方必须限期整改。</w:t>
      </w:r>
    </w:p>
    <w:p w14:paraId="327044C3">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10</w:t>
      </w:r>
      <w:r>
        <w:rPr>
          <w:rFonts w:hint="eastAsia" w:ascii="Arial" w:hAnsi="Arial" w:cs="Arial"/>
          <w:color w:val="000000"/>
          <w:sz w:val="24"/>
          <w:shd w:val="clear" w:color="auto" w:fill="FFFFFF"/>
        </w:rPr>
        <w:t>、在生产操作过程中的个人安全防护用品，由各方自理，甲乙双方都应督促维保现场人员自觉穿带好安全防护用品。</w:t>
      </w:r>
    </w:p>
    <w:p w14:paraId="3240DEF4">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11</w:t>
      </w:r>
      <w:r>
        <w:rPr>
          <w:rFonts w:hint="eastAsia" w:ascii="Arial" w:hAnsi="Arial" w:cs="Arial"/>
          <w:color w:val="000000"/>
          <w:sz w:val="24"/>
          <w:shd w:val="clear" w:color="auto" w:fill="FFFFFF"/>
        </w:rPr>
        <w:t>、乙双方人员对所处的作业区域、作业环境、操作设施设备、工具用具等必须认真检查，发现隐患，应立即停止作业，并由有关单位落实整改后方可继续进行。维保单位对维保过程中产生的后果自行负责。</w:t>
      </w:r>
    </w:p>
    <w:p w14:paraId="4628C4F9">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w:t>
      </w:r>
      <w:r>
        <w:rPr>
          <w:rFonts w:hint="eastAsia" w:ascii="Arial" w:hAnsi="Arial" w:cs="Arial"/>
          <w:color w:val="000000"/>
          <w:sz w:val="24"/>
          <w:shd w:val="clear" w:color="auto" w:fill="FFFFFF"/>
        </w:rPr>
        <w:t>2、乙方必须按照国家规定，为从业人员办理工伤保险，为从事危险作业人员办理意外伤害保险。</w:t>
      </w:r>
      <w:r>
        <w:rPr>
          <w:rFonts w:ascii="Arial" w:hAnsi="Arial" w:cs="Arial"/>
          <w:color w:val="000000"/>
          <w:sz w:val="24"/>
          <w:shd w:val="clear" w:color="auto" w:fill="FFFFFF"/>
        </w:rPr>
        <w:t> </w:t>
      </w:r>
    </w:p>
    <w:p w14:paraId="59250544">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w:t>
      </w:r>
      <w:r>
        <w:rPr>
          <w:rFonts w:hint="eastAsia" w:ascii="Arial" w:hAnsi="Arial" w:cs="Arial"/>
          <w:color w:val="000000"/>
          <w:sz w:val="24"/>
          <w:shd w:val="clear" w:color="auto" w:fill="FFFFFF"/>
        </w:rPr>
        <w:t>3、乙方在维保期间所使用的各种设备以及工具等均应由乙方自备。设备和工具的保管、维修以及在使用过程中发生的故障损坏遗失或造成伤亡事故均由维保单位来承担责任。</w:t>
      </w:r>
    </w:p>
    <w:p w14:paraId="04A96828">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w:t>
      </w:r>
      <w:r>
        <w:rPr>
          <w:rFonts w:hint="eastAsia" w:ascii="Arial" w:hAnsi="Arial" w:cs="Arial"/>
          <w:color w:val="000000"/>
          <w:sz w:val="24"/>
          <w:shd w:val="clear" w:color="auto" w:fill="FFFFFF"/>
        </w:rPr>
        <w:t>4、乙方必须按照国家规定，为从业人员配备符合国家标准和行业标准及劳动保护用品。</w:t>
      </w:r>
    </w:p>
    <w:p w14:paraId="393B2747">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w:t>
      </w:r>
      <w:r>
        <w:rPr>
          <w:rFonts w:hint="eastAsia" w:ascii="Arial" w:hAnsi="Arial" w:cs="Arial"/>
          <w:color w:val="000000"/>
          <w:sz w:val="24"/>
          <w:shd w:val="clear" w:color="auto" w:fill="FFFFFF"/>
        </w:rPr>
        <w:t>5、乙方配置特种作业人员必须满足维保要求，所配置的特种工作业人员必须经上级有关部门安全教育培训，做到</w:t>
      </w:r>
      <w:r>
        <w:rPr>
          <w:rFonts w:ascii="Arial" w:hAnsi="Arial" w:cs="Arial"/>
          <w:color w:val="000000"/>
          <w:sz w:val="24"/>
          <w:shd w:val="clear" w:color="auto" w:fill="FFFFFF"/>
        </w:rPr>
        <w:t>100%</w:t>
      </w:r>
      <w:r>
        <w:rPr>
          <w:rFonts w:hint="eastAsia" w:ascii="Arial" w:hAnsi="Arial" w:cs="Arial"/>
          <w:color w:val="000000"/>
          <w:sz w:val="24"/>
          <w:shd w:val="clear" w:color="auto" w:fill="FFFFFF"/>
        </w:rPr>
        <w:t>持有效的特种作业操作证上岗。</w:t>
      </w:r>
    </w:p>
    <w:p w14:paraId="433F123E">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w:t>
      </w:r>
      <w:r>
        <w:rPr>
          <w:rFonts w:hint="eastAsia" w:ascii="Arial" w:hAnsi="Arial" w:cs="Arial"/>
          <w:color w:val="000000"/>
          <w:sz w:val="24"/>
          <w:shd w:val="clear" w:color="auto" w:fill="FFFFFF"/>
        </w:rPr>
        <w:t>6、乙方必须严格执行安全检查、事故隐患整改不符合要求的，甲方有权按规定处罚。</w:t>
      </w:r>
    </w:p>
    <w:p w14:paraId="7DE7425F">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w:t>
      </w:r>
      <w:r>
        <w:rPr>
          <w:rFonts w:hint="eastAsia" w:ascii="Arial" w:hAnsi="Arial" w:cs="Arial"/>
          <w:color w:val="000000"/>
          <w:sz w:val="24"/>
          <w:shd w:val="clear" w:color="auto" w:fill="FFFFFF"/>
        </w:rPr>
        <w:t>7、乙方应按有关要求设置维保现场安全防护设施。执行安全防护设施、设备验收制度和维保作业交接班制度。安全防护设施、设备，不验收或验收不合格不得使用。</w:t>
      </w:r>
    </w:p>
    <w:p w14:paraId="537700FA">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w:t>
      </w:r>
      <w:r>
        <w:rPr>
          <w:rFonts w:hint="eastAsia" w:ascii="Arial" w:hAnsi="Arial" w:cs="Arial"/>
          <w:color w:val="000000"/>
          <w:sz w:val="24"/>
          <w:shd w:val="clear" w:color="auto" w:fill="FFFFFF"/>
        </w:rPr>
        <w:t>8、乙方必须严格按照甲方消防管理规定组织维保，明确消防负责人，自觉接受上级及甲方的消防安全检查，乙方承担由于消防管理缺陷和自身消防措施不力造成的火灾事故责任和经济损失。</w:t>
      </w:r>
    </w:p>
    <w:p w14:paraId="47E7137C">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19</w:t>
      </w:r>
      <w:r>
        <w:rPr>
          <w:rFonts w:hint="eastAsia" w:ascii="Arial" w:hAnsi="Arial" w:cs="Arial"/>
          <w:color w:val="000000"/>
          <w:sz w:val="24"/>
          <w:shd w:val="clear" w:color="auto" w:fill="FFFFFF"/>
        </w:rPr>
        <w:t>、乙方如果发生生产安全事故，应立即向甲方主要负责人报告，同时积极组织抢救，采取相应的措施保护好现场，如因抢救伤者必须移动现场设备、设施时要做好记录或拍照摄像。</w:t>
      </w:r>
    </w:p>
    <w:p w14:paraId="33AF1812">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2</w:t>
      </w:r>
      <w:r>
        <w:rPr>
          <w:rFonts w:hint="eastAsia" w:ascii="Arial" w:hAnsi="Arial" w:cs="Arial"/>
          <w:color w:val="000000"/>
          <w:sz w:val="24"/>
          <w:shd w:val="clear" w:color="auto" w:fill="FFFFFF"/>
        </w:rPr>
        <w:t>0、乙方如果发生生产安全事故，必须负责伤亡者及其家属接待和善后处理工作。乙方承担因此而发生的一切经济费用。</w:t>
      </w:r>
    </w:p>
    <w:p w14:paraId="241C761F">
      <w:pPr>
        <w:spacing w:line="480" w:lineRule="exact"/>
        <w:ind w:firstLine="480" w:firstLineChars="200"/>
        <w:jc w:val="left"/>
        <w:rPr>
          <w:rFonts w:hint="eastAsia" w:ascii="Arial" w:hAnsi="Arial" w:cs="Arial"/>
          <w:color w:val="000000"/>
          <w:sz w:val="24"/>
          <w:shd w:val="clear" w:color="auto" w:fill="FFFFFF"/>
        </w:rPr>
      </w:pPr>
      <w:r>
        <w:rPr>
          <w:rFonts w:ascii="Arial" w:hAnsi="Arial" w:cs="Arial"/>
          <w:color w:val="000000"/>
          <w:sz w:val="24"/>
          <w:shd w:val="clear" w:color="auto" w:fill="FFFFFF"/>
        </w:rPr>
        <w:t>2</w:t>
      </w:r>
      <w:r>
        <w:rPr>
          <w:rFonts w:hint="eastAsia" w:ascii="Arial" w:hAnsi="Arial" w:cs="Arial"/>
          <w:color w:val="000000"/>
          <w:sz w:val="24"/>
          <w:shd w:val="clear" w:color="auto" w:fill="FFFFFF"/>
        </w:rPr>
        <w:t>1、贯彻谁维保谁负责安全的原则，乙方人员在维保期间，造成火灾、中毒、高坠、机械伤害等事故（包括由乙方责任造成甲方人员、他方人员、行人伤亡等），甲方有协助紧急抢救伤员的义务，乙方负责事故上报，经济赔偿及善后处理。</w:t>
      </w:r>
      <w:r>
        <w:rPr>
          <w:rFonts w:ascii="Arial" w:hAnsi="Arial" w:cs="Arial"/>
          <w:color w:val="000000"/>
          <w:sz w:val="24"/>
          <w:shd w:val="clear" w:color="auto" w:fill="FFFFFF"/>
        </w:rPr>
        <w:br w:type="textWrapping"/>
      </w:r>
      <w:r>
        <w:rPr>
          <w:rFonts w:hint="eastAsia" w:ascii="Arial" w:hAnsi="Arial" w:cs="Arial"/>
          <w:color w:val="000000"/>
          <w:sz w:val="24"/>
          <w:shd w:val="clear" w:color="auto" w:fill="FFFFFF"/>
        </w:rPr>
        <w:t xml:space="preserve">    三、甲、乙双方严格遵守本合同条款，履行各自的安全职责。</w:t>
      </w:r>
    </w:p>
    <w:p w14:paraId="7E7AFE40">
      <w:pPr>
        <w:spacing w:line="480" w:lineRule="exact"/>
        <w:ind w:firstLine="480" w:firstLineChars="200"/>
        <w:jc w:val="left"/>
        <w:rPr>
          <w:rFonts w:hint="eastAsia" w:ascii="Arial" w:hAnsi="Arial" w:cs="Arial"/>
          <w:color w:val="000000"/>
          <w:sz w:val="24"/>
          <w:shd w:val="clear" w:color="auto" w:fill="FFFFFF"/>
        </w:rPr>
      </w:pPr>
      <w:r>
        <w:rPr>
          <w:rFonts w:hint="eastAsia" w:ascii="Arial" w:hAnsi="Arial" w:cs="Arial"/>
          <w:color w:val="000000"/>
          <w:sz w:val="24"/>
          <w:shd w:val="clear" w:color="auto" w:fill="FFFFFF"/>
        </w:rPr>
        <w:t>四、本协议书和合同主件同时签订，一式两份，具有同等效力。甲乙双方各一</w:t>
      </w:r>
    </w:p>
    <w:p w14:paraId="006253A3">
      <w:pPr>
        <w:spacing w:line="480" w:lineRule="exact"/>
        <w:rPr>
          <w:rFonts w:hint="eastAsia" w:ascii="Arial" w:hAnsi="Arial" w:cs="Arial"/>
          <w:color w:val="000000"/>
          <w:sz w:val="24"/>
          <w:shd w:val="clear" w:color="auto" w:fill="FFFFFF"/>
        </w:rPr>
      </w:pPr>
      <w:r>
        <w:rPr>
          <w:rFonts w:hint="eastAsia" w:ascii="Arial" w:hAnsi="Arial" w:cs="Arial"/>
          <w:color w:val="000000"/>
          <w:sz w:val="24"/>
          <w:shd w:val="clear" w:color="auto" w:fill="FFFFFF"/>
        </w:rPr>
        <w:t>份。本协议自签订之日起生效，消防设施维护保养合同期满后终止。</w:t>
      </w:r>
    </w:p>
    <w:p w14:paraId="6EC4445A">
      <w:pPr>
        <w:spacing w:line="480" w:lineRule="exact"/>
        <w:rPr>
          <w:rFonts w:ascii="Arial" w:hAnsi="Arial" w:cs="Arial"/>
          <w:color w:val="000000"/>
          <w:sz w:val="24"/>
          <w:shd w:val="clear" w:color="auto" w:fill="FFFFFF"/>
        </w:rPr>
      </w:pPr>
      <w:r>
        <w:rPr>
          <w:rFonts w:ascii="Arial" w:hAnsi="Arial" w:cs="Arial"/>
          <w:color w:val="000000"/>
          <w:sz w:val="24"/>
          <w:shd w:val="clear" w:color="auto" w:fill="FFFFFF"/>
        </w:rPr>
        <w:br w:type="textWrapping"/>
      </w:r>
    </w:p>
    <w:p w14:paraId="5031B7BE">
      <w:pPr>
        <w:spacing w:line="480" w:lineRule="exact"/>
        <w:rPr>
          <w:rFonts w:hint="eastAsia" w:ascii="Arial" w:hAnsi="Arial" w:eastAsia="宋体" w:cs="Arial"/>
          <w:color w:val="000000"/>
          <w:sz w:val="24"/>
          <w:shd w:val="clear" w:color="auto" w:fill="FFFFFF"/>
        </w:rPr>
      </w:pPr>
      <w:r>
        <w:rPr>
          <w:rFonts w:hint="eastAsia" w:ascii="Arial" w:hAnsi="Arial" w:eastAsia="宋体" w:cs="Arial"/>
          <w:color w:val="000000"/>
          <w:sz w:val="24"/>
          <w:shd w:val="clear" w:color="auto" w:fill="FFFFFF"/>
        </w:rPr>
        <w:t xml:space="preserve">甲方：（章）深业物业运营集团股份有限公司 </w:t>
      </w:r>
      <w:r>
        <w:rPr>
          <w:rFonts w:hint="eastAsia" w:ascii="Arial" w:hAnsi="Arial" w:eastAsia="宋体" w:cs="Arial"/>
          <w:color w:val="000000"/>
          <w:sz w:val="24"/>
          <w:shd w:val="clear" w:color="auto" w:fill="FFFFFF"/>
          <w:lang w:val="en-US" w:eastAsia="zh-CN"/>
        </w:rPr>
        <w:t xml:space="preserve">  </w:t>
      </w:r>
      <w:r>
        <w:rPr>
          <w:rFonts w:hint="eastAsia" w:ascii="Arial" w:hAnsi="Arial" w:eastAsia="宋体" w:cs="Arial"/>
          <w:color w:val="000000"/>
          <w:sz w:val="24"/>
          <w:shd w:val="clear" w:color="auto" w:fill="FFFFFF"/>
        </w:rPr>
        <w:t>乙方：（章）广东富盈建设有限公司</w:t>
      </w:r>
    </w:p>
    <w:p w14:paraId="4BD91507">
      <w:pPr>
        <w:spacing w:line="480" w:lineRule="exact"/>
        <w:rPr>
          <w:rFonts w:hint="default" w:ascii="Arial" w:hAnsi="Arial" w:eastAsia="宋体" w:cs="Arial"/>
          <w:color w:val="000000"/>
          <w:sz w:val="24"/>
          <w:shd w:val="clear" w:color="auto" w:fill="FFFFFF"/>
          <w:lang w:val="en-US" w:eastAsia="zh-CN"/>
        </w:rPr>
      </w:pPr>
      <w:r>
        <w:rPr>
          <w:rFonts w:hint="eastAsia" w:ascii="Arial" w:hAnsi="Arial" w:eastAsia="宋体" w:cs="Arial"/>
          <w:color w:val="000000"/>
          <w:sz w:val="24"/>
          <w:shd w:val="clear" w:color="auto" w:fill="FFFFFF"/>
          <w:lang w:val="en-US" w:eastAsia="zh-CN"/>
        </w:rPr>
        <w:t xml:space="preserve">                深业中心管理处</w:t>
      </w:r>
    </w:p>
    <w:p w14:paraId="4E370C5E">
      <w:pPr>
        <w:spacing w:line="480" w:lineRule="exact"/>
        <w:rPr>
          <w:rFonts w:hint="eastAsia" w:ascii="Arial" w:hAnsi="Arial" w:eastAsia="宋体" w:cs="Arial"/>
          <w:color w:val="000000"/>
          <w:sz w:val="24"/>
          <w:shd w:val="clear" w:color="auto" w:fill="FFFFFF"/>
        </w:rPr>
      </w:pPr>
      <w:r>
        <w:rPr>
          <w:rFonts w:hint="eastAsia" w:ascii="Arial" w:hAnsi="Arial" w:eastAsia="宋体" w:cs="Arial"/>
          <w:color w:val="000000"/>
          <w:sz w:val="24"/>
          <w:shd w:val="clear" w:color="auto" w:fill="FFFFFF"/>
        </w:rPr>
        <w:t xml:space="preserve">                            </w:t>
      </w:r>
      <w:r>
        <w:rPr>
          <w:rFonts w:hint="eastAsia" w:ascii="Arial" w:hAnsi="Arial" w:eastAsia="宋体" w:cs="Arial"/>
          <w:color w:val="000000"/>
          <w:sz w:val="24"/>
          <w:shd w:val="clear" w:color="auto" w:fill="FFFFFF"/>
        </w:rPr>
        <w:br w:type="textWrapping"/>
      </w:r>
      <w:r>
        <w:rPr>
          <w:rFonts w:hint="eastAsia" w:ascii="Arial" w:hAnsi="Arial" w:eastAsia="宋体" w:cs="Arial"/>
          <w:color w:val="000000"/>
          <w:sz w:val="24"/>
          <w:shd w:val="clear" w:color="auto" w:fill="FFFFFF"/>
        </w:rPr>
        <w:t>代表：（签字）                              代表：（签字）</w:t>
      </w:r>
    </w:p>
    <w:p w14:paraId="1F2BAD04">
      <w:pPr>
        <w:rPr>
          <w:rFonts w:hint="eastAsia" w:ascii="宋体" w:hAnsi="宋体"/>
          <w:color w:val="000000"/>
          <w:sz w:val="24"/>
        </w:rPr>
      </w:pPr>
    </w:p>
    <w:p w14:paraId="429649D1">
      <w:pPr>
        <w:rPr>
          <w:rFonts w:hint="eastAsia" w:ascii="宋体" w:hAnsi="宋体"/>
          <w:color w:val="000000"/>
          <w:sz w:val="24"/>
        </w:rPr>
      </w:pPr>
      <w:r>
        <w:rPr>
          <w:rFonts w:hint="eastAsia" w:ascii="宋体" w:hAnsi="宋体"/>
          <w:color w:val="000000"/>
          <w:sz w:val="24"/>
        </w:rPr>
        <w:t xml:space="preserve">日期：      年     月     日         </w:t>
      </w:r>
      <w:r>
        <w:rPr>
          <w:rFonts w:hint="eastAsia" w:ascii="宋体" w:hAnsi="宋体"/>
          <w:color w:val="000000"/>
          <w:sz w:val="24"/>
          <w:lang w:val="en-US" w:eastAsia="zh-CN"/>
        </w:rPr>
        <w:t xml:space="preserve">     </w:t>
      </w:r>
      <w:r>
        <w:rPr>
          <w:rFonts w:hint="eastAsia" w:ascii="宋体" w:hAnsi="宋体"/>
          <w:color w:val="000000"/>
          <w:sz w:val="24"/>
        </w:rPr>
        <w:t xml:space="preserve"> 日期：     年    月    日</w:t>
      </w:r>
    </w:p>
    <w:p w14:paraId="09A325A0">
      <w:pPr>
        <w:spacing w:line="480" w:lineRule="exact"/>
        <w:ind w:firstLine="240" w:firstLineChars="100"/>
        <w:rPr>
          <w:rFonts w:hint="eastAsia" w:ascii="Arial" w:hAnsi="Arial" w:eastAsia="宋体" w:cs="Arial"/>
          <w:color w:val="000000"/>
          <w:sz w:val="24"/>
          <w:shd w:val="clear" w:color="auto" w:fill="FFFFFF"/>
        </w:rPr>
      </w:pPr>
    </w:p>
    <w:p w14:paraId="7C2D6D45">
      <w:pPr>
        <w:rPr>
          <w:rFonts w:hint="eastAsia"/>
          <w:sz w:val="44"/>
        </w:rPr>
      </w:pPr>
    </w:p>
    <w:p w14:paraId="1BD71D07">
      <w:pPr>
        <w:rPr>
          <w:rFonts w:hint="eastAsia" w:ascii="宋体" w:hAnsi="宋体"/>
          <w:color w:val="000000"/>
          <w:sz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88232">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4074E">
    <w:pPr>
      <w:pStyle w:val="2"/>
      <w:framePr w:wrap="around" w:vAnchor="text" w:hAnchor="margin" w:xAlign="right" w:y="1"/>
      <w:rPr>
        <w:rStyle w:val="6"/>
      </w:rPr>
    </w:pPr>
    <w:r>
      <w:fldChar w:fldCharType="begin"/>
    </w:r>
    <w:r>
      <w:rPr>
        <w:rStyle w:val="6"/>
      </w:rPr>
      <w:instrText xml:space="preserve">PAGE  </w:instrText>
    </w:r>
    <w:r>
      <w:fldChar w:fldCharType="end"/>
    </w:r>
  </w:p>
  <w:p w14:paraId="4CB0F29B">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8C3FA5"/>
    <w:multiLevelType w:val="multilevel"/>
    <w:tmpl w:val="0A8C3FA5"/>
    <w:lvl w:ilvl="0" w:tentative="0">
      <w:start w:val="1"/>
      <w:numFmt w:val="decimal"/>
      <w:lvlText w:val="%1、"/>
      <w:lvlJc w:val="left"/>
      <w:pPr>
        <w:tabs>
          <w:tab w:val="left" w:pos="980"/>
        </w:tabs>
        <w:ind w:left="980" w:hanging="420"/>
      </w:pPr>
      <w:rPr>
        <w:rFonts w:hint="eastAsia"/>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4A2C1409"/>
    <w:multiLevelType w:val="singleLevel"/>
    <w:tmpl w:val="4A2C1409"/>
    <w:lvl w:ilvl="0" w:tentative="0">
      <w:start w:val="9"/>
      <w:numFmt w:val="decimal"/>
      <w:suff w:val="nothing"/>
      <w:lvlText w:val="%1、"/>
      <w:lvlJc w:val="left"/>
    </w:lvl>
  </w:abstractNum>
  <w:abstractNum w:abstractNumId="2">
    <w:nsid w:val="51E333CC"/>
    <w:multiLevelType w:val="multilevel"/>
    <w:tmpl w:val="51E333CC"/>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BF6083"/>
    <w:rsid w:val="017364B8"/>
    <w:rsid w:val="04340753"/>
    <w:rsid w:val="055C31C7"/>
    <w:rsid w:val="11765019"/>
    <w:rsid w:val="1A5E3C5E"/>
    <w:rsid w:val="29BF6083"/>
    <w:rsid w:val="3CE37662"/>
    <w:rsid w:val="3E27138C"/>
    <w:rsid w:val="424126A8"/>
    <w:rsid w:val="4FCD667C"/>
    <w:rsid w:val="531D4394"/>
    <w:rsid w:val="6E3E3B38"/>
    <w:rsid w:val="74404A49"/>
    <w:rsid w:val="76EF3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100" w:afterAutospacing="1"/>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0"/>
    <w:pPr>
      <w:widowControl/>
      <w:jc w:val="left"/>
    </w:pPr>
    <w:rPr>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6855</Words>
  <Characters>7041</Characters>
  <Lines>0</Lines>
  <Paragraphs>0</Paragraphs>
  <TotalTime>0</TotalTime>
  <ScaleCrop>false</ScaleCrop>
  <LinksUpToDate>false</LinksUpToDate>
  <CharactersWithSpaces>7656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2025-06-30T07:38:00Z</dcterms:created>
  <dc:creator>曾春莹</dc:creator>
  <cp:lastModifiedBy>梁子</cp:lastModifiedBy>
  <dcterms:modified xsi:type="dcterms:W3CDTF">2026-06-16T02:33:41Z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3CF4FC34917E42729E0C4FEE06481456_11</vt:lpwstr>
  </property>
  <property fmtid="{D5CDD505-2E9C-101B-9397-08002B2CF9AE}" pid="4" name="KSOTemplateDocerSaveRecord">
    <vt:lpwstr>eyJoZGlkIjoiODE5ODZmNDFjMGU5YmQ4OTkxMzhjYWZmNGU1ZWQyNzEiLCJ1c2VySWQiOiIxMTIyMzU2MTk1In0=</vt:lpwstr>
  </property>
</Properties>
</file>