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jc w:val="center"/>
        <w:textAlignment w:val="auto"/>
        <w:outlineLvl w:val="9"/>
        <w:rPr>
          <w:rFonts w:hint="eastAsia" w:ascii="黑体" w:hAnsi="黑体" w:eastAsia="黑体" w:cs="黑体"/>
          <w:b/>
          <w:caps w:val="0"/>
          <w:smallCaps w:val="0"/>
          <w:sz w:val="32"/>
          <w:szCs w:val="32"/>
        </w:rPr>
      </w:pPr>
      <w:bookmarkStart w:id="0" w:name="_Toc31925_WPSOffice_Level2"/>
      <w:bookmarkStart w:id="1" w:name="fj54797"/>
      <w:r>
        <w:rPr>
          <w:rFonts w:hint="eastAsia" w:ascii="黑体" w:hAnsi="黑体" w:eastAsia="黑体" w:cs="黑体"/>
          <w:b/>
          <w:caps w:val="0"/>
          <w:smallCaps w:val="0"/>
          <w:sz w:val="32"/>
          <w:szCs w:val="32"/>
        </w:rPr>
        <w:t>报价一览表</w:t>
      </w:r>
      <w:bookmarkEnd w:id="0"/>
    </w:p>
    <w:tbl>
      <w:tblPr>
        <w:tblStyle w:val="17"/>
        <w:tblW w:w="50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952"/>
        <w:gridCol w:w="1197"/>
        <w:gridCol w:w="2478"/>
        <w:gridCol w:w="906"/>
        <w:gridCol w:w="476"/>
        <w:gridCol w:w="1192"/>
        <w:gridCol w:w="1313"/>
        <w:gridCol w:w="1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9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bookmarkStart w:id="2" w:name="_GoBack"/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项目</w:t>
            </w:r>
          </w:p>
        </w:tc>
        <w:tc>
          <w:tcPr>
            <w:tcW w:w="1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服务内容</w:t>
            </w:r>
          </w:p>
        </w:tc>
        <w:tc>
          <w:tcPr>
            <w:tcW w:w="45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数量A</w:t>
            </w:r>
          </w:p>
        </w:tc>
        <w:tc>
          <w:tcPr>
            <w:tcW w:w="23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59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不含税单价（元/㎡）B</w:t>
            </w:r>
          </w:p>
        </w:tc>
        <w:tc>
          <w:tcPr>
            <w:tcW w:w="6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不含税合价（元）A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  <w:t>×</w:t>
            </w: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B</w:t>
            </w:r>
          </w:p>
        </w:tc>
        <w:tc>
          <w:tcPr>
            <w:tcW w:w="56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9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</w:p>
        </w:tc>
        <w:tc>
          <w:tcPr>
            <w:tcW w:w="47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阶段</w:t>
            </w: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专业</w:t>
            </w:r>
          </w:p>
        </w:tc>
        <w:tc>
          <w:tcPr>
            <w:tcW w:w="45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</w:p>
        </w:tc>
        <w:tc>
          <w:tcPr>
            <w:tcW w:w="23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</w:p>
        </w:tc>
        <w:tc>
          <w:tcPr>
            <w:tcW w:w="59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</w:p>
        </w:tc>
        <w:tc>
          <w:tcPr>
            <w:tcW w:w="65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</w:p>
        </w:tc>
        <w:tc>
          <w:tcPr>
            <w:tcW w:w="561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1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47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复兴世纪大厦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项目平面方案及施工图设计（基础设计）</w:t>
            </w:r>
          </w:p>
        </w:tc>
        <w:tc>
          <w:tcPr>
            <w:tcW w:w="123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1.平面方案设计（含深化）；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2.室内精装设计（含平面深化设计）、配套的二次机电设计、智能化设计、照明设计、消防设计、安全疏散需要的建筑改造设计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、钢结构设计及其计算书（如有）、现场施工配合</w:t>
            </w:r>
          </w:p>
        </w:tc>
        <w:tc>
          <w:tcPr>
            <w:tcW w:w="4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highlight w:val="none"/>
                <w:lang w:val="en-US" w:eastAsia="zh-CN"/>
              </w:rPr>
              <w:t>434.86</w:t>
            </w:r>
          </w:p>
        </w:tc>
        <w:tc>
          <w:tcPr>
            <w:tcW w:w="23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㎡</w:t>
            </w:r>
          </w:p>
        </w:tc>
        <w:tc>
          <w:tcPr>
            <w:tcW w:w="593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highlight w:val="yellow"/>
                <w:lang w:val="en-US" w:eastAsia="zh-CN"/>
              </w:rPr>
            </w:pPr>
          </w:p>
        </w:tc>
        <w:tc>
          <w:tcPr>
            <w:tcW w:w="65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highlight w:val="yellow"/>
                <w:lang w:val="en-US" w:eastAsia="zh-CN"/>
              </w:rPr>
            </w:pPr>
          </w:p>
        </w:tc>
        <w:tc>
          <w:tcPr>
            <w:tcW w:w="56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highlight w:val="none"/>
                <w:lang w:val="en-US" w:eastAsia="zh-CN"/>
              </w:rPr>
              <w:t>综合单价包干，按实际设计面积结算。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7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96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专项设计</w:t>
            </w:r>
          </w:p>
        </w:tc>
        <w:tc>
          <w:tcPr>
            <w:tcW w:w="123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外立面改造设计</w:t>
            </w:r>
          </w:p>
        </w:tc>
        <w:tc>
          <w:tcPr>
            <w:tcW w:w="4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项</w:t>
            </w:r>
          </w:p>
        </w:tc>
        <w:tc>
          <w:tcPr>
            <w:tcW w:w="593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65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56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专项设计按固定总价包干。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  <w:jc w:val="center"/>
        </w:trPr>
        <w:tc>
          <w:tcPr>
            <w:tcW w:w="1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74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桃源村（已有平面方案）</w:t>
            </w:r>
          </w:p>
        </w:tc>
        <w:tc>
          <w:tcPr>
            <w:tcW w:w="596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项目平面方案深化及施工图设计（基础设计）</w:t>
            </w:r>
          </w:p>
        </w:tc>
        <w:tc>
          <w:tcPr>
            <w:tcW w:w="123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1.方案深化设计；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2.室内精装设计（含平面深化设计）、配套的二次机电设计、智能化设计、照明设计、消防设计、安全疏散需要的建筑改造设计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highlight w:val="none"/>
                <w:lang w:val="en-US" w:eastAsia="zh-CN"/>
              </w:rPr>
              <w:t>、钢结构设计及其计算书（如有）、现场施工配合</w:t>
            </w:r>
          </w:p>
        </w:tc>
        <w:tc>
          <w:tcPr>
            <w:tcW w:w="4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635.5</w:t>
            </w:r>
          </w:p>
        </w:tc>
        <w:tc>
          <w:tcPr>
            <w:tcW w:w="23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㎡</w:t>
            </w:r>
          </w:p>
        </w:tc>
        <w:tc>
          <w:tcPr>
            <w:tcW w:w="593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65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56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highlight w:val="none"/>
                <w:lang w:val="en-US" w:eastAsia="zh-CN"/>
              </w:rPr>
              <w:t>综合单价包干，按实际设计面积结算。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7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96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专项设计</w:t>
            </w:r>
          </w:p>
        </w:tc>
        <w:tc>
          <w:tcPr>
            <w:tcW w:w="123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外立面改造设计</w:t>
            </w:r>
          </w:p>
        </w:tc>
        <w:tc>
          <w:tcPr>
            <w:tcW w:w="4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项</w:t>
            </w:r>
          </w:p>
        </w:tc>
        <w:tc>
          <w:tcPr>
            <w:tcW w:w="593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65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56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专项设计按固定总价包干。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74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</w:p>
        </w:tc>
        <w:tc>
          <w:tcPr>
            <w:tcW w:w="596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专项设计</w:t>
            </w:r>
          </w:p>
        </w:tc>
        <w:tc>
          <w:tcPr>
            <w:tcW w:w="123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厨房设计</w:t>
            </w:r>
          </w:p>
        </w:tc>
        <w:tc>
          <w:tcPr>
            <w:tcW w:w="45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37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项</w:t>
            </w:r>
          </w:p>
        </w:tc>
        <w:tc>
          <w:tcPr>
            <w:tcW w:w="593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65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56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/>
              </w:rPr>
              <w:t>专项设计按固定总价包干。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2" w:hRule="atLeast"/>
          <w:jc w:val="center"/>
        </w:trPr>
        <w:tc>
          <w:tcPr>
            <w:tcW w:w="1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587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不含税小计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（=第1项+第2项+第3项+第4项+第5项）（元）</w:t>
            </w:r>
          </w:p>
        </w:tc>
        <w:tc>
          <w:tcPr>
            <w:tcW w:w="65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56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21" w:hRule="atLeast"/>
          <w:jc w:val="center"/>
        </w:trPr>
        <w:tc>
          <w:tcPr>
            <w:tcW w:w="1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587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税金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（=不含税</w:t>
            </w: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小计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×增值税发票税率）（元）</w:t>
            </w:r>
          </w:p>
        </w:tc>
        <w:tc>
          <w:tcPr>
            <w:tcW w:w="65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56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税率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%（供应商填写）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48" w:hRule="atLeast"/>
          <w:jc w:val="center"/>
        </w:trPr>
        <w:tc>
          <w:tcPr>
            <w:tcW w:w="1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3587" w:type="pct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szCs w:val="22"/>
                <w:lang w:val="en-US" w:eastAsia="zh-CN"/>
              </w:rPr>
              <w:t>含税总计</w:t>
            </w: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  <w:t>（=小计金额+税金）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lang w:val="en-US" w:eastAsia="zh-CN"/>
              </w:rPr>
              <w:t>（元）</w:t>
            </w:r>
          </w:p>
        </w:tc>
        <w:tc>
          <w:tcPr>
            <w:tcW w:w="654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  <w:tc>
          <w:tcPr>
            <w:tcW w:w="561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/>
              </w:rPr>
            </w:pPr>
          </w:p>
        </w:tc>
      </w:tr>
      <w:bookmarkEnd w:id="2"/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u w:val="none"/>
        </w:rPr>
      </w:pPr>
      <w:r>
        <w:rPr>
          <w:rFonts w:hint="eastAsia" w:ascii="宋体" w:hAnsi="宋体" w:eastAsia="宋体" w:cs="宋体"/>
          <w:sz w:val="21"/>
          <w:szCs w:val="21"/>
          <w:u w:val="none"/>
        </w:rPr>
        <w:t>注：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60" w:lineRule="auto"/>
        <w:ind w:right="-260" w:rightChars="-124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u w:val="none"/>
        </w:rPr>
      </w:pPr>
      <w:r>
        <w:rPr>
          <w:rFonts w:hint="eastAsia" w:ascii="宋体" w:hAnsi="宋体" w:cs="宋体"/>
          <w:sz w:val="21"/>
          <w:szCs w:val="21"/>
          <w:u w:val="none"/>
          <w:lang w:eastAsia="zh-CN"/>
        </w:rPr>
        <w:t>供应商</w:t>
      </w:r>
      <w:r>
        <w:rPr>
          <w:rFonts w:hint="eastAsia" w:ascii="宋体" w:hAnsi="宋体" w:eastAsia="宋体" w:cs="宋体"/>
          <w:sz w:val="21"/>
          <w:szCs w:val="21"/>
          <w:u w:val="none"/>
        </w:rPr>
        <w:t>按以上《报价一览表》格式进行报价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数值应精确到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小数点后两位</w:t>
      </w:r>
      <w:r>
        <w:rPr>
          <w:rFonts w:hint="eastAsia" w:ascii="宋体" w:hAnsi="宋体" w:eastAsia="宋体" w:cs="宋体"/>
          <w:sz w:val="21"/>
          <w:szCs w:val="21"/>
          <w:u w:val="none"/>
        </w:rPr>
        <w:t>。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60" w:lineRule="auto"/>
        <w:ind w:right="-260" w:rightChars="-124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u w:val="none"/>
        </w:rPr>
      </w:pPr>
      <w:r>
        <w:rPr>
          <w:rFonts w:hint="eastAsia" w:ascii="宋体" w:hAnsi="宋体" w:eastAsia="宋体" w:cs="宋体"/>
          <w:b/>
          <w:sz w:val="21"/>
          <w:szCs w:val="21"/>
          <w:u w:val="none"/>
        </w:rPr>
        <w:t>费用报价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应包含完成本项目要求的全部服务的全部费用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包括但不限于完成所有合同内容的人员工资、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社会保险、住房公积金、税金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等完成本项目要求的全部义务的所有一切费用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</w:rPr>
        <w:t>。</w:t>
      </w:r>
    </w:p>
    <w:p>
      <w:pPr>
        <w:pStyle w:val="2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360" w:lineRule="auto"/>
        <w:ind w:right="-260" w:rightChars="-124" w:firstLineChars="0"/>
        <w:textAlignment w:val="auto"/>
        <w:outlineLvl w:val="9"/>
        <w:rPr>
          <w:rFonts w:hint="eastAsia" w:ascii="宋体" w:hAnsi="宋体" w:eastAsia="宋体" w:cs="宋体"/>
          <w:sz w:val="21"/>
          <w:szCs w:val="21"/>
          <w:u w:val="none"/>
        </w:rPr>
      </w:pPr>
      <w:r>
        <w:rPr>
          <w:rFonts w:hint="eastAsia" w:ascii="宋体" w:hAnsi="宋体" w:eastAsia="宋体" w:cs="宋体"/>
          <w:sz w:val="21"/>
          <w:szCs w:val="21"/>
          <w:u w:val="none"/>
        </w:rPr>
        <w:t>如遇国家（或地方）调整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增值税</w:t>
      </w:r>
      <w:r>
        <w:rPr>
          <w:rFonts w:hint="eastAsia" w:ascii="宋体" w:hAnsi="宋体" w:eastAsia="宋体" w:cs="宋体"/>
          <w:sz w:val="21"/>
          <w:szCs w:val="21"/>
          <w:u w:val="none"/>
        </w:rPr>
        <w:t>税率时，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保持</w:t>
      </w:r>
      <w:r>
        <w:rPr>
          <w:rFonts w:hint="eastAsia" w:ascii="宋体" w:hAnsi="宋体" w:eastAsia="宋体" w:cs="宋体"/>
          <w:color w:val="333333"/>
          <w:sz w:val="21"/>
          <w:szCs w:val="21"/>
          <w:u w:val="none"/>
        </w:rPr>
        <w:t>不含税金额</w:t>
      </w:r>
      <w:r>
        <w:rPr>
          <w:rFonts w:hint="eastAsia" w:ascii="宋体" w:hAnsi="宋体" w:eastAsia="宋体" w:cs="宋体"/>
          <w:color w:val="333333"/>
          <w:sz w:val="21"/>
          <w:szCs w:val="21"/>
          <w:u w:val="none"/>
          <w:lang w:val="en-US" w:eastAsia="zh-CN"/>
        </w:rPr>
        <w:t>不变</w:t>
      </w:r>
      <w:r>
        <w:rPr>
          <w:rFonts w:hint="eastAsia" w:ascii="宋体" w:hAnsi="宋体" w:eastAsia="宋体" w:cs="宋体"/>
          <w:color w:val="333333"/>
          <w:sz w:val="21"/>
          <w:szCs w:val="21"/>
          <w:u w:val="none"/>
        </w:rPr>
        <w:t>，调整增值税税额。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/>
        <w:spacing w:line="360" w:lineRule="auto"/>
        <w:ind w:left="4200" w:leftChars="0" w:firstLine="0" w:firstLineChars="0"/>
        <w:textAlignment w:val="auto"/>
        <w:outlineLvl w:val="9"/>
        <w:rPr>
          <w:rFonts w:hint="default" w:hAnsi="Arial" w:eastAsia="宋体" w:cs="Courier New" w:asciiTheme="minorAscii"/>
          <w:bCs/>
          <w:caps w:val="0"/>
          <w:smallCaps w:val="0"/>
          <w:sz w:val="22"/>
          <w:u w:val="single"/>
          <w:lang w:val="en-US" w:eastAsia="zh-CN"/>
        </w:rPr>
      </w:pPr>
      <w:r>
        <w:rPr>
          <w:rFonts w:hint="eastAsia" w:hAnsi="Arial" w:eastAsia="宋体" w:cs="Courier New" w:asciiTheme="minorAscii"/>
          <w:bCs/>
          <w:caps w:val="0"/>
          <w:smallCaps w:val="0"/>
          <w:sz w:val="22"/>
          <w:lang w:val="en-US" w:eastAsia="zh-CN"/>
        </w:rPr>
        <w:t>供应商</w:t>
      </w:r>
      <w:r>
        <w:rPr>
          <w:rFonts w:hint="eastAsia" w:hAnsi="Arial" w:eastAsia="宋体" w:cs="Courier New" w:asciiTheme="minorAscii"/>
          <w:bCs/>
          <w:caps w:val="0"/>
          <w:smallCaps w:val="0"/>
          <w:sz w:val="22"/>
          <w:lang w:eastAsia="zh-CN"/>
        </w:rPr>
        <w:t>（</w:t>
      </w:r>
      <w:r>
        <w:rPr>
          <w:rFonts w:hint="eastAsia" w:hAnsi="Arial" w:eastAsia="宋体" w:cs="Courier New" w:asciiTheme="minorAscii"/>
          <w:bCs/>
          <w:caps w:val="0"/>
          <w:smallCaps w:val="0"/>
          <w:sz w:val="22"/>
          <w:lang w:val="en-US" w:eastAsia="zh-CN"/>
        </w:rPr>
        <w:t>盖章</w:t>
      </w:r>
      <w:r>
        <w:rPr>
          <w:rFonts w:hint="eastAsia" w:hAnsi="Arial" w:eastAsia="宋体" w:cs="Courier New" w:asciiTheme="minorAscii"/>
          <w:bCs/>
          <w:caps w:val="0"/>
          <w:smallCaps w:val="0"/>
          <w:sz w:val="22"/>
          <w:lang w:eastAsia="zh-CN"/>
        </w:rPr>
        <w:t>）</w:t>
      </w:r>
      <w:r>
        <w:rPr>
          <w:rFonts w:hint="eastAsia" w:hAnsi="Arial" w:eastAsia="宋体" w:cs="Courier New" w:asciiTheme="minorAscii"/>
          <w:bCs/>
          <w:caps w:val="0"/>
          <w:smallCaps w:val="0"/>
          <w:sz w:val="22"/>
        </w:rPr>
        <w:t>：</w:t>
      </w:r>
      <w:r>
        <w:rPr>
          <w:rFonts w:hint="eastAsia" w:hAnsi="Arial" w:eastAsia="宋体" w:cs="Courier New" w:asciiTheme="minorAscii"/>
          <w:bCs/>
          <w:caps w:val="0"/>
          <w:smallCaps w:val="0"/>
          <w:sz w:val="22"/>
          <w:u w:val="single"/>
        </w:rPr>
        <w:t xml:space="preserve">                       </w:t>
      </w:r>
      <w:r>
        <w:rPr>
          <w:rFonts w:hint="eastAsia" w:hAnsi="Arial" w:eastAsia="宋体" w:cs="Courier New" w:asciiTheme="minorAscii"/>
          <w:bCs/>
          <w:caps w:val="0"/>
          <w:smallCaps w:val="0"/>
          <w:sz w:val="22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spacing w:line="360" w:lineRule="auto"/>
        <w:ind w:left="4200"/>
        <w:textAlignment w:val="auto"/>
        <w:outlineLvl w:val="9"/>
        <w:rPr>
          <w:rFonts w:hAnsi="Arial" w:eastAsia="宋体" w:cs="Courier New" w:asciiTheme="minorAscii"/>
          <w:caps w:val="0"/>
          <w:smallCaps w:val="0"/>
          <w:sz w:val="28"/>
          <w:szCs w:val="21"/>
        </w:rPr>
      </w:pPr>
      <w:r>
        <w:rPr>
          <w:rFonts w:hint="eastAsia" w:ascii="宋体" w:hAnsi="宋体" w:eastAsia="宋体" w:cs="宋体"/>
          <w:bCs/>
          <w:caps w:val="0"/>
          <w:smallCaps w:val="0"/>
          <w:sz w:val="21"/>
          <w:szCs w:val="21"/>
          <w:lang w:val="en-US" w:eastAsia="zh-CN"/>
        </w:rPr>
        <w:t>日期：</w:t>
      </w:r>
      <w:r>
        <w:rPr>
          <w:rFonts w:hint="eastAsia" w:ascii="宋体" w:hAnsi="宋体" w:eastAsia="宋体" w:cs="宋体"/>
          <w:bCs/>
          <w:caps w:val="0"/>
          <w:smallCaps w:val="0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caps w:val="0"/>
          <w:smallCaps w:val="0"/>
          <w:sz w:val="21"/>
          <w:szCs w:val="21"/>
        </w:rPr>
        <w:t>年</w:t>
      </w:r>
      <w:r>
        <w:rPr>
          <w:rFonts w:hint="eastAsia" w:ascii="宋体" w:hAnsi="宋体" w:eastAsia="宋体" w:cs="宋体"/>
          <w:bCs/>
          <w:caps w:val="0"/>
          <w:smallCaps w:val="0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caps w:val="0"/>
          <w:smallCaps w:val="0"/>
          <w:sz w:val="21"/>
          <w:szCs w:val="21"/>
        </w:rPr>
        <w:t>月</w:t>
      </w:r>
      <w:r>
        <w:rPr>
          <w:rFonts w:hint="eastAsia" w:ascii="宋体" w:hAnsi="宋体" w:eastAsia="宋体" w:cs="宋体"/>
          <w:bCs/>
          <w:caps w:val="0"/>
          <w:smallCaps w:val="0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bCs/>
          <w:caps w:val="0"/>
          <w:smallCaps w:val="0"/>
          <w:sz w:val="21"/>
          <w:szCs w:val="21"/>
        </w:rPr>
        <w:t>日</w:t>
      </w:r>
    </w:p>
    <w:bookmarkEnd w:id="1"/>
    <w:p>
      <w:pPr>
        <w:pStyle w:val="9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jc w:val="center"/>
        <w:textAlignment w:val="auto"/>
      </w:pPr>
    </w:p>
    <w:sectPr>
      <w:headerReference r:id="rId3" w:type="default"/>
      <w:footerReference r:id="rId4" w:type="default"/>
      <w:pgSz w:w="11907" w:h="16840"/>
      <w:pgMar w:top="1440" w:right="1080" w:bottom="1440" w:left="1080" w:header="851" w:footer="85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１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/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57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１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/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57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right"/>
    </w:pPr>
    <w:r>
      <w:rPr>
        <w:rFonts w:hint="eastAsia" w:hAnsi="Arial" w:eastAsia="宋体" w:cs="Courier New" w:asciiTheme="minorAscii"/>
        <w:caps w:val="0"/>
        <w:smallCaps w:val="0"/>
        <w:sz w:val="22"/>
        <w:lang w:val="en-US" w:eastAsia="zh-CN"/>
      </w:rPr>
      <w:t>版本：2024年11月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42C9A"/>
    <w:multiLevelType w:val="multilevel"/>
    <w:tmpl w:val="45C42C9A"/>
    <w:lvl w:ilvl="0" w:tentative="0">
      <w:start w:val="1"/>
      <w:numFmt w:val="decimal"/>
      <w:pStyle w:val="5"/>
      <w:lvlText w:val="%1"/>
      <w:lvlJc w:val="left"/>
      <w:pPr>
        <w:tabs>
          <w:tab w:val="left" w:pos="858"/>
        </w:tabs>
        <w:ind w:left="858" w:hanging="432"/>
      </w:pPr>
    </w:lvl>
    <w:lvl w:ilvl="1" w:tentative="0">
      <w:start w:val="1"/>
      <w:numFmt w:val="decimal"/>
      <w:pStyle w:val="6"/>
      <w:lvlText w:val="%1.%2"/>
      <w:lvlJc w:val="left"/>
      <w:pPr>
        <w:tabs>
          <w:tab w:val="left" w:pos="576"/>
        </w:tabs>
        <w:ind w:left="576" w:hanging="576"/>
      </w:pPr>
      <w:rPr>
        <w:strike w:val="0"/>
        <w:color w:val="auto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5C130C56"/>
    <w:multiLevelType w:val="multilevel"/>
    <w:tmpl w:val="5C130C5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810DB0"/>
    <w:rsid w:val="01974CF6"/>
    <w:rsid w:val="01F122BF"/>
    <w:rsid w:val="01F67976"/>
    <w:rsid w:val="0213372B"/>
    <w:rsid w:val="024263C4"/>
    <w:rsid w:val="026C6A7D"/>
    <w:rsid w:val="03060F81"/>
    <w:rsid w:val="03991DF6"/>
    <w:rsid w:val="040E4A58"/>
    <w:rsid w:val="04137DFA"/>
    <w:rsid w:val="042D5069"/>
    <w:rsid w:val="04531FA4"/>
    <w:rsid w:val="05534451"/>
    <w:rsid w:val="05630D8C"/>
    <w:rsid w:val="06476ABB"/>
    <w:rsid w:val="06896151"/>
    <w:rsid w:val="06AA1921"/>
    <w:rsid w:val="06AC3C62"/>
    <w:rsid w:val="073C7668"/>
    <w:rsid w:val="08CD66F0"/>
    <w:rsid w:val="090D3EFD"/>
    <w:rsid w:val="09566027"/>
    <w:rsid w:val="09E95BCC"/>
    <w:rsid w:val="0A55005D"/>
    <w:rsid w:val="0A5B4924"/>
    <w:rsid w:val="0AF52007"/>
    <w:rsid w:val="0B02681E"/>
    <w:rsid w:val="0C1741FF"/>
    <w:rsid w:val="0C33095F"/>
    <w:rsid w:val="0C5D60B6"/>
    <w:rsid w:val="0C833062"/>
    <w:rsid w:val="0CB87790"/>
    <w:rsid w:val="0CD41EF3"/>
    <w:rsid w:val="0D585701"/>
    <w:rsid w:val="0D593367"/>
    <w:rsid w:val="0D847672"/>
    <w:rsid w:val="0DF63AB9"/>
    <w:rsid w:val="0EA9446A"/>
    <w:rsid w:val="0F781459"/>
    <w:rsid w:val="0FB72E36"/>
    <w:rsid w:val="0FB75ADD"/>
    <w:rsid w:val="1005689B"/>
    <w:rsid w:val="10420C75"/>
    <w:rsid w:val="10E91574"/>
    <w:rsid w:val="10F2220D"/>
    <w:rsid w:val="125D0492"/>
    <w:rsid w:val="126C42B4"/>
    <w:rsid w:val="12CE523A"/>
    <w:rsid w:val="12EF1D64"/>
    <w:rsid w:val="12FC6BB7"/>
    <w:rsid w:val="13E20C01"/>
    <w:rsid w:val="142718F9"/>
    <w:rsid w:val="144C1B7B"/>
    <w:rsid w:val="146C750B"/>
    <w:rsid w:val="16426169"/>
    <w:rsid w:val="16CD3E38"/>
    <w:rsid w:val="17F02A1B"/>
    <w:rsid w:val="185D2A7F"/>
    <w:rsid w:val="186844EA"/>
    <w:rsid w:val="19D90D95"/>
    <w:rsid w:val="19ED659F"/>
    <w:rsid w:val="1A072AD8"/>
    <w:rsid w:val="1ABD2416"/>
    <w:rsid w:val="1B132043"/>
    <w:rsid w:val="1B4857AE"/>
    <w:rsid w:val="1B90721A"/>
    <w:rsid w:val="1BD9502D"/>
    <w:rsid w:val="1BE14A1A"/>
    <w:rsid w:val="1C097820"/>
    <w:rsid w:val="1C533032"/>
    <w:rsid w:val="1C585922"/>
    <w:rsid w:val="1C7A627F"/>
    <w:rsid w:val="1C8D1967"/>
    <w:rsid w:val="1CA4563B"/>
    <w:rsid w:val="1D114C42"/>
    <w:rsid w:val="1DC723A4"/>
    <w:rsid w:val="1E527AB1"/>
    <w:rsid w:val="1E844CEA"/>
    <w:rsid w:val="1E94348E"/>
    <w:rsid w:val="1F04118E"/>
    <w:rsid w:val="1F365049"/>
    <w:rsid w:val="1F646872"/>
    <w:rsid w:val="1FBE4C66"/>
    <w:rsid w:val="203B1E13"/>
    <w:rsid w:val="206F387B"/>
    <w:rsid w:val="20935A9C"/>
    <w:rsid w:val="215C0EAE"/>
    <w:rsid w:val="21ED538F"/>
    <w:rsid w:val="220646A2"/>
    <w:rsid w:val="22553243"/>
    <w:rsid w:val="227A2986"/>
    <w:rsid w:val="22837D36"/>
    <w:rsid w:val="22C31B3F"/>
    <w:rsid w:val="22CC7C80"/>
    <w:rsid w:val="23B4085A"/>
    <w:rsid w:val="23D73E2E"/>
    <w:rsid w:val="24005788"/>
    <w:rsid w:val="24AD3A29"/>
    <w:rsid w:val="24AF4E9E"/>
    <w:rsid w:val="24DB3BC4"/>
    <w:rsid w:val="2551032A"/>
    <w:rsid w:val="2576366B"/>
    <w:rsid w:val="25BC7E43"/>
    <w:rsid w:val="266704CE"/>
    <w:rsid w:val="29754E61"/>
    <w:rsid w:val="29A179D8"/>
    <w:rsid w:val="2AC961AE"/>
    <w:rsid w:val="2AEA4B61"/>
    <w:rsid w:val="2BD24A9F"/>
    <w:rsid w:val="2BD729FD"/>
    <w:rsid w:val="2C0734F1"/>
    <w:rsid w:val="2C2038E1"/>
    <w:rsid w:val="2C9A03D4"/>
    <w:rsid w:val="2C9A5113"/>
    <w:rsid w:val="2CB1275D"/>
    <w:rsid w:val="2CF63C91"/>
    <w:rsid w:val="2EB84E3B"/>
    <w:rsid w:val="2F026561"/>
    <w:rsid w:val="2FE91787"/>
    <w:rsid w:val="30257BB0"/>
    <w:rsid w:val="321E3342"/>
    <w:rsid w:val="329D789A"/>
    <w:rsid w:val="336C15C1"/>
    <w:rsid w:val="33AF21F6"/>
    <w:rsid w:val="33C61EE3"/>
    <w:rsid w:val="340C5B48"/>
    <w:rsid w:val="341576EF"/>
    <w:rsid w:val="34B550A5"/>
    <w:rsid w:val="34FF745B"/>
    <w:rsid w:val="35C1013F"/>
    <w:rsid w:val="368A71F8"/>
    <w:rsid w:val="386D241A"/>
    <w:rsid w:val="387031C7"/>
    <w:rsid w:val="39070FBC"/>
    <w:rsid w:val="3A916A09"/>
    <w:rsid w:val="3A994B6E"/>
    <w:rsid w:val="3B297F14"/>
    <w:rsid w:val="3B2E1030"/>
    <w:rsid w:val="3B4958D4"/>
    <w:rsid w:val="3B900324"/>
    <w:rsid w:val="3BB92704"/>
    <w:rsid w:val="3D432E5A"/>
    <w:rsid w:val="3D4D27A3"/>
    <w:rsid w:val="3D687527"/>
    <w:rsid w:val="3E782DB1"/>
    <w:rsid w:val="3F6251B6"/>
    <w:rsid w:val="3F9363A9"/>
    <w:rsid w:val="3FE340F4"/>
    <w:rsid w:val="404F5E77"/>
    <w:rsid w:val="414F6B48"/>
    <w:rsid w:val="418E067A"/>
    <w:rsid w:val="41FC17A0"/>
    <w:rsid w:val="423B189D"/>
    <w:rsid w:val="42621029"/>
    <w:rsid w:val="43466E71"/>
    <w:rsid w:val="44814D97"/>
    <w:rsid w:val="450767C9"/>
    <w:rsid w:val="45C463B0"/>
    <w:rsid w:val="46161D55"/>
    <w:rsid w:val="463A50D8"/>
    <w:rsid w:val="466D5F17"/>
    <w:rsid w:val="46D36999"/>
    <w:rsid w:val="47DF7262"/>
    <w:rsid w:val="48627FD5"/>
    <w:rsid w:val="48BB61DD"/>
    <w:rsid w:val="490C34C6"/>
    <w:rsid w:val="49804CF1"/>
    <w:rsid w:val="4A2576DE"/>
    <w:rsid w:val="4A5741B2"/>
    <w:rsid w:val="4AEC48F0"/>
    <w:rsid w:val="4BE347B7"/>
    <w:rsid w:val="4DA42E3E"/>
    <w:rsid w:val="4E5C675A"/>
    <w:rsid w:val="4EFB4603"/>
    <w:rsid w:val="4F2C721F"/>
    <w:rsid w:val="4FB71C21"/>
    <w:rsid w:val="5010171C"/>
    <w:rsid w:val="502D3360"/>
    <w:rsid w:val="514E3406"/>
    <w:rsid w:val="516279E3"/>
    <w:rsid w:val="51836A31"/>
    <w:rsid w:val="52836FA6"/>
    <w:rsid w:val="53B124F2"/>
    <w:rsid w:val="54082C1F"/>
    <w:rsid w:val="54D50C36"/>
    <w:rsid w:val="556E2F3D"/>
    <w:rsid w:val="557E5D22"/>
    <w:rsid w:val="55FA0B35"/>
    <w:rsid w:val="576952DA"/>
    <w:rsid w:val="576E325B"/>
    <w:rsid w:val="57945CD1"/>
    <w:rsid w:val="57A5279E"/>
    <w:rsid w:val="59050A43"/>
    <w:rsid w:val="594924D9"/>
    <w:rsid w:val="5A1D5B0A"/>
    <w:rsid w:val="5A724B26"/>
    <w:rsid w:val="5B7604E0"/>
    <w:rsid w:val="5C0F47B3"/>
    <w:rsid w:val="5C2463DD"/>
    <w:rsid w:val="5C6A547D"/>
    <w:rsid w:val="5C766F86"/>
    <w:rsid w:val="5CAB4BD0"/>
    <w:rsid w:val="5CF12531"/>
    <w:rsid w:val="5DF10F61"/>
    <w:rsid w:val="5EB212C5"/>
    <w:rsid w:val="5EC11F4F"/>
    <w:rsid w:val="5F2046ED"/>
    <w:rsid w:val="5F82462F"/>
    <w:rsid w:val="5FFC02C7"/>
    <w:rsid w:val="602C2F4B"/>
    <w:rsid w:val="608763D3"/>
    <w:rsid w:val="60A05F27"/>
    <w:rsid w:val="61922A5F"/>
    <w:rsid w:val="628712B3"/>
    <w:rsid w:val="629D0D17"/>
    <w:rsid w:val="637569B7"/>
    <w:rsid w:val="63A948B2"/>
    <w:rsid w:val="63C86884"/>
    <w:rsid w:val="63EC1129"/>
    <w:rsid w:val="64585BC3"/>
    <w:rsid w:val="64900528"/>
    <w:rsid w:val="64B130AE"/>
    <w:rsid w:val="650620CF"/>
    <w:rsid w:val="653F54CE"/>
    <w:rsid w:val="66D04603"/>
    <w:rsid w:val="66DA3AA6"/>
    <w:rsid w:val="670F72C3"/>
    <w:rsid w:val="671505A6"/>
    <w:rsid w:val="677A0B5D"/>
    <w:rsid w:val="678B628A"/>
    <w:rsid w:val="67952EF0"/>
    <w:rsid w:val="67A65325"/>
    <w:rsid w:val="67F524F3"/>
    <w:rsid w:val="683652DC"/>
    <w:rsid w:val="69046863"/>
    <w:rsid w:val="6A743B31"/>
    <w:rsid w:val="6B676717"/>
    <w:rsid w:val="6B6D5DFE"/>
    <w:rsid w:val="6BE2382F"/>
    <w:rsid w:val="6C844C00"/>
    <w:rsid w:val="6D472FAE"/>
    <w:rsid w:val="6D4B2536"/>
    <w:rsid w:val="6F8F57E8"/>
    <w:rsid w:val="6FA35D65"/>
    <w:rsid w:val="6FFA6CFE"/>
    <w:rsid w:val="70C61622"/>
    <w:rsid w:val="70D46200"/>
    <w:rsid w:val="70FE680B"/>
    <w:rsid w:val="71F731CF"/>
    <w:rsid w:val="7222201C"/>
    <w:rsid w:val="724265FE"/>
    <w:rsid w:val="72AF4820"/>
    <w:rsid w:val="72B9573C"/>
    <w:rsid w:val="73C53F3D"/>
    <w:rsid w:val="742D24D5"/>
    <w:rsid w:val="743E76C7"/>
    <w:rsid w:val="746E4368"/>
    <w:rsid w:val="748A31AB"/>
    <w:rsid w:val="74B16EF5"/>
    <w:rsid w:val="74D265A8"/>
    <w:rsid w:val="757B0421"/>
    <w:rsid w:val="75EF43A6"/>
    <w:rsid w:val="76046E14"/>
    <w:rsid w:val="768076F4"/>
    <w:rsid w:val="772B256B"/>
    <w:rsid w:val="77F8536D"/>
    <w:rsid w:val="78362777"/>
    <w:rsid w:val="784B57F9"/>
    <w:rsid w:val="789043CD"/>
    <w:rsid w:val="7A5D3627"/>
    <w:rsid w:val="7ACA47EB"/>
    <w:rsid w:val="7C75312C"/>
    <w:rsid w:val="7D045AAA"/>
    <w:rsid w:val="7E0C7C04"/>
    <w:rsid w:val="7E2249E1"/>
    <w:rsid w:val="7E47281F"/>
    <w:rsid w:val="7F711655"/>
    <w:rsid w:val="7F970BA5"/>
    <w:rsid w:val="7FCA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widowControl/>
      <w:numPr>
        <w:ilvl w:val="0"/>
        <w:numId w:val="1"/>
      </w:numPr>
      <w:tabs>
        <w:tab w:val="left" w:pos="4032"/>
        <w:tab w:val="clear" w:pos="858"/>
      </w:tabs>
      <w:spacing w:before="340" w:after="330"/>
      <w:ind w:left="4032"/>
      <w:jc w:val="left"/>
      <w:outlineLvl w:val="0"/>
    </w:pPr>
    <w:rPr>
      <w:rFonts w:ascii="华文细黑" w:hAnsi="Times New Roman" w:eastAsia="宋体" w:cs="Times New Roman"/>
      <w:b/>
      <w:bCs/>
      <w:snapToGrid w:val="0"/>
      <w:kern w:val="0"/>
      <w:sz w:val="28"/>
      <w:szCs w:val="44"/>
    </w:rPr>
  </w:style>
  <w:style w:type="paragraph" w:styleId="6">
    <w:name w:val="heading 2"/>
    <w:basedOn w:val="1"/>
    <w:next w:val="1"/>
    <w:qFormat/>
    <w:uiPriority w:val="0"/>
    <w:pPr>
      <w:numPr>
        <w:ilvl w:val="1"/>
        <w:numId w:val="1"/>
      </w:numPr>
      <w:spacing w:before="260" w:after="260"/>
      <w:jc w:val="center"/>
      <w:outlineLvl w:val="1"/>
    </w:pPr>
    <w:rPr>
      <w:rFonts w:ascii="华文细黑" w:hAnsi="Arial" w:eastAsia="宋体" w:cs="Times New Roman"/>
      <w:b/>
      <w:bCs/>
      <w:kern w:val="0"/>
      <w:sz w:val="44"/>
      <w:szCs w:val="32"/>
    </w:rPr>
  </w:style>
  <w:style w:type="paragraph" w:styleId="7">
    <w:name w:val="heading 5"/>
    <w:basedOn w:val="1"/>
    <w:next w:val="1"/>
    <w:qFormat/>
    <w:uiPriority w:val="0"/>
    <w:pPr>
      <w:keepNext/>
      <w:keepLines/>
      <w:widowControl/>
      <w:numPr>
        <w:ilvl w:val="4"/>
        <w:numId w:val="1"/>
      </w:numPr>
      <w:spacing w:before="280" w:after="290" w:line="376" w:lineRule="auto"/>
      <w:jc w:val="left"/>
      <w:outlineLvl w:val="4"/>
    </w:pPr>
    <w:rPr>
      <w:rFonts w:ascii="Times New Roman" w:hAnsi="Times New Roman" w:eastAsia="宋体" w:cs="Times New Roman"/>
      <w:b/>
      <w:bCs/>
      <w:kern w:val="0"/>
      <w:sz w:val="28"/>
      <w:szCs w:val="28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qFormat/>
    <w:uiPriority w:val="0"/>
    <w:pPr>
      <w:spacing w:after="120"/>
      <w:ind w:left="420" w:leftChars="200" w:firstLine="420"/>
    </w:pPr>
    <w:rPr>
      <w:kern w:val="0"/>
      <w:sz w:val="20"/>
      <w:szCs w:val="24"/>
    </w:rPr>
  </w:style>
  <w:style w:type="paragraph" w:styleId="3">
    <w:name w:val="Body Text Indent"/>
    <w:basedOn w:val="1"/>
    <w:next w:val="4"/>
    <w:qFormat/>
    <w:uiPriority w:val="0"/>
    <w:pPr>
      <w:spacing w:line="360" w:lineRule="auto"/>
      <w:ind w:firstLine="630"/>
    </w:pPr>
    <w:rPr>
      <w:rFonts w:ascii="宋体" w:hAnsi="宋体" w:eastAsia="宋体" w:cs="Times New Roman"/>
      <w:sz w:val="24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10">
    <w:name w:val="toc 3"/>
    <w:basedOn w:val="1"/>
    <w:next w:val="1"/>
    <w:qFormat/>
    <w:uiPriority w:val="39"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11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14">
    <w:name w:val="toc 1"/>
    <w:basedOn w:val="1"/>
    <w:next w:val="1"/>
    <w:qFormat/>
    <w:uiPriority w:val="39"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15">
    <w:name w:val="toc 2"/>
    <w:basedOn w:val="1"/>
    <w:next w:val="1"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paragraph" w:styleId="1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page number"/>
    <w:basedOn w:val="19"/>
    <w:semiHidden/>
    <w:qFormat/>
    <w:uiPriority w:val="0"/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2">
    <w:name w:val="无间隔1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4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5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26">
    <w:name w:val="NormalCharacter"/>
    <w:semiHidden/>
    <w:qFormat/>
    <w:uiPriority w:val="0"/>
  </w:style>
  <w:style w:type="character" w:styleId="27">
    <w:name w:val="Placeholder Text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492</Characters>
  <Lines>0</Lines>
  <Paragraphs>0</Paragraphs>
  <TotalTime>151</TotalTime>
  <ScaleCrop>false</ScaleCrop>
  <LinksUpToDate>false</LinksUpToDate>
  <CharactersWithSpaces>654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2024-10-28T03:05:00Z</dcterms:created>
  <dc:creator>guanz</dc:creator>
  <cp:lastModifiedBy>泥砸</cp:lastModifiedBy>
  <dcterms:modified xsi:type="dcterms:W3CDTF">2026-04-08T07:19:04Z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FF329C1A36594A378F828BF5B7911C78_13</vt:lpwstr>
  </property>
  <property fmtid="{D5CDD505-2E9C-101B-9397-08002B2CF9AE}" pid="4" name="KSOTemplateDocerSaveRecord">
    <vt:lpwstr>eyJoZGlkIjoiMjRhOWY5ZjIzODE5OTdiODAyNmYzYjdlMDkzZGZhYjAiLCJ1c2VySWQiOiI0MDg4MDYwMjcifQ==</vt:lpwstr>
  </property>
</Properties>
</file>