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0"/>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深圳市农产品集团股份有限公司</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0"/>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w:t>
      </w:r>
      <w:r>
        <w:rPr>
          <w:rFonts w:hint="eastAsia" w:ascii="方正小标宋_GBK" w:hAnsi="方正小标宋_GBK" w:eastAsia="方正小标宋_GBK" w:cs="方正小标宋_GBK"/>
          <w:sz w:val="44"/>
          <w:szCs w:val="44"/>
          <w:lang w:val="en-US" w:eastAsia="zh-CN"/>
        </w:rPr>
        <w:t>南山公司</w:t>
      </w:r>
      <w:r>
        <w:rPr>
          <w:rFonts w:hint="eastAsia" w:ascii="方正小标宋_GBK" w:hAnsi="方正小标宋_GBK" w:eastAsia="方正小标宋_GBK" w:cs="方正小标宋_GBK"/>
          <w:sz w:val="44"/>
          <w:szCs w:val="44"/>
        </w:rPr>
        <w:t>投资后评价</w:t>
      </w:r>
      <w:r>
        <w:rPr>
          <w:rFonts w:hint="eastAsia" w:ascii="方正小标宋_GBK" w:hAnsi="方正小标宋_GBK" w:eastAsia="方正小标宋_GBK" w:cs="方正小标宋_GBK"/>
          <w:sz w:val="44"/>
          <w:szCs w:val="44"/>
          <w:lang w:val="en-US" w:eastAsia="zh-CN"/>
        </w:rPr>
        <w:t>工作中介机构选聘</w:t>
      </w:r>
      <w:r>
        <w:rPr>
          <w:rFonts w:hint="eastAsia" w:ascii="方正小标宋_GBK" w:hAnsi="方正小标宋_GBK" w:eastAsia="方正小标宋_GBK" w:cs="方正小标宋_GBK"/>
          <w:sz w:val="44"/>
          <w:szCs w:val="44"/>
        </w:rPr>
        <w:t>项目的询价函</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firstLine="630"/>
        <w:textAlignment w:val="auto"/>
        <w:rPr>
          <w:rFonts w:hint="eastAsia" w:ascii="仿宋_GB2312" w:hAnsi="仿宋_GB2312" w:eastAsia="仿宋_GB2312" w:cs="仿宋_GB2312"/>
          <w:sz w:val="32"/>
          <w:szCs w:val="32"/>
        </w:rPr>
      </w:pPr>
      <w:r>
        <w:rPr>
          <w:rFonts w:hint="eastAsia" w:ascii="Times New Roman" w:hAnsi="Times New Roman" w:eastAsia="仿宋_GB2312"/>
          <w:sz w:val="32"/>
          <w:lang w:val="en-US" w:eastAsia="zh-CN"/>
        </w:rPr>
        <w:t>根据工作需要</w:t>
      </w:r>
      <w:r>
        <w:rPr>
          <w:rFonts w:hint="eastAsia" w:ascii="Times New Roman" w:hAnsi="Times New Roman" w:eastAsia="仿宋_GB2312"/>
          <w:sz w:val="32"/>
        </w:rPr>
        <w:t>，</w:t>
      </w:r>
      <w:r>
        <w:rPr>
          <w:rFonts w:hint="eastAsia" w:ascii="Times New Roman" w:hAnsi="Times New Roman" w:eastAsia="仿宋_GB2312"/>
          <w:sz w:val="32"/>
          <w:lang w:val="en-US" w:eastAsia="zh-CN"/>
        </w:rPr>
        <w:t>深农集团</w:t>
      </w:r>
      <w:r>
        <w:rPr>
          <w:rFonts w:hint="eastAsia" w:ascii="Times New Roman" w:hAnsi="Times New Roman" w:eastAsia="仿宋_GB2312"/>
          <w:sz w:val="32"/>
        </w:rPr>
        <w:t>拟</w:t>
      </w:r>
      <w:r>
        <w:rPr>
          <w:rFonts w:hint="eastAsia" w:ascii="Times New Roman" w:hAnsi="Times New Roman" w:eastAsia="仿宋_GB2312"/>
          <w:sz w:val="32"/>
          <w:lang w:val="en-US" w:eastAsia="zh-CN"/>
        </w:rPr>
        <w:t>选聘</w:t>
      </w:r>
      <w:r>
        <w:rPr>
          <w:rFonts w:hint="eastAsia" w:ascii="仿宋_GB2312" w:hAnsi="仿宋_GB2312" w:eastAsia="仿宋_GB2312" w:cs="仿宋_GB2312"/>
          <w:sz w:val="32"/>
          <w:szCs w:val="32"/>
        </w:rPr>
        <w:t>中介机构对集团</w:t>
      </w:r>
      <w:r>
        <w:rPr>
          <w:rFonts w:hint="eastAsia" w:ascii="仿宋_GB2312" w:hAnsi="仿宋_GB2312" w:eastAsia="仿宋_GB2312" w:cs="仿宋_GB2312"/>
          <w:sz w:val="32"/>
          <w:szCs w:val="32"/>
          <w:lang w:val="en-US" w:eastAsia="zh-CN"/>
        </w:rPr>
        <w:t>所属企业</w:t>
      </w:r>
      <w:r>
        <w:rPr>
          <w:rFonts w:hint="eastAsia" w:ascii="Times New Roman" w:hAnsi="Times New Roman" w:eastAsia="仿宋_GB2312"/>
          <w:sz w:val="32"/>
          <w:lang w:val="en-US" w:eastAsia="zh-CN"/>
        </w:rPr>
        <w:t>深圳市南山农产品批发配送有限公司（以下简称“南山公司”）开</w:t>
      </w:r>
      <w:r>
        <w:rPr>
          <w:rFonts w:hint="eastAsia" w:ascii="仿宋_GB2312" w:hAnsi="仿宋_GB2312" w:eastAsia="仿宋_GB2312" w:cs="仿宋_GB2312"/>
          <w:sz w:val="32"/>
          <w:szCs w:val="32"/>
          <w:lang w:val="en-US" w:eastAsia="zh-CN"/>
        </w:rPr>
        <w:t>展投资后评价</w:t>
      </w:r>
      <w:r>
        <w:rPr>
          <w:rFonts w:hint="eastAsia" w:ascii="Times New Roman" w:hAnsi="Times New Roman" w:eastAsia="仿宋_GB2312"/>
          <w:sz w:val="32"/>
          <w:lang w:val="en-US" w:eastAsia="zh-CN"/>
        </w:rPr>
        <w:t>，具体方案如下：</w:t>
      </w:r>
    </w:p>
    <w:p>
      <w:pPr>
        <w:pStyle w:val="17"/>
        <w:keepNext w:val="0"/>
        <w:keepLines w:val="0"/>
        <w:pageBreakBefore w:val="0"/>
        <w:widowControl/>
        <w:shd w:val="clear" w:color="auto" w:fill="FFFFFF"/>
        <w:kinsoku/>
        <w:wordWrap/>
        <w:overflowPunct/>
        <w:topLinePunct w:val="0"/>
        <w:autoSpaceDE/>
        <w:autoSpaceDN/>
        <w:bidi w:val="0"/>
        <w:spacing w:line="560" w:lineRule="exact"/>
        <w:ind w:firstLine="640"/>
        <w:textAlignment w:val="auto"/>
        <w:rPr>
          <w:rFonts w:ascii="Times New Roman" w:hAnsi="Times New Roman" w:eastAsia="黑体" w:cs="Arial"/>
          <w:color w:val="333333"/>
          <w:kern w:val="0"/>
          <w:sz w:val="32"/>
          <w:szCs w:val="32"/>
        </w:rPr>
      </w:pPr>
      <w:r>
        <w:rPr>
          <w:rFonts w:ascii="Times New Roman" w:hAnsi="Times New Roman" w:eastAsia="黑体" w:cs="Arial"/>
          <w:color w:val="333333"/>
          <w:kern w:val="0"/>
          <w:sz w:val="32"/>
          <w:szCs w:val="32"/>
        </w:rPr>
        <w:t>一</w:t>
      </w:r>
      <w:r>
        <w:rPr>
          <w:rFonts w:hint="eastAsia" w:ascii="Times New Roman" w:hAnsi="Times New Roman" w:eastAsia="黑体" w:cs="Arial"/>
          <w:color w:val="333333"/>
          <w:kern w:val="0"/>
          <w:sz w:val="32"/>
          <w:szCs w:val="32"/>
        </w:rPr>
        <w:t>、项目名称</w:t>
      </w:r>
    </w:p>
    <w:p>
      <w:pPr>
        <w:pStyle w:val="17"/>
        <w:keepNext w:val="0"/>
        <w:keepLines w:val="0"/>
        <w:pageBreakBefore w:val="0"/>
        <w:widowControl/>
        <w:numPr>
          <w:ilvl w:val="0"/>
          <w:numId w:val="0"/>
        </w:numPr>
        <w:shd w:val="clear" w:color="auto" w:fill="FFFFFF"/>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heme="minorBidi"/>
          <w:kern w:val="2"/>
          <w:sz w:val="32"/>
          <w:szCs w:val="22"/>
          <w:lang w:val="en-US" w:eastAsia="zh-CN" w:bidi="ar-SA"/>
        </w:rPr>
      </w:pPr>
      <w:r>
        <w:rPr>
          <w:rFonts w:hint="eastAsia" w:ascii="Times New Roman" w:hAnsi="Times New Roman" w:eastAsia="仿宋_GB2312" w:cstheme="minorBidi"/>
          <w:kern w:val="2"/>
          <w:sz w:val="32"/>
          <w:szCs w:val="22"/>
          <w:lang w:val="en-US" w:eastAsia="zh-CN" w:bidi="ar-SA"/>
        </w:rPr>
        <w:t>深农集团关于南山公司投资后评价服务项目</w:t>
      </w:r>
    </w:p>
    <w:p>
      <w:pPr>
        <w:keepNext w:val="0"/>
        <w:keepLines w:val="0"/>
        <w:pageBreakBefore w:val="0"/>
        <w:widowControl w:val="0"/>
        <w:kinsoku/>
        <w:wordWrap/>
        <w:overflowPunct/>
        <w:topLinePunct w:val="0"/>
        <w:autoSpaceDE/>
        <w:autoSpaceDN/>
        <w:bidi w:val="0"/>
        <w:adjustRightInd w:val="0"/>
        <w:snapToGrid w:val="0"/>
        <w:spacing w:line="560" w:lineRule="exact"/>
        <w:ind w:firstLine="63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项目内容</w:t>
      </w:r>
    </w:p>
    <w:p>
      <w:pPr>
        <w:pStyle w:val="17"/>
        <w:keepNext w:val="0"/>
        <w:keepLines w:val="0"/>
        <w:pageBreakBefore w:val="0"/>
        <w:widowControl/>
        <w:shd w:val="clear" w:color="auto" w:fill="FFFFFF"/>
        <w:kinsoku/>
        <w:wordWrap/>
        <w:overflowPunct/>
        <w:topLinePunct w:val="0"/>
        <w:autoSpaceDE/>
        <w:autoSpaceDN/>
        <w:bidi w:val="0"/>
        <w:spacing w:line="560" w:lineRule="exact"/>
        <w:ind w:firstLine="640"/>
        <w:textAlignment w:val="auto"/>
        <w:rPr>
          <w:rFonts w:hint="eastAsia" w:ascii="楷体" w:hAnsi="楷体" w:eastAsia="楷体" w:cs="楷体"/>
          <w:sz w:val="32"/>
          <w:szCs w:val="36"/>
          <w:lang w:val="en-US" w:eastAsia="zh-CN"/>
        </w:rPr>
      </w:pPr>
      <w:r>
        <w:rPr>
          <w:rFonts w:hint="eastAsia" w:ascii="楷体" w:hAnsi="楷体" w:eastAsia="楷体" w:cs="楷体"/>
          <w:sz w:val="32"/>
          <w:szCs w:val="36"/>
          <w:lang w:val="en-US" w:eastAsia="zh-CN"/>
        </w:rPr>
        <w:t>（一）项目范围</w:t>
      </w:r>
    </w:p>
    <w:p>
      <w:pPr>
        <w:keepNext w:val="0"/>
        <w:keepLines w:val="0"/>
        <w:pageBreakBefore w:val="0"/>
        <w:widowControl w:val="0"/>
        <w:kinsoku/>
        <w:wordWrap/>
        <w:overflowPunct/>
        <w:topLinePunct w:val="0"/>
        <w:autoSpaceDE/>
        <w:autoSpaceDN/>
        <w:bidi w:val="0"/>
        <w:adjustRightInd w:val="0"/>
        <w:snapToGrid w:val="0"/>
        <w:spacing w:line="560" w:lineRule="exact"/>
        <w:ind w:firstLine="63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本项目拟对深农</w:t>
      </w:r>
      <w:r>
        <w:rPr>
          <w:rFonts w:hint="eastAsia" w:ascii="仿宋_GB2312" w:hAnsi="仿宋_GB2312" w:eastAsia="仿宋_GB2312" w:cs="仿宋_GB2312"/>
          <w:sz w:val="32"/>
          <w:szCs w:val="32"/>
        </w:rPr>
        <w:t>集团所属企业</w:t>
      </w:r>
      <w:r>
        <w:rPr>
          <w:rFonts w:hint="eastAsia" w:ascii="仿宋_GB2312" w:hAnsi="仿宋_GB2312" w:eastAsia="仿宋_GB2312" w:cs="仿宋_GB2312"/>
          <w:sz w:val="32"/>
          <w:szCs w:val="32"/>
          <w:lang w:val="en-US" w:eastAsia="zh-CN"/>
        </w:rPr>
        <w:t>南山公司开展投资后</w:t>
      </w:r>
      <w:r>
        <w:rPr>
          <w:rFonts w:hint="eastAsia" w:ascii="仿宋_GB2312" w:hAnsi="仿宋_GB2312" w:eastAsia="仿宋_GB2312" w:cs="仿宋_GB2312"/>
          <w:sz w:val="32"/>
          <w:szCs w:val="32"/>
        </w:rPr>
        <w:t>评价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企业信息如下：</w:t>
      </w: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6"/>
        <w:gridCol w:w="1132"/>
        <w:gridCol w:w="738"/>
        <w:gridCol w:w="687"/>
        <w:gridCol w:w="863"/>
        <w:gridCol w:w="787"/>
        <w:gridCol w:w="888"/>
        <w:gridCol w:w="825"/>
        <w:gridCol w:w="1037"/>
        <w:gridCol w:w="109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4" w:hRule="atLeast"/>
        </w:trPr>
        <w:tc>
          <w:tcPr>
            <w:tcW w:w="27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66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投资项目（或企业）名称</w:t>
            </w:r>
          </w:p>
        </w:tc>
        <w:tc>
          <w:tcPr>
            <w:tcW w:w="43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评价类型</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拟评价起始年度</w:t>
            </w:r>
          </w:p>
        </w:tc>
        <w:tc>
          <w:tcPr>
            <w:tcW w:w="5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地址</w:t>
            </w:r>
          </w:p>
        </w:tc>
        <w:tc>
          <w:tcPr>
            <w:tcW w:w="4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项目类别</w:t>
            </w:r>
          </w:p>
        </w:tc>
        <w:tc>
          <w:tcPr>
            <w:tcW w:w="5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注册资本（万元）</w:t>
            </w:r>
          </w:p>
        </w:tc>
        <w:tc>
          <w:tcPr>
            <w:tcW w:w="4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项目阶段（需更新）</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近三年平均总资产（万元）</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近三年平均营业收入（万元）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4" w:hRule="atLeast"/>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jc w:val="both"/>
              <w:rPr>
                <w:rFonts w:hint="eastAsia" w:ascii="宋体" w:hAnsi="宋体" w:eastAsia="宋体" w:cs="宋体"/>
                <w:i w:val="0"/>
                <w:iCs w:val="0"/>
                <w:color w:val="000000"/>
                <w:sz w:val="18"/>
                <w:szCs w:val="18"/>
                <w:u w:val="none"/>
              </w:rPr>
            </w:pPr>
          </w:p>
        </w:tc>
        <w:tc>
          <w:tcPr>
            <w:tcW w:w="66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jc w:val="both"/>
              <w:rPr>
                <w:rFonts w:hint="eastAsia" w:ascii="宋体" w:hAnsi="宋体" w:eastAsia="宋体" w:cs="宋体"/>
                <w:i w:val="0"/>
                <w:iCs w:val="0"/>
                <w:color w:val="000000"/>
                <w:sz w:val="18"/>
                <w:szCs w:val="18"/>
                <w:u w:val="none"/>
              </w:rPr>
            </w:pPr>
          </w:p>
        </w:tc>
        <w:tc>
          <w:tcPr>
            <w:tcW w:w="43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jc w:val="both"/>
              <w:rPr>
                <w:rFonts w:hint="eastAsia" w:ascii="宋体" w:hAnsi="宋体" w:eastAsia="宋体" w:cs="宋体"/>
                <w:i w:val="0"/>
                <w:iCs w:val="0"/>
                <w:color w:val="000000"/>
                <w:sz w:val="18"/>
                <w:szCs w:val="18"/>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jc w:val="both"/>
              <w:rPr>
                <w:rFonts w:hint="eastAsia" w:ascii="宋体" w:hAnsi="宋体" w:eastAsia="宋体" w:cs="宋体"/>
                <w:i w:val="0"/>
                <w:iCs w:val="0"/>
                <w:color w:val="000000"/>
                <w:sz w:val="18"/>
                <w:szCs w:val="18"/>
                <w:u w:val="none"/>
              </w:rPr>
            </w:pPr>
          </w:p>
        </w:tc>
        <w:tc>
          <w:tcPr>
            <w:tcW w:w="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jc w:val="both"/>
              <w:rPr>
                <w:rFonts w:hint="eastAsia" w:ascii="宋体" w:hAnsi="宋体" w:eastAsia="宋体" w:cs="宋体"/>
                <w:i w:val="0"/>
                <w:iCs w:val="0"/>
                <w:color w:val="000000"/>
                <w:sz w:val="18"/>
                <w:szCs w:val="18"/>
                <w:u w:val="none"/>
              </w:rPr>
            </w:pPr>
          </w:p>
        </w:tc>
        <w:tc>
          <w:tcPr>
            <w:tcW w:w="4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jc w:val="both"/>
              <w:rPr>
                <w:rFonts w:hint="eastAsia" w:ascii="宋体" w:hAnsi="宋体" w:eastAsia="宋体" w:cs="宋体"/>
                <w:i w:val="0"/>
                <w:iCs w:val="0"/>
                <w:color w:val="000000"/>
                <w:sz w:val="18"/>
                <w:szCs w:val="18"/>
                <w:u w:val="none"/>
              </w:rPr>
            </w:pPr>
          </w:p>
        </w:tc>
        <w:tc>
          <w:tcPr>
            <w:tcW w:w="5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jc w:val="both"/>
              <w:rPr>
                <w:rFonts w:hint="eastAsia" w:ascii="宋体" w:hAnsi="宋体" w:eastAsia="宋体" w:cs="宋体"/>
                <w:i w:val="0"/>
                <w:iCs w:val="0"/>
                <w:color w:val="000000"/>
                <w:sz w:val="18"/>
                <w:szCs w:val="18"/>
                <w:u w:val="none"/>
              </w:rPr>
            </w:pPr>
          </w:p>
        </w:tc>
        <w:tc>
          <w:tcPr>
            <w:tcW w:w="4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jc w:val="both"/>
              <w:rPr>
                <w:rFonts w:hint="eastAsia" w:ascii="宋体" w:hAnsi="宋体" w:eastAsia="宋体" w:cs="宋体"/>
                <w:i w:val="0"/>
                <w:iCs w:val="0"/>
                <w:color w:val="000000"/>
                <w:sz w:val="18"/>
                <w:szCs w:val="18"/>
                <w:u w:val="none"/>
              </w:rPr>
            </w:pP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jc w:val="both"/>
              <w:rPr>
                <w:rFonts w:hint="eastAsia" w:ascii="宋体" w:hAnsi="宋体" w:eastAsia="宋体" w:cs="宋体"/>
                <w:i w:val="0"/>
                <w:iCs w:val="0"/>
                <w:color w:val="000000"/>
                <w:sz w:val="18"/>
                <w:szCs w:val="18"/>
                <w:u w:val="none"/>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val="0"/>
              <w:snapToGrid w:val="0"/>
              <w:jc w:val="both"/>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4" w:hRule="atLeast"/>
        </w:trPr>
        <w:tc>
          <w:tcPr>
            <w:tcW w:w="2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深圳市南山农产品批发配送有限公司</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全面后评价</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20</w:t>
            </w:r>
            <w:r>
              <w:rPr>
                <w:rFonts w:hint="eastAsia" w:ascii="宋体" w:hAnsi="宋体" w:cs="宋体"/>
                <w:i w:val="0"/>
                <w:iCs w:val="0"/>
                <w:color w:val="000000"/>
                <w:kern w:val="0"/>
                <w:sz w:val="18"/>
                <w:szCs w:val="18"/>
                <w:u w:val="none"/>
                <w:lang w:val="en-US" w:eastAsia="zh-CN" w:bidi="ar"/>
              </w:rPr>
              <w:t>04</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深圳市</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服务业</w:t>
            </w: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7,143.00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持续经营</w:t>
            </w:r>
          </w:p>
        </w:tc>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14,996.42</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4,678.74</w:t>
            </w:r>
          </w:p>
        </w:tc>
      </w:tr>
    </w:tbl>
    <w:p>
      <w:pPr>
        <w:pStyle w:val="3"/>
      </w:pPr>
      <w:r>
        <w:rPr>
          <w:rFonts w:hint="eastAsia"/>
          <w:lang w:val="en-US" w:eastAsia="zh-CN"/>
        </w:rPr>
        <w:t>注：具体评价起始时间及项目评价内容将根据实际情况进行调整。</w:t>
      </w:r>
    </w:p>
    <w:p>
      <w:pPr>
        <w:pStyle w:val="17"/>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textAlignment w:val="auto"/>
        <w:rPr>
          <w:rFonts w:hint="eastAsia" w:ascii="楷体" w:hAnsi="楷体" w:eastAsia="楷体" w:cs="楷体"/>
          <w:sz w:val="32"/>
          <w:szCs w:val="36"/>
          <w:lang w:val="en-US" w:eastAsia="zh-CN"/>
        </w:rPr>
      </w:pPr>
      <w:r>
        <w:rPr>
          <w:rFonts w:hint="eastAsia" w:ascii="楷体" w:hAnsi="楷体" w:eastAsia="楷体" w:cs="楷体"/>
          <w:sz w:val="32"/>
          <w:szCs w:val="36"/>
          <w:lang w:val="en-US" w:eastAsia="zh-CN"/>
        </w:rPr>
        <w:t>（二）项目内容</w:t>
      </w:r>
    </w:p>
    <w:p>
      <w:pPr>
        <w:keepNext w:val="0"/>
        <w:keepLines w:val="0"/>
        <w:pageBreakBefore w:val="0"/>
        <w:widowControl w:val="0"/>
        <w:kinsoku/>
        <w:wordWrap/>
        <w:overflowPunct/>
        <w:topLinePunct w:val="0"/>
        <w:autoSpaceDE/>
        <w:autoSpaceDN/>
        <w:bidi w:val="0"/>
        <w:adjustRightInd w:val="0"/>
        <w:snapToGrid w:val="0"/>
        <w:spacing w:line="560" w:lineRule="exact"/>
        <w:ind w:firstLine="63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包括</w:t>
      </w:r>
      <w:r>
        <w:rPr>
          <w:rFonts w:hint="eastAsia" w:ascii="仿宋_GB2312" w:hAnsi="仿宋_GB2312" w:eastAsia="仿宋_GB2312" w:cs="仿宋_GB2312"/>
          <w:sz w:val="32"/>
          <w:szCs w:val="32"/>
          <w:lang w:val="en-US" w:eastAsia="zh-CN"/>
        </w:rPr>
        <w:t>但不限于</w:t>
      </w:r>
      <w:r>
        <w:rPr>
          <w:rFonts w:hint="eastAsia" w:ascii="仿宋_GB2312" w:hAnsi="仿宋_GB2312" w:eastAsia="仿宋_GB2312" w:cs="仿宋_GB2312"/>
          <w:sz w:val="32"/>
          <w:szCs w:val="32"/>
        </w:rPr>
        <w:t>：严格按《深圳市属国有企业投资项目后评价管理暂行办法》《深圳市农产品集团股份有限公司投资项目后评价管理办法》</w:t>
      </w:r>
      <w:r>
        <w:rPr>
          <w:rFonts w:hint="eastAsia" w:ascii="仿宋_GB2312" w:hAnsi="仿宋_GB2312" w:eastAsia="仿宋_GB2312" w:cs="仿宋_GB2312"/>
          <w:sz w:val="32"/>
          <w:szCs w:val="32"/>
          <w:lang w:val="en-US" w:eastAsia="zh-CN"/>
        </w:rPr>
        <w:t>规定的有关</w:t>
      </w:r>
      <w:r>
        <w:rPr>
          <w:rFonts w:hint="eastAsia" w:ascii="仿宋_GB2312" w:hAnsi="仿宋_GB2312" w:eastAsia="仿宋_GB2312" w:cs="仿宋_GB2312"/>
          <w:sz w:val="32"/>
          <w:szCs w:val="32"/>
        </w:rPr>
        <w:t>程序</w:t>
      </w:r>
      <w:r>
        <w:rPr>
          <w:rFonts w:hint="eastAsia" w:ascii="仿宋_GB2312" w:hAnsi="仿宋_GB2312" w:eastAsia="仿宋_GB2312" w:cs="仿宋_GB2312"/>
          <w:sz w:val="32"/>
          <w:szCs w:val="32"/>
          <w:lang w:val="en-US" w:eastAsia="zh-CN"/>
        </w:rPr>
        <w:t>及内容，</w:t>
      </w:r>
      <w:r>
        <w:rPr>
          <w:rFonts w:hint="eastAsia" w:ascii="Times New Roman" w:hAnsi="Times New Roman" w:eastAsia="仿宋_GB2312" w:cstheme="minorBidi"/>
          <w:kern w:val="2"/>
          <w:sz w:val="32"/>
          <w:szCs w:val="22"/>
          <w:lang w:val="en-US" w:eastAsia="zh-CN" w:bidi="ar-SA"/>
        </w:rPr>
        <w:t>查阅、熟悉本项目有关文件资料，全面梳理本项目投资情况，</w:t>
      </w:r>
      <w:r>
        <w:rPr>
          <w:rFonts w:hint="eastAsia" w:ascii="仿宋_GB2312" w:hAnsi="仿宋_GB2312" w:eastAsia="仿宋_GB2312" w:cs="仿宋_GB2312"/>
          <w:sz w:val="32"/>
          <w:szCs w:val="32"/>
          <w:lang w:val="en-US" w:eastAsia="zh-CN"/>
        </w:rPr>
        <w:t>对项目开展投资后评价，对投资后评价工作质量负责</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接受深农集团有关部门监督指导，按要求</w:t>
      </w:r>
      <w:r>
        <w:rPr>
          <w:rFonts w:hint="eastAsia" w:ascii="仿宋_GB2312" w:hAnsi="仿宋_GB2312" w:eastAsia="仿宋_GB2312" w:cs="仿宋_GB2312"/>
          <w:sz w:val="32"/>
          <w:szCs w:val="32"/>
        </w:rPr>
        <w:t>出具</w:t>
      </w:r>
      <w:r>
        <w:rPr>
          <w:rFonts w:hint="eastAsia" w:ascii="仿宋_GB2312" w:hAnsi="仿宋_GB2312" w:eastAsia="仿宋_GB2312" w:cs="仿宋_GB2312"/>
          <w:sz w:val="32"/>
          <w:szCs w:val="32"/>
          <w:lang w:val="en-US" w:eastAsia="zh-CN"/>
        </w:rPr>
        <w:t>投资后评价报告，并配合完成有关工作</w:t>
      </w:r>
      <w:r>
        <w:rPr>
          <w:rFonts w:hint="eastAsia" w:ascii="仿宋_GB2312" w:hAnsi="仿宋_GB2312" w:eastAsia="仿宋_GB2312" w:cs="仿宋_GB2312"/>
          <w:sz w:val="32"/>
          <w:szCs w:val="32"/>
        </w:rPr>
        <w:t>。</w:t>
      </w:r>
    </w:p>
    <w:p>
      <w:pPr>
        <w:pStyle w:val="17"/>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textAlignment w:val="auto"/>
        <w:rPr>
          <w:rFonts w:ascii="Times New Roman" w:hAnsi="Times New Roman" w:eastAsia="黑体" w:cs="Arial"/>
          <w:color w:val="333333"/>
          <w:kern w:val="0"/>
          <w:sz w:val="32"/>
          <w:szCs w:val="32"/>
          <w:highlight w:val="none"/>
        </w:rPr>
      </w:pPr>
      <w:r>
        <w:rPr>
          <w:rFonts w:hint="eastAsia" w:ascii="Times New Roman" w:hAnsi="Times New Roman" w:eastAsia="黑体" w:cs="Arial"/>
          <w:color w:val="333333"/>
          <w:kern w:val="0"/>
          <w:sz w:val="32"/>
          <w:szCs w:val="32"/>
          <w:highlight w:val="none"/>
        </w:rPr>
        <w:t>三、服务要求</w:t>
      </w:r>
    </w:p>
    <w:p>
      <w:pPr>
        <w:pStyle w:val="17"/>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textAlignment w:val="auto"/>
        <w:rPr>
          <w:rFonts w:hint="eastAsia" w:ascii="楷体" w:hAnsi="楷体" w:eastAsia="楷体" w:cs="楷体"/>
          <w:sz w:val="32"/>
          <w:szCs w:val="36"/>
          <w:lang w:val="en-US" w:eastAsia="zh-CN"/>
        </w:rPr>
      </w:pPr>
      <w:r>
        <w:rPr>
          <w:rFonts w:hint="eastAsia" w:ascii="楷体" w:hAnsi="楷体" w:eastAsia="楷体" w:cs="楷体"/>
          <w:sz w:val="32"/>
          <w:szCs w:val="36"/>
          <w:lang w:val="en-US" w:eastAsia="zh-CN"/>
        </w:rPr>
        <w:t>（一）基本要求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3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1.严格遵守保密协议规定，响应方对本项目一切资料和信息负有保密义务，任何时期对采购方提供的任何资料和情况不得以任何方式对外披露、对外传播；</w:t>
      </w:r>
    </w:p>
    <w:p>
      <w:pPr>
        <w:keepNext w:val="0"/>
        <w:keepLines w:val="0"/>
        <w:pageBreakBefore w:val="0"/>
        <w:widowControl w:val="0"/>
        <w:kinsoku/>
        <w:wordWrap/>
        <w:overflowPunct/>
        <w:topLinePunct w:val="0"/>
        <w:autoSpaceDE/>
        <w:autoSpaceDN/>
        <w:bidi w:val="0"/>
        <w:adjustRightInd w:val="0"/>
        <w:snapToGrid w:val="0"/>
        <w:spacing w:line="560" w:lineRule="exact"/>
        <w:ind w:firstLine="63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2.严格执行项目服务期限要求，保质保量完成项目交付；</w:t>
      </w:r>
    </w:p>
    <w:p>
      <w:pPr>
        <w:keepNext w:val="0"/>
        <w:keepLines w:val="0"/>
        <w:pageBreakBefore w:val="0"/>
        <w:widowControl w:val="0"/>
        <w:kinsoku/>
        <w:wordWrap/>
        <w:overflowPunct/>
        <w:topLinePunct w:val="0"/>
        <w:autoSpaceDE/>
        <w:autoSpaceDN/>
        <w:bidi w:val="0"/>
        <w:adjustRightInd w:val="0"/>
        <w:snapToGrid w:val="0"/>
        <w:spacing w:line="560" w:lineRule="exact"/>
        <w:ind w:firstLine="63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3.尽责为采购方提供问题分析和风险研判，出具专业评价意见。</w:t>
      </w:r>
    </w:p>
    <w:p>
      <w:pPr>
        <w:pStyle w:val="17"/>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textAlignment w:val="auto"/>
        <w:rPr>
          <w:rFonts w:hint="eastAsia" w:ascii="楷体" w:hAnsi="楷体" w:eastAsia="楷体" w:cs="楷体"/>
          <w:sz w:val="32"/>
          <w:szCs w:val="36"/>
          <w:lang w:val="en-US" w:eastAsia="zh-CN"/>
        </w:rPr>
      </w:pPr>
      <w:r>
        <w:rPr>
          <w:rFonts w:hint="eastAsia" w:ascii="楷体" w:hAnsi="楷体" w:eastAsia="楷体" w:cs="楷体"/>
          <w:sz w:val="32"/>
          <w:szCs w:val="36"/>
          <w:lang w:val="en-US" w:eastAsia="zh-CN"/>
        </w:rPr>
        <w:t>（二）服务质量要求</w:t>
      </w:r>
    </w:p>
    <w:p>
      <w:pPr>
        <w:keepNext w:val="0"/>
        <w:keepLines w:val="0"/>
        <w:pageBreakBefore w:val="0"/>
        <w:kinsoku/>
        <w:wordWrap/>
        <w:overflowPunct/>
        <w:topLinePunct w:val="0"/>
        <w:autoSpaceDE/>
        <w:autoSpaceDN/>
        <w:bidi w:val="0"/>
        <w:adjustRightInd w:val="0"/>
        <w:snapToGrid w:val="0"/>
        <w:spacing w:line="560" w:lineRule="exact"/>
        <w:ind w:firstLine="646" w:firstLineChars="202"/>
        <w:textAlignment w:val="auto"/>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客观公正。确保所依据材料的客观可靠</w:t>
      </w:r>
      <w:r>
        <w:rPr>
          <w:rFonts w:hint="eastAsia" w:ascii="仿宋_GB2312" w:eastAsia="仿宋_GB2312"/>
          <w:sz w:val="32"/>
          <w:szCs w:val="32"/>
          <w:lang w:eastAsia="zh-CN"/>
        </w:rPr>
        <w:t>、</w:t>
      </w:r>
      <w:r>
        <w:rPr>
          <w:rFonts w:hint="eastAsia" w:ascii="仿宋_GB2312" w:eastAsia="仿宋_GB2312"/>
          <w:sz w:val="32"/>
          <w:szCs w:val="32"/>
          <w:lang w:val="en-US" w:eastAsia="zh-CN"/>
        </w:rPr>
        <w:t>数据真实准确，</w:t>
      </w:r>
      <w:r>
        <w:rPr>
          <w:rFonts w:hint="eastAsia" w:ascii="仿宋_GB2312" w:eastAsia="仿宋_GB2312"/>
          <w:sz w:val="32"/>
          <w:szCs w:val="32"/>
        </w:rPr>
        <w:t>确保评价结论的公正性和对策措施的可行性。</w:t>
      </w:r>
    </w:p>
    <w:p>
      <w:pPr>
        <w:keepNext w:val="0"/>
        <w:keepLines w:val="0"/>
        <w:pageBreakBefore w:val="0"/>
        <w:kinsoku/>
        <w:wordWrap/>
        <w:overflowPunct/>
        <w:topLinePunct w:val="0"/>
        <w:autoSpaceDE/>
        <w:autoSpaceDN/>
        <w:bidi w:val="0"/>
        <w:adjustRightInd w:val="0"/>
        <w:snapToGrid w:val="0"/>
        <w:spacing w:line="560" w:lineRule="exact"/>
        <w:ind w:firstLine="646" w:firstLineChars="202"/>
        <w:textAlignment w:val="auto"/>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全面真实。从项目立项、论证、决策、实施、运营等方面全面真实反映情况。</w:t>
      </w:r>
    </w:p>
    <w:p>
      <w:pPr>
        <w:keepNext w:val="0"/>
        <w:keepLines w:val="0"/>
        <w:pageBreakBefore w:val="0"/>
        <w:kinsoku/>
        <w:wordWrap/>
        <w:overflowPunct/>
        <w:topLinePunct w:val="0"/>
        <w:autoSpaceDE/>
        <w:autoSpaceDN/>
        <w:bidi w:val="0"/>
        <w:adjustRightInd w:val="0"/>
        <w:snapToGrid w:val="0"/>
        <w:spacing w:line="560" w:lineRule="exact"/>
        <w:ind w:firstLine="646" w:firstLineChars="202"/>
        <w:textAlignment w:val="auto"/>
        <w:rPr>
          <w:rFonts w:hint="default" w:eastAsia="仿宋_GB2312"/>
          <w:lang w:val="en-US" w:eastAsia="zh-CN"/>
        </w:rPr>
      </w:pPr>
      <w:r>
        <w:rPr>
          <w:rFonts w:hint="eastAsia" w:ascii="仿宋_GB2312" w:eastAsia="仿宋_GB2312"/>
          <w:sz w:val="32"/>
          <w:szCs w:val="32"/>
          <w:lang w:val="en-US" w:eastAsia="zh-CN"/>
        </w:rPr>
        <w:t>3.</w:t>
      </w:r>
      <w:r>
        <w:rPr>
          <w:rFonts w:hint="eastAsia" w:ascii="仿宋_GB2312" w:eastAsia="仿宋_GB2312"/>
          <w:sz w:val="32"/>
          <w:szCs w:val="32"/>
        </w:rPr>
        <w:t>科学规范。根据项目类型、决策程序、实施进度等情况，采用科学合理的评价方式开展后评价工作。综合分析、评价项目投资对行业布局、产业结构调整、企业发展、技术进步、投资效益和国有资产保值增值的作用和影响。</w:t>
      </w:r>
    </w:p>
    <w:p>
      <w:pPr>
        <w:keepNext w:val="0"/>
        <w:keepLines w:val="0"/>
        <w:pageBreakBefore w:val="0"/>
        <w:widowControl w:val="0"/>
        <w:kinsoku/>
        <w:wordWrap/>
        <w:overflowPunct/>
        <w:topLinePunct w:val="0"/>
        <w:autoSpaceDE/>
        <w:autoSpaceDN/>
        <w:bidi w:val="0"/>
        <w:adjustRightInd w:val="0"/>
        <w:snapToGrid w:val="0"/>
        <w:spacing w:line="560" w:lineRule="exact"/>
        <w:ind w:firstLine="63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四、资格要求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具有独立承担民事责任的能力；</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拟派团队近三年内在从业过程中没有重大违法违规记录，没有被行业主管部门、证券监管部门对其违规行为予以处罚记录，并在承办市属国有企业投资项目后评价工作中未出现重大质量问题；（如无，须申明并承诺真实性）</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bookmarkStart w:id="0" w:name="_GoBack"/>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三</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项</w:t>
      </w:r>
      <w:bookmarkEnd w:id="0"/>
      <w:r>
        <w:rPr>
          <w:rFonts w:hint="eastAsia" w:ascii="仿宋_GB2312" w:hAnsi="仿宋_GB2312" w:eastAsia="仿宋_GB2312" w:cs="仿宋_GB2312"/>
          <w:sz w:val="32"/>
          <w:szCs w:val="32"/>
        </w:rPr>
        <w:t>目负责人具有CPA资格证书，无行业惩戒等不良从业记录（如无，须申明并承诺真实性）。</w:t>
      </w:r>
    </w:p>
    <w:p>
      <w:pPr>
        <w:pStyle w:val="17"/>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textAlignment w:val="auto"/>
        <w:rPr>
          <w:rFonts w:ascii="Times New Roman" w:hAnsi="Times New Roman" w:eastAsia="黑体" w:cs="Arial"/>
          <w:color w:val="333333"/>
          <w:kern w:val="0"/>
          <w:sz w:val="32"/>
          <w:szCs w:val="32"/>
        </w:rPr>
      </w:pPr>
      <w:r>
        <w:rPr>
          <w:rFonts w:hint="eastAsia" w:ascii="Times New Roman" w:hAnsi="Times New Roman" w:eastAsia="黑体" w:cs="Arial"/>
          <w:color w:val="333333"/>
          <w:kern w:val="0"/>
          <w:sz w:val="32"/>
          <w:szCs w:val="32"/>
          <w:lang w:val="en-US" w:eastAsia="zh-CN"/>
        </w:rPr>
        <w:t>五、</w:t>
      </w:r>
      <w:r>
        <w:rPr>
          <w:rFonts w:ascii="Times New Roman" w:hAnsi="Times New Roman" w:eastAsia="黑体" w:cs="Arial"/>
          <w:color w:val="333333"/>
          <w:kern w:val="0"/>
          <w:sz w:val="32"/>
          <w:szCs w:val="32"/>
        </w:rPr>
        <w:t>项目服务周期</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本项目</w:t>
      </w:r>
      <w:r>
        <w:rPr>
          <w:rFonts w:hint="eastAsia" w:ascii="Times New Roman" w:hAnsi="Times New Roman" w:eastAsia="仿宋_GB2312"/>
          <w:sz w:val="32"/>
          <w:szCs w:val="32"/>
          <w:lang w:val="en-US" w:eastAsia="zh-CN"/>
        </w:rPr>
        <w:t>自委托之日起</w:t>
      </w:r>
      <w:r>
        <w:rPr>
          <w:rFonts w:ascii="Times New Roman" w:hAnsi="Times New Roman" w:eastAsia="仿宋_GB2312"/>
          <w:sz w:val="32"/>
          <w:szCs w:val="32"/>
        </w:rPr>
        <w:t>总工期为</w:t>
      </w:r>
      <w:r>
        <w:rPr>
          <w:rFonts w:hint="eastAsia" w:ascii="Times New Roman" w:hAnsi="Times New Roman" w:eastAsia="仿宋_GB2312"/>
          <w:sz w:val="32"/>
          <w:szCs w:val="32"/>
          <w:lang w:val="en-US" w:eastAsia="zh-CN"/>
        </w:rPr>
        <w:t>90</w:t>
      </w:r>
      <w:r>
        <w:rPr>
          <w:rFonts w:hint="eastAsia" w:ascii="Times New Roman" w:hAnsi="Times New Roman" w:eastAsia="仿宋_GB2312"/>
          <w:sz w:val="32"/>
          <w:szCs w:val="32"/>
        </w:rPr>
        <w:t>日历天，</w:t>
      </w:r>
      <w:r>
        <w:rPr>
          <w:rFonts w:hint="eastAsia" w:ascii="Times New Roman" w:hAnsi="Times New Roman" w:eastAsia="仿宋_GB2312"/>
          <w:sz w:val="32"/>
          <w:szCs w:val="32"/>
          <w:lang w:val="en-US" w:eastAsia="zh-CN"/>
        </w:rPr>
        <w:t>出具正式评价报告并移交项目档案</w:t>
      </w:r>
      <w:r>
        <w:rPr>
          <w:rFonts w:hint="eastAsia" w:ascii="Times New Roman" w:hAnsi="Times New Roman" w:eastAsia="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3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六、</w:t>
      </w:r>
      <w:r>
        <w:rPr>
          <w:rFonts w:hint="eastAsia" w:ascii="黑体" w:hAnsi="黑体" w:eastAsia="黑体" w:cs="黑体"/>
          <w:sz w:val="32"/>
          <w:szCs w:val="32"/>
        </w:rPr>
        <w:t>评定方法</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本次采用综合评</w:t>
      </w:r>
      <w:r>
        <w:rPr>
          <w:rFonts w:hint="eastAsia" w:ascii="仿宋_GB2312" w:hAnsi="仿宋_GB2312" w:eastAsia="仿宋_GB2312" w:cs="仿宋_GB2312"/>
          <w:sz w:val="32"/>
          <w:szCs w:val="32"/>
          <w:lang w:val="en-US" w:eastAsia="zh-CN"/>
        </w:rPr>
        <w:t>估</w:t>
      </w:r>
      <w:r>
        <w:rPr>
          <w:rFonts w:hint="eastAsia" w:ascii="仿宋_GB2312" w:hAnsi="仿宋_GB2312" w:eastAsia="仿宋_GB2312" w:cs="仿宋_GB2312"/>
          <w:sz w:val="32"/>
          <w:szCs w:val="32"/>
        </w:rPr>
        <w:t>法，设价格分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商务分、</w:t>
      </w:r>
      <w:r>
        <w:rPr>
          <w:rFonts w:hint="eastAsia" w:ascii="仿宋_GB2312" w:hAnsi="仿宋_GB2312" w:eastAsia="仿宋_GB2312" w:cs="仿宋_GB2312"/>
          <w:sz w:val="32"/>
          <w:szCs w:val="32"/>
        </w:rPr>
        <w:t>技术分，价格分占比</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%，技术分（</w:t>
      </w:r>
      <w:r>
        <w:rPr>
          <w:rFonts w:hint="eastAsia" w:ascii="仿宋_GB2312" w:hAnsi="仿宋_GB2312" w:eastAsia="仿宋_GB2312" w:cs="仿宋_GB2312"/>
          <w:sz w:val="32"/>
          <w:szCs w:val="32"/>
          <w:lang w:val="en-US" w:eastAsia="zh-CN"/>
        </w:rPr>
        <w:t>响应</w:t>
      </w:r>
      <w:r>
        <w:rPr>
          <w:rFonts w:hint="eastAsia" w:ascii="仿宋_GB2312" w:hAnsi="仿宋_GB2312" w:eastAsia="仿宋_GB2312" w:cs="仿宋_GB2312"/>
          <w:sz w:val="32"/>
          <w:szCs w:val="32"/>
        </w:rPr>
        <w:t>方的资质）占</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技术分（以往投资后评价工作结果、提交的评价方案及服务质量）占55%</w:t>
      </w:r>
      <w:r>
        <w:rPr>
          <w:rFonts w:hint="eastAsia" w:ascii="仿宋_GB2312" w:hAnsi="仿宋_GB2312" w:eastAsia="仿宋_GB2312" w:cs="仿宋_GB2312"/>
          <w:sz w:val="32"/>
          <w:szCs w:val="32"/>
        </w:rPr>
        <w:t>。按分值大小排名、高分中选。评分标准如下：</w:t>
      </w:r>
    </w:p>
    <w:tbl>
      <w:tblPr>
        <w:tblStyle w:val="8"/>
        <w:tblW w:w="8560" w:type="dxa"/>
        <w:jc w:val="center"/>
        <w:tblLayout w:type="fixed"/>
        <w:tblCellMar>
          <w:top w:w="0" w:type="dxa"/>
          <w:left w:w="108" w:type="dxa"/>
          <w:bottom w:w="0" w:type="dxa"/>
          <w:right w:w="108" w:type="dxa"/>
        </w:tblCellMar>
      </w:tblPr>
      <w:tblGrid>
        <w:gridCol w:w="645"/>
        <w:gridCol w:w="720"/>
        <w:gridCol w:w="1170"/>
        <w:gridCol w:w="990"/>
        <w:gridCol w:w="5035"/>
      </w:tblGrid>
      <w:tr>
        <w:tblPrEx>
          <w:tblCellMar>
            <w:top w:w="0" w:type="dxa"/>
            <w:left w:w="108" w:type="dxa"/>
            <w:bottom w:w="0" w:type="dxa"/>
            <w:right w:w="108" w:type="dxa"/>
          </w:tblCellMar>
        </w:tblPrEx>
        <w:trPr>
          <w:trHeight w:val="467" w:hRule="atLeast"/>
          <w:jc w:val="center"/>
        </w:trPr>
        <w:tc>
          <w:tcPr>
            <w:tcW w:w="645"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类别</w:t>
            </w:r>
          </w:p>
        </w:tc>
        <w:tc>
          <w:tcPr>
            <w:tcW w:w="72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分值</w:t>
            </w:r>
          </w:p>
        </w:tc>
        <w:tc>
          <w:tcPr>
            <w:tcW w:w="117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分项内容</w:t>
            </w:r>
          </w:p>
        </w:tc>
        <w:tc>
          <w:tcPr>
            <w:tcW w:w="99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分数</w:t>
            </w:r>
          </w:p>
        </w:tc>
        <w:tc>
          <w:tcPr>
            <w:tcW w:w="5035"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评分说明</w:t>
            </w:r>
          </w:p>
        </w:tc>
      </w:tr>
      <w:tr>
        <w:tblPrEx>
          <w:tblCellMar>
            <w:top w:w="0" w:type="dxa"/>
            <w:left w:w="108" w:type="dxa"/>
            <w:bottom w:w="0" w:type="dxa"/>
            <w:right w:w="108" w:type="dxa"/>
          </w:tblCellMar>
        </w:tblPrEx>
        <w:trPr>
          <w:trHeight w:val="592" w:hRule="atLeast"/>
          <w:jc w:val="center"/>
        </w:trPr>
        <w:tc>
          <w:tcPr>
            <w:tcW w:w="645"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价格</w:t>
            </w:r>
          </w:p>
        </w:tc>
        <w:tc>
          <w:tcPr>
            <w:tcW w:w="72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30</w:t>
            </w:r>
          </w:p>
        </w:tc>
        <w:tc>
          <w:tcPr>
            <w:tcW w:w="117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预算价格下浮率</w:t>
            </w:r>
          </w:p>
        </w:tc>
        <w:tc>
          <w:tcPr>
            <w:tcW w:w="990"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30</w:t>
            </w:r>
          </w:p>
        </w:tc>
        <w:tc>
          <w:tcPr>
            <w:tcW w:w="5035" w:type="dxa"/>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在预算价格基础上，每下浮1%得</w:t>
            </w:r>
            <w:r>
              <w:rPr>
                <w:rFonts w:hint="eastAsia" w:ascii="宋体" w:hAnsi="宋体" w:eastAsia="宋体" w:cs="宋体"/>
                <w:color w:val="auto"/>
                <w:kern w:val="0"/>
                <w:sz w:val="20"/>
                <w:szCs w:val="20"/>
                <w:highlight w:val="none"/>
                <w:lang w:val="en-US" w:eastAsia="zh-CN"/>
              </w:rPr>
              <w:t>1</w:t>
            </w:r>
            <w:r>
              <w:rPr>
                <w:rFonts w:hint="eastAsia" w:ascii="宋体" w:hAnsi="宋体" w:eastAsia="宋体" w:cs="宋体"/>
                <w:color w:val="auto"/>
                <w:kern w:val="0"/>
                <w:sz w:val="20"/>
                <w:szCs w:val="20"/>
                <w:highlight w:val="none"/>
              </w:rPr>
              <w:t>分，封顶</w:t>
            </w:r>
            <w:r>
              <w:rPr>
                <w:rFonts w:hint="eastAsia" w:ascii="宋体" w:hAnsi="宋体" w:eastAsia="宋体" w:cs="宋体"/>
                <w:color w:val="auto"/>
                <w:kern w:val="0"/>
                <w:sz w:val="20"/>
                <w:szCs w:val="20"/>
                <w:highlight w:val="none"/>
                <w:lang w:val="en-US" w:eastAsia="zh-CN"/>
              </w:rPr>
              <w:t>15</w:t>
            </w:r>
            <w:r>
              <w:rPr>
                <w:rFonts w:hint="eastAsia" w:ascii="宋体" w:hAnsi="宋体" w:eastAsia="宋体" w:cs="宋体"/>
                <w:color w:val="auto"/>
                <w:kern w:val="0"/>
                <w:sz w:val="20"/>
                <w:szCs w:val="20"/>
                <w:highlight w:val="none"/>
              </w:rPr>
              <w:t>分。</w:t>
            </w:r>
          </w:p>
        </w:tc>
      </w:tr>
      <w:tr>
        <w:tblPrEx>
          <w:tblCellMar>
            <w:top w:w="0" w:type="dxa"/>
            <w:left w:w="108" w:type="dxa"/>
            <w:bottom w:w="0" w:type="dxa"/>
            <w:right w:w="108" w:type="dxa"/>
          </w:tblCellMar>
        </w:tblPrEx>
        <w:trPr>
          <w:trHeight w:val="515" w:hRule="atLeast"/>
          <w:jc w:val="center"/>
        </w:trPr>
        <w:tc>
          <w:tcPr>
            <w:tcW w:w="645"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团队资质</w:t>
            </w:r>
          </w:p>
        </w:tc>
        <w:tc>
          <w:tcPr>
            <w:tcW w:w="720"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30</w:t>
            </w:r>
          </w:p>
        </w:tc>
        <w:tc>
          <w:tcPr>
            <w:tcW w:w="117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项目负责人</w:t>
            </w:r>
          </w:p>
        </w:tc>
        <w:tc>
          <w:tcPr>
            <w:tcW w:w="99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10</w:t>
            </w:r>
          </w:p>
        </w:tc>
        <w:tc>
          <w:tcPr>
            <w:tcW w:w="503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1.项目负责人担任过大型国企</w:t>
            </w:r>
            <w:r>
              <w:rPr>
                <w:rFonts w:hint="eastAsia" w:ascii="宋体" w:hAnsi="宋体" w:eastAsia="宋体" w:cs="宋体"/>
                <w:color w:val="auto"/>
                <w:kern w:val="0"/>
                <w:sz w:val="20"/>
                <w:szCs w:val="20"/>
                <w:highlight w:val="none"/>
                <w:lang w:eastAsia="zh-CN"/>
              </w:rPr>
              <w:t>投资后评价</w:t>
            </w:r>
            <w:r>
              <w:rPr>
                <w:rFonts w:hint="eastAsia" w:ascii="宋体" w:hAnsi="宋体" w:eastAsia="宋体" w:cs="宋体"/>
                <w:color w:val="auto"/>
                <w:kern w:val="0"/>
                <w:sz w:val="20"/>
                <w:szCs w:val="20"/>
                <w:highlight w:val="none"/>
              </w:rPr>
              <w:t>项目负责人，或仅负责过中小型国企</w:t>
            </w:r>
            <w:r>
              <w:rPr>
                <w:rFonts w:hint="eastAsia" w:ascii="宋体" w:hAnsi="宋体" w:eastAsia="宋体" w:cs="宋体"/>
                <w:color w:val="auto"/>
                <w:kern w:val="0"/>
                <w:sz w:val="20"/>
                <w:szCs w:val="20"/>
                <w:highlight w:val="none"/>
                <w:lang w:eastAsia="zh-CN"/>
              </w:rPr>
              <w:t>投资后评价</w:t>
            </w:r>
            <w:r>
              <w:rPr>
                <w:rFonts w:hint="eastAsia" w:ascii="宋体" w:hAnsi="宋体" w:eastAsia="宋体" w:cs="宋体"/>
                <w:color w:val="auto"/>
                <w:kern w:val="0"/>
                <w:sz w:val="20"/>
                <w:szCs w:val="20"/>
                <w:highlight w:val="none"/>
              </w:rPr>
              <w:t>项目，但是所负责的</w:t>
            </w:r>
            <w:r>
              <w:rPr>
                <w:rFonts w:hint="eastAsia" w:ascii="宋体" w:hAnsi="宋体" w:eastAsia="宋体" w:cs="宋体"/>
                <w:color w:val="auto"/>
                <w:kern w:val="0"/>
                <w:sz w:val="20"/>
                <w:szCs w:val="20"/>
                <w:highlight w:val="none"/>
                <w:lang w:eastAsia="zh-CN"/>
              </w:rPr>
              <w:t>投资后评价</w:t>
            </w:r>
            <w:r>
              <w:rPr>
                <w:rFonts w:hint="eastAsia" w:ascii="宋体" w:hAnsi="宋体" w:eastAsia="宋体" w:cs="宋体"/>
                <w:color w:val="auto"/>
                <w:kern w:val="0"/>
                <w:sz w:val="20"/>
                <w:szCs w:val="20"/>
                <w:highlight w:val="none"/>
              </w:rPr>
              <w:t>项目被评为市国资委或市国资系统</w:t>
            </w:r>
            <w:r>
              <w:rPr>
                <w:rFonts w:hint="eastAsia" w:ascii="宋体" w:hAnsi="宋体" w:eastAsia="宋体" w:cs="宋体"/>
                <w:color w:val="auto"/>
                <w:kern w:val="0"/>
                <w:sz w:val="20"/>
                <w:szCs w:val="20"/>
                <w:highlight w:val="none"/>
                <w:lang w:eastAsia="zh-CN"/>
              </w:rPr>
              <w:t>投资后评价</w:t>
            </w:r>
            <w:r>
              <w:rPr>
                <w:rFonts w:hint="eastAsia" w:ascii="宋体" w:hAnsi="宋体" w:eastAsia="宋体" w:cs="宋体"/>
                <w:color w:val="auto"/>
                <w:kern w:val="0"/>
                <w:sz w:val="20"/>
                <w:szCs w:val="20"/>
                <w:highlight w:val="none"/>
              </w:rPr>
              <w:t>优秀项目的，得10分；</w:t>
            </w:r>
          </w:p>
          <w:p>
            <w:pPr>
              <w:widowControl/>
              <w:spacing w:line="240" w:lineRule="exac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2.项目负责人担任过中小国企</w:t>
            </w:r>
            <w:r>
              <w:rPr>
                <w:rFonts w:hint="eastAsia" w:ascii="宋体" w:hAnsi="宋体" w:eastAsia="宋体" w:cs="宋体"/>
                <w:color w:val="auto"/>
                <w:kern w:val="0"/>
                <w:sz w:val="20"/>
                <w:szCs w:val="20"/>
                <w:highlight w:val="none"/>
                <w:lang w:eastAsia="zh-CN"/>
              </w:rPr>
              <w:t>投资后评价</w:t>
            </w:r>
            <w:r>
              <w:rPr>
                <w:rFonts w:hint="eastAsia" w:ascii="宋体" w:hAnsi="宋体" w:eastAsia="宋体" w:cs="宋体"/>
                <w:color w:val="auto"/>
                <w:kern w:val="0"/>
                <w:sz w:val="20"/>
                <w:szCs w:val="20"/>
                <w:highlight w:val="none"/>
              </w:rPr>
              <w:t>项目负责人，且担任负责人或</w:t>
            </w:r>
            <w:r>
              <w:rPr>
                <w:rFonts w:hint="eastAsia" w:ascii="宋体" w:hAnsi="宋体" w:eastAsia="宋体" w:cs="宋体"/>
                <w:color w:val="auto"/>
                <w:kern w:val="0"/>
                <w:sz w:val="20"/>
                <w:szCs w:val="20"/>
                <w:highlight w:val="none"/>
                <w:lang w:eastAsia="zh-CN"/>
              </w:rPr>
              <w:t>主评价人</w:t>
            </w:r>
            <w:r>
              <w:rPr>
                <w:rFonts w:hint="eastAsia" w:ascii="宋体" w:hAnsi="宋体" w:eastAsia="宋体" w:cs="宋体"/>
                <w:color w:val="auto"/>
                <w:kern w:val="0"/>
                <w:sz w:val="20"/>
                <w:szCs w:val="20"/>
                <w:highlight w:val="none"/>
              </w:rPr>
              <w:t>的项目不少于</w:t>
            </w:r>
            <w:r>
              <w:rPr>
                <w:rFonts w:hint="eastAsia" w:ascii="宋体" w:hAnsi="宋体" w:eastAsia="宋体" w:cs="宋体"/>
                <w:color w:val="auto"/>
                <w:kern w:val="0"/>
                <w:sz w:val="20"/>
                <w:szCs w:val="20"/>
                <w:highlight w:val="none"/>
                <w:lang w:val="en-US" w:eastAsia="zh-CN"/>
              </w:rPr>
              <w:t>3</w:t>
            </w:r>
            <w:r>
              <w:rPr>
                <w:rFonts w:hint="eastAsia" w:ascii="宋体" w:hAnsi="宋体" w:eastAsia="宋体" w:cs="宋体"/>
                <w:color w:val="auto"/>
                <w:kern w:val="0"/>
                <w:sz w:val="20"/>
                <w:szCs w:val="20"/>
                <w:highlight w:val="none"/>
              </w:rPr>
              <w:t>个，得6-9分；</w:t>
            </w:r>
            <w:r>
              <w:rPr>
                <w:rFonts w:hint="eastAsia" w:ascii="宋体" w:hAnsi="宋体" w:eastAsia="宋体" w:cs="宋体"/>
                <w:color w:val="auto"/>
                <w:kern w:val="0"/>
                <w:sz w:val="20"/>
                <w:szCs w:val="20"/>
                <w:highlight w:val="none"/>
              </w:rPr>
              <w:br w:type="textWrapping"/>
            </w:r>
            <w:r>
              <w:rPr>
                <w:rFonts w:hint="eastAsia" w:ascii="宋体" w:hAnsi="宋体" w:eastAsia="宋体" w:cs="宋体"/>
                <w:color w:val="auto"/>
                <w:kern w:val="0"/>
                <w:sz w:val="20"/>
                <w:szCs w:val="20"/>
                <w:highlight w:val="none"/>
              </w:rPr>
              <w:t>3.项目负责人担任过中小型国企</w:t>
            </w:r>
            <w:r>
              <w:rPr>
                <w:rFonts w:hint="eastAsia" w:ascii="宋体" w:hAnsi="宋体" w:eastAsia="宋体" w:cs="宋体"/>
                <w:color w:val="auto"/>
                <w:kern w:val="0"/>
                <w:sz w:val="20"/>
                <w:szCs w:val="20"/>
                <w:highlight w:val="none"/>
                <w:lang w:eastAsia="zh-CN"/>
              </w:rPr>
              <w:t>投资后评价</w:t>
            </w:r>
            <w:r>
              <w:rPr>
                <w:rFonts w:hint="eastAsia" w:ascii="宋体" w:hAnsi="宋体" w:eastAsia="宋体" w:cs="宋体"/>
                <w:color w:val="auto"/>
                <w:kern w:val="0"/>
                <w:sz w:val="20"/>
                <w:szCs w:val="20"/>
                <w:highlight w:val="none"/>
              </w:rPr>
              <w:t>项目负责人，且担任项目负责人或</w:t>
            </w:r>
            <w:r>
              <w:rPr>
                <w:rFonts w:hint="eastAsia" w:ascii="宋体" w:hAnsi="宋体" w:eastAsia="宋体" w:cs="宋体"/>
                <w:color w:val="auto"/>
                <w:kern w:val="0"/>
                <w:sz w:val="20"/>
                <w:szCs w:val="20"/>
                <w:highlight w:val="none"/>
                <w:lang w:eastAsia="zh-CN"/>
              </w:rPr>
              <w:t>主评价人</w:t>
            </w:r>
            <w:r>
              <w:rPr>
                <w:rFonts w:hint="eastAsia" w:ascii="宋体" w:hAnsi="宋体" w:eastAsia="宋体" w:cs="宋体"/>
                <w:color w:val="auto"/>
                <w:kern w:val="0"/>
                <w:sz w:val="20"/>
                <w:szCs w:val="20"/>
                <w:highlight w:val="none"/>
              </w:rPr>
              <w:t>的项目少于</w:t>
            </w:r>
            <w:r>
              <w:rPr>
                <w:rFonts w:hint="eastAsia" w:ascii="宋体" w:hAnsi="宋体" w:eastAsia="宋体" w:cs="宋体"/>
                <w:color w:val="auto"/>
                <w:kern w:val="0"/>
                <w:sz w:val="20"/>
                <w:szCs w:val="20"/>
                <w:highlight w:val="none"/>
                <w:lang w:val="en-US" w:eastAsia="zh-CN"/>
              </w:rPr>
              <w:t>3</w:t>
            </w:r>
            <w:r>
              <w:rPr>
                <w:rFonts w:hint="eastAsia" w:ascii="宋体" w:hAnsi="宋体" w:eastAsia="宋体" w:cs="宋体"/>
                <w:color w:val="auto"/>
                <w:kern w:val="0"/>
                <w:sz w:val="20"/>
                <w:szCs w:val="20"/>
                <w:highlight w:val="none"/>
              </w:rPr>
              <w:t>个，得0-5分。</w:t>
            </w:r>
          </w:p>
        </w:tc>
      </w:tr>
      <w:tr>
        <w:tblPrEx>
          <w:tblCellMar>
            <w:top w:w="0" w:type="dxa"/>
            <w:left w:w="108" w:type="dxa"/>
            <w:bottom w:w="0" w:type="dxa"/>
            <w:right w:w="108" w:type="dxa"/>
          </w:tblCellMar>
        </w:tblPrEx>
        <w:trPr>
          <w:trHeight w:val="1110" w:hRule="atLeast"/>
          <w:jc w:val="center"/>
        </w:trPr>
        <w:tc>
          <w:tcPr>
            <w:tcW w:w="645"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hint="eastAsia" w:ascii="宋体" w:hAnsi="宋体" w:eastAsia="宋体" w:cs="宋体"/>
                <w:color w:val="auto"/>
                <w:kern w:val="0"/>
                <w:sz w:val="20"/>
                <w:szCs w:val="20"/>
                <w:highlight w:val="none"/>
              </w:rPr>
            </w:pPr>
          </w:p>
        </w:tc>
        <w:tc>
          <w:tcPr>
            <w:tcW w:w="72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hint="eastAsia" w:ascii="宋体" w:hAnsi="宋体" w:eastAsia="宋体" w:cs="宋体"/>
                <w:color w:val="auto"/>
                <w:kern w:val="0"/>
                <w:sz w:val="20"/>
                <w:szCs w:val="20"/>
                <w:highlight w:val="none"/>
              </w:rPr>
            </w:pPr>
          </w:p>
        </w:tc>
        <w:tc>
          <w:tcPr>
            <w:tcW w:w="117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宋体" w:hAnsi="宋体" w:eastAsia="宋体" w:cs="宋体"/>
                <w:color w:val="auto"/>
                <w:kern w:val="0"/>
                <w:sz w:val="20"/>
                <w:szCs w:val="20"/>
                <w:highlight w:val="none"/>
                <w:lang w:eastAsia="zh-CN"/>
              </w:rPr>
            </w:pPr>
            <w:r>
              <w:rPr>
                <w:rFonts w:hint="eastAsia" w:ascii="宋体" w:hAnsi="宋体" w:eastAsia="宋体" w:cs="宋体"/>
                <w:color w:val="auto"/>
                <w:kern w:val="0"/>
                <w:sz w:val="20"/>
                <w:szCs w:val="20"/>
                <w:highlight w:val="none"/>
              </w:rPr>
              <w:t>项目</w:t>
            </w:r>
            <w:r>
              <w:rPr>
                <w:rFonts w:hint="eastAsia" w:ascii="宋体" w:hAnsi="宋体" w:eastAsia="宋体" w:cs="宋体"/>
                <w:color w:val="auto"/>
                <w:kern w:val="0"/>
                <w:sz w:val="20"/>
                <w:szCs w:val="20"/>
                <w:highlight w:val="none"/>
                <w:lang w:eastAsia="zh-CN"/>
              </w:rPr>
              <w:t>主评价人</w:t>
            </w:r>
          </w:p>
        </w:tc>
        <w:tc>
          <w:tcPr>
            <w:tcW w:w="99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10</w:t>
            </w:r>
          </w:p>
        </w:tc>
        <w:tc>
          <w:tcPr>
            <w:tcW w:w="503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1.项目</w:t>
            </w:r>
            <w:r>
              <w:rPr>
                <w:rFonts w:hint="eastAsia" w:ascii="宋体" w:hAnsi="宋体" w:eastAsia="宋体" w:cs="宋体"/>
                <w:color w:val="auto"/>
                <w:kern w:val="0"/>
                <w:sz w:val="20"/>
                <w:szCs w:val="20"/>
                <w:highlight w:val="none"/>
                <w:lang w:eastAsia="zh-CN"/>
              </w:rPr>
              <w:t>主评价人</w:t>
            </w:r>
            <w:r>
              <w:rPr>
                <w:rFonts w:hint="eastAsia" w:ascii="宋体" w:hAnsi="宋体" w:eastAsia="宋体" w:cs="宋体"/>
                <w:color w:val="auto"/>
                <w:kern w:val="0"/>
                <w:sz w:val="20"/>
                <w:szCs w:val="20"/>
                <w:highlight w:val="none"/>
              </w:rPr>
              <w:t>具有国企</w:t>
            </w:r>
            <w:r>
              <w:rPr>
                <w:rFonts w:hint="eastAsia" w:ascii="宋体" w:hAnsi="宋体" w:eastAsia="宋体" w:cs="宋体"/>
                <w:color w:val="auto"/>
                <w:kern w:val="0"/>
                <w:sz w:val="20"/>
                <w:szCs w:val="20"/>
                <w:highlight w:val="none"/>
                <w:lang w:eastAsia="zh-CN"/>
              </w:rPr>
              <w:t>投资后评价主评价人</w:t>
            </w:r>
            <w:r>
              <w:rPr>
                <w:rFonts w:hint="eastAsia" w:ascii="宋体" w:hAnsi="宋体" w:eastAsia="宋体" w:cs="宋体"/>
                <w:color w:val="auto"/>
                <w:kern w:val="0"/>
                <w:sz w:val="20"/>
                <w:szCs w:val="20"/>
                <w:highlight w:val="none"/>
              </w:rPr>
              <w:t>经验，且</w:t>
            </w:r>
            <w:r>
              <w:rPr>
                <w:rFonts w:hint="eastAsia" w:ascii="宋体" w:hAnsi="宋体" w:eastAsia="宋体" w:cs="宋体"/>
                <w:color w:val="auto"/>
                <w:kern w:val="0"/>
                <w:sz w:val="20"/>
                <w:szCs w:val="20"/>
                <w:highlight w:val="none"/>
                <w:lang w:eastAsia="zh-CN"/>
              </w:rPr>
              <w:t>主评价人</w:t>
            </w:r>
            <w:r>
              <w:rPr>
                <w:rFonts w:hint="eastAsia" w:ascii="宋体" w:hAnsi="宋体" w:eastAsia="宋体" w:cs="宋体"/>
                <w:color w:val="auto"/>
                <w:kern w:val="0"/>
                <w:sz w:val="20"/>
                <w:szCs w:val="20"/>
                <w:highlight w:val="none"/>
              </w:rPr>
              <w:t>项目被市国资委或市国资系统</w:t>
            </w:r>
            <w:r>
              <w:rPr>
                <w:rFonts w:hint="eastAsia" w:ascii="宋体" w:hAnsi="宋体" w:eastAsia="宋体" w:cs="宋体"/>
                <w:color w:val="auto"/>
                <w:kern w:val="0"/>
                <w:sz w:val="20"/>
                <w:szCs w:val="20"/>
                <w:highlight w:val="none"/>
                <w:lang w:eastAsia="zh-CN"/>
              </w:rPr>
              <w:t>投资后评价</w:t>
            </w:r>
            <w:r>
              <w:rPr>
                <w:rFonts w:hint="eastAsia" w:ascii="宋体" w:hAnsi="宋体" w:eastAsia="宋体" w:cs="宋体"/>
                <w:color w:val="auto"/>
                <w:kern w:val="0"/>
                <w:sz w:val="20"/>
                <w:szCs w:val="20"/>
                <w:highlight w:val="none"/>
              </w:rPr>
              <w:t>质量评价为“优”的，得10分；</w:t>
            </w:r>
          </w:p>
          <w:p>
            <w:pPr>
              <w:widowControl/>
              <w:spacing w:line="240" w:lineRule="exac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2.项目</w:t>
            </w:r>
            <w:r>
              <w:rPr>
                <w:rFonts w:hint="eastAsia" w:ascii="宋体" w:hAnsi="宋体" w:eastAsia="宋体" w:cs="宋体"/>
                <w:color w:val="auto"/>
                <w:kern w:val="0"/>
                <w:sz w:val="20"/>
                <w:szCs w:val="20"/>
                <w:highlight w:val="none"/>
                <w:lang w:eastAsia="zh-CN"/>
              </w:rPr>
              <w:t>主评价人</w:t>
            </w:r>
            <w:r>
              <w:rPr>
                <w:rFonts w:hint="eastAsia" w:ascii="宋体" w:hAnsi="宋体" w:eastAsia="宋体" w:cs="宋体"/>
                <w:color w:val="auto"/>
                <w:kern w:val="0"/>
                <w:sz w:val="20"/>
                <w:szCs w:val="20"/>
                <w:highlight w:val="none"/>
              </w:rPr>
              <w:t>具有国企</w:t>
            </w:r>
            <w:r>
              <w:rPr>
                <w:rFonts w:hint="eastAsia" w:ascii="宋体" w:hAnsi="宋体" w:eastAsia="宋体" w:cs="宋体"/>
                <w:color w:val="auto"/>
                <w:kern w:val="0"/>
                <w:sz w:val="20"/>
                <w:szCs w:val="20"/>
                <w:highlight w:val="none"/>
                <w:lang w:eastAsia="zh-CN"/>
              </w:rPr>
              <w:t>投资后评价主评价人</w:t>
            </w:r>
            <w:r>
              <w:rPr>
                <w:rFonts w:hint="eastAsia" w:ascii="宋体" w:hAnsi="宋体" w:eastAsia="宋体" w:cs="宋体"/>
                <w:color w:val="auto"/>
                <w:kern w:val="0"/>
                <w:sz w:val="20"/>
                <w:szCs w:val="20"/>
                <w:highlight w:val="none"/>
              </w:rPr>
              <w:t>经验，视</w:t>
            </w:r>
            <w:r>
              <w:rPr>
                <w:rFonts w:hint="eastAsia" w:ascii="宋体" w:hAnsi="宋体" w:eastAsia="宋体" w:cs="宋体"/>
                <w:color w:val="auto"/>
                <w:kern w:val="0"/>
                <w:sz w:val="20"/>
                <w:szCs w:val="20"/>
                <w:highlight w:val="none"/>
                <w:lang w:eastAsia="zh-CN"/>
              </w:rPr>
              <w:t>投资后评价主评价人</w:t>
            </w:r>
            <w:r>
              <w:rPr>
                <w:rFonts w:hint="eastAsia" w:ascii="宋体" w:hAnsi="宋体" w:eastAsia="宋体" w:cs="宋体"/>
                <w:color w:val="auto"/>
                <w:kern w:val="0"/>
                <w:sz w:val="20"/>
                <w:szCs w:val="20"/>
                <w:highlight w:val="none"/>
              </w:rPr>
              <w:t>项目多少</w:t>
            </w:r>
            <w:r>
              <w:rPr>
                <w:rFonts w:hint="eastAsia" w:ascii="宋体" w:hAnsi="宋体" w:eastAsia="宋体" w:cs="宋体"/>
                <w:color w:val="auto"/>
                <w:kern w:val="0"/>
                <w:sz w:val="20"/>
                <w:szCs w:val="20"/>
                <w:highlight w:val="none"/>
                <w:lang w:eastAsia="zh-CN"/>
              </w:rPr>
              <w:t>，</w:t>
            </w:r>
            <w:r>
              <w:rPr>
                <w:rFonts w:hint="eastAsia" w:ascii="宋体" w:hAnsi="宋体" w:eastAsia="宋体" w:cs="宋体"/>
                <w:color w:val="auto"/>
                <w:kern w:val="0"/>
                <w:sz w:val="20"/>
                <w:szCs w:val="20"/>
                <w:highlight w:val="none"/>
              </w:rPr>
              <w:t>每增加一个项目+2分，封顶10分。</w:t>
            </w:r>
          </w:p>
        </w:tc>
      </w:tr>
      <w:tr>
        <w:tblPrEx>
          <w:tblCellMar>
            <w:top w:w="0" w:type="dxa"/>
            <w:left w:w="108" w:type="dxa"/>
            <w:bottom w:w="0" w:type="dxa"/>
            <w:right w:w="108" w:type="dxa"/>
          </w:tblCellMar>
        </w:tblPrEx>
        <w:trPr>
          <w:trHeight w:val="665" w:hRule="atLeast"/>
          <w:jc w:val="center"/>
        </w:trPr>
        <w:tc>
          <w:tcPr>
            <w:tcW w:w="645"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hint="eastAsia" w:ascii="宋体" w:hAnsi="宋体" w:eastAsia="宋体" w:cs="宋体"/>
                <w:color w:val="auto"/>
                <w:kern w:val="0"/>
                <w:sz w:val="20"/>
                <w:szCs w:val="20"/>
                <w:highlight w:val="none"/>
              </w:rPr>
            </w:pPr>
          </w:p>
        </w:tc>
        <w:tc>
          <w:tcPr>
            <w:tcW w:w="72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hint="eastAsia" w:ascii="宋体" w:hAnsi="宋体" w:eastAsia="宋体" w:cs="宋体"/>
                <w:color w:val="auto"/>
                <w:kern w:val="0"/>
                <w:sz w:val="20"/>
                <w:szCs w:val="20"/>
                <w:highlight w:val="none"/>
              </w:rPr>
            </w:pPr>
          </w:p>
        </w:tc>
        <w:tc>
          <w:tcPr>
            <w:tcW w:w="117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其他人员配备</w:t>
            </w:r>
          </w:p>
        </w:tc>
        <w:tc>
          <w:tcPr>
            <w:tcW w:w="99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10</w:t>
            </w:r>
          </w:p>
        </w:tc>
        <w:tc>
          <w:tcPr>
            <w:tcW w:w="503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人员数量、资质符合项目基本要求，得6分；每增加一名符合要求成员额外+2分，封顶10分。</w:t>
            </w:r>
          </w:p>
        </w:tc>
      </w:tr>
      <w:tr>
        <w:tblPrEx>
          <w:tblCellMar>
            <w:top w:w="0" w:type="dxa"/>
            <w:left w:w="108" w:type="dxa"/>
            <w:bottom w:w="0" w:type="dxa"/>
            <w:right w:w="108" w:type="dxa"/>
          </w:tblCellMar>
        </w:tblPrEx>
        <w:trPr>
          <w:trHeight w:val="1290" w:hRule="atLeast"/>
          <w:jc w:val="center"/>
        </w:trPr>
        <w:tc>
          <w:tcPr>
            <w:tcW w:w="645"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40" w:lineRule="exact"/>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服务质量</w:t>
            </w:r>
          </w:p>
        </w:tc>
        <w:tc>
          <w:tcPr>
            <w:tcW w:w="720"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40" w:lineRule="exact"/>
              <w:jc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55</w:t>
            </w:r>
          </w:p>
        </w:tc>
        <w:tc>
          <w:tcPr>
            <w:tcW w:w="117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eastAsia="zh-CN"/>
              </w:rPr>
              <w:t>投资后评价</w:t>
            </w:r>
            <w:r>
              <w:rPr>
                <w:rFonts w:hint="eastAsia" w:ascii="宋体" w:hAnsi="宋体" w:eastAsia="宋体" w:cs="宋体"/>
                <w:color w:val="auto"/>
                <w:kern w:val="0"/>
                <w:sz w:val="20"/>
                <w:szCs w:val="20"/>
                <w:highlight w:val="none"/>
              </w:rPr>
              <w:t>质量评价结果</w:t>
            </w:r>
          </w:p>
        </w:tc>
        <w:tc>
          <w:tcPr>
            <w:tcW w:w="99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10</w:t>
            </w:r>
          </w:p>
        </w:tc>
        <w:tc>
          <w:tcPr>
            <w:tcW w:w="503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r>
              <w:rPr>
                <w:rFonts w:hint="eastAsia" w:ascii="宋体" w:hAnsi="宋体" w:eastAsia="宋体" w:cs="宋体"/>
                <w:color w:val="auto"/>
                <w:kern w:val="0"/>
                <w:sz w:val="20"/>
                <w:szCs w:val="20"/>
                <w:highlight w:val="none"/>
                <w:lang w:val="en-US" w:eastAsia="zh-CN"/>
              </w:rPr>
              <w:t>5年内</w:t>
            </w:r>
            <w:r>
              <w:rPr>
                <w:rFonts w:hint="eastAsia" w:ascii="宋体" w:hAnsi="宋体" w:eastAsia="宋体" w:cs="宋体"/>
                <w:color w:val="auto"/>
                <w:kern w:val="0"/>
                <w:sz w:val="20"/>
                <w:szCs w:val="20"/>
                <w:highlight w:val="none"/>
              </w:rPr>
              <w:t>在市国资委或市国资系统</w:t>
            </w:r>
            <w:r>
              <w:rPr>
                <w:rFonts w:hint="eastAsia" w:ascii="宋体" w:hAnsi="宋体" w:eastAsia="宋体" w:cs="宋体"/>
                <w:color w:val="auto"/>
                <w:kern w:val="0"/>
                <w:sz w:val="20"/>
                <w:szCs w:val="20"/>
                <w:highlight w:val="none"/>
                <w:lang w:eastAsia="zh-CN"/>
              </w:rPr>
              <w:t>投资后评价</w:t>
            </w:r>
            <w:r>
              <w:rPr>
                <w:rFonts w:hint="eastAsia" w:ascii="宋体" w:hAnsi="宋体" w:eastAsia="宋体" w:cs="宋体"/>
                <w:color w:val="auto"/>
                <w:kern w:val="0"/>
                <w:sz w:val="20"/>
                <w:szCs w:val="20"/>
                <w:highlight w:val="none"/>
              </w:rPr>
              <w:t>质量评价中，有项目被评为“优”的，得10分；</w:t>
            </w:r>
          </w:p>
          <w:p>
            <w:pPr>
              <w:widowControl/>
              <w:spacing w:line="240" w:lineRule="exac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r>
              <w:rPr>
                <w:rFonts w:hint="eastAsia" w:ascii="宋体" w:hAnsi="宋体" w:eastAsia="宋体" w:cs="宋体"/>
                <w:color w:val="auto"/>
                <w:kern w:val="0"/>
                <w:sz w:val="20"/>
                <w:szCs w:val="20"/>
                <w:highlight w:val="none"/>
                <w:lang w:val="en-US" w:eastAsia="zh-CN"/>
              </w:rPr>
              <w:t>5年内</w:t>
            </w:r>
            <w:r>
              <w:rPr>
                <w:rFonts w:hint="eastAsia" w:ascii="宋体" w:hAnsi="宋体" w:eastAsia="宋体" w:cs="宋体"/>
                <w:color w:val="auto"/>
                <w:kern w:val="0"/>
                <w:sz w:val="20"/>
                <w:szCs w:val="20"/>
                <w:highlight w:val="none"/>
              </w:rPr>
              <w:t>在市国资委或市国资系统</w:t>
            </w:r>
            <w:r>
              <w:rPr>
                <w:rFonts w:hint="eastAsia" w:ascii="宋体" w:hAnsi="宋体" w:eastAsia="宋体" w:cs="宋体"/>
                <w:color w:val="auto"/>
                <w:kern w:val="0"/>
                <w:sz w:val="20"/>
                <w:szCs w:val="20"/>
                <w:highlight w:val="none"/>
                <w:lang w:eastAsia="zh-CN"/>
              </w:rPr>
              <w:t>投资后评价</w:t>
            </w:r>
            <w:r>
              <w:rPr>
                <w:rFonts w:hint="eastAsia" w:ascii="宋体" w:hAnsi="宋体" w:eastAsia="宋体" w:cs="宋体"/>
                <w:color w:val="auto"/>
                <w:kern w:val="0"/>
                <w:sz w:val="20"/>
                <w:szCs w:val="20"/>
                <w:highlight w:val="none"/>
              </w:rPr>
              <w:t>质量评价中，有项目被评为“良”的，得6分</w:t>
            </w:r>
            <w:r>
              <w:rPr>
                <w:rFonts w:hint="eastAsia" w:ascii="宋体" w:hAnsi="宋体" w:eastAsia="宋体" w:cs="宋体"/>
                <w:color w:val="auto"/>
                <w:kern w:val="0"/>
                <w:sz w:val="20"/>
                <w:szCs w:val="20"/>
                <w:highlight w:val="none"/>
                <w:lang w:eastAsia="zh-CN"/>
              </w:rPr>
              <w:t>，</w:t>
            </w:r>
            <w:r>
              <w:rPr>
                <w:rFonts w:hint="eastAsia" w:ascii="宋体" w:hAnsi="宋体" w:eastAsia="宋体" w:cs="宋体"/>
                <w:color w:val="auto"/>
                <w:kern w:val="0"/>
                <w:sz w:val="20"/>
                <w:szCs w:val="20"/>
                <w:highlight w:val="none"/>
              </w:rPr>
              <w:t>每增加一个项目+2分，封顶10分；</w:t>
            </w:r>
          </w:p>
          <w:p>
            <w:pPr>
              <w:widowControl/>
              <w:spacing w:line="240" w:lineRule="exac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3.其他情况得0-5分。</w:t>
            </w:r>
          </w:p>
        </w:tc>
      </w:tr>
      <w:tr>
        <w:tblPrEx>
          <w:tblCellMar>
            <w:top w:w="0" w:type="dxa"/>
            <w:left w:w="108" w:type="dxa"/>
            <w:bottom w:w="0" w:type="dxa"/>
            <w:right w:w="108" w:type="dxa"/>
          </w:tblCellMar>
        </w:tblPrEx>
        <w:trPr>
          <w:trHeight w:val="276" w:hRule="atLeast"/>
          <w:jc w:val="center"/>
        </w:trPr>
        <w:tc>
          <w:tcPr>
            <w:tcW w:w="645" w:type="dxa"/>
            <w:vMerge w:val="continue"/>
            <w:tcBorders>
              <w:left w:val="single" w:color="auto" w:sz="4" w:space="0"/>
              <w:right w:val="single" w:color="auto" w:sz="4" w:space="0"/>
            </w:tcBorders>
            <w:shd w:val="clear" w:color="auto" w:fill="auto"/>
            <w:vAlign w:val="center"/>
          </w:tcPr>
          <w:p>
            <w:pPr>
              <w:widowControl/>
              <w:spacing w:line="240" w:lineRule="exact"/>
              <w:jc w:val="center"/>
              <w:rPr>
                <w:rFonts w:hint="eastAsia" w:ascii="宋体" w:hAnsi="宋体" w:eastAsia="宋体" w:cs="宋体"/>
                <w:color w:val="auto"/>
                <w:kern w:val="0"/>
                <w:sz w:val="20"/>
                <w:szCs w:val="20"/>
                <w:highlight w:val="none"/>
              </w:rPr>
            </w:pPr>
          </w:p>
        </w:tc>
        <w:tc>
          <w:tcPr>
            <w:tcW w:w="720" w:type="dxa"/>
            <w:vMerge w:val="continue"/>
            <w:tcBorders>
              <w:left w:val="single" w:color="auto" w:sz="4" w:space="0"/>
              <w:right w:val="single" w:color="auto" w:sz="4" w:space="0"/>
            </w:tcBorders>
            <w:shd w:val="clear" w:color="auto" w:fill="auto"/>
            <w:vAlign w:val="center"/>
          </w:tcPr>
          <w:p>
            <w:pPr>
              <w:widowControl/>
              <w:spacing w:line="240" w:lineRule="exact"/>
              <w:jc w:val="center"/>
              <w:rPr>
                <w:rFonts w:hint="eastAsia" w:ascii="宋体" w:hAnsi="宋体" w:eastAsia="宋体" w:cs="宋体"/>
                <w:color w:val="auto"/>
                <w:kern w:val="0"/>
                <w:sz w:val="20"/>
                <w:szCs w:val="20"/>
                <w:highlight w:val="none"/>
              </w:rPr>
            </w:pPr>
          </w:p>
        </w:tc>
        <w:tc>
          <w:tcPr>
            <w:tcW w:w="117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eastAsia="zh-CN"/>
              </w:rPr>
              <w:t>投资后评价</w:t>
            </w:r>
            <w:r>
              <w:rPr>
                <w:rFonts w:hint="eastAsia" w:ascii="宋体" w:hAnsi="宋体" w:eastAsia="宋体" w:cs="宋体"/>
                <w:color w:val="auto"/>
                <w:kern w:val="0"/>
                <w:sz w:val="20"/>
                <w:szCs w:val="20"/>
                <w:highlight w:val="none"/>
              </w:rPr>
              <w:t>方案</w:t>
            </w:r>
          </w:p>
        </w:tc>
        <w:tc>
          <w:tcPr>
            <w:tcW w:w="99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20</w:t>
            </w:r>
          </w:p>
        </w:tc>
        <w:tc>
          <w:tcPr>
            <w:tcW w:w="503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r>
              <w:rPr>
                <w:rFonts w:hint="eastAsia" w:ascii="宋体" w:hAnsi="宋体" w:eastAsia="宋体" w:cs="宋体"/>
                <w:color w:val="auto"/>
                <w:kern w:val="0"/>
                <w:sz w:val="20"/>
                <w:szCs w:val="20"/>
                <w:highlight w:val="none"/>
                <w:lang w:val="en-US" w:eastAsia="zh-CN"/>
              </w:rPr>
              <w:t>编制投资后评价方案，且</w:t>
            </w:r>
            <w:r>
              <w:rPr>
                <w:rFonts w:hint="eastAsia" w:ascii="宋体" w:hAnsi="宋体" w:eastAsia="宋体" w:cs="宋体"/>
                <w:color w:val="auto"/>
                <w:kern w:val="0"/>
                <w:sz w:val="20"/>
                <w:szCs w:val="20"/>
                <w:highlight w:val="none"/>
                <w:lang w:eastAsia="zh-CN"/>
              </w:rPr>
              <w:t>投资后评价</w:t>
            </w:r>
            <w:r>
              <w:rPr>
                <w:rFonts w:hint="eastAsia" w:ascii="宋体" w:hAnsi="宋体" w:eastAsia="宋体" w:cs="宋体"/>
                <w:color w:val="auto"/>
                <w:kern w:val="0"/>
                <w:sz w:val="20"/>
                <w:szCs w:val="20"/>
                <w:highlight w:val="none"/>
              </w:rPr>
              <w:t>方案全面、系统、完整，</w:t>
            </w:r>
            <w:r>
              <w:rPr>
                <w:rFonts w:hint="eastAsia" w:ascii="宋体" w:hAnsi="宋体" w:eastAsia="宋体" w:cs="宋体"/>
                <w:color w:val="auto"/>
                <w:kern w:val="0"/>
                <w:sz w:val="20"/>
                <w:szCs w:val="20"/>
                <w:highlight w:val="none"/>
                <w:lang w:eastAsia="zh-CN"/>
              </w:rPr>
              <w:t>投资后评价</w:t>
            </w:r>
            <w:r>
              <w:rPr>
                <w:rFonts w:hint="eastAsia" w:ascii="宋体" w:hAnsi="宋体" w:eastAsia="宋体" w:cs="宋体"/>
                <w:color w:val="auto"/>
                <w:kern w:val="0"/>
                <w:sz w:val="20"/>
                <w:szCs w:val="20"/>
                <w:highlight w:val="none"/>
              </w:rPr>
              <w:t>目标明确，</w:t>
            </w:r>
            <w:r>
              <w:rPr>
                <w:rFonts w:hint="eastAsia" w:ascii="宋体" w:hAnsi="宋体" w:eastAsia="宋体" w:cs="宋体"/>
                <w:color w:val="auto"/>
                <w:kern w:val="0"/>
                <w:sz w:val="20"/>
                <w:szCs w:val="20"/>
                <w:highlight w:val="none"/>
                <w:lang w:eastAsia="zh-CN"/>
              </w:rPr>
              <w:t>投资后评价</w:t>
            </w:r>
            <w:r>
              <w:rPr>
                <w:rFonts w:hint="eastAsia" w:ascii="宋体" w:hAnsi="宋体" w:eastAsia="宋体" w:cs="宋体"/>
                <w:color w:val="auto"/>
                <w:kern w:val="0"/>
                <w:sz w:val="20"/>
                <w:szCs w:val="20"/>
                <w:highlight w:val="none"/>
              </w:rPr>
              <w:t>范围清晰、具体，重点</w:t>
            </w:r>
            <w:r>
              <w:rPr>
                <w:rFonts w:hint="eastAsia" w:ascii="宋体" w:hAnsi="宋体" w:cs="宋体"/>
                <w:color w:val="auto"/>
                <w:kern w:val="0"/>
                <w:sz w:val="20"/>
                <w:szCs w:val="20"/>
                <w:highlight w:val="none"/>
                <w:lang w:eastAsia="zh-CN"/>
              </w:rPr>
              <w:t>、</w:t>
            </w:r>
            <w:r>
              <w:rPr>
                <w:rFonts w:hint="eastAsia" w:ascii="宋体" w:hAnsi="宋体" w:cs="宋体"/>
                <w:color w:val="auto"/>
                <w:kern w:val="0"/>
                <w:sz w:val="20"/>
                <w:szCs w:val="20"/>
                <w:highlight w:val="none"/>
                <w:lang w:val="en-US" w:eastAsia="zh-CN"/>
              </w:rPr>
              <w:t>难点</w:t>
            </w:r>
            <w:r>
              <w:rPr>
                <w:rFonts w:hint="eastAsia" w:ascii="宋体" w:hAnsi="宋体" w:eastAsia="宋体" w:cs="宋体"/>
                <w:color w:val="auto"/>
                <w:kern w:val="0"/>
                <w:sz w:val="20"/>
                <w:szCs w:val="20"/>
                <w:highlight w:val="none"/>
              </w:rPr>
              <w:t>清晰，有恰当、完善的实施方案和措施，得15-20分；</w:t>
            </w:r>
          </w:p>
          <w:p>
            <w:pPr>
              <w:widowControl/>
              <w:spacing w:line="240" w:lineRule="exac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r>
              <w:rPr>
                <w:rFonts w:hint="eastAsia" w:ascii="宋体" w:hAnsi="宋体" w:eastAsia="宋体" w:cs="宋体"/>
                <w:color w:val="auto"/>
                <w:kern w:val="0"/>
                <w:sz w:val="20"/>
                <w:szCs w:val="20"/>
                <w:highlight w:val="none"/>
                <w:lang w:val="en-US" w:eastAsia="zh-CN"/>
              </w:rPr>
              <w:t>编制投资后评价方案，</w:t>
            </w:r>
            <w:r>
              <w:rPr>
                <w:rFonts w:hint="eastAsia" w:ascii="宋体" w:hAnsi="宋体" w:eastAsia="宋体" w:cs="宋体"/>
                <w:color w:val="auto"/>
                <w:kern w:val="0"/>
                <w:sz w:val="20"/>
                <w:szCs w:val="20"/>
                <w:highlight w:val="none"/>
                <w:lang w:eastAsia="zh-CN"/>
              </w:rPr>
              <w:t>投资后评价</w:t>
            </w:r>
            <w:r>
              <w:rPr>
                <w:rFonts w:hint="eastAsia" w:ascii="宋体" w:hAnsi="宋体" w:eastAsia="宋体" w:cs="宋体"/>
                <w:color w:val="auto"/>
                <w:kern w:val="0"/>
                <w:sz w:val="20"/>
                <w:szCs w:val="20"/>
                <w:highlight w:val="none"/>
              </w:rPr>
              <w:t>方案全面，</w:t>
            </w:r>
            <w:r>
              <w:rPr>
                <w:rFonts w:hint="eastAsia" w:ascii="宋体" w:hAnsi="宋体" w:eastAsia="宋体" w:cs="宋体"/>
                <w:color w:val="auto"/>
                <w:kern w:val="0"/>
                <w:sz w:val="20"/>
                <w:szCs w:val="20"/>
                <w:highlight w:val="none"/>
                <w:lang w:eastAsia="zh-CN"/>
              </w:rPr>
              <w:t>投资后评价</w:t>
            </w:r>
            <w:r>
              <w:rPr>
                <w:rFonts w:hint="eastAsia" w:ascii="宋体" w:hAnsi="宋体" w:eastAsia="宋体" w:cs="宋体"/>
                <w:color w:val="auto"/>
                <w:kern w:val="0"/>
                <w:sz w:val="20"/>
                <w:szCs w:val="20"/>
                <w:highlight w:val="none"/>
              </w:rPr>
              <w:t>目标正确，</w:t>
            </w:r>
            <w:r>
              <w:rPr>
                <w:rFonts w:hint="eastAsia" w:ascii="宋体" w:hAnsi="宋体" w:eastAsia="宋体" w:cs="宋体"/>
                <w:color w:val="auto"/>
                <w:kern w:val="0"/>
                <w:sz w:val="20"/>
                <w:szCs w:val="20"/>
                <w:highlight w:val="none"/>
                <w:lang w:eastAsia="zh-CN"/>
              </w:rPr>
              <w:t>投资后评价</w:t>
            </w:r>
            <w:r>
              <w:rPr>
                <w:rFonts w:hint="eastAsia" w:ascii="宋体" w:hAnsi="宋体" w:eastAsia="宋体" w:cs="宋体"/>
                <w:color w:val="auto"/>
                <w:kern w:val="0"/>
                <w:sz w:val="20"/>
                <w:szCs w:val="20"/>
                <w:highlight w:val="none"/>
              </w:rPr>
              <w:t>范围清晰、具体，但重点</w:t>
            </w:r>
            <w:r>
              <w:rPr>
                <w:rFonts w:hint="eastAsia" w:ascii="宋体" w:hAnsi="宋体" w:cs="宋体"/>
                <w:color w:val="auto"/>
                <w:kern w:val="0"/>
                <w:sz w:val="20"/>
                <w:szCs w:val="20"/>
                <w:highlight w:val="none"/>
                <w:lang w:eastAsia="zh-CN"/>
              </w:rPr>
              <w:t>、</w:t>
            </w:r>
            <w:r>
              <w:rPr>
                <w:rFonts w:hint="eastAsia" w:ascii="宋体" w:hAnsi="宋体" w:cs="宋体"/>
                <w:color w:val="auto"/>
                <w:kern w:val="0"/>
                <w:sz w:val="20"/>
                <w:szCs w:val="20"/>
                <w:highlight w:val="none"/>
                <w:lang w:val="en-US" w:eastAsia="zh-CN"/>
              </w:rPr>
              <w:t>难点</w:t>
            </w:r>
            <w:r>
              <w:rPr>
                <w:rFonts w:hint="eastAsia" w:ascii="宋体" w:hAnsi="宋体" w:eastAsia="宋体" w:cs="宋体"/>
                <w:color w:val="auto"/>
                <w:kern w:val="0"/>
                <w:sz w:val="20"/>
                <w:szCs w:val="20"/>
                <w:highlight w:val="none"/>
              </w:rPr>
              <w:t>不够清晰，或实施方案和措施不够恰当、完善，得10-14分；</w:t>
            </w:r>
          </w:p>
          <w:p>
            <w:pPr>
              <w:widowControl/>
              <w:spacing w:line="240" w:lineRule="exac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r>
              <w:rPr>
                <w:rFonts w:hint="eastAsia" w:ascii="宋体" w:hAnsi="宋体" w:eastAsia="宋体" w:cs="宋体"/>
                <w:color w:val="auto"/>
                <w:kern w:val="0"/>
                <w:sz w:val="20"/>
                <w:szCs w:val="20"/>
                <w:highlight w:val="none"/>
                <w:lang w:val="en-US" w:eastAsia="zh-CN"/>
              </w:rPr>
              <w:t>编制投资后评价方案，</w:t>
            </w:r>
            <w:r>
              <w:rPr>
                <w:rFonts w:hint="eastAsia" w:ascii="宋体" w:hAnsi="宋体" w:eastAsia="宋体" w:cs="宋体"/>
                <w:color w:val="auto"/>
                <w:kern w:val="0"/>
                <w:sz w:val="20"/>
                <w:szCs w:val="20"/>
                <w:highlight w:val="none"/>
                <w:lang w:eastAsia="zh-CN"/>
              </w:rPr>
              <w:t>投资后评价</w:t>
            </w:r>
            <w:r>
              <w:rPr>
                <w:rFonts w:hint="eastAsia" w:ascii="宋体" w:hAnsi="宋体" w:eastAsia="宋体" w:cs="宋体"/>
                <w:color w:val="auto"/>
                <w:kern w:val="0"/>
                <w:sz w:val="20"/>
                <w:szCs w:val="20"/>
                <w:highlight w:val="none"/>
              </w:rPr>
              <w:t>方案不够全面或完整，</w:t>
            </w:r>
            <w:r>
              <w:rPr>
                <w:rFonts w:hint="eastAsia" w:ascii="宋体" w:hAnsi="宋体" w:eastAsia="宋体" w:cs="宋体"/>
                <w:color w:val="auto"/>
                <w:kern w:val="0"/>
                <w:sz w:val="20"/>
                <w:szCs w:val="20"/>
                <w:highlight w:val="none"/>
                <w:lang w:eastAsia="zh-CN"/>
              </w:rPr>
              <w:t>投资后评价</w:t>
            </w:r>
            <w:r>
              <w:rPr>
                <w:rFonts w:hint="eastAsia" w:ascii="宋体" w:hAnsi="宋体" w:eastAsia="宋体" w:cs="宋体"/>
                <w:color w:val="auto"/>
                <w:kern w:val="0"/>
                <w:sz w:val="20"/>
                <w:szCs w:val="20"/>
                <w:highlight w:val="none"/>
              </w:rPr>
              <w:t>范围不够清晰、具体，重点</w:t>
            </w:r>
            <w:r>
              <w:rPr>
                <w:rFonts w:hint="eastAsia" w:ascii="宋体" w:hAnsi="宋体" w:cs="宋体"/>
                <w:color w:val="auto"/>
                <w:kern w:val="0"/>
                <w:sz w:val="20"/>
                <w:szCs w:val="20"/>
                <w:highlight w:val="none"/>
                <w:lang w:eastAsia="zh-CN"/>
              </w:rPr>
              <w:t>、</w:t>
            </w:r>
            <w:r>
              <w:rPr>
                <w:rFonts w:hint="eastAsia" w:ascii="宋体" w:hAnsi="宋体" w:cs="宋体"/>
                <w:color w:val="auto"/>
                <w:kern w:val="0"/>
                <w:sz w:val="20"/>
                <w:szCs w:val="20"/>
                <w:highlight w:val="none"/>
                <w:lang w:val="en-US" w:eastAsia="zh-CN"/>
              </w:rPr>
              <w:t>难点</w:t>
            </w:r>
            <w:r>
              <w:rPr>
                <w:rFonts w:hint="eastAsia" w:ascii="宋体" w:hAnsi="宋体" w:eastAsia="宋体" w:cs="宋体"/>
                <w:color w:val="auto"/>
                <w:kern w:val="0"/>
                <w:sz w:val="20"/>
                <w:szCs w:val="20"/>
                <w:highlight w:val="none"/>
              </w:rPr>
              <w:t>不清晰，实施方案和措施不够恰当、完善，得0-9分。</w:t>
            </w:r>
          </w:p>
        </w:tc>
      </w:tr>
      <w:tr>
        <w:tblPrEx>
          <w:tblCellMar>
            <w:top w:w="0" w:type="dxa"/>
            <w:left w:w="108" w:type="dxa"/>
            <w:bottom w:w="0" w:type="dxa"/>
            <w:right w:w="108" w:type="dxa"/>
          </w:tblCellMar>
        </w:tblPrEx>
        <w:trPr>
          <w:trHeight w:val="1485" w:hRule="atLeast"/>
          <w:jc w:val="center"/>
        </w:trPr>
        <w:tc>
          <w:tcPr>
            <w:tcW w:w="645" w:type="dxa"/>
            <w:vMerge w:val="continue"/>
            <w:tcBorders>
              <w:top w:val="nil"/>
              <w:left w:val="single" w:color="auto" w:sz="4" w:space="0"/>
              <w:bottom w:val="single" w:color="000000" w:sz="4" w:space="0"/>
              <w:right w:val="single" w:color="auto" w:sz="4" w:space="0"/>
            </w:tcBorders>
            <w:vAlign w:val="center"/>
          </w:tcPr>
          <w:p>
            <w:pPr>
              <w:widowControl/>
              <w:spacing w:line="240" w:lineRule="exact"/>
              <w:jc w:val="left"/>
              <w:rPr>
                <w:rFonts w:hint="eastAsia" w:ascii="宋体" w:hAnsi="宋体" w:eastAsia="宋体" w:cs="宋体"/>
                <w:color w:val="auto"/>
                <w:kern w:val="0"/>
                <w:sz w:val="20"/>
                <w:szCs w:val="20"/>
                <w:highlight w:val="none"/>
              </w:rPr>
            </w:pPr>
          </w:p>
        </w:tc>
        <w:tc>
          <w:tcPr>
            <w:tcW w:w="720" w:type="dxa"/>
            <w:vMerge w:val="continue"/>
            <w:tcBorders>
              <w:top w:val="nil"/>
              <w:left w:val="single" w:color="auto" w:sz="4" w:space="0"/>
              <w:bottom w:val="single" w:color="000000" w:sz="4" w:space="0"/>
              <w:right w:val="single" w:color="auto" w:sz="4" w:space="0"/>
            </w:tcBorders>
            <w:vAlign w:val="center"/>
          </w:tcPr>
          <w:p>
            <w:pPr>
              <w:widowControl/>
              <w:spacing w:line="240" w:lineRule="exact"/>
              <w:jc w:val="left"/>
              <w:rPr>
                <w:rFonts w:hint="eastAsia" w:ascii="宋体" w:hAnsi="宋体" w:eastAsia="宋体" w:cs="宋体"/>
                <w:color w:val="auto"/>
                <w:kern w:val="0"/>
                <w:sz w:val="20"/>
                <w:szCs w:val="20"/>
                <w:highlight w:val="none"/>
              </w:rPr>
            </w:pPr>
          </w:p>
        </w:tc>
        <w:tc>
          <w:tcPr>
            <w:tcW w:w="117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质量保证措施及后续服务</w:t>
            </w:r>
          </w:p>
        </w:tc>
        <w:tc>
          <w:tcPr>
            <w:tcW w:w="99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25</w:t>
            </w:r>
          </w:p>
        </w:tc>
        <w:tc>
          <w:tcPr>
            <w:tcW w:w="503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1.有质量保证措施及后续服务，质量保证范围全面，保证措施完善，得21-25分；</w:t>
            </w:r>
          </w:p>
          <w:p>
            <w:pPr>
              <w:widowControl/>
              <w:spacing w:line="240" w:lineRule="exact"/>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2.有质量保证措施及后续服务，质量保证范围不全面，或保证措施不完善，得11-20分；</w:t>
            </w:r>
          </w:p>
          <w:p>
            <w:pPr>
              <w:widowControl/>
              <w:spacing w:line="240" w:lineRule="exact"/>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3.仅有质量保证措施，不含后续服务，得1-10分；</w:t>
            </w:r>
          </w:p>
          <w:p>
            <w:pPr>
              <w:widowControl/>
              <w:spacing w:line="240" w:lineRule="exac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val="en-US" w:eastAsia="zh-CN"/>
              </w:rPr>
              <w:t>4.无上述条款得0分。</w:t>
            </w:r>
          </w:p>
        </w:tc>
      </w:tr>
      <w:tr>
        <w:tblPrEx>
          <w:tblCellMar>
            <w:top w:w="0" w:type="dxa"/>
            <w:left w:w="108" w:type="dxa"/>
            <w:bottom w:w="0" w:type="dxa"/>
            <w:right w:w="108" w:type="dxa"/>
          </w:tblCellMar>
        </w:tblPrEx>
        <w:trPr>
          <w:trHeight w:val="345" w:hRule="atLeast"/>
          <w:jc w:val="center"/>
        </w:trPr>
        <w:tc>
          <w:tcPr>
            <w:tcW w:w="136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总分</w:t>
            </w:r>
          </w:p>
        </w:tc>
        <w:tc>
          <w:tcPr>
            <w:tcW w:w="117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99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100</w:t>
            </w:r>
          </w:p>
        </w:tc>
        <w:tc>
          <w:tcPr>
            <w:tcW w:w="503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七、</w:t>
      </w:r>
      <w:r>
        <w:rPr>
          <w:rFonts w:hint="eastAsia" w:ascii="Times New Roman" w:hAnsi="Times New Roman" w:eastAsia="黑体" w:cs="Arial"/>
          <w:color w:val="333333"/>
          <w:kern w:val="0"/>
          <w:sz w:val="32"/>
          <w:szCs w:val="32"/>
        </w:rPr>
        <w:t>报价方式</w:t>
      </w:r>
    </w:p>
    <w:p>
      <w:pPr>
        <w:pStyle w:val="2"/>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报价单位应在询价函发出的5日内进行报价，报价截止时间以采购公告为准。报价表格式如下：</w:t>
      </w:r>
    </w:p>
    <w:p>
      <w:pPr>
        <w:pStyle w:val="2"/>
        <w:numPr>
          <w:ilvl w:val="0"/>
          <w:numId w:val="0"/>
        </w:numPr>
        <w:rPr>
          <w:rFonts w:hint="default" w:eastAsia="宋体"/>
          <w:lang w:val="en-US" w:eastAsia="zh-CN"/>
        </w:rPr>
      </w:pPr>
    </w:p>
    <w:p>
      <w:pPr>
        <w:spacing w:line="560" w:lineRule="exact"/>
        <w:ind w:right="106" w:rightChars="0" w:firstLine="480"/>
        <w:jc w:val="right"/>
        <w:rPr>
          <w:rFonts w:ascii="宋体" w:hAnsi="宋体"/>
          <w:sz w:val="18"/>
          <w:szCs w:val="18"/>
        </w:rPr>
      </w:pPr>
      <w:r>
        <w:rPr>
          <w:rFonts w:hint="eastAsia" w:ascii="宋体" w:hAnsi="宋体"/>
          <w:sz w:val="18"/>
          <w:szCs w:val="18"/>
        </w:rPr>
        <w:t>单位：万元</w:t>
      </w:r>
    </w:p>
    <w:tbl>
      <w:tblPr>
        <w:tblStyle w:val="1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
        <w:gridCol w:w="3941"/>
        <w:gridCol w:w="1379"/>
        <w:gridCol w:w="1379"/>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275" w:type="pc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b w:val="0"/>
                <w:bCs w:val="0"/>
                <w:kern w:val="0"/>
                <w:sz w:val="18"/>
                <w:szCs w:val="18"/>
                <w:shd w:val="clear" w:color="auto" w:fill="FFFFFF"/>
              </w:rPr>
            </w:pPr>
            <w:r>
              <w:rPr>
                <w:rFonts w:hint="eastAsia" w:ascii="宋体" w:hAnsi="宋体" w:eastAsia="宋体" w:cs="宋体"/>
                <w:b w:val="0"/>
                <w:bCs w:val="0"/>
                <w:kern w:val="0"/>
                <w:sz w:val="18"/>
                <w:szCs w:val="18"/>
                <w:lang w:bidi="ar"/>
              </w:rPr>
              <w:t>序号</w:t>
            </w:r>
          </w:p>
        </w:tc>
        <w:tc>
          <w:tcPr>
            <w:tcW w:w="2313" w:type="pct"/>
            <w:tcBorders>
              <w:top w:val="single" w:color="auto" w:sz="4" w:space="0"/>
              <w:left w:val="single" w:color="auto" w:sz="4" w:space="0"/>
              <w:bottom w:val="single" w:color="auto" w:sz="4" w:space="0"/>
              <w:right w:val="single" w:color="auto" w:sz="4" w:space="0"/>
            </w:tcBorders>
            <w:vAlign w:val="center"/>
          </w:tcPr>
          <w:p>
            <w:pPr>
              <w:ind w:firstLine="422"/>
              <w:jc w:val="center"/>
              <w:textAlignment w:val="center"/>
              <w:rPr>
                <w:rFonts w:hint="eastAsia" w:ascii="宋体" w:hAnsi="宋体" w:eastAsia="宋体" w:cs="宋体"/>
                <w:b w:val="0"/>
                <w:bCs w:val="0"/>
                <w:kern w:val="0"/>
                <w:sz w:val="18"/>
                <w:szCs w:val="18"/>
                <w:shd w:val="clear" w:color="auto" w:fill="FFFFFF"/>
              </w:rPr>
            </w:pPr>
            <w:r>
              <w:rPr>
                <w:rFonts w:hint="eastAsia" w:ascii="宋体" w:hAnsi="宋体" w:cs="宋体"/>
                <w:b w:val="0"/>
                <w:bCs w:val="0"/>
                <w:kern w:val="0"/>
                <w:sz w:val="18"/>
                <w:szCs w:val="18"/>
                <w:lang w:val="en-US" w:eastAsia="zh-CN" w:bidi="ar"/>
              </w:rPr>
              <w:t>项目</w:t>
            </w:r>
            <w:r>
              <w:rPr>
                <w:rFonts w:hint="eastAsia" w:ascii="宋体" w:hAnsi="宋体" w:eastAsia="宋体" w:cs="宋体"/>
                <w:b w:val="0"/>
                <w:bCs w:val="0"/>
                <w:kern w:val="0"/>
                <w:sz w:val="18"/>
                <w:szCs w:val="18"/>
                <w:lang w:bidi="ar"/>
              </w:rPr>
              <w:t>名称</w:t>
            </w:r>
          </w:p>
        </w:tc>
        <w:tc>
          <w:tcPr>
            <w:tcW w:w="1619" w:type="pct"/>
            <w:gridSpan w:val="2"/>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b w:val="0"/>
                <w:bCs w:val="0"/>
                <w:kern w:val="0"/>
                <w:sz w:val="18"/>
                <w:szCs w:val="18"/>
                <w:shd w:val="clear" w:color="auto" w:fill="FFFFFF"/>
                <w:lang w:eastAsia="zh-CN"/>
              </w:rPr>
            </w:pPr>
            <w:r>
              <w:rPr>
                <w:rFonts w:hint="eastAsia" w:ascii="宋体" w:hAnsi="宋体" w:eastAsia="宋体" w:cs="宋体"/>
                <w:b w:val="0"/>
                <w:bCs w:val="0"/>
                <w:kern w:val="0"/>
                <w:sz w:val="18"/>
                <w:szCs w:val="18"/>
                <w:shd w:val="clear" w:color="auto" w:fill="FFFFFF"/>
              </w:rPr>
              <w:t>预算费用上限</w:t>
            </w:r>
          </w:p>
        </w:tc>
        <w:tc>
          <w:tcPr>
            <w:tcW w:w="791" w:type="pc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b w:val="0"/>
                <w:bCs w:val="0"/>
                <w:kern w:val="0"/>
                <w:sz w:val="18"/>
                <w:szCs w:val="18"/>
                <w:lang w:bidi="ar"/>
              </w:rPr>
            </w:pPr>
            <w:r>
              <w:rPr>
                <w:rFonts w:hint="eastAsia" w:ascii="宋体" w:hAnsi="宋体" w:eastAsia="宋体" w:cs="宋体"/>
                <w:b w:val="0"/>
                <w:bCs w:val="0"/>
                <w:kern w:val="0"/>
                <w:sz w:val="18"/>
                <w:szCs w:val="18"/>
                <w:lang w:bidi="ar"/>
              </w:rPr>
              <w:t>报价费用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5" w:type="pct"/>
            <w:vMerge w:val="restart"/>
            <w:tcBorders>
              <w:top w:val="single" w:color="auto" w:sz="4" w:space="0"/>
              <w:left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宋体" w:hAnsi="宋体" w:eastAsia="宋体" w:cs="宋体"/>
                <w:b w:val="0"/>
                <w:bCs w:val="0"/>
                <w:kern w:val="0"/>
                <w:sz w:val="18"/>
                <w:szCs w:val="18"/>
                <w:lang w:val="en-US" w:eastAsia="zh-CN" w:bidi="ar"/>
              </w:rPr>
            </w:pPr>
            <w:r>
              <w:rPr>
                <w:rFonts w:hint="eastAsia" w:ascii="宋体" w:hAnsi="宋体" w:eastAsia="宋体" w:cs="宋体"/>
                <w:b w:val="0"/>
                <w:bCs w:val="0"/>
                <w:kern w:val="0"/>
                <w:sz w:val="18"/>
                <w:szCs w:val="18"/>
                <w:lang w:val="en-US" w:eastAsia="zh-CN" w:bidi="ar"/>
              </w:rPr>
              <w:t>1</w:t>
            </w:r>
          </w:p>
        </w:tc>
        <w:tc>
          <w:tcPr>
            <w:tcW w:w="2313" w:type="pct"/>
            <w:vMerge w:val="restart"/>
            <w:tcBorders>
              <w:top w:val="single" w:color="auto" w:sz="4" w:space="0"/>
              <w:left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default" w:ascii="宋体" w:hAnsi="宋体" w:eastAsia="宋体" w:cs="宋体"/>
                <w:b w:val="0"/>
                <w:bCs w:val="0"/>
                <w:color w:val="000000"/>
                <w:kern w:val="0"/>
                <w:sz w:val="18"/>
                <w:szCs w:val="18"/>
                <w:lang w:val="en-US" w:bidi="ar"/>
              </w:rPr>
            </w:pPr>
            <w:r>
              <w:rPr>
                <w:rFonts w:hint="eastAsia" w:ascii="宋体" w:hAnsi="宋体" w:eastAsia="宋体" w:cs="宋体"/>
                <w:b w:val="0"/>
                <w:bCs w:val="0"/>
                <w:kern w:val="0"/>
                <w:sz w:val="18"/>
                <w:szCs w:val="18"/>
                <w:lang w:val="en-US" w:eastAsia="zh-CN" w:bidi="ar"/>
              </w:rPr>
              <w:t>深圳市南山农产品批发配送有限公司</w:t>
            </w:r>
            <w:r>
              <w:rPr>
                <w:rFonts w:hint="eastAsia" w:ascii="宋体" w:hAnsi="宋体" w:cs="宋体"/>
                <w:b w:val="0"/>
                <w:bCs w:val="0"/>
                <w:kern w:val="0"/>
                <w:sz w:val="18"/>
                <w:szCs w:val="18"/>
                <w:lang w:val="en-US" w:eastAsia="zh-CN" w:bidi="ar"/>
              </w:rPr>
              <w:t>投资后评价服务</w:t>
            </w:r>
          </w:p>
        </w:tc>
        <w:tc>
          <w:tcPr>
            <w:tcW w:w="809"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b w:val="0"/>
                <w:bCs w:val="0"/>
                <w:color w:val="000000"/>
                <w:kern w:val="0"/>
                <w:sz w:val="18"/>
                <w:szCs w:val="18"/>
                <w:lang w:val="en-US" w:eastAsia="zh-CN"/>
              </w:rPr>
            </w:pPr>
            <w:r>
              <w:rPr>
                <w:rFonts w:hint="eastAsia" w:ascii="宋体" w:hAnsi="宋体" w:cs="宋体"/>
                <w:b w:val="0"/>
                <w:bCs w:val="0"/>
                <w:color w:val="000000"/>
                <w:kern w:val="0"/>
                <w:sz w:val="18"/>
                <w:szCs w:val="18"/>
                <w:lang w:val="en-US" w:eastAsia="zh-CN"/>
              </w:rPr>
              <w:t>不含税价</w:t>
            </w:r>
          </w:p>
        </w:tc>
        <w:tc>
          <w:tcPr>
            <w:tcW w:w="809"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b w:val="0"/>
                <w:bCs w:val="0"/>
                <w:color w:val="000000"/>
                <w:kern w:val="0"/>
                <w:sz w:val="18"/>
                <w:szCs w:val="18"/>
                <w:lang w:val="en-US"/>
              </w:rPr>
            </w:pPr>
            <w:r>
              <w:rPr>
                <w:rFonts w:hint="eastAsia" w:ascii="宋体" w:hAnsi="宋体" w:cs="宋体"/>
                <w:b w:val="0"/>
                <w:bCs w:val="0"/>
                <w:kern w:val="0"/>
                <w:sz w:val="18"/>
                <w:szCs w:val="18"/>
                <w:shd w:val="clear" w:color="auto" w:fill="FFFFFF"/>
                <w:lang w:val="en-US" w:eastAsia="zh-CN"/>
              </w:rPr>
              <w:t>—</w:t>
            </w:r>
          </w:p>
        </w:tc>
        <w:tc>
          <w:tcPr>
            <w:tcW w:w="791" w:type="pc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val="0"/>
                <w:bCs w:val="0"/>
                <w:sz w:val="18"/>
                <w:szCs w:val="1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75" w:type="pct"/>
            <w:vMerge w:val="continue"/>
            <w:tcBorders>
              <w:left w:val="single" w:color="auto" w:sz="4" w:space="0"/>
              <w:right w:val="single" w:color="auto" w:sz="4" w:space="0"/>
            </w:tcBorders>
            <w:vAlign w:val="center"/>
          </w:tcPr>
          <w:p>
            <w:pPr>
              <w:ind w:firstLine="422"/>
              <w:jc w:val="center"/>
              <w:textAlignment w:val="center"/>
              <w:rPr>
                <w:rFonts w:hint="eastAsia" w:ascii="宋体" w:hAnsi="宋体" w:cs="宋体"/>
                <w:b w:val="0"/>
                <w:bCs w:val="0"/>
                <w:kern w:val="0"/>
                <w:sz w:val="18"/>
                <w:szCs w:val="18"/>
                <w:lang w:val="en-US" w:eastAsia="zh-CN" w:bidi="ar"/>
              </w:rPr>
            </w:pPr>
          </w:p>
        </w:tc>
        <w:tc>
          <w:tcPr>
            <w:tcW w:w="2313" w:type="pct"/>
            <w:vMerge w:val="continue"/>
            <w:tcBorders>
              <w:left w:val="single" w:color="auto" w:sz="4" w:space="0"/>
              <w:right w:val="single" w:color="auto" w:sz="4" w:space="0"/>
            </w:tcBorders>
            <w:vAlign w:val="center"/>
          </w:tcPr>
          <w:p>
            <w:pPr>
              <w:ind w:firstLine="422"/>
              <w:jc w:val="center"/>
              <w:textAlignment w:val="center"/>
              <w:rPr>
                <w:rFonts w:hint="eastAsia" w:ascii="宋体" w:hAnsi="宋体" w:cs="宋体"/>
                <w:b w:val="0"/>
                <w:bCs w:val="0"/>
                <w:kern w:val="0"/>
                <w:sz w:val="18"/>
                <w:szCs w:val="18"/>
                <w:lang w:val="en-US" w:eastAsia="zh-CN" w:bidi="ar"/>
              </w:rPr>
            </w:pPr>
          </w:p>
        </w:tc>
        <w:tc>
          <w:tcPr>
            <w:tcW w:w="809" w:type="pc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default" w:ascii="宋体" w:hAnsi="宋体" w:cs="宋体"/>
                <w:b w:val="0"/>
                <w:bCs w:val="0"/>
                <w:kern w:val="0"/>
                <w:sz w:val="18"/>
                <w:szCs w:val="18"/>
                <w:shd w:val="clear" w:color="auto" w:fill="FFFFFF"/>
                <w:lang w:val="en-US" w:eastAsia="zh-CN"/>
              </w:rPr>
            </w:pPr>
            <w:r>
              <w:rPr>
                <w:rFonts w:hint="eastAsia" w:ascii="宋体" w:hAnsi="宋体" w:cs="宋体"/>
                <w:b w:val="0"/>
                <w:bCs w:val="0"/>
                <w:kern w:val="0"/>
                <w:sz w:val="18"/>
                <w:szCs w:val="18"/>
                <w:shd w:val="clear" w:color="auto" w:fill="FFFFFF"/>
                <w:lang w:val="en-US" w:eastAsia="zh-CN"/>
              </w:rPr>
              <w:t>税率</w:t>
            </w:r>
          </w:p>
        </w:tc>
        <w:tc>
          <w:tcPr>
            <w:tcW w:w="809" w:type="pc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cs="宋体"/>
                <w:b w:val="0"/>
                <w:bCs w:val="0"/>
                <w:kern w:val="0"/>
                <w:sz w:val="18"/>
                <w:szCs w:val="18"/>
                <w:shd w:val="clear" w:color="auto" w:fill="FFFFFF"/>
                <w:lang w:val="en-US" w:eastAsia="zh-CN"/>
              </w:rPr>
            </w:pPr>
            <w:r>
              <w:rPr>
                <w:rFonts w:hint="eastAsia" w:ascii="宋体" w:hAnsi="宋体" w:cs="宋体"/>
                <w:b w:val="0"/>
                <w:bCs w:val="0"/>
                <w:kern w:val="0"/>
                <w:sz w:val="18"/>
                <w:szCs w:val="18"/>
                <w:shd w:val="clear" w:color="auto" w:fill="FFFFFF"/>
                <w:lang w:val="en-US" w:eastAsia="zh-CN"/>
              </w:rPr>
              <w:t>—</w:t>
            </w:r>
          </w:p>
        </w:tc>
        <w:tc>
          <w:tcPr>
            <w:tcW w:w="791" w:type="pc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b w:val="0"/>
                <w:bCs w:val="0"/>
                <w:kern w:val="0"/>
                <w:sz w:val="18"/>
                <w:szCs w:val="1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75" w:type="pct"/>
            <w:vMerge w:val="continue"/>
            <w:tcBorders>
              <w:left w:val="single" w:color="auto" w:sz="4" w:space="0"/>
              <w:bottom w:val="single" w:color="auto" w:sz="4" w:space="0"/>
              <w:right w:val="single" w:color="auto" w:sz="4" w:space="0"/>
            </w:tcBorders>
            <w:vAlign w:val="center"/>
          </w:tcPr>
          <w:p>
            <w:pPr>
              <w:ind w:firstLine="422"/>
              <w:jc w:val="center"/>
              <w:textAlignment w:val="center"/>
              <w:rPr>
                <w:rFonts w:hint="default" w:ascii="宋体" w:hAnsi="宋体" w:eastAsia="宋体" w:cs="宋体"/>
                <w:b w:val="0"/>
                <w:bCs w:val="0"/>
                <w:kern w:val="0"/>
                <w:sz w:val="18"/>
                <w:szCs w:val="18"/>
                <w:lang w:val="en-US" w:eastAsia="zh-CN" w:bidi="ar"/>
              </w:rPr>
            </w:pPr>
          </w:p>
        </w:tc>
        <w:tc>
          <w:tcPr>
            <w:tcW w:w="2313" w:type="pct"/>
            <w:vMerge w:val="continue"/>
            <w:tcBorders>
              <w:left w:val="single" w:color="auto" w:sz="4" w:space="0"/>
              <w:bottom w:val="single" w:color="auto" w:sz="4" w:space="0"/>
              <w:right w:val="single" w:color="auto" w:sz="4" w:space="0"/>
            </w:tcBorders>
            <w:vAlign w:val="center"/>
          </w:tcPr>
          <w:p>
            <w:pPr>
              <w:ind w:firstLine="422"/>
              <w:jc w:val="center"/>
              <w:textAlignment w:val="center"/>
              <w:rPr>
                <w:rFonts w:hint="eastAsia" w:ascii="宋体" w:hAnsi="宋体" w:cs="宋体"/>
                <w:b w:val="0"/>
                <w:bCs w:val="0"/>
                <w:kern w:val="0"/>
                <w:sz w:val="18"/>
                <w:szCs w:val="18"/>
                <w:lang w:val="en-US" w:eastAsia="zh-CN" w:bidi="ar"/>
              </w:rPr>
            </w:pPr>
          </w:p>
        </w:tc>
        <w:tc>
          <w:tcPr>
            <w:tcW w:w="809" w:type="pc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default" w:ascii="宋体" w:hAnsi="宋体" w:cs="宋体"/>
                <w:b w:val="0"/>
                <w:bCs w:val="0"/>
                <w:kern w:val="0"/>
                <w:sz w:val="18"/>
                <w:szCs w:val="18"/>
                <w:shd w:val="clear" w:color="auto" w:fill="FFFFFF"/>
                <w:lang w:val="en-US" w:eastAsia="zh-CN"/>
              </w:rPr>
            </w:pPr>
            <w:r>
              <w:rPr>
                <w:rFonts w:hint="eastAsia" w:ascii="宋体" w:hAnsi="宋体" w:cs="宋体"/>
                <w:b w:val="0"/>
                <w:bCs w:val="0"/>
                <w:kern w:val="0"/>
                <w:sz w:val="18"/>
                <w:szCs w:val="18"/>
                <w:shd w:val="clear" w:color="auto" w:fill="FFFFFF"/>
                <w:lang w:val="en-US" w:eastAsia="zh-CN"/>
              </w:rPr>
              <w:t>含税价</w:t>
            </w:r>
          </w:p>
        </w:tc>
        <w:tc>
          <w:tcPr>
            <w:tcW w:w="809" w:type="pc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default" w:ascii="宋体" w:hAnsi="宋体" w:eastAsia="宋体" w:cs="宋体"/>
                <w:b w:val="0"/>
                <w:bCs w:val="0"/>
                <w:kern w:val="0"/>
                <w:sz w:val="18"/>
                <w:szCs w:val="18"/>
                <w:shd w:val="clear" w:color="auto" w:fill="FFFFFF"/>
                <w:lang w:val="en-US" w:eastAsia="zh-CN"/>
              </w:rPr>
            </w:pPr>
            <w:r>
              <w:rPr>
                <w:rFonts w:hint="eastAsia" w:ascii="宋体" w:hAnsi="宋体" w:cs="宋体"/>
                <w:b w:val="0"/>
                <w:bCs w:val="0"/>
                <w:kern w:val="0"/>
                <w:sz w:val="18"/>
                <w:szCs w:val="18"/>
                <w:shd w:val="clear" w:color="auto" w:fill="FFFFFF"/>
                <w:lang w:val="en-US" w:eastAsia="zh-CN"/>
              </w:rPr>
              <w:t>6.15</w:t>
            </w:r>
          </w:p>
        </w:tc>
        <w:tc>
          <w:tcPr>
            <w:tcW w:w="791" w:type="pct"/>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宋体" w:hAnsi="宋体" w:eastAsia="宋体" w:cs="宋体"/>
                <w:b w:val="0"/>
                <w:bCs w:val="0"/>
                <w:kern w:val="0"/>
                <w:sz w:val="18"/>
                <w:szCs w:val="18"/>
                <w:shd w:val="clear" w:color="auto" w:fill="FFFFFF"/>
              </w:rPr>
            </w:pPr>
          </w:p>
        </w:tc>
      </w:tr>
    </w:tbl>
    <w:p>
      <w:pPr>
        <w:keepNext w:val="0"/>
        <w:keepLines w:val="0"/>
        <w:pageBreakBefore w:val="0"/>
        <w:kinsoku/>
        <w:wordWrap/>
        <w:overflowPunct/>
        <w:topLinePunct w:val="0"/>
        <w:autoSpaceDE/>
        <w:autoSpaceDN/>
        <w:bidi w:val="0"/>
        <w:adjustRightInd/>
        <w:snapToGrid/>
        <w:spacing w:line="240" w:lineRule="auto"/>
        <w:textAlignment w:val="auto"/>
        <w:rPr>
          <w:rFonts w:ascii="宋体" w:hAnsi="宋体" w:cs="仿宋"/>
          <w:sz w:val="21"/>
          <w:szCs w:val="24"/>
        </w:rPr>
      </w:pPr>
      <w:r>
        <w:rPr>
          <w:rFonts w:ascii="宋体" w:hAnsi="宋体" w:cs="仿宋"/>
          <w:sz w:val="21"/>
          <w:szCs w:val="24"/>
        </w:rPr>
        <w:t>注</w:t>
      </w:r>
      <w:r>
        <w:rPr>
          <w:rFonts w:hint="eastAsia" w:ascii="宋体" w:hAnsi="宋体" w:cs="仿宋"/>
          <w:sz w:val="21"/>
          <w:szCs w:val="24"/>
        </w:rPr>
        <w:t>：1</w:t>
      </w:r>
      <w:r>
        <w:rPr>
          <w:rFonts w:ascii="宋体" w:hAnsi="宋体" w:cs="仿宋"/>
          <w:sz w:val="21"/>
          <w:szCs w:val="24"/>
        </w:rPr>
        <w:t>.以上</w:t>
      </w:r>
      <w:r>
        <w:rPr>
          <w:rFonts w:hint="eastAsia" w:ascii="宋体" w:hAnsi="宋体" w:cs="仿宋"/>
          <w:sz w:val="21"/>
          <w:szCs w:val="24"/>
          <w:lang w:val="en-US" w:eastAsia="zh-CN"/>
        </w:rPr>
        <w:t>预算费用上限</w:t>
      </w:r>
      <w:r>
        <w:rPr>
          <w:rFonts w:ascii="宋体" w:hAnsi="宋体" w:cs="仿宋"/>
          <w:sz w:val="21"/>
          <w:szCs w:val="24"/>
        </w:rPr>
        <w:t>均包含税费</w:t>
      </w:r>
      <w:r>
        <w:rPr>
          <w:rFonts w:hint="eastAsia" w:ascii="宋体" w:hAnsi="宋体" w:cs="仿宋"/>
          <w:sz w:val="21"/>
          <w:szCs w:val="24"/>
        </w:rPr>
        <w:t>、</w:t>
      </w:r>
      <w:r>
        <w:rPr>
          <w:rFonts w:ascii="宋体" w:hAnsi="宋体" w:cs="仿宋"/>
          <w:sz w:val="21"/>
          <w:szCs w:val="24"/>
        </w:rPr>
        <w:t>差旅费等</w:t>
      </w:r>
      <w:r>
        <w:rPr>
          <w:rFonts w:hint="eastAsia" w:ascii="宋体" w:hAnsi="宋体" w:cs="仿宋"/>
          <w:sz w:val="21"/>
          <w:szCs w:val="24"/>
        </w:rPr>
        <w:t>一</w:t>
      </w:r>
      <w:r>
        <w:rPr>
          <w:rFonts w:ascii="宋体" w:hAnsi="宋体" w:cs="仿宋"/>
          <w:sz w:val="21"/>
          <w:szCs w:val="24"/>
        </w:rPr>
        <w:t>切相关费用</w:t>
      </w:r>
    </w:p>
    <w:p>
      <w:pPr>
        <w:pStyle w:val="4"/>
        <w:keepNext w:val="0"/>
        <w:keepLines w:val="0"/>
        <w:pageBreakBefore w:val="0"/>
        <w:kinsoku/>
        <w:wordWrap/>
        <w:overflowPunct/>
        <w:topLinePunct w:val="0"/>
        <w:autoSpaceDE/>
        <w:autoSpaceDN/>
        <w:bidi w:val="0"/>
        <w:adjustRightInd/>
        <w:snapToGrid/>
        <w:spacing w:after="0" w:line="240" w:lineRule="auto"/>
        <w:ind w:firstLine="480"/>
        <w:textAlignment w:val="auto"/>
        <w:rPr>
          <w:rFonts w:ascii="宋体" w:hAnsi="宋体" w:cs="仿宋"/>
          <w:sz w:val="21"/>
          <w:szCs w:val="24"/>
        </w:rPr>
      </w:pPr>
      <w:r>
        <w:rPr>
          <w:rFonts w:ascii="宋体" w:hAnsi="宋体" w:cs="仿宋"/>
          <w:sz w:val="21"/>
          <w:szCs w:val="24"/>
        </w:rPr>
        <w:t>2.以上各分项报价均不得超过预算费用上限</w:t>
      </w:r>
    </w:p>
    <w:p>
      <w:pPr>
        <w:keepNext w:val="0"/>
        <w:keepLines w:val="0"/>
        <w:pageBreakBefore w:val="0"/>
        <w:widowControl w:val="0"/>
        <w:kinsoku/>
        <w:wordWrap/>
        <w:overflowPunct/>
        <w:topLinePunct w:val="0"/>
        <w:autoSpaceDE/>
        <w:autoSpaceDN/>
        <w:bidi w:val="0"/>
        <w:adjustRightInd w:val="0"/>
        <w:snapToGrid w:val="0"/>
        <w:spacing w:line="560" w:lineRule="exact"/>
        <w:ind w:firstLine="63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八、</w:t>
      </w:r>
      <w:r>
        <w:rPr>
          <w:rFonts w:hint="eastAsia" w:ascii="黑体" w:hAnsi="黑体" w:eastAsia="黑体" w:cs="黑体"/>
          <w:sz w:val="32"/>
          <w:szCs w:val="32"/>
        </w:rPr>
        <w:t>响应文件要求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1.需提供会计师事务所执业证书和具备独立的法人资格证明材料;</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2.需提供信用中国采购公告7天内的信用情况截图并提供供应商近三年没有不良行为记录(包含但不限于无违反招投标法律、行政法规的行为，未被列入失信被执行人、重大税收违法案件当事人名单等)的承诺函;</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3.提供近三年内专业</w:t>
      </w:r>
      <w:r>
        <w:rPr>
          <w:rFonts w:hint="eastAsia" w:ascii="仿宋_GB2312" w:hAnsi="仿宋_GB2312" w:eastAsia="仿宋_GB2312" w:cs="仿宋_GB2312"/>
          <w:sz w:val="32"/>
          <w:szCs w:val="32"/>
          <w:lang w:val="en-US" w:eastAsia="zh-CN"/>
        </w:rPr>
        <w:t>评价</w:t>
      </w:r>
      <w:r>
        <w:rPr>
          <w:rFonts w:hint="eastAsia" w:ascii="仿宋_GB2312" w:hAnsi="仿宋_GB2312" w:eastAsia="仿宋_GB2312" w:cs="仿宋_GB2312"/>
          <w:sz w:val="32"/>
          <w:szCs w:val="32"/>
        </w:rPr>
        <w:t>经验，并提供项目合同及关键页截图:</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4.提供拟委派项目团队名单，内容包括但不限于团队人数以及团队人员基本信息、业绩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资质文件</w:t>
      </w:r>
      <w:r>
        <w:rPr>
          <w:rFonts w:hint="eastAsia" w:ascii="仿宋_GB2312" w:hAnsi="仿宋_GB2312" w:eastAsia="仿宋_GB2312" w:cs="仿宋_GB2312"/>
          <w:sz w:val="32"/>
          <w:szCs w:val="32"/>
        </w:rPr>
        <w:t>等内容</w:t>
      </w:r>
      <w:r>
        <w:rPr>
          <w:rFonts w:hint="eastAsia" w:ascii="仿宋_GB2312" w:hAnsi="仿宋_GB2312" w:eastAsia="仿宋_GB2312" w:cs="仿宋_GB2312"/>
          <w:sz w:val="32"/>
          <w:szCs w:val="32"/>
          <w:lang w:eastAsia="zh-CN"/>
        </w:rPr>
        <w:t>，投资后评价项目须派出满足工作质量要求的现场评价人员，除项目负责人外，项目至少应派出1名主评价人、2名业务骨干，其他人员人数由各事务所根据对投资项目后评价业务的判断自行决定，实习人员不能计入人数；</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5.提供拟</w:t>
      </w:r>
      <w:r>
        <w:rPr>
          <w:rFonts w:hint="eastAsia" w:ascii="仿宋_GB2312" w:hAnsi="仿宋_GB2312" w:eastAsia="仿宋_GB2312" w:cs="仿宋_GB2312"/>
          <w:sz w:val="32"/>
          <w:szCs w:val="32"/>
          <w:lang w:val="en-US" w:eastAsia="zh-CN"/>
        </w:rPr>
        <w:t>评价</w:t>
      </w:r>
      <w:r>
        <w:rPr>
          <w:rFonts w:hint="eastAsia" w:ascii="仿宋_GB2312" w:hAnsi="仿宋_GB2312" w:eastAsia="仿宋_GB2312" w:cs="仿宋_GB2312"/>
          <w:sz w:val="32"/>
          <w:szCs w:val="32"/>
        </w:rPr>
        <w:t>项目方案，内容包括</w:t>
      </w:r>
      <w:r>
        <w:rPr>
          <w:rFonts w:hint="eastAsia" w:ascii="仿宋_GB2312" w:hAnsi="仿宋_GB2312" w:eastAsia="仿宋_GB2312" w:cs="仿宋_GB2312"/>
          <w:sz w:val="32"/>
          <w:szCs w:val="32"/>
          <w:lang w:val="en-US" w:eastAsia="zh-CN"/>
        </w:rPr>
        <w:t>评价目标</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评价范围</w:t>
      </w:r>
      <w:r>
        <w:rPr>
          <w:rFonts w:hint="eastAsia" w:ascii="仿宋_GB2312" w:hAnsi="仿宋_GB2312" w:eastAsia="仿宋_GB2312" w:cs="仿宋_GB2312"/>
          <w:sz w:val="32"/>
          <w:szCs w:val="32"/>
        </w:rPr>
        <w:t>、重难点分析等内容;</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6.提供</w:t>
      </w:r>
      <w:r>
        <w:rPr>
          <w:rFonts w:hint="eastAsia" w:ascii="仿宋_GB2312" w:hAnsi="仿宋_GB2312" w:eastAsia="仿宋_GB2312" w:cs="仿宋_GB2312"/>
          <w:sz w:val="32"/>
          <w:szCs w:val="32"/>
          <w:lang w:val="en-US" w:eastAsia="zh-CN"/>
        </w:rPr>
        <w:t>完整准确的</w:t>
      </w:r>
      <w:r>
        <w:rPr>
          <w:rFonts w:hint="eastAsia" w:ascii="仿宋_GB2312" w:hAnsi="仿宋_GB2312" w:eastAsia="仿宋_GB2312" w:cs="仿宋_GB2312"/>
          <w:sz w:val="32"/>
          <w:szCs w:val="32"/>
        </w:rPr>
        <w:t>供应商基本情况表</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7.响应材料一式2份，所有材料需加盖公章(未加盖公章材料视为无效材料);</w:t>
      </w:r>
    </w:p>
    <w:p>
      <w:pPr>
        <w:pStyle w:val="17"/>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textAlignment w:val="auto"/>
        <w:rPr>
          <w:rFonts w:ascii="Times New Roman" w:hAnsi="Times New Roman" w:eastAsia="黑体" w:cs="Arial"/>
          <w:color w:val="333333"/>
          <w:kern w:val="0"/>
          <w:sz w:val="32"/>
          <w:szCs w:val="32"/>
        </w:rPr>
      </w:pPr>
      <w:r>
        <w:rPr>
          <w:rFonts w:hint="eastAsia" w:ascii="Times New Roman" w:hAnsi="Times New Roman" w:eastAsia="黑体" w:cs="Arial"/>
          <w:color w:val="333333"/>
          <w:kern w:val="0"/>
          <w:sz w:val="32"/>
          <w:szCs w:val="32"/>
          <w:lang w:val="en-US" w:eastAsia="zh-CN"/>
        </w:rPr>
        <w:t>九、</w:t>
      </w:r>
      <w:r>
        <w:rPr>
          <w:rFonts w:hint="eastAsia" w:ascii="Times New Roman" w:hAnsi="Times New Roman" w:eastAsia="黑体" w:cs="Arial"/>
          <w:color w:val="333333"/>
          <w:kern w:val="0"/>
          <w:sz w:val="32"/>
          <w:szCs w:val="32"/>
        </w:rPr>
        <w:t>文件响应时间、地点</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时间：</w:t>
      </w:r>
      <w:r>
        <w:rPr>
          <w:rFonts w:hint="eastAsia" w:ascii="仿宋_GB2312" w:hAnsi="仿宋_GB2312" w:eastAsia="仿宋_GB2312" w:cs="仿宋_GB2312"/>
          <w:kern w:val="2"/>
          <w:sz w:val="32"/>
          <w:szCs w:val="32"/>
          <w:lang w:val="en-US" w:eastAsia="zh-CN" w:bidi="ar-SA"/>
        </w:rPr>
        <w:t>截止时间以采购公告</w:t>
      </w:r>
      <w:r>
        <w:rPr>
          <w:rFonts w:hint="eastAsia" w:ascii="仿宋_GB2312" w:hAnsi="仿宋_GB2312" w:eastAsia="仿宋_GB2312" w:cs="仿宋_GB2312"/>
          <w:sz w:val="32"/>
          <w:szCs w:val="32"/>
          <w:lang w:val="en-US" w:eastAsia="zh-CN"/>
        </w:rPr>
        <w:t>为准；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地点：深圳市福田区深南大道时代科技大厦东座13F。</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3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请</w:t>
      </w:r>
      <w:r>
        <w:rPr>
          <w:rFonts w:hint="eastAsia" w:ascii="仿宋_GB2312" w:hAnsi="仿宋_GB2312" w:eastAsia="仿宋_GB2312" w:cs="仿宋_GB2312"/>
          <w:sz w:val="32"/>
          <w:szCs w:val="32"/>
          <w:lang w:val="en-US" w:eastAsia="zh-CN"/>
        </w:rPr>
        <w:t>报价单位</w:t>
      </w:r>
      <w:r>
        <w:rPr>
          <w:rFonts w:hint="eastAsia" w:ascii="仿宋_GB2312" w:hAnsi="仿宋_GB2312" w:eastAsia="仿宋_GB2312" w:cs="仿宋_GB2312"/>
          <w:sz w:val="32"/>
          <w:szCs w:val="32"/>
        </w:rPr>
        <w:t>于</w:t>
      </w:r>
      <w:r>
        <w:rPr>
          <w:rFonts w:hint="eastAsia" w:ascii="仿宋_GB2312" w:hAnsi="仿宋_GB2312" w:eastAsia="仿宋_GB2312" w:cs="仿宋_GB2312"/>
          <w:sz w:val="32"/>
          <w:szCs w:val="32"/>
          <w:lang w:val="en-US" w:eastAsia="zh-CN"/>
        </w:rPr>
        <w:t>规定时间内</w:t>
      </w:r>
      <w:r>
        <w:rPr>
          <w:rFonts w:hint="eastAsia" w:ascii="仿宋_GB2312" w:hAnsi="仿宋_GB2312" w:eastAsia="仿宋_GB2312" w:cs="仿宋_GB2312"/>
          <w:sz w:val="32"/>
          <w:szCs w:val="32"/>
        </w:rPr>
        <w:t>将报价函（包括</w:t>
      </w:r>
      <w:r>
        <w:rPr>
          <w:rFonts w:hint="eastAsia" w:ascii="仿宋_GB2312" w:hAnsi="仿宋_GB2312" w:eastAsia="仿宋_GB2312" w:cs="仿宋_GB2312"/>
          <w:sz w:val="32"/>
          <w:szCs w:val="32"/>
          <w:lang w:val="en-US" w:eastAsia="zh-CN"/>
        </w:rPr>
        <w:t>投资后评价</w:t>
      </w:r>
      <w:r>
        <w:rPr>
          <w:rFonts w:hint="eastAsia" w:ascii="仿宋_GB2312" w:hAnsi="仿宋_GB2312" w:eastAsia="仿宋_GB2312" w:cs="仿宋_GB2312"/>
          <w:sz w:val="32"/>
          <w:szCs w:val="32"/>
        </w:rPr>
        <w:t>工作方案、人员安排、满足</w:t>
      </w:r>
      <w:r>
        <w:rPr>
          <w:rFonts w:hint="eastAsia" w:ascii="仿宋_GB2312" w:hAnsi="仿宋_GB2312" w:eastAsia="仿宋_GB2312" w:cs="仿宋_GB2312"/>
          <w:sz w:val="32"/>
          <w:szCs w:val="32"/>
          <w:lang w:val="en-US" w:eastAsia="zh-CN"/>
        </w:rPr>
        <w:t>上述</w:t>
      </w:r>
      <w:r>
        <w:rPr>
          <w:rFonts w:hint="eastAsia" w:ascii="仿宋_GB2312" w:hAnsi="仿宋_GB2312" w:eastAsia="仿宋_GB2312" w:cs="仿宋_GB2312"/>
          <w:sz w:val="32"/>
          <w:szCs w:val="32"/>
        </w:rPr>
        <w:t>所需的证明材料等）加盖公章提交至深农集团。如出现特殊原因（如个别公司股权转让、改制等事项），或因事务所原因（如重大处罚、资质取消等事项）无法开展</w:t>
      </w:r>
      <w:r>
        <w:rPr>
          <w:rFonts w:hint="eastAsia" w:ascii="仿宋_GB2312" w:hAnsi="仿宋_GB2312" w:eastAsia="仿宋_GB2312" w:cs="仿宋_GB2312"/>
          <w:sz w:val="32"/>
          <w:szCs w:val="32"/>
          <w:lang w:val="en-US" w:eastAsia="zh-CN"/>
        </w:rPr>
        <w:t>投资后评价</w:t>
      </w:r>
      <w:r>
        <w:rPr>
          <w:rFonts w:hint="eastAsia" w:ascii="仿宋_GB2312" w:hAnsi="仿宋_GB2312" w:eastAsia="仿宋_GB2312" w:cs="仿宋_GB2312"/>
          <w:sz w:val="32"/>
          <w:szCs w:val="32"/>
        </w:rPr>
        <w:t>项目的，深农集团有权单方面撤销委托、解除合同。</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val="en-US" w:eastAsia="zh-CN"/>
        </w:rPr>
        <w:t>陈先生</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lang w:val="en-US" w:eastAsia="zh-CN"/>
        </w:rPr>
        <w:t>13426120605</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  位：深圳市农产品集团股份有限公司</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  址：深圳市福田区深南大道7028号时代科技大厦13层</w:t>
      </w:r>
    </w:p>
    <w:p>
      <w:pPr>
        <w:pStyle w:val="2"/>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spacing w:line="540" w:lineRule="exact"/>
        <w:ind w:firstLine="640" w:firstLineChars="200"/>
        <w:textAlignment w:val="auto"/>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sz w:val="32"/>
          <w:szCs w:val="32"/>
          <w:lang w:val="en-US" w:eastAsia="zh-CN"/>
        </w:rPr>
        <w:t>附件：</w:t>
      </w:r>
      <w:r>
        <w:rPr>
          <w:rFonts w:hint="eastAsia" w:ascii="仿宋_GB2312" w:hAnsi="仿宋_GB2312" w:eastAsia="仿宋_GB2312" w:cs="仿宋_GB2312"/>
          <w:sz w:val="32"/>
          <w:szCs w:val="32"/>
        </w:rPr>
        <w:t>供应商基本情况表</w:t>
      </w:r>
    </w:p>
    <w:p>
      <w:pPr>
        <w:keepNext w:val="0"/>
        <w:keepLines w:val="0"/>
        <w:pageBreakBefore w:val="0"/>
        <w:kinsoku/>
        <w:wordWrap/>
        <w:overflowPunct/>
        <w:topLinePunct w:val="0"/>
        <w:autoSpaceDE/>
        <w:autoSpaceDN/>
        <w:bidi w:val="0"/>
        <w:spacing w:line="540" w:lineRule="exact"/>
        <w:ind w:right="980"/>
        <w:jc w:val="right"/>
        <w:textAlignment w:val="auto"/>
        <w:rPr>
          <w:rFonts w:hint="eastAsia" w:ascii="仿宋_GB2312" w:hAnsi="仿宋_GB2312" w:eastAsia="仿宋_GB2312" w:cs="仿宋_GB2312"/>
          <w:color w:val="333333"/>
          <w:kern w:val="0"/>
          <w:sz w:val="32"/>
          <w:szCs w:val="32"/>
        </w:rPr>
      </w:pPr>
    </w:p>
    <w:p>
      <w:pPr>
        <w:keepNext w:val="0"/>
        <w:keepLines w:val="0"/>
        <w:pageBreakBefore w:val="0"/>
        <w:kinsoku/>
        <w:wordWrap/>
        <w:overflowPunct/>
        <w:topLinePunct w:val="0"/>
        <w:autoSpaceDE/>
        <w:autoSpaceDN/>
        <w:bidi w:val="0"/>
        <w:spacing w:line="540" w:lineRule="exact"/>
        <w:ind w:right="980"/>
        <w:jc w:val="right"/>
        <w:textAlignment w:val="auto"/>
        <w:rPr>
          <w:rFonts w:hint="eastAsia" w:ascii="仿宋_GB2312" w:hAnsi="仿宋_GB2312" w:eastAsia="仿宋_GB2312" w:cs="仿宋_GB2312"/>
          <w:color w:val="333333"/>
          <w:kern w:val="0"/>
          <w:sz w:val="32"/>
          <w:szCs w:val="32"/>
        </w:rPr>
      </w:pPr>
    </w:p>
    <w:p>
      <w:pPr>
        <w:keepNext w:val="0"/>
        <w:keepLines w:val="0"/>
        <w:pageBreakBefore w:val="0"/>
        <w:kinsoku/>
        <w:wordWrap/>
        <w:overflowPunct/>
        <w:topLinePunct w:val="0"/>
        <w:autoSpaceDE/>
        <w:autoSpaceDN/>
        <w:bidi w:val="0"/>
        <w:spacing w:line="540" w:lineRule="exact"/>
        <w:ind w:right="980"/>
        <w:jc w:val="right"/>
        <w:textAlignment w:val="auto"/>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深圳市农产品集团股份有限公司</w:t>
      </w:r>
    </w:p>
    <w:p>
      <w:pPr>
        <w:keepNext w:val="0"/>
        <w:keepLines w:val="0"/>
        <w:pageBreakBefore w:val="0"/>
        <w:kinsoku/>
        <w:wordWrap/>
        <w:overflowPunct/>
        <w:topLinePunct w:val="0"/>
        <w:autoSpaceDE/>
        <w:autoSpaceDN/>
        <w:bidi w:val="0"/>
        <w:spacing w:line="540" w:lineRule="exact"/>
        <w:ind w:right="1940"/>
        <w:jc w:val="right"/>
        <w:textAlignment w:val="auto"/>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202</w:t>
      </w:r>
      <w:r>
        <w:rPr>
          <w:rFonts w:hint="eastAsia" w:ascii="仿宋_GB2312" w:hAnsi="仿宋_GB2312" w:eastAsia="仿宋_GB2312" w:cs="仿宋_GB2312"/>
          <w:color w:val="333333"/>
          <w:kern w:val="0"/>
          <w:sz w:val="32"/>
          <w:szCs w:val="32"/>
          <w:lang w:val="en-US" w:eastAsia="zh-CN"/>
        </w:rPr>
        <w:t>5</w:t>
      </w:r>
      <w:r>
        <w:rPr>
          <w:rFonts w:hint="eastAsia" w:ascii="仿宋_GB2312" w:hAnsi="仿宋_GB2312" w:eastAsia="仿宋_GB2312" w:cs="仿宋_GB2312"/>
          <w:color w:val="333333"/>
          <w:kern w:val="0"/>
          <w:sz w:val="32"/>
          <w:szCs w:val="32"/>
        </w:rPr>
        <w:t>年</w:t>
      </w:r>
      <w:r>
        <w:rPr>
          <w:rFonts w:hint="eastAsia" w:ascii="仿宋_GB2312" w:hAnsi="仿宋_GB2312" w:eastAsia="仿宋_GB2312" w:cs="仿宋_GB2312"/>
          <w:color w:val="333333"/>
          <w:kern w:val="0"/>
          <w:sz w:val="32"/>
          <w:szCs w:val="32"/>
          <w:lang w:val="en-US" w:eastAsia="zh-CN"/>
        </w:rPr>
        <w:t>10</w:t>
      </w:r>
      <w:r>
        <w:rPr>
          <w:rFonts w:hint="eastAsia" w:ascii="仿宋_GB2312" w:hAnsi="仿宋_GB2312" w:eastAsia="仿宋_GB2312" w:cs="仿宋_GB2312"/>
          <w:color w:val="333333"/>
          <w:kern w:val="0"/>
          <w:sz w:val="32"/>
          <w:szCs w:val="32"/>
        </w:rPr>
        <w:t>月</w:t>
      </w:r>
      <w:r>
        <w:rPr>
          <w:rFonts w:hint="eastAsia" w:ascii="仿宋_GB2312" w:hAnsi="仿宋_GB2312" w:eastAsia="仿宋_GB2312" w:cs="仿宋_GB2312"/>
          <w:color w:val="333333"/>
          <w:kern w:val="0"/>
          <w:sz w:val="32"/>
          <w:szCs w:val="32"/>
          <w:lang w:val="en-US" w:eastAsia="zh-CN"/>
        </w:rPr>
        <w:t>27</w:t>
      </w:r>
      <w:r>
        <w:rPr>
          <w:rFonts w:hint="eastAsia" w:ascii="仿宋_GB2312" w:hAnsi="仿宋_GB2312" w:eastAsia="仿宋_GB2312" w:cs="仿宋_GB2312"/>
          <w:color w:val="333333"/>
          <w:kern w:val="0"/>
          <w:sz w:val="32"/>
          <w:szCs w:val="32"/>
        </w:rPr>
        <w:t>日</w:t>
      </w:r>
    </w:p>
    <w:p>
      <w:pPr>
        <w:keepNext w:val="0"/>
        <w:keepLines w:val="0"/>
        <w:pageBreakBefore w:val="0"/>
        <w:kinsoku/>
        <w:wordWrap/>
        <w:overflowPunct/>
        <w:topLinePunct w:val="0"/>
        <w:autoSpaceDE/>
        <w:autoSpaceDN/>
        <w:bidi w:val="0"/>
        <w:spacing w:line="240" w:lineRule="auto"/>
        <w:ind w:right="0"/>
        <w:jc w:val="left"/>
        <w:textAlignment w:val="auto"/>
        <w:rPr>
          <w:rFonts w:hint="eastAsia" w:ascii="Times New Roman" w:hAnsi="Times New Roman" w:eastAsia="仿宋_GB2312" w:cs="Arial"/>
          <w:color w:val="333333"/>
          <w:kern w:val="0"/>
          <w:sz w:val="32"/>
          <w:szCs w:val="32"/>
        </w:rPr>
      </w:pPr>
    </w:p>
    <w:p>
      <w:pPr>
        <w:keepNext w:val="0"/>
        <w:keepLines w:val="0"/>
        <w:pageBreakBefore w:val="0"/>
        <w:kinsoku/>
        <w:wordWrap/>
        <w:overflowPunct/>
        <w:topLinePunct w:val="0"/>
        <w:autoSpaceDE/>
        <w:autoSpaceDN/>
        <w:bidi w:val="0"/>
        <w:spacing w:line="240" w:lineRule="auto"/>
        <w:ind w:right="0"/>
        <w:jc w:val="left"/>
        <w:textAlignment w:val="auto"/>
        <w:rPr>
          <w:rFonts w:hint="eastAsia" w:ascii="Times New Roman" w:hAnsi="Times New Roman" w:eastAsia="仿宋_GB2312" w:cs="Arial"/>
          <w:color w:val="333333"/>
          <w:kern w:val="0"/>
          <w:sz w:val="32"/>
          <w:szCs w:val="32"/>
        </w:rPr>
      </w:pPr>
    </w:p>
    <w:p>
      <w:pPr>
        <w:keepNext w:val="0"/>
        <w:keepLines w:val="0"/>
        <w:pageBreakBefore w:val="0"/>
        <w:kinsoku/>
        <w:wordWrap/>
        <w:overflowPunct/>
        <w:topLinePunct w:val="0"/>
        <w:autoSpaceDE/>
        <w:autoSpaceDN/>
        <w:bidi w:val="0"/>
        <w:spacing w:line="240" w:lineRule="auto"/>
        <w:ind w:right="0"/>
        <w:jc w:val="left"/>
        <w:textAlignment w:val="auto"/>
        <w:rPr>
          <w:rFonts w:hint="eastAsia" w:ascii="Times New Roman" w:hAnsi="Times New Roman" w:eastAsia="仿宋_GB2312" w:cs="Arial"/>
          <w:color w:val="333333"/>
          <w:kern w:val="0"/>
          <w:sz w:val="32"/>
          <w:szCs w:val="32"/>
        </w:rPr>
      </w:pPr>
    </w:p>
    <w:p>
      <w:pPr>
        <w:keepNext w:val="0"/>
        <w:keepLines w:val="0"/>
        <w:pageBreakBefore w:val="0"/>
        <w:kinsoku/>
        <w:wordWrap/>
        <w:overflowPunct/>
        <w:topLinePunct w:val="0"/>
        <w:autoSpaceDE/>
        <w:autoSpaceDN/>
        <w:bidi w:val="0"/>
        <w:spacing w:line="240" w:lineRule="auto"/>
        <w:ind w:right="0"/>
        <w:jc w:val="left"/>
        <w:textAlignment w:val="auto"/>
        <w:rPr>
          <w:rFonts w:hint="eastAsia" w:ascii="Times New Roman" w:hAnsi="Times New Roman" w:eastAsia="仿宋_GB2312" w:cs="Arial"/>
          <w:color w:val="333333"/>
          <w:kern w:val="0"/>
          <w:sz w:val="32"/>
          <w:szCs w:val="32"/>
        </w:rPr>
      </w:pPr>
    </w:p>
    <w:p>
      <w:pPr>
        <w:keepNext w:val="0"/>
        <w:keepLines w:val="0"/>
        <w:pageBreakBefore w:val="0"/>
        <w:kinsoku/>
        <w:wordWrap/>
        <w:overflowPunct/>
        <w:topLinePunct w:val="0"/>
        <w:autoSpaceDE/>
        <w:autoSpaceDN/>
        <w:bidi w:val="0"/>
        <w:spacing w:line="240" w:lineRule="auto"/>
        <w:ind w:right="0"/>
        <w:jc w:val="left"/>
        <w:textAlignment w:val="auto"/>
        <w:rPr>
          <w:rFonts w:hint="eastAsia" w:ascii="Times New Roman" w:hAnsi="Times New Roman" w:eastAsia="仿宋_GB2312" w:cs="Arial"/>
          <w:color w:val="333333"/>
          <w:kern w:val="0"/>
          <w:sz w:val="32"/>
          <w:szCs w:val="32"/>
        </w:rPr>
      </w:pPr>
    </w:p>
    <w:p>
      <w:pPr>
        <w:keepNext w:val="0"/>
        <w:keepLines w:val="0"/>
        <w:pageBreakBefore w:val="0"/>
        <w:kinsoku/>
        <w:wordWrap/>
        <w:overflowPunct/>
        <w:topLinePunct w:val="0"/>
        <w:autoSpaceDE/>
        <w:autoSpaceDN/>
        <w:bidi w:val="0"/>
        <w:spacing w:line="240" w:lineRule="auto"/>
        <w:ind w:right="0"/>
        <w:jc w:val="left"/>
        <w:textAlignment w:val="auto"/>
        <w:rPr>
          <w:rFonts w:hint="eastAsia" w:ascii="Times New Roman" w:hAnsi="Times New Roman" w:eastAsia="仿宋_GB2312" w:cs="Arial"/>
          <w:color w:val="333333"/>
          <w:kern w:val="0"/>
          <w:sz w:val="32"/>
          <w:szCs w:val="32"/>
        </w:rPr>
      </w:pPr>
    </w:p>
    <w:p>
      <w:pPr>
        <w:keepNext w:val="0"/>
        <w:keepLines w:val="0"/>
        <w:pageBreakBefore w:val="0"/>
        <w:kinsoku/>
        <w:wordWrap/>
        <w:overflowPunct/>
        <w:topLinePunct w:val="0"/>
        <w:autoSpaceDE/>
        <w:autoSpaceDN/>
        <w:bidi w:val="0"/>
        <w:spacing w:line="240" w:lineRule="auto"/>
        <w:ind w:right="0"/>
        <w:jc w:val="left"/>
        <w:textAlignment w:val="auto"/>
        <w:rPr>
          <w:rFonts w:hint="eastAsia" w:ascii="Times New Roman" w:hAnsi="Times New Roman" w:eastAsia="仿宋_GB2312" w:cs="Arial"/>
          <w:color w:val="333333"/>
          <w:kern w:val="0"/>
          <w:sz w:val="32"/>
          <w:szCs w:val="32"/>
        </w:rPr>
      </w:pPr>
      <w:r>
        <w:rPr>
          <w:rFonts w:hint="eastAsia" w:ascii="Times New Roman" w:hAnsi="Times New Roman" w:eastAsia="仿宋_GB2312" w:cs="Arial"/>
          <w:color w:val="333333"/>
          <w:kern w:val="0"/>
          <w:sz w:val="32"/>
          <w:szCs w:val="32"/>
        </w:rPr>
        <w:br w:type="page"/>
      </w:r>
    </w:p>
    <w:p>
      <w:pPr>
        <w:spacing w:line="560" w:lineRule="exact"/>
        <w:jc w:val="both"/>
        <w:rPr>
          <w:rFonts w:hint="eastAsia" w:ascii="仿宋_GB2312" w:hAnsi="仿宋_GB2312" w:eastAsia="仿宋_GB2312" w:cs="仿宋_GB2312"/>
          <w:color w:val="333333"/>
          <w:kern w:val="0"/>
          <w:sz w:val="32"/>
          <w:szCs w:val="32"/>
          <w:lang w:val="en-US" w:eastAsia="zh-CN"/>
        </w:rPr>
      </w:pPr>
      <w:r>
        <w:rPr>
          <w:rFonts w:hint="eastAsia" w:ascii="仿宋_GB2312" w:hAnsi="仿宋_GB2312" w:eastAsia="仿宋_GB2312" w:cs="仿宋_GB2312"/>
          <w:color w:val="333333"/>
          <w:kern w:val="0"/>
          <w:sz w:val="32"/>
          <w:szCs w:val="32"/>
          <w:lang w:val="en-US" w:eastAsia="zh-CN"/>
        </w:rPr>
        <w:t>附件</w:t>
      </w:r>
    </w:p>
    <w:p>
      <w:pPr>
        <w:pStyle w:val="2"/>
        <w:rPr>
          <w:rFonts w:hint="eastAsia"/>
          <w:lang w:val="en-US" w:eastAsia="zh-CN"/>
        </w:rPr>
      </w:pPr>
    </w:p>
    <w:p>
      <w:pPr>
        <w:spacing w:line="560" w:lineRule="exact"/>
        <w:jc w:val="center"/>
        <w:rPr>
          <w:rFonts w:hint="eastAsia" w:ascii="方正小标宋简体" w:hAnsi="方正小标宋简体" w:eastAsia="方正小标宋简体" w:cs="方正小标宋简体"/>
          <w:color w:val="333333"/>
          <w:kern w:val="0"/>
          <w:sz w:val="44"/>
          <w:szCs w:val="32"/>
        </w:rPr>
      </w:pPr>
      <w:r>
        <w:rPr>
          <w:rFonts w:hint="eastAsia" w:ascii="方正小标宋简体" w:hAnsi="方正小标宋简体" w:eastAsia="方正小标宋简体" w:cs="方正小标宋简体"/>
          <w:color w:val="333333"/>
          <w:kern w:val="0"/>
          <w:sz w:val="44"/>
          <w:szCs w:val="32"/>
        </w:rPr>
        <w:t>供应商基本情况表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144"/>
        <w:gridCol w:w="720"/>
        <w:gridCol w:w="1177"/>
        <w:gridCol w:w="227"/>
        <w:gridCol w:w="924"/>
        <w:gridCol w:w="84"/>
        <w:gridCol w:w="1116"/>
        <w:gridCol w:w="516"/>
        <w:gridCol w:w="264"/>
        <w:gridCol w:w="1200"/>
        <w:gridCol w:w="13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3" w:type="dxa"/>
            <w:gridSpan w:val="3"/>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项目名称</w:t>
            </w:r>
          </w:p>
        </w:tc>
        <w:tc>
          <w:tcPr>
            <w:tcW w:w="6859" w:type="dxa"/>
            <w:gridSpan w:val="9"/>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3" w:type="dxa"/>
            <w:gridSpan w:val="3"/>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投标（响应）供应商</w:t>
            </w:r>
          </w:p>
        </w:tc>
        <w:tc>
          <w:tcPr>
            <w:tcW w:w="2328" w:type="dxa"/>
            <w:gridSpan w:val="3"/>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980"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供应商统一社会信用代码</w:t>
            </w:r>
          </w:p>
        </w:tc>
        <w:tc>
          <w:tcPr>
            <w:tcW w:w="2551"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gridSpan w:val="1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序号</w:t>
            </w:r>
          </w:p>
        </w:tc>
        <w:tc>
          <w:tcPr>
            <w:tcW w:w="2268"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职务</w:t>
            </w:r>
          </w:p>
        </w:tc>
        <w:tc>
          <w:tcPr>
            <w:tcW w:w="1008"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姓名</w:t>
            </w:r>
          </w:p>
        </w:tc>
        <w:tc>
          <w:tcPr>
            <w:tcW w:w="1632"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身份证号码</w:t>
            </w:r>
          </w:p>
        </w:tc>
        <w:tc>
          <w:tcPr>
            <w:tcW w:w="1464"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劳动合同关系单位</w:t>
            </w:r>
          </w:p>
        </w:tc>
        <w:tc>
          <w:tcPr>
            <w:tcW w:w="1351"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缴纳社会保险单位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2268"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法定代表人/单位负责人/主要经营负责人</w:t>
            </w:r>
          </w:p>
        </w:tc>
        <w:tc>
          <w:tcPr>
            <w:tcW w:w="1008"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351"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2268"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项目投标授权代表人</w:t>
            </w:r>
          </w:p>
        </w:tc>
        <w:tc>
          <w:tcPr>
            <w:tcW w:w="1008"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351"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p>
        </w:tc>
        <w:tc>
          <w:tcPr>
            <w:tcW w:w="2268"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项目负责人</w:t>
            </w:r>
          </w:p>
        </w:tc>
        <w:tc>
          <w:tcPr>
            <w:tcW w:w="1008"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351"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w:t>
            </w:r>
          </w:p>
        </w:tc>
        <w:tc>
          <w:tcPr>
            <w:tcW w:w="2268"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主要技术人员</w:t>
            </w:r>
          </w:p>
        </w:tc>
        <w:tc>
          <w:tcPr>
            <w:tcW w:w="1008"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351"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w:t>
            </w:r>
          </w:p>
        </w:tc>
        <w:tc>
          <w:tcPr>
            <w:tcW w:w="2268"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投标文件编制人员</w:t>
            </w:r>
          </w:p>
        </w:tc>
        <w:tc>
          <w:tcPr>
            <w:tcW w:w="1008"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351"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序号</w:t>
            </w:r>
          </w:p>
        </w:tc>
        <w:tc>
          <w:tcPr>
            <w:tcW w:w="1897"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关联关系类型</w:t>
            </w:r>
          </w:p>
        </w:tc>
        <w:tc>
          <w:tcPr>
            <w:tcW w:w="2351"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关联主体名称</w:t>
            </w:r>
          </w:p>
        </w:tc>
        <w:tc>
          <w:tcPr>
            <w:tcW w:w="3331"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1897"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控股股东</w:t>
            </w:r>
          </w:p>
        </w:tc>
        <w:tc>
          <w:tcPr>
            <w:tcW w:w="2351"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3331"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1"/>
                <w:szCs w:val="21"/>
                <w:vertAlign w:val="baseline"/>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1897"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管理关系</w:t>
            </w:r>
          </w:p>
        </w:tc>
        <w:tc>
          <w:tcPr>
            <w:tcW w:w="2351"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3331" w:type="dxa"/>
            <w:gridSpan w:val="4"/>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1"/>
                <w:szCs w:val="21"/>
                <w:vertAlign w:val="baseline"/>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说明：同一关联关系类型有多个主体的，应分行填写。</w:t>
            </w:r>
          </w:p>
        </w:tc>
      </w:tr>
    </w:tbl>
    <w:p>
      <w:pPr>
        <w:keepNext w:val="0"/>
        <w:keepLines w:val="0"/>
        <w:pageBreakBefore w:val="0"/>
        <w:widowControl w:val="0"/>
        <w:kinsoku/>
        <w:wordWrap/>
        <w:overflowPunct/>
        <w:topLinePunct w:val="0"/>
        <w:autoSpaceDE/>
        <w:autoSpaceDN/>
        <w:bidi w:val="0"/>
        <w:adjustRightInd w:val="0"/>
        <w:snapToGrid w:val="0"/>
        <w:textAlignment w:val="auto"/>
        <w:rPr>
          <w:rFonts w:hint="eastAsia" w:ascii="仿宋_GB2312" w:hAnsi="仿宋_GB2312" w:eastAsia="仿宋_GB2312" w:cs="仿宋_GB2312"/>
          <w:b/>
          <w:bCs/>
          <w:sz w:val="21"/>
          <w:szCs w:val="21"/>
          <w:vertAlign w:val="baseline"/>
        </w:rPr>
      </w:pPr>
      <w:r>
        <w:rPr>
          <w:rFonts w:hint="eastAsia" w:ascii="仿宋_GB2312" w:hAnsi="仿宋_GB2312" w:eastAsia="仿宋_GB2312" w:cs="仿宋_GB2312"/>
          <w:b/>
          <w:bCs/>
          <w:sz w:val="21"/>
          <w:szCs w:val="21"/>
          <w:vertAlign w:val="baseline"/>
          <w:lang w:val="en-US" w:eastAsia="zh-CN"/>
        </w:rPr>
        <w:t>注：</w:t>
      </w:r>
      <w:r>
        <w:rPr>
          <w:rFonts w:hint="eastAsia" w:ascii="仿宋_GB2312" w:hAnsi="仿宋_GB2312" w:eastAsia="仿宋_GB2312" w:cs="仿宋_GB2312"/>
          <w:sz w:val="21"/>
          <w:szCs w:val="21"/>
          <w:vertAlign w:val="baseline"/>
        </w:rPr>
        <w:t>项目投标授权代表人</w:t>
      </w:r>
      <w:r>
        <w:rPr>
          <w:rFonts w:hint="eastAsia" w:ascii="仿宋_GB2312" w:hAnsi="仿宋_GB2312" w:eastAsia="仿宋_GB2312" w:cs="仿宋_GB2312"/>
          <w:sz w:val="21"/>
          <w:szCs w:val="21"/>
          <w:vertAlign w:val="baseline"/>
          <w:lang w:eastAsia="zh-CN"/>
        </w:rPr>
        <w:t>、</w:t>
      </w:r>
      <w:r>
        <w:rPr>
          <w:rFonts w:hint="eastAsia" w:ascii="仿宋_GB2312" w:hAnsi="仿宋_GB2312" w:eastAsia="仿宋_GB2312" w:cs="仿宋_GB2312"/>
          <w:sz w:val="21"/>
          <w:szCs w:val="21"/>
          <w:vertAlign w:val="baseline"/>
        </w:rPr>
        <w:t>项目负责人</w:t>
      </w:r>
      <w:r>
        <w:rPr>
          <w:rFonts w:hint="eastAsia" w:ascii="仿宋_GB2312" w:hAnsi="仿宋_GB2312" w:eastAsia="仿宋_GB2312" w:cs="仿宋_GB2312"/>
          <w:sz w:val="21"/>
          <w:szCs w:val="21"/>
          <w:vertAlign w:val="baseline"/>
          <w:lang w:eastAsia="zh-CN"/>
        </w:rPr>
        <w:t>、</w:t>
      </w:r>
      <w:r>
        <w:rPr>
          <w:rFonts w:hint="eastAsia" w:ascii="仿宋_GB2312" w:hAnsi="仿宋_GB2312" w:eastAsia="仿宋_GB2312" w:cs="仿宋_GB2312"/>
          <w:sz w:val="21"/>
          <w:szCs w:val="21"/>
          <w:vertAlign w:val="baseline"/>
        </w:rPr>
        <w:t>主要技术人员</w:t>
      </w:r>
      <w:r>
        <w:rPr>
          <w:rFonts w:hint="eastAsia" w:ascii="仿宋_GB2312" w:hAnsi="仿宋_GB2312" w:eastAsia="仿宋_GB2312" w:cs="仿宋_GB2312"/>
          <w:b w:val="0"/>
          <w:bCs w:val="0"/>
          <w:sz w:val="21"/>
          <w:szCs w:val="21"/>
          <w:vertAlign w:val="baseline"/>
          <w:lang w:val="en-US" w:eastAsia="zh-CN"/>
        </w:rPr>
        <w:t>需另附近3个月（连续且自投标截止之日倒推3个月）的社保缴纳记录证明。社保缴纳单位应为投标人单位，特殊情况（如退休返聘、外籍员工等）需提供相关证明材料。社保缴纳记录应为投标人注册所在地社会保障部门出具的社保缴纳记录证明文件，并包含养老保险和医疗保险等主要险种。</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bCs/>
          <w:sz w:val="32"/>
          <w:szCs w:val="32"/>
          <w:vertAlign w:val="baseline"/>
          <w:lang w:val="en-US" w:eastAsia="zh-CN"/>
        </w:rPr>
      </w:pPr>
      <w:r>
        <w:rPr>
          <w:rFonts w:hint="eastAsia" w:ascii="仿宋_GB2312" w:hAnsi="仿宋_GB2312" w:eastAsia="仿宋_GB2312" w:cs="仿宋_GB2312"/>
          <w:b/>
          <w:bCs/>
          <w:sz w:val="32"/>
          <w:szCs w:val="32"/>
          <w:vertAlign w:val="baseline"/>
        </w:rPr>
        <w:t>投标（响应）供应商</w:t>
      </w:r>
      <w:r>
        <w:rPr>
          <w:rFonts w:hint="eastAsia" w:ascii="仿宋_GB2312" w:hAnsi="仿宋_GB2312" w:eastAsia="仿宋_GB2312" w:cs="仿宋_GB2312"/>
          <w:b/>
          <w:bCs/>
          <w:sz w:val="32"/>
          <w:szCs w:val="32"/>
          <w:vertAlign w:val="baseline"/>
          <w:lang w:val="en-US" w:eastAsia="zh-CN"/>
        </w:rPr>
        <w:t>声明：</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fill="auto"/>
          <w:lang w:val="en-US" w:eastAsia="zh-CN"/>
        </w:rPr>
      </w:pPr>
      <w:r>
        <w:rPr>
          <w:rFonts w:hint="eastAsia" w:ascii="仿宋_GB2312" w:hAnsi="仿宋_GB2312" w:eastAsia="仿宋_GB2312" w:cs="仿宋_GB2312"/>
          <w:i w:val="0"/>
          <w:iCs w:val="0"/>
          <w:caps w:val="0"/>
          <w:color w:val="auto"/>
          <w:spacing w:val="0"/>
          <w:sz w:val="32"/>
          <w:szCs w:val="32"/>
          <w:shd w:val="clear" w:fill="auto"/>
          <w:lang w:val="en-US" w:eastAsia="zh-CN"/>
        </w:rPr>
        <w:t>1.投标（响应）供应商填写内容与事实不符的，招标人有权取消其投标资格、否决投标或解除合同，并依法追究其法律责任。</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fill="auto"/>
          <w:lang w:eastAsia="zh-CN"/>
        </w:rPr>
      </w:pPr>
      <w:r>
        <w:rPr>
          <w:rFonts w:hint="eastAsia" w:ascii="仿宋_GB2312" w:hAnsi="仿宋_GB2312" w:eastAsia="仿宋_GB2312" w:cs="仿宋_GB2312"/>
          <w:i w:val="0"/>
          <w:iCs w:val="0"/>
          <w:caps w:val="0"/>
          <w:color w:val="auto"/>
          <w:spacing w:val="0"/>
          <w:sz w:val="32"/>
          <w:szCs w:val="32"/>
          <w:shd w:val="clear" w:fill="auto"/>
          <w:lang w:val="en-US" w:eastAsia="zh-CN"/>
        </w:rPr>
        <w:t>2.投标（响应）供应商存</w:t>
      </w:r>
      <w:r>
        <w:rPr>
          <w:rFonts w:hint="eastAsia" w:ascii="仿宋_GB2312" w:hAnsi="仿宋_GB2312" w:eastAsia="仿宋_GB2312" w:cs="仿宋_GB2312"/>
          <w:color w:val="auto"/>
          <w:sz w:val="32"/>
          <w:szCs w:val="32"/>
          <w:shd w:val="clear" w:fill="auto"/>
          <w:lang w:val="en-US" w:eastAsia="zh-CN"/>
        </w:rPr>
        <w:t>在</w:t>
      </w:r>
      <w:r>
        <w:rPr>
          <w:rFonts w:hint="eastAsia" w:ascii="仿宋_GB2312" w:hAnsi="仿宋_GB2312" w:eastAsia="仿宋_GB2312" w:cs="仿宋_GB2312"/>
          <w:i w:val="0"/>
          <w:iCs w:val="0"/>
          <w:caps w:val="0"/>
          <w:color w:val="auto"/>
          <w:spacing w:val="0"/>
          <w:sz w:val="32"/>
          <w:szCs w:val="32"/>
          <w:shd w:val="clear" w:fill="auto"/>
          <w:lang w:val="en-US" w:eastAsia="zh-CN"/>
        </w:rPr>
        <w:t>围标串标行为</w:t>
      </w:r>
      <w:r>
        <w:rPr>
          <w:rFonts w:hint="eastAsia" w:ascii="仿宋_GB2312" w:hAnsi="仿宋_GB2312" w:eastAsia="仿宋_GB2312" w:cs="仿宋_GB2312"/>
          <w:color w:val="auto"/>
          <w:sz w:val="32"/>
          <w:szCs w:val="32"/>
          <w:shd w:val="clear" w:fill="auto"/>
          <w:lang w:val="en-US" w:eastAsia="zh-CN"/>
        </w:rPr>
        <w:t>的，</w:t>
      </w:r>
      <w:r>
        <w:rPr>
          <w:rFonts w:hint="eastAsia" w:ascii="仿宋_GB2312" w:hAnsi="仿宋_GB2312" w:eastAsia="仿宋_GB2312" w:cs="仿宋_GB2312"/>
          <w:i w:val="0"/>
          <w:iCs w:val="0"/>
          <w:caps w:val="0"/>
          <w:color w:val="auto"/>
          <w:spacing w:val="0"/>
          <w:sz w:val="32"/>
          <w:szCs w:val="32"/>
          <w:shd w:val="clear" w:fill="auto"/>
        </w:rPr>
        <w:t>将</w:t>
      </w:r>
      <w:r>
        <w:rPr>
          <w:rFonts w:hint="eastAsia" w:ascii="仿宋_GB2312" w:hAnsi="仿宋_GB2312" w:eastAsia="仿宋_GB2312" w:cs="仿宋_GB2312"/>
          <w:i w:val="0"/>
          <w:iCs w:val="0"/>
          <w:caps w:val="0"/>
          <w:color w:val="auto"/>
          <w:spacing w:val="0"/>
          <w:sz w:val="32"/>
          <w:szCs w:val="32"/>
          <w:shd w:val="clear" w:fill="auto"/>
          <w:lang w:val="en-US" w:eastAsia="zh-CN"/>
        </w:rPr>
        <w:t>被</w:t>
      </w:r>
      <w:r>
        <w:rPr>
          <w:rFonts w:hint="eastAsia" w:ascii="仿宋_GB2312" w:hAnsi="仿宋_GB2312" w:eastAsia="仿宋_GB2312" w:cs="仿宋_GB2312"/>
          <w:i w:val="0"/>
          <w:iCs w:val="0"/>
          <w:caps w:val="0"/>
          <w:color w:val="auto"/>
          <w:spacing w:val="0"/>
          <w:sz w:val="32"/>
          <w:szCs w:val="32"/>
          <w:shd w:val="clear" w:fill="auto"/>
        </w:rPr>
        <w:t>列入</w:t>
      </w:r>
      <w:r>
        <w:rPr>
          <w:rFonts w:hint="eastAsia" w:ascii="仿宋_GB2312" w:hAnsi="仿宋_GB2312" w:eastAsia="仿宋_GB2312" w:cs="仿宋_GB2312"/>
          <w:i w:val="0"/>
          <w:iCs w:val="0"/>
          <w:caps w:val="0"/>
          <w:color w:val="auto"/>
          <w:spacing w:val="0"/>
          <w:sz w:val="32"/>
          <w:szCs w:val="32"/>
          <w:shd w:val="clear" w:fill="auto"/>
          <w:lang w:val="en-US" w:eastAsia="zh-CN"/>
        </w:rPr>
        <w:t>招标人</w:t>
      </w:r>
      <w:r>
        <w:rPr>
          <w:rFonts w:hint="eastAsia" w:ascii="仿宋_GB2312" w:hAnsi="仿宋_GB2312" w:eastAsia="仿宋_GB2312" w:cs="仿宋_GB2312"/>
          <w:i w:val="0"/>
          <w:iCs w:val="0"/>
          <w:caps w:val="0"/>
          <w:color w:val="auto"/>
          <w:spacing w:val="0"/>
          <w:sz w:val="32"/>
          <w:szCs w:val="32"/>
          <w:shd w:val="clear" w:fill="auto"/>
        </w:rPr>
        <w:t>采购失信名单</w:t>
      </w:r>
      <w:r>
        <w:rPr>
          <w:rFonts w:hint="eastAsia" w:ascii="仿宋_GB2312" w:hAnsi="仿宋_GB2312" w:eastAsia="仿宋_GB2312" w:cs="仿宋_GB2312"/>
          <w:i w:val="0"/>
          <w:iCs w:val="0"/>
          <w:caps w:val="0"/>
          <w:color w:val="auto"/>
          <w:spacing w:val="0"/>
          <w:sz w:val="32"/>
          <w:szCs w:val="32"/>
          <w:shd w:val="clear" w:fill="auto"/>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拟派团队近三年内在从业过程中没有重大违法违规记录，没有被行业主管部门、证券监管部门对其违规行为予以处罚记录，并在承办市属国有企业投资项目后评价工作中未出现重大质量问题；项目负责人具有CPA资格证书，无行业惩戒等不良从业记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fill="auto"/>
          <w:lang w:val="en-US" w:eastAsia="zh-CN"/>
        </w:rPr>
      </w:pPr>
      <w:r>
        <w:rPr>
          <w:rFonts w:hint="eastAsia" w:ascii="仿宋_GB2312" w:hAnsi="仿宋_GB2312" w:eastAsia="仿宋_GB2312" w:cs="仿宋_GB2312"/>
          <w:i w:val="0"/>
          <w:iCs w:val="0"/>
          <w:caps w:val="0"/>
          <w:color w:val="auto"/>
          <w:spacing w:val="0"/>
          <w:sz w:val="32"/>
          <w:szCs w:val="32"/>
          <w:shd w:val="clear" w:fill="auto"/>
          <w:lang w:val="en-US" w:eastAsia="zh-CN"/>
        </w:rPr>
        <w:t>4.本情况表自签署之日起生效，适用于本次招采活动及后续合同履行阶段。</w:t>
      </w:r>
    </w:p>
    <w:p>
      <w:pPr>
        <w:numPr>
          <w:ilvl w:val="0"/>
          <w:numId w:val="0"/>
        </w:numPr>
        <w:rPr>
          <w:rFonts w:hint="eastAsia" w:ascii="仿宋_GB2312" w:hAnsi="仿宋_GB2312" w:eastAsia="仿宋_GB2312" w:cs="仿宋_GB2312"/>
          <w:i w:val="0"/>
          <w:iCs w:val="0"/>
          <w:caps w:val="0"/>
          <w:color w:val="404040"/>
          <w:spacing w:val="0"/>
          <w:sz w:val="32"/>
          <w:szCs w:val="32"/>
          <w:shd w:val="clear" w:fill="FFFFFF"/>
          <w:lang w:val="en-US" w:eastAsia="zh-CN"/>
        </w:rPr>
      </w:pPr>
    </w:p>
    <w:p>
      <w:pPr>
        <w:numPr>
          <w:ilvl w:val="0"/>
          <w:numId w:val="0"/>
        </w:numPr>
        <w:rPr>
          <w:rFonts w:hint="eastAsia" w:ascii="仿宋_GB2312" w:hAnsi="仿宋_GB2312" w:eastAsia="仿宋_GB2312" w:cs="仿宋_GB2312"/>
          <w:i w:val="0"/>
          <w:iCs w:val="0"/>
          <w:caps w:val="0"/>
          <w:color w:val="404040"/>
          <w:spacing w:val="0"/>
          <w:sz w:val="32"/>
          <w:szCs w:val="32"/>
          <w:shd w:val="clear" w:fill="FFFFFF"/>
          <w:lang w:val="en-US" w:eastAsia="zh-CN"/>
        </w:rPr>
      </w:pPr>
    </w:p>
    <w:p>
      <w:pPr>
        <w:ind w:left="5760" w:hanging="5760" w:hangingChars="1800"/>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04040"/>
          <w:spacing w:val="0"/>
          <w:sz w:val="32"/>
          <w:szCs w:val="32"/>
          <w:shd w:val="clear" w:fill="FFFFFF"/>
          <w:lang w:val="en-US" w:eastAsia="zh-CN"/>
        </w:rPr>
        <w:t xml:space="preserve">                           </w:t>
      </w:r>
      <w:r>
        <w:rPr>
          <w:rFonts w:hint="eastAsia" w:ascii="仿宋_GB2312" w:hAnsi="仿宋_GB2312" w:eastAsia="仿宋_GB2312" w:cs="仿宋_GB2312"/>
          <w:sz w:val="32"/>
          <w:szCs w:val="32"/>
        </w:rPr>
        <w:t>填表单位：（加盖单位公章）</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仿宋_GB2312" w:hAnsi="仿宋_GB2312" w:eastAsia="仿宋_GB2312" w:cs="仿宋_GB2312"/>
          <w:sz w:val="28"/>
          <w:szCs w:val="28"/>
        </w:rPr>
      </w:pPr>
    </w:p>
    <w:p>
      <w:pPr>
        <w:spacing w:line="520" w:lineRule="exact"/>
        <w:ind w:firstLine="640" w:firstLineChars="200"/>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right="840" w:rightChars="400" w:firstLine="640" w:firstLineChars="200"/>
        <w:textAlignment w:val="auto"/>
        <w:rPr>
          <w:rFonts w:hint="eastAsia" w:ascii="仿宋_GB2312" w:hAnsi="仿宋_GB2312" w:eastAsia="仿宋_GB2312" w:cs="仿宋_GB2312"/>
          <w:sz w:val="32"/>
          <w:szCs w:val="32"/>
        </w:rPr>
      </w:pPr>
    </w:p>
    <w:sectPr>
      <w:footerReference r:id="rId3" w:type="default"/>
      <w:pgSz w:w="11906" w:h="16838"/>
      <w:pgMar w:top="12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hint="eastAsia" w:ascii="仿宋_GB2312" w:eastAsia="仿宋_GB2312"/>
        <w:caps/>
        <w:sz w:val="24"/>
        <w:szCs w:val="24"/>
      </w:rPr>
    </w:pPr>
    <w:r>
      <w:rPr>
        <w:rFonts w:hint="eastAsia" w:ascii="仿宋_GB2312" w:eastAsia="仿宋_GB2312"/>
        <w:caps/>
        <w:sz w:val="24"/>
        <w:szCs w:val="24"/>
      </w:rPr>
      <w:t>—</w:t>
    </w:r>
    <w:r>
      <w:rPr>
        <w:rFonts w:hint="eastAsia" w:ascii="仿宋_GB2312" w:eastAsia="仿宋_GB2312"/>
        <w:caps/>
        <w:sz w:val="24"/>
        <w:szCs w:val="24"/>
      </w:rPr>
      <w:fldChar w:fldCharType="begin"/>
    </w:r>
    <w:r>
      <w:rPr>
        <w:rFonts w:hint="eastAsia" w:ascii="仿宋_GB2312" w:eastAsia="仿宋_GB2312"/>
        <w:caps/>
        <w:sz w:val="24"/>
        <w:szCs w:val="24"/>
      </w:rPr>
      <w:instrText xml:space="preserve">PAGE   \* MERGEFORMAT</w:instrText>
    </w:r>
    <w:r>
      <w:rPr>
        <w:rFonts w:hint="eastAsia" w:ascii="仿宋_GB2312" w:eastAsia="仿宋_GB2312"/>
        <w:caps/>
        <w:sz w:val="24"/>
        <w:szCs w:val="24"/>
      </w:rPr>
      <w:fldChar w:fldCharType="separate"/>
    </w:r>
    <w:r>
      <w:rPr>
        <w:rFonts w:hint="eastAsia" w:ascii="仿宋_GB2312" w:eastAsia="仿宋_GB2312"/>
        <w:caps/>
        <w:sz w:val="24"/>
        <w:szCs w:val="24"/>
        <w:lang w:val="zh-CN"/>
      </w:rPr>
      <w:t>2</w:t>
    </w:r>
    <w:r>
      <w:rPr>
        <w:rFonts w:hint="eastAsia" w:ascii="仿宋_GB2312" w:eastAsia="仿宋_GB2312"/>
        <w:caps/>
        <w:sz w:val="24"/>
        <w:szCs w:val="24"/>
      </w:rPr>
      <w:fldChar w:fldCharType="end"/>
    </w:r>
    <w:r>
      <w:rPr>
        <w:rFonts w:hint="eastAsia" w:ascii="仿宋_GB2312" w:eastAsia="仿宋_GB2312"/>
        <w:caps/>
        <w:sz w:val="24"/>
        <w:szCs w:val="24"/>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5D1209"/>
    <w:rsid w:val="00011B8C"/>
    <w:rsid w:val="0001445B"/>
    <w:rsid w:val="0003650C"/>
    <w:rsid w:val="00053062"/>
    <w:rsid w:val="00056066"/>
    <w:rsid w:val="00057E59"/>
    <w:rsid w:val="00081A55"/>
    <w:rsid w:val="000D2D93"/>
    <w:rsid w:val="001044C7"/>
    <w:rsid w:val="00116C1D"/>
    <w:rsid w:val="0011713E"/>
    <w:rsid w:val="00143109"/>
    <w:rsid w:val="0018074D"/>
    <w:rsid w:val="00182147"/>
    <w:rsid w:val="002410DF"/>
    <w:rsid w:val="002766AD"/>
    <w:rsid w:val="002E3C5E"/>
    <w:rsid w:val="0033391B"/>
    <w:rsid w:val="00347179"/>
    <w:rsid w:val="00370847"/>
    <w:rsid w:val="003727D6"/>
    <w:rsid w:val="003844AE"/>
    <w:rsid w:val="00397C5F"/>
    <w:rsid w:val="003E537E"/>
    <w:rsid w:val="004275A4"/>
    <w:rsid w:val="004A1226"/>
    <w:rsid w:val="00537FED"/>
    <w:rsid w:val="00543521"/>
    <w:rsid w:val="0055760B"/>
    <w:rsid w:val="0057096C"/>
    <w:rsid w:val="00571B9A"/>
    <w:rsid w:val="00577382"/>
    <w:rsid w:val="0061414E"/>
    <w:rsid w:val="006239B8"/>
    <w:rsid w:val="0064479C"/>
    <w:rsid w:val="0066772C"/>
    <w:rsid w:val="006B4B3D"/>
    <w:rsid w:val="00846F4C"/>
    <w:rsid w:val="008F47DF"/>
    <w:rsid w:val="009252AB"/>
    <w:rsid w:val="00962427"/>
    <w:rsid w:val="00977F83"/>
    <w:rsid w:val="009A04ED"/>
    <w:rsid w:val="009D08F2"/>
    <w:rsid w:val="00A168E7"/>
    <w:rsid w:val="00A3203A"/>
    <w:rsid w:val="00A701E6"/>
    <w:rsid w:val="00AA4017"/>
    <w:rsid w:val="00AD5B18"/>
    <w:rsid w:val="00AD6433"/>
    <w:rsid w:val="00AE511E"/>
    <w:rsid w:val="00B4137E"/>
    <w:rsid w:val="00C11F6C"/>
    <w:rsid w:val="00C36B37"/>
    <w:rsid w:val="00C508C4"/>
    <w:rsid w:val="00C86877"/>
    <w:rsid w:val="00CC2183"/>
    <w:rsid w:val="00CD3524"/>
    <w:rsid w:val="00D05FE6"/>
    <w:rsid w:val="00D163F8"/>
    <w:rsid w:val="00D35F27"/>
    <w:rsid w:val="00D42DF1"/>
    <w:rsid w:val="00D555A0"/>
    <w:rsid w:val="00D61CC1"/>
    <w:rsid w:val="00DC2AD3"/>
    <w:rsid w:val="00DD371F"/>
    <w:rsid w:val="00E74201"/>
    <w:rsid w:val="00F51796"/>
    <w:rsid w:val="00FC0FE1"/>
    <w:rsid w:val="02BC6835"/>
    <w:rsid w:val="040E4EAF"/>
    <w:rsid w:val="04570663"/>
    <w:rsid w:val="05782811"/>
    <w:rsid w:val="05B95028"/>
    <w:rsid w:val="06676DE9"/>
    <w:rsid w:val="074603CD"/>
    <w:rsid w:val="07546AF4"/>
    <w:rsid w:val="08CE16F3"/>
    <w:rsid w:val="08EB1F1C"/>
    <w:rsid w:val="08F215EC"/>
    <w:rsid w:val="0A622CF6"/>
    <w:rsid w:val="0B322D7C"/>
    <w:rsid w:val="0C9A0E85"/>
    <w:rsid w:val="0CC06267"/>
    <w:rsid w:val="0D1C3A4F"/>
    <w:rsid w:val="0DE9523E"/>
    <w:rsid w:val="0FB91300"/>
    <w:rsid w:val="0FFF09D0"/>
    <w:rsid w:val="10612A49"/>
    <w:rsid w:val="106D1038"/>
    <w:rsid w:val="10E04CFE"/>
    <w:rsid w:val="112A029B"/>
    <w:rsid w:val="11F660A2"/>
    <w:rsid w:val="12197580"/>
    <w:rsid w:val="129F7467"/>
    <w:rsid w:val="12B85F9D"/>
    <w:rsid w:val="1366743B"/>
    <w:rsid w:val="13804A55"/>
    <w:rsid w:val="139549ED"/>
    <w:rsid w:val="139F6091"/>
    <w:rsid w:val="157E2E5C"/>
    <w:rsid w:val="17156B82"/>
    <w:rsid w:val="183B73B1"/>
    <w:rsid w:val="1A7D3A92"/>
    <w:rsid w:val="1A8C1090"/>
    <w:rsid w:val="1ADA48F9"/>
    <w:rsid w:val="1B13324A"/>
    <w:rsid w:val="1B3958A1"/>
    <w:rsid w:val="1E1A3EDF"/>
    <w:rsid w:val="1F10626C"/>
    <w:rsid w:val="1F1E32A3"/>
    <w:rsid w:val="215844EC"/>
    <w:rsid w:val="21F82F1B"/>
    <w:rsid w:val="22937627"/>
    <w:rsid w:val="237228C1"/>
    <w:rsid w:val="23A00B57"/>
    <w:rsid w:val="23EB1DA2"/>
    <w:rsid w:val="24357A68"/>
    <w:rsid w:val="243A4C0A"/>
    <w:rsid w:val="25210358"/>
    <w:rsid w:val="25924C2B"/>
    <w:rsid w:val="264D6429"/>
    <w:rsid w:val="26777AA0"/>
    <w:rsid w:val="27C03CAF"/>
    <w:rsid w:val="28DE511E"/>
    <w:rsid w:val="29515AAE"/>
    <w:rsid w:val="298A4972"/>
    <w:rsid w:val="29981719"/>
    <w:rsid w:val="2C3E5A42"/>
    <w:rsid w:val="2F0C7018"/>
    <w:rsid w:val="2F3000B2"/>
    <w:rsid w:val="30051BDD"/>
    <w:rsid w:val="31A00CCC"/>
    <w:rsid w:val="31F41120"/>
    <w:rsid w:val="32961FFE"/>
    <w:rsid w:val="32C94EAA"/>
    <w:rsid w:val="33212B93"/>
    <w:rsid w:val="341D6D02"/>
    <w:rsid w:val="345B113B"/>
    <w:rsid w:val="345E023C"/>
    <w:rsid w:val="34FE04C3"/>
    <w:rsid w:val="366E023B"/>
    <w:rsid w:val="36724287"/>
    <w:rsid w:val="36D61388"/>
    <w:rsid w:val="36F41FC1"/>
    <w:rsid w:val="37507426"/>
    <w:rsid w:val="392D4492"/>
    <w:rsid w:val="39D472DE"/>
    <w:rsid w:val="3A126063"/>
    <w:rsid w:val="3B5520AB"/>
    <w:rsid w:val="3BC31E8F"/>
    <w:rsid w:val="3CAF6A56"/>
    <w:rsid w:val="3DC1455E"/>
    <w:rsid w:val="3FDB2845"/>
    <w:rsid w:val="40FD4926"/>
    <w:rsid w:val="417D3696"/>
    <w:rsid w:val="420B3CF2"/>
    <w:rsid w:val="42404105"/>
    <w:rsid w:val="439719A6"/>
    <w:rsid w:val="442715F4"/>
    <w:rsid w:val="4499385D"/>
    <w:rsid w:val="46970124"/>
    <w:rsid w:val="46A63FD7"/>
    <w:rsid w:val="48BE7D86"/>
    <w:rsid w:val="49771C2B"/>
    <w:rsid w:val="49BF38FD"/>
    <w:rsid w:val="4A915055"/>
    <w:rsid w:val="4AB801C3"/>
    <w:rsid w:val="4B5D1209"/>
    <w:rsid w:val="4D253EC1"/>
    <w:rsid w:val="4E70524A"/>
    <w:rsid w:val="4E7F36D5"/>
    <w:rsid w:val="4F11637D"/>
    <w:rsid w:val="4F665C9E"/>
    <w:rsid w:val="501F14F2"/>
    <w:rsid w:val="524111AD"/>
    <w:rsid w:val="545352AC"/>
    <w:rsid w:val="54F7383B"/>
    <w:rsid w:val="571C51B9"/>
    <w:rsid w:val="57203A26"/>
    <w:rsid w:val="57972E68"/>
    <w:rsid w:val="588F0A4F"/>
    <w:rsid w:val="58A90545"/>
    <w:rsid w:val="59AA439E"/>
    <w:rsid w:val="59E1562A"/>
    <w:rsid w:val="5A2E2181"/>
    <w:rsid w:val="5A846FF6"/>
    <w:rsid w:val="5B8A05DF"/>
    <w:rsid w:val="5BB524FC"/>
    <w:rsid w:val="5BD5681D"/>
    <w:rsid w:val="5DAC73B1"/>
    <w:rsid w:val="5DE9637F"/>
    <w:rsid w:val="5E470FB7"/>
    <w:rsid w:val="5E911917"/>
    <w:rsid w:val="602A47A0"/>
    <w:rsid w:val="628C52C3"/>
    <w:rsid w:val="62E94FA1"/>
    <w:rsid w:val="6335299C"/>
    <w:rsid w:val="64405EC1"/>
    <w:rsid w:val="65D85311"/>
    <w:rsid w:val="66E45B82"/>
    <w:rsid w:val="6976201F"/>
    <w:rsid w:val="6AE202D3"/>
    <w:rsid w:val="6AE519B5"/>
    <w:rsid w:val="6C0E164A"/>
    <w:rsid w:val="6D011B12"/>
    <w:rsid w:val="6D8D1533"/>
    <w:rsid w:val="6EAA0C20"/>
    <w:rsid w:val="6F1711B1"/>
    <w:rsid w:val="6F5276E1"/>
    <w:rsid w:val="71442C94"/>
    <w:rsid w:val="717C4294"/>
    <w:rsid w:val="722031F9"/>
    <w:rsid w:val="72406CC5"/>
    <w:rsid w:val="72FF2EE6"/>
    <w:rsid w:val="73083BC5"/>
    <w:rsid w:val="748F7405"/>
    <w:rsid w:val="74F77479"/>
    <w:rsid w:val="75721EEE"/>
    <w:rsid w:val="76CE0CBC"/>
    <w:rsid w:val="76F74A34"/>
    <w:rsid w:val="78575441"/>
    <w:rsid w:val="79372A77"/>
    <w:rsid w:val="79D92BDF"/>
    <w:rsid w:val="7A1E2737"/>
    <w:rsid w:val="7A267E8A"/>
    <w:rsid w:val="7A955069"/>
    <w:rsid w:val="7A9F4B14"/>
    <w:rsid w:val="7AF2647D"/>
    <w:rsid w:val="7C862045"/>
    <w:rsid w:val="7D3802B6"/>
    <w:rsid w:val="7D3F55F1"/>
    <w:rsid w:val="7D5B1CD5"/>
    <w:rsid w:val="7DB17498"/>
    <w:rsid w:val="7E4333B4"/>
    <w:rsid w:val="7E5424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200" w:firstLineChars="200"/>
    </w:pPr>
  </w:style>
  <w:style w:type="paragraph" w:styleId="3">
    <w:name w:val="annotation text"/>
    <w:basedOn w:val="1"/>
    <w:qFormat/>
    <w:uiPriority w:val="0"/>
    <w:pPr>
      <w:jc w:val="left"/>
    </w:pPr>
  </w:style>
  <w:style w:type="paragraph" w:styleId="4">
    <w:name w:val="Body Text"/>
    <w:basedOn w:val="1"/>
    <w:next w:val="1"/>
    <w:link w:val="15"/>
    <w:qFormat/>
    <w:uiPriority w:val="99"/>
    <w:pPr>
      <w:widowControl/>
      <w:spacing w:after="120" w:line="360" w:lineRule="auto"/>
      <w:ind w:firstLine="200" w:firstLineChars="200"/>
    </w:pPr>
    <w:rPr>
      <w:rFonts w:ascii="Times New Roman" w:hAnsi="Times New Roman"/>
      <w:szCs w:val="24"/>
    </w:rPr>
  </w:style>
  <w:style w:type="paragraph" w:styleId="5">
    <w:name w:val="Balloon Text"/>
    <w:basedOn w:val="1"/>
    <w:link w:val="14"/>
    <w:qFormat/>
    <w:uiPriority w:val="0"/>
    <w:rPr>
      <w:sz w:val="18"/>
      <w:szCs w:val="18"/>
    </w:rPr>
  </w:style>
  <w:style w:type="paragraph" w:styleId="6">
    <w:name w:val="footer"/>
    <w:basedOn w:val="1"/>
    <w:link w:val="12"/>
    <w:qFormat/>
    <w:uiPriority w:val="99"/>
    <w:pPr>
      <w:tabs>
        <w:tab w:val="center" w:pos="4153"/>
        <w:tab w:val="right" w:pos="8306"/>
      </w:tabs>
      <w:snapToGrid w:val="0"/>
      <w:jc w:val="left"/>
    </w:pPr>
    <w:rPr>
      <w:sz w:val="18"/>
      <w:szCs w:val="18"/>
    </w:rPr>
  </w:style>
  <w:style w:type="paragraph" w:styleId="7">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字符"/>
    <w:basedOn w:val="10"/>
    <w:link w:val="7"/>
    <w:qFormat/>
    <w:uiPriority w:val="0"/>
    <w:rPr>
      <w:rFonts w:ascii="Calibri" w:hAnsi="Calibri" w:eastAsia="宋体" w:cs="Times New Roman"/>
      <w:kern w:val="2"/>
      <w:sz w:val="18"/>
      <w:szCs w:val="18"/>
    </w:rPr>
  </w:style>
  <w:style w:type="character" w:customStyle="1" w:styleId="12">
    <w:name w:val="页脚 字符"/>
    <w:basedOn w:val="10"/>
    <w:link w:val="6"/>
    <w:qFormat/>
    <w:uiPriority w:val="99"/>
    <w:rPr>
      <w:rFonts w:ascii="Calibri" w:hAnsi="Calibri" w:eastAsia="宋体" w:cs="Times New Roman"/>
      <w:kern w:val="2"/>
      <w:sz w:val="18"/>
      <w:szCs w:val="18"/>
    </w:rPr>
  </w:style>
  <w:style w:type="paragraph" w:styleId="13">
    <w:name w:val="List Paragraph"/>
    <w:basedOn w:val="1"/>
    <w:qFormat/>
    <w:uiPriority w:val="99"/>
    <w:pPr>
      <w:ind w:firstLine="420" w:firstLineChars="200"/>
    </w:pPr>
  </w:style>
  <w:style w:type="character" w:customStyle="1" w:styleId="14">
    <w:name w:val="批注框文本 字符"/>
    <w:basedOn w:val="10"/>
    <w:link w:val="5"/>
    <w:qFormat/>
    <w:uiPriority w:val="0"/>
    <w:rPr>
      <w:rFonts w:ascii="Calibri" w:hAnsi="Calibri" w:eastAsia="宋体" w:cs="Times New Roman"/>
      <w:kern w:val="2"/>
      <w:sz w:val="18"/>
      <w:szCs w:val="18"/>
    </w:rPr>
  </w:style>
  <w:style w:type="character" w:customStyle="1" w:styleId="15">
    <w:name w:val="正文文本 字符"/>
    <w:basedOn w:val="10"/>
    <w:link w:val="4"/>
    <w:qFormat/>
    <w:uiPriority w:val="99"/>
    <w:rPr>
      <w:rFonts w:ascii="Times New Roman" w:hAnsi="Times New Roman" w:eastAsia="宋体" w:cs="Times New Roman"/>
      <w:kern w:val="2"/>
      <w:sz w:val="21"/>
      <w:szCs w:val="24"/>
    </w:rPr>
  </w:style>
  <w:style w:type="table" w:customStyle="1" w:styleId="16">
    <w:name w:val="网格型6"/>
    <w:basedOn w:val="8"/>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BF917-DE48-4BA2-8F6E-3D7EFADB0DED}">
  <ds:schemaRefs/>
</ds:datastoreItem>
</file>

<file path=docProps/app.xml><?xml version="1.0" encoding="utf-8"?>
<Properties xmlns="http://schemas.openxmlformats.org/officeDocument/2006/extended-properties" xmlns:vt="http://schemas.openxmlformats.org/officeDocument/2006/docPropsVTypes">
  <Template>Normal.dotm</Template>
  <Pages>4</Pages>
  <Words>441</Words>
  <Characters>2517</Characters>
  <Lines>20</Lines>
  <Paragraphs>5</Paragraphs>
  <TotalTime>3</TotalTime>
  <ScaleCrop>false</ScaleCrop>
  <LinksUpToDate>false</LinksUpToDate>
  <CharactersWithSpaces>2953</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2022-07-22T07:40:00Z</dcterms:created>
  <dc:creator>游红霞</dc:creator>
  <cp:lastModifiedBy>chenw</cp:lastModifiedBy>
  <cp:lastPrinted>2022-07-26T06:37:00Z</cp:lastPrinted>
  <dcterms:modified xsi:type="dcterms:W3CDTF">2026-10-27T02:47:41Z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08B4BC40DF2E4217A746458D6269F9FF</vt:lpwstr>
  </property>
</Properties>
</file>