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napToGrid w:val="0"/>
        <w:spacing w:line="560" w:lineRule="exact"/>
        <w:ind w:firstLine="0" w:firstLineChars="0"/>
        <w:jc w:val="center"/>
        <w:rPr>
          <w:rFonts w:hint="eastAsia" w:ascii="公文小标宋简" w:hAnsi="公文小标宋简" w:eastAsia="公文小标宋简" w:cs="公文小标宋简"/>
          <w:b/>
          <w:bCs w:val="0"/>
          <w:sz w:val="44"/>
          <w:szCs w:val="44"/>
        </w:rPr>
      </w:pPr>
    </w:p>
    <w:p>
      <w:pPr>
        <w:widowControl w:val="0"/>
        <w:autoSpaceDE w:val="0"/>
        <w:autoSpaceDN w:val="0"/>
        <w:adjustRightInd w:val="0"/>
        <w:snapToGrid w:val="0"/>
        <w:spacing w:line="560" w:lineRule="exact"/>
        <w:ind w:firstLine="0" w:firstLineChars="0"/>
        <w:jc w:val="center"/>
        <w:rPr>
          <w:rFonts w:hint="eastAsia" w:ascii="公文小标宋简" w:hAnsi="公文小标宋简" w:eastAsia="公文小标宋简" w:cs="公文小标宋简"/>
          <w:b/>
          <w:bCs w:val="0"/>
          <w:sz w:val="44"/>
          <w:szCs w:val="44"/>
        </w:rPr>
      </w:pPr>
    </w:p>
    <w:p>
      <w:pPr>
        <w:bidi w:val="0"/>
        <w:rPr>
          <w:rFonts w:hint="eastAsia"/>
        </w:rPr>
      </w:pPr>
    </w:p>
    <w:p>
      <w:pPr>
        <w:widowControl w:val="0"/>
        <w:autoSpaceDE w:val="0"/>
        <w:autoSpaceDN w:val="0"/>
        <w:adjustRightInd w:val="0"/>
        <w:snapToGrid w:val="0"/>
        <w:spacing w:line="560" w:lineRule="exact"/>
        <w:ind w:firstLine="0" w:firstLineChars="0"/>
        <w:jc w:val="center"/>
        <w:rPr>
          <w:rFonts w:hint="eastAsia" w:ascii="公文小标宋简" w:hAnsi="公文小标宋简" w:eastAsia="公文小标宋简" w:cs="公文小标宋简"/>
          <w:b/>
          <w:bCs w:val="0"/>
          <w:sz w:val="44"/>
          <w:szCs w:val="44"/>
          <w:lang w:eastAsia="zh-CN"/>
        </w:rPr>
      </w:pPr>
      <w:r>
        <w:rPr>
          <w:rFonts w:hint="eastAsia" w:ascii="公文小标宋简" w:hAnsi="公文小标宋简" w:eastAsia="公文小标宋简" w:cs="公文小标宋简"/>
          <w:b/>
          <w:bCs w:val="0"/>
          <w:sz w:val="44"/>
          <w:szCs w:val="44"/>
          <w:lang w:val="en-US" w:eastAsia="zh-CN"/>
        </w:rPr>
        <w:t>深圳交易集团数据中心内存硬件采购项目意向征集及公开询价的公告</w:t>
      </w:r>
    </w:p>
    <w:p>
      <w:pPr>
        <w:pStyle w:val="5"/>
        <w:rPr>
          <w:rFonts w:hint="eastAsia" w:ascii="方正小标宋简体" w:hAnsi="宋体" w:eastAsia="方正小标宋简体"/>
          <w:b/>
          <w:sz w:val="44"/>
          <w:szCs w:val="44"/>
        </w:rPr>
      </w:pPr>
    </w:p>
    <w:p>
      <w:pPr>
        <w:pStyle w:val="5"/>
        <w:rPr>
          <w:rFonts w:hint="eastAsia" w:ascii="方正小标宋简体" w:hAnsi="宋体" w:eastAsia="方正小标宋简体"/>
          <w:b/>
          <w:sz w:val="44"/>
          <w:szCs w:val="44"/>
        </w:rPr>
      </w:pPr>
      <w:bookmarkStart w:id="4" w:name="_GoBack"/>
      <w:bookmarkEnd w:id="4"/>
    </w:p>
    <w:p>
      <w:pPr>
        <w:pStyle w:val="5"/>
        <w:rPr>
          <w:rFonts w:hint="eastAsia" w:ascii="方正小标宋简体" w:hAnsi="宋体" w:eastAsia="方正小标宋简体"/>
          <w:b/>
          <w:sz w:val="44"/>
          <w:szCs w:val="44"/>
        </w:rPr>
      </w:pPr>
    </w:p>
    <w:p>
      <w:pPr>
        <w:pStyle w:val="5"/>
        <w:rPr>
          <w:rFonts w:hint="eastAsia" w:ascii="方正小标宋简体" w:hAnsi="宋体" w:eastAsia="方正小标宋简体"/>
          <w:b/>
          <w:sz w:val="44"/>
          <w:szCs w:val="44"/>
        </w:rPr>
      </w:pPr>
    </w:p>
    <w:p>
      <w:pPr>
        <w:pStyle w:val="5"/>
        <w:rPr>
          <w:rFonts w:hint="eastAsia" w:ascii="方正小标宋简体" w:hAnsi="宋体" w:eastAsia="方正小标宋简体"/>
          <w:b/>
          <w:sz w:val="44"/>
          <w:szCs w:val="44"/>
        </w:rPr>
      </w:pPr>
    </w:p>
    <w:p>
      <w:pPr>
        <w:pStyle w:val="5"/>
        <w:rPr>
          <w:rFonts w:hint="eastAsia" w:ascii="方正小标宋简体" w:hAnsi="宋体" w:eastAsia="方正小标宋简体"/>
          <w:b/>
          <w:sz w:val="44"/>
          <w:szCs w:val="44"/>
        </w:rPr>
      </w:pPr>
    </w:p>
    <w:p>
      <w:pPr>
        <w:pStyle w:val="5"/>
        <w:ind w:left="0" w:leftChars="0" w:firstLine="0" w:firstLineChars="0"/>
        <w:rPr>
          <w:rFonts w:hint="eastAsia" w:ascii="方正小标宋简体" w:hAnsi="宋体" w:eastAsia="方正小标宋简体"/>
          <w:b/>
          <w:sz w:val="44"/>
          <w:szCs w:val="44"/>
        </w:rPr>
      </w:pPr>
    </w:p>
    <w:p>
      <w:pPr>
        <w:bidi w:val="0"/>
        <w:ind w:left="0" w:leftChars="0" w:firstLine="0" w:firstLineChars="0"/>
        <w:rPr>
          <w:rFonts w:hint="eastAsia"/>
        </w:rPr>
      </w:pPr>
    </w:p>
    <w:p>
      <w:pPr>
        <w:rPr>
          <w:rFonts w:hint="eastAsia"/>
        </w:rPr>
      </w:pPr>
    </w:p>
    <w:p>
      <w:pPr>
        <w:widowControl w:val="0"/>
        <w:autoSpaceDE w:val="0"/>
        <w:autoSpaceDN w:val="0"/>
        <w:adjustRightInd w:val="0"/>
        <w:snapToGrid w:val="0"/>
        <w:spacing w:line="560" w:lineRule="exact"/>
        <w:ind w:firstLine="0" w:firstLineChars="0"/>
        <w:jc w:val="center"/>
        <w:rPr>
          <w:rFonts w:hint="eastAsia" w:ascii="黑体" w:hAnsi="黑体" w:eastAsia="黑体" w:cs="黑体"/>
          <w:b/>
          <w:sz w:val="36"/>
          <w:szCs w:val="36"/>
        </w:rPr>
      </w:pPr>
      <w:r>
        <w:rPr>
          <w:rFonts w:hint="eastAsia" w:ascii="黑体" w:hAnsi="黑体" w:eastAsia="黑体" w:cs="黑体"/>
          <w:b/>
          <w:sz w:val="36"/>
          <w:szCs w:val="36"/>
        </w:rPr>
        <w:t>深圳智慧交易科技有限公司</w:t>
      </w:r>
    </w:p>
    <w:p>
      <w:pPr>
        <w:widowControl w:val="0"/>
        <w:autoSpaceDE w:val="0"/>
        <w:autoSpaceDN w:val="0"/>
        <w:adjustRightInd w:val="0"/>
        <w:snapToGrid w:val="0"/>
        <w:spacing w:line="560" w:lineRule="exact"/>
        <w:ind w:firstLine="0" w:firstLineChars="0"/>
        <w:jc w:val="center"/>
        <w:rPr>
          <w:rFonts w:hint="eastAsia" w:ascii="黑体" w:hAnsi="黑体" w:eastAsia="黑体" w:cs="黑体"/>
          <w:b/>
          <w:sz w:val="36"/>
          <w:szCs w:val="36"/>
          <w:lang w:val="en-US" w:eastAsia="zh-CN"/>
        </w:rPr>
      </w:pPr>
      <w:r>
        <w:rPr>
          <w:rFonts w:hint="eastAsia" w:ascii="黑体" w:hAnsi="黑体" w:eastAsia="黑体" w:cs="黑体"/>
          <w:b/>
          <w:sz w:val="36"/>
          <w:szCs w:val="36"/>
          <w:lang w:val="en-US" w:eastAsia="zh-CN"/>
        </w:rPr>
        <w:t>2026年4月</w:t>
      </w:r>
    </w:p>
    <w:p>
      <w:r>
        <w:rPr>
          <w:rFonts w:hint="eastAsia" w:ascii="方正小标宋简体" w:hAnsi="宋体" w:eastAsia="方正小标宋简体"/>
          <w:b/>
          <w:sz w:val="44"/>
          <w:szCs w:val="44"/>
          <w:lang w:val="en-US" w:eastAsia="zh-CN"/>
        </w:rPr>
        <w:br w:type="page"/>
      </w:r>
    </w:p>
    <w:p>
      <w:pPr>
        <w:pStyle w:val="3"/>
        <w:spacing w:before="0" w:after="0" w:line="560" w:lineRule="exact"/>
        <w:ind w:firstLine="640"/>
        <w:rPr>
          <w:rFonts w:hint="eastAsia" w:ascii="黑体" w:hAnsi="黑体" w:eastAsia="黑体"/>
          <w:b w:val="0"/>
          <w:bCs w:val="0"/>
          <w:sz w:val="32"/>
          <w:lang w:eastAsia="zh-CN"/>
        </w:rPr>
      </w:pPr>
      <w:bookmarkStart w:id="0" w:name="_Toc404195400"/>
      <w:bookmarkStart w:id="1" w:name="_Toc406669472"/>
      <w:r>
        <w:rPr>
          <w:rFonts w:hint="eastAsia" w:ascii="黑体" w:hAnsi="黑体" w:eastAsia="黑体"/>
          <w:b w:val="0"/>
          <w:bCs w:val="0"/>
          <w:sz w:val="32"/>
          <w:lang w:eastAsia="zh-CN"/>
        </w:rPr>
        <w:t>一</w:t>
      </w:r>
      <w:r>
        <w:rPr>
          <w:rFonts w:hint="eastAsia" w:ascii="黑体" w:hAnsi="黑体" w:eastAsia="黑体"/>
          <w:b w:val="0"/>
          <w:bCs w:val="0"/>
          <w:sz w:val="32"/>
        </w:rPr>
        <w:t>、</w:t>
      </w:r>
      <w:bookmarkEnd w:id="0"/>
      <w:bookmarkEnd w:id="1"/>
      <w:r>
        <w:rPr>
          <w:rFonts w:hint="eastAsia" w:ascii="黑体" w:hAnsi="黑体" w:eastAsia="黑体"/>
          <w:b w:val="0"/>
          <w:bCs w:val="0"/>
          <w:sz w:val="32"/>
        </w:rPr>
        <w:t>项目</w:t>
      </w:r>
      <w:r>
        <w:rPr>
          <w:rFonts w:hint="eastAsia" w:ascii="黑体" w:hAnsi="黑体" w:eastAsia="黑体"/>
          <w:b w:val="0"/>
          <w:bCs w:val="0"/>
          <w:sz w:val="32"/>
          <w:lang w:eastAsia="zh-CN"/>
        </w:rPr>
        <w:t>简介</w:t>
      </w:r>
    </w:p>
    <w:p>
      <w:pPr>
        <w:pStyle w:val="9"/>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目前交易集团大楼数据中心服务器内存资源已接近饱和，部分业务系统面临性能瓶颈。为确保交易集团业务系统稳定、高效运行，现计划对交易集团大楼数据中心服务器进行内存扩容/升级采购。本项目拟采购一批高性能服务器内存条，要求供应商提供符合技术规格的正品硬件</w:t>
      </w:r>
      <w:r>
        <w:rPr>
          <w:rFonts w:hint="eastAsia" w:ascii="仿宋_GB2312" w:hAnsi="宋体" w:eastAsia="仿宋_GB2312"/>
          <w:sz w:val="32"/>
          <w:szCs w:val="32"/>
          <w:lang w:eastAsia="zh-CN"/>
        </w:rPr>
        <w:t>、</w:t>
      </w:r>
      <w:r>
        <w:rPr>
          <w:rFonts w:hint="eastAsia" w:ascii="仿宋_GB2312" w:hAnsi="宋体" w:eastAsia="仿宋_GB2312"/>
          <w:sz w:val="32"/>
          <w:szCs w:val="32"/>
        </w:rPr>
        <w:t>相关的安装配送及</w:t>
      </w:r>
      <w:r>
        <w:rPr>
          <w:rFonts w:hint="eastAsia" w:ascii="仿宋_GB2312" w:hAnsi="宋体" w:eastAsia="仿宋_GB2312"/>
          <w:sz w:val="32"/>
          <w:szCs w:val="32"/>
          <w:lang w:val="en-US" w:eastAsia="zh-CN"/>
        </w:rPr>
        <w:t>维保</w:t>
      </w:r>
      <w:r>
        <w:rPr>
          <w:rFonts w:hint="eastAsia" w:ascii="仿宋_GB2312" w:hAnsi="宋体" w:eastAsia="仿宋_GB2312"/>
          <w:sz w:val="32"/>
          <w:szCs w:val="32"/>
        </w:rPr>
        <w:t>服务。</w:t>
      </w:r>
    </w:p>
    <w:p>
      <w:pPr>
        <w:pStyle w:val="9"/>
        <w:spacing w:after="0" w:line="560" w:lineRule="exact"/>
        <w:ind w:firstLine="640" w:firstLineChars="200"/>
        <w:rPr>
          <w:rFonts w:hint="eastAsia" w:ascii="黑体" w:hAnsi="黑体" w:eastAsia="黑体"/>
          <w:b w:val="0"/>
          <w:bCs w:val="0"/>
          <w:sz w:val="32"/>
          <w:lang w:eastAsia="zh-CN"/>
        </w:rPr>
      </w:pPr>
      <w:r>
        <w:rPr>
          <w:rFonts w:hint="eastAsia" w:ascii="黑体" w:hAnsi="黑体" w:eastAsia="黑体"/>
          <w:b w:val="0"/>
          <w:bCs w:val="0"/>
          <w:sz w:val="32"/>
          <w:lang w:eastAsia="zh-CN"/>
        </w:rPr>
        <w:t>二、项目情况</w:t>
      </w:r>
    </w:p>
    <w:p>
      <w:pPr>
        <w:pStyle w:val="9"/>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项目地点：深圳市南山区智谷产业园A座交易集团大厦数据中心。</w:t>
      </w:r>
    </w:p>
    <w:p>
      <w:pPr>
        <w:pStyle w:val="9"/>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应用场景：用于</w:t>
      </w:r>
      <w:r>
        <w:rPr>
          <w:rFonts w:hint="eastAsia" w:ascii="仿宋_GB2312" w:hAnsi="宋体" w:eastAsia="仿宋_GB2312"/>
          <w:sz w:val="32"/>
          <w:szCs w:val="32"/>
          <w:lang w:val="en-US" w:eastAsia="zh-CN"/>
        </w:rPr>
        <w:t>私有云</w:t>
      </w:r>
      <w:r>
        <w:rPr>
          <w:rFonts w:hint="eastAsia" w:ascii="仿宋_GB2312" w:hAnsi="宋体" w:eastAsia="仿宋_GB2312"/>
          <w:sz w:val="32"/>
          <w:szCs w:val="32"/>
        </w:rPr>
        <w:t>统一安全运维管理系统、存储设备、WEB应用防火墙等核心业务服务器的内存扩容。</w:t>
      </w:r>
    </w:p>
    <w:p>
      <w:pPr>
        <w:pStyle w:val="3"/>
        <w:spacing w:before="0" w:after="0" w:line="560" w:lineRule="exact"/>
        <w:ind w:firstLine="640"/>
        <w:rPr>
          <w:rFonts w:hint="eastAsia" w:ascii="黑体" w:hAnsi="黑体" w:eastAsia="黑体"/>
          <w:b w:val="0"/>
          <w:bCs w:val="0"/>
          <w:sz w:val="32"/>
        </w:rPr>
      </w:pPr>
      <w:bookmarkStart w:id="2" w:name="_Toc404195402"/>
      <w:bookmarkStart w:id="3" w:name="_Toc406669474"/>
      <w:r>
        <w:rPr>
          <w:rFonts w:hint="eastAsia" w:ascii="黑体" w:hAnsi="黑体" w:eastAsia="黑体"/>
          <w:b w:val="0"/>
          <w:bCs w:val="0"/>
          <w:sz w:val="32"/>
          <w:lang w:eastAsia="zh-CN"/>
        </w:rPr>
        <w:t>三</w:t>
      </w:r>
      <w:r>
        <w:rPr>
          <w:rFonts w:hint="eastAsia" w:ascii="黑体" w:hAnsi="黑体" w:eastAsia="黑体"/>
          <w:b w:val="0"/>
          <w:bCs w:val="0"/>
          <w:sz w:val="32"/>
        </w:rPr>
        <w:t>、</w:t>
      </w:r>
      <w:bookmarkEnd w:id="2"/>
      <w:bookmarkEnd w:id="3"/>
      <w:r>
        <w:rPr>
          <w:rFonts w:hint="eastAsia" w:ascii="黑体" w:hAnsi="黑体" w:eastAsia="黑体"/>
          <w:b w:val="0"/>
          <w:bCs w:val="0"/>
          <w:sz w:val="32"/>
        </w:rPr>
        <w:t>技术要求</w:t>
      </w:r>
    </w:p>
    <w:p>
      <w:pPr>
        <w:pStyle w:val="9"/>
        <w:spacing w:after="0"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w:t>
      </w:r>
      <w:r>
        <w:rPr>
          <w:rFonts w:hint="eastAsia" w:ascii="仿宋_GB2312" w:eastAsia="仿宋_GB2312"/>
          <w:sz w:val="32"/>
          <w:szCs w:val="32"/>
          <w:lang w:eastAsia="zh-CN"/>
        </w:rPr>
        <w:t>一</w:t>
      </w:r>
      <w:r>
        <w:rPr>
          <w:rFonts w:hint="eastAsia" w:ascii="仿宋_GB2312" w:eastAsia="仿宋_GB2312"/>
          <w:sz w:val="32"/>
          <w:szCs w:val="32"/>
        </w:rPr>
        <w:t>）</w:t>
      </w:r>
      <w:r>
        <w:rPr>
          <w:rFonts w:hint="eastAsia" w:ascii="仿宋_GB2312" w:eastAsia="仿宋_GB2312"/>
          <w:sz w:val="32"/>
          <w:szCs w:val="32"/>
          <w:lang w:val="en-US" w:eastAsia="zh-CN"/>
        </w:rPr>
        <w:t>产品技术规格要求</w:t>
      </w:r>
    </w:p>
    <w:p>
      <w:pPr>
        <w:pStyle w:val="9"/>
        <w:spacing w:after="0" w:line="560" w:lineRule="exact"/>
        <w:ind w:firstLine="640" w:firstLineChars="200"/>
        <w:rPr>
          <w:rFonts w:hint="eastAsia" w:ascii="仿宋_GB2312" w:eastAsia="仿宋_GB2312"/>
          <w:sz w:val="32"/>
          <w:szCs w:val="32"/>
        </w:rPr>
      </w:pPr>
      <w:r>
        <w:rPr>
          <w:rFonts w:hint="eastAsia" w:ascii="仿宋_GB2312" w:eastAsia="仿宋_GB2312"/>
          <w:sz w:val="32"/>
          <w:szCs w:val="32"/>
        </w:rPr>
        <w:t>本次采购的内存条必须严格满足以下技术指标，且需确保与现网主流服务器品牌（如华为、浪潮、戴尔、惠普等）完全兼容：</w:t>
      </w:r>
    </w:p>
    <w:tbl>
      <w:tblPr>
        <w:tblStyle w:val="10"/>
        <w:tblpPr w:leftFromText="180" w:rightFromText="180" w:vertAnchor="text" w:horzAnchor="page" w:tblpX="2284" w:tblpY="291"/>
        <w:tblOverlap w:val="never"/>
        <w:tblW w:w="4398" w:type="pct"/>
        <w:jc w:val="center"/>
        <w:tblLayout w:type="fixed"/>
        <w:tblCellMar>
          <w:top w:w="0" w:type="dxa"/>
          <w:left w:w="108" w:type="dxa"/>
          <w:bottom w:w="0" w:type="dxa"/>
          <w:right w:w="108" w:type="dxa"/>
        </w:tblCellMar>
      </w:tblPr>
      <w:tblGrid>
        <w:gridCol w:w="936"/>
        <w:gridCol w:w="1752"/>
        <w:gridCol w:w="4808"/>
      </w:tblGrid>
      <w:tr>
        <w:tblPrEx>
          <w:tblCellMar>
            <w:top w:w="0" w:type="dxa"/>
            <w:left w:w="108" w:type="dxa"/>
            <w:bottom w:w="0" w:type="dxa"/>
            <w:right w:w="108" w:type="dxa"/>
          </w:tblCellMar>
        </w:tblPrEx>
        <w:trPr>
          <w:trHeight w:val="348" w:hRule="atLeast"/>
          <w:tblHeader/>
          <w:jc w:val="center"/>
        </w:trPr>
        <w:tc>
          <w:tcPr>
            <w:tcW w:w="624" w:type="pct"/>
            <w:tcBorders>
              <w:top w:val="single" w:color="auto" w:sz="4" w:space="0"/>
              <w:left w:val="single" w:color="auto" w:sz="4" w:space="0"/>
              <w:bottom w:val="single" w:color="auto" w:sz="4" w:space="0"/>
              <w:right w:val="single" w:color="auto" w:sz="4" w:space="0"/>
            </w:tcBorders>
            <w:shd w:val="clear" w:color="000000" w:fill="E5E5E5"/>
            <w:vAlign w:val="center"/>
          </w:tcPr>
          <w:p>
            <w:pPr>
              <w:spacing w:line="560" w:lineRule="exac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1168" w:type="pct"/>
            <w:tcBorders>
              <w:top w:val="single" w:color="auto" w:sz="4" w:space="0"/>
              <w:left w:val="nil"/>
              <w:bottom w:val="single" w:color="auto" w:sz="4" w:space="0"/>
              <w:right w:val="single" w:color="auto" w:sz="4" w:space="0"/>
            </w:tcBorders>
            <w:shd w:val="clear" w:color="000000" w:fill="E5E5E5"/>
            <w:vAlign w:val="center"/>
          </w:tcPr>
          <w:p>
            <w:pPr>
              <w:spacing w:line="560" w:lineRule="exact"/>
              <w:ind w:firstLine="0" w:firstLineChars="0"/>
              <w:jc w:val="center"/>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指标项</w:t>
            </w:r>
          </w:p>
        </w:tc>
        <w:tc>
          <w:tcPr>
            <w:tcW w:w="3207" w:type="pct"/>
            <w:tcBorders>
              <w:top w:val="single" w:color="auto" w:sz="4" w:space="0"/>
              <w:left w:val="nil"/>
              <w:bottom w:val="single" w:color="auto" w:sz="4" w:space="0"/>
              <w:right w:val="single" w:color="auto" w:sz="4" w:space="0"/>
            </w:tcBorders>
            <w:shd w:val="clear" w:color="000000" w:fill="E5E5E5"/>
            <w:vAlign w:val="center"/>
          </w:tcPr>
          <w:p>
            <w:pPr>
              <w:spacing w:line="560" w:lineRule="exact"/>
              <w:ind w:firstLine="0" w:firstLineChars="0"/>
              <w:jc w:val="center"/>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具体技术要求</w:t>
            </w:r>
          </w:p>
        </w:tc>
      </w:tr>
      <w:tr>
        <w:tblPrEx>
          <w:tblCellMar>
            <w:top w:w="0" w:type="dxa"/>
            <w:left w:w="108" w:type="dxa"/>
            <w:bottom w:w="0" w:type="dxa"/>
            <w:right w:w="108" w:type="dxa"/>
          </w:tblCellMar>
        </w:tblPrEx>
        <w:trPr>
          <w:trHeight w:val="348" w:hRule="atLeast"/>
          <w:jc w:val="center"/>
        </w:trPr>
        <w:tc>
          <w:tcPr>
            <w:tcW w:w="624" w:type="pct"/>
            <w:tcBorders>
              <w:top w:val="single" w:color="auto" w:sz="4" w:space="0"/>
              <w:left w:val="single" w:color="auto" w:sz="4" w:space="0"/>
              <w:right w:val="single" w:color="auto" w:sz="4" w:space="0"/>
            </w:tcBorders>
            <w:shd w:val="clear" w:color="auto" w:fill="auto"/>
            <w:noWrap/>
            <w:vAlign w:val="center"/>
          </w:tcPr>
          <w:p>
            <w:pPr>
              <w:spacing w:line="560" w:lineRule="exact"/>
              <w:ind w:firstLine="0" w:firstLineChars="0"/>
              <w:jc w:val="center"/>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1</w:t>
            </w:r>
          </w:p>
        </w:tc>
        <w:tc>
          <w:tcPr>
            <w:tcW w:w="1168"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内存类型</w:t>
            </w:r>
          </w:p>
        </w:tc>
        <w:tc>
          <w:tcPr>
            <w:tcW w:w="3207"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DDR4 SDRAM (ECC Registered / RDIMM)</w:t>
            </w:r>
          </w:p>
        </w:tc>
      </w:tr>
      <w:tr>
        <w:tblPrEx>
          <w:tblCellMar>
            <w:top w:w="0" w:type="dxa"/>
            <w:left w:w="108" w:type="dxa"/>
            <w:bottom w:w="0" w:type="dxa"/>
            <w:right w:w="108" w:type="dxa"/>
          </w:tblCellMar>
        </w:tblPrEx>
        <w:trPr>
          <w:trHeight w:val="348" w:hRule="atLeast"/>
          <w:jc w:val="center"/>
        </w:trPr>
        <w:tc>
          <w:tcPr>
            <w:tcW w:w="624" w:type="pct"/>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2</w:t>
            </w:r>
          </w:p>
        </w:tc>
        <w:tc>
          <w:tcPr>
            <w:tcW w:w="1168"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单条容量</w:t>
            </w:r>
          </w:p>
        </w:tc>
        <w:tc>
          <w:tcPr>
            <w:tcW w:w="3207"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128GB</w:t>
            </w:r>
          </w:p>
        </w:tc>
      </w:tr>
      <w:tr>
        <w:tblPrEx>
          <w:tblCellMar>
            <w:top w:w="0" w:type="dxa"/>
            <w:left w:w="108" w:type="dxa"/>
            <w:bottom w:w="0" w:type="dxa"/>
            <w:right w:w="108" w:type="dxa"/>
          </w:tblCellMar>
        </w:tblPrEx>
        <w:trPr>
          <w:trHeight w:val="348" w:hRule="atLeast"/>
          <w:jc w:val="center"/>
        </w:trPr>
        <w:tc>
          <w:tcPr>
            <w:tcW w:w="624" w:type="pct"/>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3</w:t>
            </w:r>
          </w:p>
        </w:tc>
        <w:tc>
          <w:tcPr>
            <w:tcW w:w="1168"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频率速率</w:t>
            </w:r>
          </w:p>
        </w:tc>
        <w:tc>
          <w:tcPr>
            <w:tcW w:w="3207"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3200MHz (PC4-25600) 及以上，向下兼容2933/2666MHz</w:t>
            </w:r>
          </w:p>
        </w:tc>
      </w:tr>
      <w:tr>
        <w:tblPrEx>
          <w:tblCellMar>
            <w:top w:w="0" w:type="dxa"/>
            <w:left w:w="108" w:type="dxa"/>
            <w:bottom w:w="0" w:type="dxa"/>
            <w:right w:w="108" w:type="dxa"/>
          </w:tblCellMar>
        </w:tblPrEx>
        <w:trPr>
          <w:trHeight w:val="348" w:hRule="atLeast"/>
          <w:jc w:val="center"/>
        </w:trPr>
        <w:tc>
          <w:tcPr>
            <w:tcW w:w="624" w:type="pct"/>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4</w:t>
            </w:r>
          </w:p>
        </w:tc>
        <w:tc>
          <w:tcPr>
            <w:tcW w:w="1168"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纠错功能</w:t>
            </w:r>
          </w:p>
        </w:tc>
        <w:tc>
          <w:tcPr>
            <w:tcW w:w="3207"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必须支持 ECC (Error Correcting Code) 纠错功能，确保数据完整性</w:t>
            </w:r>
          </w:p>
        </w:tc>
      </w:tr>
      <w:tr>
        <w:tblPrEx>
          <w:tblCellMar>
            <w:top w:w="0" w:type="dxa"/>
            <w:left w:w="108" w:type="dxa"/>
            <w:bottom w:w="0" w:type="dxa"/>
            <w:right w:w="108" w:type="dxa"/>
          </w:tblCellMar>
        </w:tblPrEx>
        <w:trPr>
          <w:trHeight w:val="696" w:hRule="atLeast"/>
          <w:jc w:val="center"/>
        </w:trPr>
        <w:tc>
          <w:tcPr>
            <w:tcW w:w="624" w:type="pct"/>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5</w:t>
            </w:r>
          </w:p>
        </w:tc>
        <w:tc>
          <w:tcPr>
            <w:tcW w:w="1168"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电压标准</w:t>
            </w:r>
          </w:p>
        </w:tc>
        <w:tc>
          <w:tcPr>
            <w:tcW w:w="3207"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1.2V (标准电压)</w:t>
            </w:r>
          </w:p>
        </w:tc>
      </w:tr>
      <w:tr>
        <w:tblPrEx>
          <w:tblCellMar>
            <w:top w:w="0" w:type="dxa"/>
            <w:left w:w="108" w:type="dxa"/>
            <w:bottom w:w="0" w:type="dxa"/>
            <w:right w:w="108" w:type="dxa"/>
          </w:tblCellMar>
        </w:tblPrEx>
        <w:trPr>
          <w:trHeight w:val="696" w:hRule="atLeast"/>
          <w:jc w:val="center"/>
        </w:trPr>
        <w:tc>
          <w:tcPr>
            <w:tcW w:w="624" w:type="pct"/>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6</w:t>
            </w:r>
          </w:p>
        </w:tc>
        <w:tc>
          <w:tcPr>
            <w:tcW w:w="1168"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兼容性</w:t>
            </w:r>
          </w:p>
        </w:tc>
        <w:tc>
          <w:tcPr>
            <w:tcW w:w="3207"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必须兼容现网主流服务器主板，提供兼容性测试报告或承诺函</w:t>
            </w:r>
          </w:p>
        </w:tc>
      </w:tr>
      <w:tr>
        <w:tblPrEx>
          <w:tblCellMar>
            <w:top w:w="0" w:type="dxa"/>
            <w:left w:w="108" w:type="dxa"/>
            <w:bottom w:w="0" w:type="dxa"/>
            <w:right w:w="108" w:type="dxa"/>
          </w:tblCellMar>
        </w:tblPrEx>
        <w:trPr>
          <w:trHeight w:val="696" w:hRule="atLeast"/>
          <w:jc w:val="center"/>
        </w:trPr>
        <w:tc>
          <w:tcPr>
            <w:tcW w:w="624" w:type="pct"/>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7</w:t>
            </w:r>
          </w:p>
        </w:tc>
        <w:tc>
          <w:tcPr>
            <w:tcW w:w="1168"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品牌要求</w:t>
            </w:r>
          </w:p>
        </w:tc>
        <w:tc>
          <w:tcPr>
            <w:tcW w:w="3207" w:type="pct"/>
            <w:tcBorders>
              <w:top w:val="single" w:color="auto" w:sz="4" w:space="0"/>
              <w:left w:val="single" w:color="auto" w:sz="4" w:space="0"/>
              <w:bottom w:val="single" w:color="auto" w:sz="4" w:space="0"/>
              <w:right w:val="single" w:color="auto" w:sz="4" w:space="0"/>
            </w:tcBorders>
            <w:shd w:val="clear" w:color="000000" w:fill="FFFFFF"/>
            <w:vAlign w:val="center"/>
          </w:tcPr>
          <w:p>
            <w:pPr>
              <w:spacing w:line="560" w:lineRule="exact"/>
              <w:ind w:firstLine="0" w:firstLineChars="0"/>
              <w:jc w:val="center"/>
              <w:rPr>
                <w:rFonts w:hint="default" w:ascii="仿宋_GB2312" w:hAnsi="仿宋_GB2312" w:eastAsia="仿宋_GB2312" w:cs="仿宋_GB2312"/>
                <w:kern w:val="0"/>
                <w:sz w:val="24"/>
                <w:szCs w:val="24"/>
                <w:lang w:val="en-US" w:eastAsia="zh-CN"/>
              </w:rPr>
            </w:pPr>
            <w:r>
              <w:rPr>
                <w:rFonts w:hint="default" w:ascii="仿宋_GB2312" w:hAnsi="仿宋_GB2312" w:eastAsia="仿宋_GB2312" w:cs="仿宋_GB2312"/>
                <w:kern w:val="0"/>
                <w:sz w:val="24"/>
                <w:szCs w:val="24"/>
                <w:lang w:val="en-US" w:eastAsia="zh-CN"/>
              </w:rPr>
              <w:t>接受国际一线品牌（如三星、海力士、美光）或国内知名品牌（如浪潮、华为、紫光等），不接受无品牌或杂牌产品。</w:t>
            </w:r>
          </w:p>
        </w:tc>
      </w:tr>
    </w:tbl>
    <w:p>
      <w:pPr>
        <w:pStyle w:val="9"/>
        <w:numPr>
          <w:ilvl w:val="0"/>
          <w:numId w:val="0"/>
        </w:numPr>
        <w:spacing w:after="0" w:line="560" w:lineRule="exact"/>
        <w:ind w:firstLine="640" w:firstLineChars="200"/>
        <w:rPr>
          <w:rFonts w:hint="default" w:ascii="仿宋_GB2312" w:eastAsia="仿宋_GB2312"/>
          <w:sz w:val="32"/>
          <w:szCs w:val="32"/>
          <w:lang w:val="en-US" w:eastAsia="zh-CN"/>
        </w:rPr>
      </w:pPr>
      <w:r>
        <w:rPr>
          <w:rFonts w:hint="default" w:ascii="仿宋_GB2312" w:eastAsia="仿宋_GB2312"/>
          <w:sz w:val="32"/>
          <w:szCs w:val="32"/>
          <w:lang w:val="en-US" w:eastAsia="zh-CN"/>
        </w:rPr>
        <w:t>（二）数量需求</w:t>
      </w:r>
    </w:p>
    <w:p>
      <w:pPr>
        <w:pStyle w:val="9"/>
        <w:numPr>
          <w:ilvl w:val="0"/>
          <w:numId w:val="0"/>
        </w:numPr>
        <w:spacing w:after="0" w:line="560" w:lineRule="exact"/>
        <w:ind w:firstLine="640" w:firstLineChars="200"/>
        <w:rPr>
          <w:rFonts w:hint="default" w:ascii="仿宋_GB2312" w:eastAsia="仿宋_GB2312"/>
          <w:sz w:val="32"/>
          <w:szCs w:val="32"/>
          <w:lang w:val="en-US" w:eastAsia="zh-CN"/>
        </w:rPr>
      </w:pPr>
      <w:r>
        <w:rPr>
          <w:rFonts w:hint="default" w:ascii="仿宋_GB2312" w:eastAsia="仿宋_GB2312"/>
          <w:sz w:val="32"/>
          <w:szCs w:val="32"/>
          <w:lang w:val="en-US" w:eastAsia="zh-CN"/>
        </w:rPr>
        <w:t>预计采购数量：</w:t>
      </w:r>
      <w:r>
        <w:rPr>
          <w:rFonts w:hint="eastAsia" w:ascii="仿宋_GB2312" w:eastAsia="仿宋_GB2312"/>
          <w:sz w:val="32"/>
          <w:szCs w:val="32"/>
          <w:lang w:val="en-US" w:eastAsia="zh-CN"/>
        </w:rPr>
        <w:t>40</w:t>
      </w:r>
      <w:r>
        <w:rPr>
          <w:rFonts w:hint="default" w:ascii="仿宋_GB2312" w:eastAsia="仿宋_GB2312"/>
          <w:sz w:val="32"/>
          <w:szCs w:val="32"/>
          <w:lang w:val="en-US" w:eastAsia="zh-CN"/>
        </w:rPr>
        <w:t>条</w:t>
      </w:r>
    </w:p>
    <w:p>
      <w:pPr>
        <w:pStyle w:val="9"/>
        <w:numPr>
          <w:ilvl w:val="0"/>
          <w:numId w:val="1"/>
        </w:numPr>
        <w:spacing w:after="0" w:line="560" w:lineRule="exact"/>
        <w:ind w:firstLine="640" w:firstLineChars="200"/>
        <w:rPr>
          <w:rFonts w:hint="default" w:ascii="仿宋_GB2312" w:eastAsia="仿宋_GB2312"/>
          <w:sz w:val="32"/>
          <w:szCs w:val="32"/>
          <w:lang w:val="en-US" w:eastAsia="zh-CN"/>
        </w:rPr>
      </w:pPr>
      <w:r>
        <w:rPr>
          <w:rFonts w:hint="default" w:ascii="仿宋_GB2312" w:eastAsia="仿宋_GB2312"/>
          <w:sz w:val="32"/>
          <w:szCs w:val="32"/>
          <w:lang w:val="en-US" w:eastAsia="zh-CN"/>
        </w:rPr>
        <w:t>质量与质保要求</w:t>
      </w:r>
    </w:p>
    <w:p>
      <w:pPr>
        <w:pStyle w:val="9"/>
        <w:numPr>
          <w:ilvl w:val="0"/>
          <w:numId w:val="0"/>
        </w:numPr>
        <w:spacing w:after="0" w:line="560" w:lineRule="exact"/>
        <w:ind w:firstLine="640" w:firstLineChars="200"/>
        <w:rPr>
          <w:rFonts w:hint="default" w:ascii="仿宋_GB2312" w:eastAsia="仿宋_GB2312"/>
          <w:sz w:val="32"/>
          <w:szCs w:val="32"/>
          <w:lang w:val="en-US" w:eastAsia="zh-CN"/>
        </w:rPr>
      </w:pPr>
      <w:r>
        <w:rPr>
          <w:rFonts w:hint="default" w:ascii="仿宋_GB2312" w:eastAsia="仿宋_GB2312"/>
          <w:sz w:val="32"/>
          <w:szCs w:val="32"/>
          <w:lang w:val="en-US" w:eastAsia="zh-CN"/>
        </w:rPr>
        <w:t>正品承诺：供应商必须提供原厂正品证明，支持原厂序列号查询，严禁提供翻新货、二手货或假冒伪劣产品。一经发现，采购人有权拒绝收货并追究法律责任。</w:t>
      </w:r>
    </w:p>
    <w:p>
      <w:pPr>
        <w:pStyle w:val="9"/>
        <w:numPr>
          <w:ilvl w:val="0"/>
          <w:numId w:val="0"/>
        </w:numPr>
        <w:spacing w:after="0" w:line="560" w:lineRule="exact"/>
        <w:ind w:firstLine="640" w:firstLineChars="200"/>
        <w:rPr>
          <w:rFonts w:hint="default" w:ascii="仿宋_GB2312" w:eastAsia="仿宋_GB2312"/>
          <w:sz w:val="32"/>
          <w:szCs w:val="32"/>
          <w:lang w:val="en-US" w:eastAsia="zh-CN"/>
        </w:rPr>
      </w:pPr>
      <w:r>
        <w:rPr>
          <w:rFonts w:hint="default" w:ascii="仿宋_GB2312" w:eastAsia="仿宋_GB2312"/>
          <w:sz w:val="32"/>
          <w:szCs w:val="32"/>
          <w:lang w:val="en-US" w:eastAsia="zh-CN"/>
        </w:rPr>
        <w:t>质保期限：所供产品需提供至少 3年 原厂免费质保服务（或终身质保，视品牌政策而定）。</w:t>
      </w:r>
    </w:p>
    <w:p>
      <w:pPr>
        <w:pStyle w:val="9"/>
        <w:numPr>
          <w:ilvl w:val="0"/>
          <w:numId w:val="0"/>
        </w:numPr>
        <w:spacing w:after="0" w:line="560" w:lineRule="exact"/>
        <w:ind w:firstLine="640" w:firstLineChars="200"/>
        <w:rPr>
          <w:rFonts w:hint="default" w:ascii="仿宋_GB2312" w:eastAsia="仿宋_GB2312"/>
          <w:sz w:val="32"/>
          <w:szCs w:val="32"/>
          <w:lang w:val="en-US" w:eastAsia="zh-CN"/>
        </w:rPr>
      </w:pPr>
      <w:r>
        <w:rPr>
          <w:rFonts w:hint="default" w:ascii="仿宋_GB2312" w:eastAsia="仿宋_GB2312"/>
          <w:sz w:val="32"/>
          <w:szCs w:val="32"/>
          <w:lang w:val="en-US" w:eastAsia="zh-CN"/>
        </w:rPr>
        <w:t>故障更换：质保期内出现非人为损坏的质量问题，供应商需在 2个工作日 内提供备件更换服务（只换不修）。</w:t>
      </w:r>
    </w:p>
    <w:p>
      <w:pPr>
        <w:pStyle w:val="17"/>
        <w:numPr>
          <w:ilvl w:val="0"/>
          <w:numId w:val="0"/>
        </w:numPr>
        <w:spacing w:line="360" w:lineRule="auto"/>
        <w:ind w:firstLine="640"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Times New Roman" w:eastAsia="仿宋_GB2312" w:cs="Times New Roman"/>
          <w:color w:val="auto"/>
          <w:kern w:val="2"/>
          <w:sz w:val="32"/>
          <w:szCs w:val="32"/>
          <w:lang w:val="en-US" w:eastAsia="zh-CN" w:bidi="ar-SA"/>
        </w:rPr>
        <w:t>（三）服务要求</w:t>
      </w:r>
      <w:r>
        <w:rPr>
          <w:rFonts w:hint="eastAsia" w:ascii="仿宋_GB2312" w:hAnsi="仿宋_GB2312" w:eastAsia="仿宋_GB2312" w:cs="仿宋_GB2312"/>
          <w:color w:val="000000"/>
          <w:kern w:val="0"/>
          <w:sz w:val="32"/>
          <w:szCs w:val="32"/>
          <w:lang w:val="en-US" w:eastAsia="zh-CN" w:bidi="ar"/>
        </w:rPr>
        <w:t xml:space="preserve"> </w:t>
      </w:r>
    </w:p>
    <w:p>
      <w:pPr>
        <w:spacing w:line="360" w:lineRule="auto"/>
        <w:ind w:firstLine="480" w:firstLineChars="15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送货上门：供应商负责将货物安全运送至深圳市南山区智谷产业园A座指定机房位置。</w:t>
      </w:r>
    </w:p>
    <w:p>
      <w:pPr>
        <w:spacing w:line="360" w:lineRule="auto"/>
        <w:ind w:firstLine="480" w:firstLineChars="15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安装支持：供应商需派遣专业技术人员现场配合（或根据采购人要求）进行内存条的安装上架工作。</w:t>
      </w:r>
    </w:p>
    <w:p>
      <w:pPr>
        <w:spacing w:line="360" w:lineRule="auto"/>
        <w:ind w:firstLine="480" w:firstLineChars="15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兼容性测试：安装完成后，需配合采购人进行开机自检、压力测试及系统稳定性测试，确保新内存与原有硬件无缝协同，宕机或识别错误现象。</w:t>
      </w:r>
    </w:p>
    <w:p>
      <w:pPr>
        <w:pStyle w:val="3"/>
        <w:spacing w:before="0" w:after="0" w:line="560" w:lineRule="exact"/>
        <w:ind w:firstLine="640"/>
        <w:rPr>
          <w:rFonts w:hint="eastAsia" w:ascii="黑体" w:hAnsi="黑体" w:eastAsia="黑体"/>
          <w:b w:val="0"/>
          <w:bCs w:val="0"/>
          <w:sz w:val="32"/>
        </w:rPr>
      </w:pPr>
      <w:r>
        <w:rPr>
          <w:rFonts w:hint="eastAsia" w:ascii="黑体" w:hAnsi="黑体" w:eastAsia="黑体"/>
          <w:b w:val="0"/>
          <w:bCs w:val="0"/>
          <w:sz w:val="32"/>
          <w:lang w:eastAsia="zh-CN"/>
        </w:rPr>
        <w:t>四</w:t>
      </w:r>
      <w:r>
        <w:rPr>
          <w:rFonts w:hint="eastAsia" w:ascii="黑体" w:hAnsi="黑体" w:eastAsia="黑体"/>
          <w:b w:val="0"/>
          <w:bCs w:val="0"/>
          <w:sz w:val="32"/>
        </w:rPr>
        <w:t>、</w:t>
      </w:r>
      <w:r>
        <w:rPr>
          <w:rFonts w:hint="eastAsia" w:ascii="黑体" w:hAnsi="黑体" w:eastAsia="黑体"/>
          <w:b w:val="0"/>
          <w:bCs w:val="0"/>
          <w:sz w:val="32"/>
          <w:lang w:eastAsia="zh-CN"/>
        </w:rPr>
        <w:t>商务要</w:t>
      </w:r>
      <w:r>
        <w:rPr>
          <w:rFonts w:hint="eastAsia" w:ascii="黑体" w:hAnsi="黑体" w:eastAsia="黑体"/>
          <w:b w:val="0"/>
          <w:bCs w:val="0"/>
          <w:sz w:val="32"/>
        </w:rPr>
        <w:t>求</w:t>
      </w:r>
    </w:p>
    <w:p>
      <w:pPr>
        <w:pStyle w:val="9"/>
        <w:spacing w:after="0"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意向合作方应为</w:t>
      </w:r>
      <w:r>
        <w:rPr>
          <w:rFonts w:hint="eastAsia" w:ascii="仿宋_GB2312" w:eastAsia="仿宋_GB2312"/>
          <w:sz w:val="32"/>
          <w:szCs w:val="32"/>
        </w:rPr>
        <w:t>在中华人民共和国注册的法人机构或其他组织</w:t>
      </w:r>
      <w:r>
        <w:rPr>
          <w:rFonts w:hint="eastAsia" w:ascii="仿宋_GB2312" w:eastAsia="仿宋_GB2312"/>
          <w:sz w:val="32"/>
          <w:szCs w:val="32"/>
          <w:lang w:eastAsia="zh-CN"/>
        </w:rPr>
        <w:t>，</w:t>
      </w:r>
      <w:r>
        <w:rPr>
          <w:rFonts w:hint="eastAsia" w:ascii="仿宋_GB2312" w:eastAsia="仿宋_GB2312"/>
          <w:sz w:val="32"/>
          <w:szCs w:val="32"/>
        </w:rPr>
        <w:t>具有拟</w:t>
      </w:r>
      <w:r>
        <w:rPr>
          <w:rFonts w:hint="eastAsia" w:ascii="仿宋_GB2312" w:eastAsia="仿宋_GB2312"/>
          <w:sz w:val="32"/>
          <w:szCs w:val="32"/>
          <w:lang w:val="en-US" w:eastAsia="zh-CN"/>
        </w:rPr>
        <w:t>合作</w:t>
      </w:r>
      <w:r>
        <w:rPr>
          <w:rFonts w:hint="eastAsia" w:ascii="仿宋_GB2312" w:eastAsia="仿宋_GB2312"/>
          <w:sz w:val="32"/>
          <w:szCs w:val="32"/>
        </w:rPr>
        <w:t>内容相关项目经验。</w:t>
      </w:r>
    </w:p>
    <w:p>
      <w:pPr>
        <w:pStyle w:val="9"/>
        <w:spacing w:after="0" w:line="560" w:lineRule="exact"/>
        <w:ind w:firstLine="640" w:firstLineChars="200"/>
        <w:rPr>
          <w:rFonts w:hint="eastAsia" w:ascii="仿宋_GB2312" w:eastAsia="仿宋_GB2312"/>
          <w:sz w:val="32"/>
          <w:szCs w:val="32"/>
        </w:rPr>
      </w:pPr>
      <w:r>
        <w:rPr>
          <w:rFonts w:hint="eastAsia" w:ascii="黑体" w:hAnsi="黑体" w:eastAsia="黑体"/>
          <w:b w:val="0"/>
          <w:bCs w:val="0"/>
          <w:sz w:val="32"/>
          <w:lang w:eastAsia="zh-CN"/>
        </w:rPr>
        <w:t>五</w:t>
      </w:r>
      <w:r>
        <w:rPr>
          <w:rFonts w:hint="eastAsia" w:ascii="黑体" w:hAnsi="黑体" w:eastAsia="黑体"/>
          <w:b w:val="0"/>
          <w:bCs w:val="0"/>
          <w:sz w:val="32"/>
        </w:rPr>
        <w:t>、</w:t>
      </w:r>
      <w:r>
        <w:rPr>
          <w:rFonts w:hint="eastAsia" w:ascii="黑体" w:hAnsi="黑体" w:eastAsia="黑体"/>
          <w:b w:val="0"/>
          <w:bCs w:val="0"/>
          <w:sz w:val="32"/>
          <w:lang w:eastAsia="zh-CN"/>
        </w:rPr>
        <w:t>报价要求</w:t>
      </w:r>
    </w:p>
    <w:p>
      <w:pPr>
        <w:pStyle w:val="9"/>
        <w:spacing w:after="0"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本次征集深圳交易集团数据中心内存硬件采购项目，须按要求进行报价。</w:t>
      </w:r>
    </w:p>
    <w:p>
      <w:pPr>
        <w:pStyle w:val="9"/>
        <w:spacing w:after="0" w:line="560" w:lineRule="exact"/>
        <w:ind w:firstLine="640" w:firstLineChars="200"/>
        <w:rPr>
          <w:rFonts w:hint="eastAsia" w:ascii="仿宋_GB2312" w:eastAsia="仿宋_GB2312"/>
          <w:b/>
          <w:bCs/>
          <w:sz w:val="32"/>
          <w:szCs w:val="32"/>
        </w:rPr>
      </w:pPr>
      <w:r>
        <w:rPr>
          <w:rFonts w:hint="eastAsia" w:ascii="黑体" w:hAnsi="黑体" w:eastAsia="黑体"/>
          <w:b w:val="0"/>
          <w:bCs w:val="0"/>
          <w:sz w:val="32"/>
          <w:lang w:eastAsia="zh-CN"/>
        </w:rPr>
        <w:t>六</w:t>
      </w:r>
      <w:r>
        <w:rPr>
          <w:rFonts w:hint="eastAsia" w:ascii="黑体" w:hAnsi="黑体" w:eastAsia="黑体"/>
          <w:b w:val="0"/>
          <w:bCs w:val="0"/>
          <w:sz w:val="32"/>
        </w:rPr>
        <w:t>、</w:t>
      </w:r>
      <w:r>
        <w:rPr>
          <w:rFonts w:hint="eastAsia" w:ascii="黑体" w:hAnsi="黑体" w:eastAsia="黑体"/>
          <w:b w:val="0"/>
          <w:bCs w:val="0"/>
          <w:sz w:val="32"/>
          <w:lang w:eastAsia="zh-CN"/>
        </w:rPr>
        <w:t>有效期</w:t>
      </w:r>
    </w:p>
    <w:p>
      <w:pPr>
        <w:pStyle w:val="9"/>
        <w:spacing w:after="0"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本公告发起之日起</w:t>
      </w:r>
      <w:r>
        <w:rPr>
          <w:rFonts w:hint="eastAsia" w:ascii="仿宋_GB2312" w:eastAsia="仿宋_GB2312"/>
          <w:sz w:val="32"/>
          <w:szCs w:val="32"/>
          <w:lang w:val="en-US" w:eastAsia="zh-CN"/>
        </w:rPr>
        <w:t>三</w:t>
      </w:r>
      <w:r>
        <w:rPr>
          <w:rFonts w:hint="eastAsia" w:ascii="仿宋_GB2312" w:eastAsia="仿宋_GB2312"/>
          <w:sz w:val="32"/>
          <w:szCs w:val="32"/>
          <w:lang w:eastAsia="zh-CN"/>
        </w:rPr>
        <w:t>个工作日内。</w:t>
      </w:r>
    </w:p>
    <w:p>
      <w:pPr>
        <w:pStyle w:val="9"/>
        <w:spacing w:after="0" w:line="560" w:lineRule="exact"/>
        <w:ind w:firstLine="640" w:firstLineChars="200"/>
        <w:rPr>
          <w:rFonts w:hint="eastAsia" w:ascii="黑体" w:hAnsi="黑体" w:eastAsia="黑体"/>
          <w:b w:val="0"/>
          <w:bCs w:val="0"/>
          <w:sz w:val="32"/>
          <w:lang w:eastAsia="zh-CN"/>
        </w:rPr>
      </w:pPr>
      <w:r>
        <w:rPr>
          <w:rFonts w:hint="eastAsia" w:ascii="黑体" w:hAnsi="黑体" w:eastAsia="黑体"/>
          <w:b w:val="0"/>
          <w:bCs w:val="0"/>
          <w:sz w:val="32"/>
          <w:lang w:eastAsia="zh-CN"/>
        </w:rPr>
        <w:t>七、其他</w:t>
      </w:r>
    </w:p>
    <w:p>
      <w:pPr>
        <w:pStyle w:val="9"/>
        <w:keepNext w:val="0"/>
        <w:keepLines w:val="0"/>
        <w:pageBreakBefore w:val="0"/>
        <w:widowControl/>
        <w:kinsoku/>
        <w:wordWrap/>
        <w:overflowPunct/>
        <w:topLinePunct w:val="0"/>
        <w:autoSpaceDE/>
        <w:autoSpaceDN/>
        <w:bidi w:val="0"/>
        <w:adjustRightInd/>
        <w:snapToGrid/>
        <w:spacing w:beforeAutospacing="0" w:after="0" w:afterAutospacing="0" w:line="560" w:lineRule="atLeas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本公告仅用于意向征集，不构成任何要约或要约邀请，实际项目采购、建设方式、预算等根据征集情况另行确定。</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atLeast"/>
        <w:ind w:left="0" w:firstLine="195"/>
        <w:jc w:val="both"/>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如有意向，请填写附件表格并加盖公章后发至指定邮箱:lixueming@szexgrp.com，联系人：李工，电话：15302279452。</w:t>
      </w:r>
    </w:p>
    <w:p>
      <w:pPr>
        <w:pStyle w:val="9"/>
        <w:spacing w:after="0" w:line="560" w:lineRule="exact"/>
        <w:ind w:left="0" w:leftChars="0" w:firstLine="0" w:firstLineChars="0"/>
        <w:rPr>
          <w:rFonts w:hint="eastAsia" w:ascii="仿宋_GB2312" w:eastAsia="仿宋_GB2312"/>
          <w:sz w:val="32"/>
          <w:szCs w:val="32"/>
          <w:lang w:eastAsia="zh-CN"/>
        </w:rPr>
      </w:pPr>
    </w:p>
    <w:p>
      <w:pPr>
        <w:pStyle w:val="9"/>
        <w:spacing w:after="0" w:line="560" w:lineRule="exact"/>
        <w:ind w:left="638" w:leftChars="304" w:firstLine="0" w:firstLineChars="0"/>
        <w:rPr>
          <w:rFonts w:hint="eastAsia" w:ascii="仿宋_GB2312" w:eastAsia="仿宋_GB2312"/>
          <w:sz w:val="32"/>
          <w:szCs w:val="32"/>
          <w:lang w:eastAsia="zh-CN"/>
        </w:rPr>
      </w:pPr>
    </w:p>
    <w:p>
      <w:pPr>
        <w:pStyle w:val="9"/>
        <w:spacing w:after="0" w:line="560" w:lineRule="exact"/>
        <w:ind w:left="638" w:leftChars="304" w:firstLine="0" w:firstLineChars="0"/>
        <w:rPr>
          <w:rFonts w:hint="eastAsia" w:ascii="仿宋_GB2312" w:eastAsia="仿宋_GB2312"/>
          <w:sz w:val="32"/>
          <w:szCs w:val="32"/>
          <w:lang w:eastAsia="zh-CN"/>
        </w:rPr>
      </w:pPr>
    </w:p>
    <w:p>
      <w:pPr>
        <w:pStyle w:val="9"/>
        <w:spacing w:after="0" w:line="560" w:lineRule="exact"/>
        <w:ind w:left="638" w:leftChars="304" w:firstLine="0" w:firstLineChars="0"/>
        <w:rPr>
          <w:rFonts w:hint="eastAsia" w:ascii="仿宋_GB2312" w:eastAsia="仿宋_GB2312"/>
          <w:sz w:val="32"/>
          <w:szCs w:val="32"/>
          <w:lang w:eastAsia="zh-CN"/>
        </w:rPr>
      </w:pPr>
    </w:p>
    <w:p>
      <w:pPr>
        <w:bidi w:val="0"/>
        <w:jc w:val="right"/>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深圳智慧交易科技有限公司</w:t>
      </w:r>
    </w:p>
    <w:p>
      <w:pPr>
        <w:bidi w:val="0"/>
        <w:jc w:val="right"/>
        <w:rPr>
          <w:rFonts w:hint="default" w:ascii="仿宋_GB2312" w:eastAsia="仿宋_GB2312"/>
          <w:szCs w:val="32"/>
          <w:lang w:val="en-US" w:eastAsia="zh-CN"/>
        </w:rPr>
      </w:pPr>
      <w:r>
        <w:rPr>
          <w:rFonts w:hint="eastAsia" w:ascii="仿宋_GB2312" w:hAnsi="Times New Roman" w:eastAsia="仿宋_GB2312" w:cs="Times New Roman"/>
          <w:kern w:val="2"/>
          <w:sz w:val="32"/>
          <w:szCs w:val="32"/>
          <w:lang w:val="en-US" w:eastAsia="zh-CN" w:bidi="ar-SA"/>
        </w:rPr>
        <w:t xml:space="preserve"> 2025年4月   </w:t>
      </w:r>
      <w:r>
        <w:rPr>
          <w:rFonts w:hint="eastAsia" w:ascii="仿宋_GB2312" w:hAnsi="仿宋_GB2312" w:eastAsia="仿宋_GB2312" w:cs="仿宋_GB2312"/>
          <w:b w:val="0"/>
          <w:bCs w:val="0"/>
          <w:kern w:val="2"/>
          <w:sz w:val="28"/>
          <w:szCs w:val="28"/>
          <w:lang w:val="en-US" w:eastAsia="zh-CN" w:bidi="ar-SA"/>
        </w:rPr>
        <w:t xml:space="preserve"> </w:t>
      </w:r>
      <w:r>
        <w:rPr>
          <w:rFonts w:hint="eastAsia" w:ascii="仿宋_GB2312" w:hAnsi="仿宋_GB2312" w:eastAsia="仿宋_GB2312" w:cs="仿宋_GB2312"/>
          <w:b w:val="0"/>
          <w:bCs w:val="0"/>
          <w:kern w:val="2"/>
          <w:szCs w:val="32"/>
          <w:lang w:val="en-US" w:eastAsia="zh-CN" w:bidi="ar-SA"/>
        </w:rPr>
        <w:t xml:space="preserve">   </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宋体"/>
    <w:panose1 w:val="02010609010101010101"/>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6"/>
          <w:ind w:firstLine="360"/>
          <w:jc w:val="center"/>
        </w:pPr>
        <w:r>
          <w:fldChar w:fldCharType="begin"/>
        </w:r>
        <w:r>
          <w:instrText xml:space="preserve">PAGE   \* MERGEFORMAT</w:instrText>
        </w:r>
        <w:r>
          <w:fldChar w:fldCharType="separate"/>
        </w:r>
        <w:r>
          <w:rPr>
            <w:lang w:val="zh-CN"/>
          </w:rPr>
          <w:t>2</w:t>
        </w:r>
        <w:r>
          <w:fldChar w:fldCharType="end"/>
        </w:r>
      </w:p>
    </w:sdtContent>
  </w:sdt>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A3277"/>
    <w:multiLevelType w:val="singleLevel"/>
    <w:tmpl w:val="828A327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FmMTAzYjdhNDI1ZjA5NjczMDI2MDY0MDM2NDJiMTEifQ=="/>
    <w:docVar w:name="KSO_WPS_MARK_KEY" w:val="a2a79803-4661-405a-84a2-449864103fb7"/>
  </w:docVars>
  <w:rsids>
    <w:rsidRoot w:val="1DB52C0F"/>
    <w:rsid w:val="0000314E"/>
    <w:rsid w:val="00006708"/>
    <w:rsid w:val="00012006"/>
    <w:rsid w:val="00014730"/>
    <w:rsid w:val="00015933"/>
    <w:rsid w:val="00093D53"/>
    <w:rsid w:val="000A7342"/>
    <w:rsid w:val="000D3E25"/>
    <w:rsid w:val="000E4881"/>
    <w:rsid w:val="000E725E"/>
    <w:rsid w:val="000F5BBE"/>
    <w:rsid w:val="001001BC"/>
    <w:rsid w:val="00110E14"/>
    <w:rsid w:val="0012310B"/>
    <w:rsid w:val="00123F98"/>
    <w:rsid w:val="001374E3"/>
    <w:rsid w:val="0014095D"/>
    <w:rsid w:val="001508A1"/>
    <w:rsid w:val="001A33B0"/>
    <w:rsid w:val="001B7C43"/>
    <w:rsid w:val="001C0D90"/>
    <w:rsid w:val="001C1650"/>
    <w:rsid w:val="001E2DB6"/>
    <w:rsid w:val="001F44B9"/>
    <w:rsid w:val="002168FA"/>
    <w:rsid w:val="00224C21"/>
    <w:rsid w:val="00241FA8"/>
    <w:rsid w:val="00246FC0"/>
    <w:rsid w:val="0024762B"/>
    <w:rsid w:val="00265F60"/>
    <w:rsid w:val="002801EE"/>
    <w:rsid w:val="00295327"/>
    <w:rsid w:val="00296841"/>
    <w:rsid w:val="002A6818"/>
    <w:rsid w:val="002D4104"/>
    <w:rsid w:val="002D420E"/>
    <w:rsid w:val="002E3CE3"/>
    <w:rsid w:val="002F210C"/>
    <w:rsid w:val="002F6A69"/>
    <w:rsid w:val="002F7805"/>
    <w:rsid w:val="00304B4C"/>
    <w:rsid w:val="003307A8"/>
    <w:rsid w:val="00334E85"/>
    <w:rsid w:val="003501C5"/>
    <w:rsid w:val="00352C5A"/>
    <w:rsid w:val="003609C3"/>
    <w:rsid w:val="003733DF"/>
    <w:rsid w:val="003C0534"/>
    <w:rsid w:val="003C5CA0"/>
    <w:rsid w:val="003F096A"/>
    <w:rsid w:val="003F1AD9"/>
    <w:rsid w:val="003F4D2B"/>
    <w:rsid w:val="003F61AF"/>
    <w:rsid w:val="004021A5"/>
    <w:rsid w:val="00405B5F"/>
    <w:rsid w:val="004167B4"/>
    <w:rsid w:val="00421A02"/>
    <w:rsid w:val="00456EC8"/>
    <w:rsid w:val="00463CDB"/>
    <w:rsid w:val="0047767C"/>
    <w:rsid w:val="00477F4D"/>
    <w:rsid w:val="00492AA5"/>
    <w:rsid w:val="004A5A1F"/>
    <w:rsid w:val="004B14DA"/>
    <w:rsid w:val="004B78D7"/>
    <w:rsid w:val="004C73FA"/>
    <w:rsid w:val="004D2426"/>
    <w:rsid w:val="004E1862"/>
    <w:rsid w:val="004E4764"/>
    <w:rsid w:val="004F51BB"/>
    <w:rsid w:val="0050052E"/>
    <w:rsid w:val="00500B0E"/>
    <w:rsid w:val="005237A1"/>
    <w:rsid w:val="0052411E"/>
    <w:rsid w:val="0055628F"/>
    <w:rsid w:val="00566969"/>
    <w:rsid w:val="0057171F"/>
    <w:rsid w:val="00585D3B"/>
    <w:rsid w:val="005A49F8"/>
    <w:rsid w:val="005A62D6"/>
    <w:rsid w:val="005B75A9"/>
    <w:rsid w:val="005C5367"/>
    <w:rsid w:val="005D06B6"/>
    <w:rsid w:val="005D3EF0"/>
    <w:rsid w:val="005D763C"/>
    <w:rsid w:val="00601668"/>
    <w:rsid w:val="00601FA8"/>
    <w:rsid w:val="00606E55"/>
    <w:rsid w:val="006644CD"/>
    <w:rsid w:val="0066553C"/>
    <w:rsid w:val="00676A47"/>
    <w:rsid w:val="006A53A8"/>
    <w:rsid w:val="006B6786"/>
    <w:rsid w:val="006D49A6"/>
    <w:rsid w:val="006E4FB6"/>
    <w:rsid w:val="006F2206"/>
    <w:rsid w:val="006F39BB"/>
    <w:rsid w:val="00707694"/>
    <w:rsid w:val="00752395"/>
    <w:rsid w:val="007639E8"/>
    <w:rsid w:val="00765E44"/>
    <w:rsid w:val="00770698"/>
    <w:rsid w:val="0078411D"/>
    <w:rsid w:val="00791CD7"/>
    <w:rsid w:val="0079282D"/>
    <w:rsid w:val="0079509D"/>
    <w:rsid w:val="007A120B"/>
    <w:rsid w:val="007C0D84"/>
    <w:rsid w:val="007D1DA8"/>
    <w:rsid w:val="007D2BA4"/>
    <w:rsid w:val="007F21B3"/>
    <w:rsid w:val="008032CD"/>
    <w:rsid w:val="00837DE6"/>
    <w:rsid w:val="00840852"/>
    <w:rsid w:val="00844D78"/>
    <w:rsid w:val="00847B24"/>
    <w:rsid w:val="008637CF"/>
    <w:rsid w:val="00864528"/>
    <w:rsid w:val="00871D8E"/>
    <w:rsid w:val="00876AE1"/>
    <w:rsid w:val="008949F0"/>
    <w:rsid w:val="008B7B96"/>
    <w:rsid w:val="008B7C4B"/>
    <w:rsid w:val="008C36C3"/>
    <w:rsid w:val="008C5ED4"/>
    <w:rsid w:val="008D67AE"/>
    <w:rsid w:val="008F49F6"/>
    <w:rsid w:val="00910DB0"/>
    <w:rsid w:val="0091257C"/>
    <w:rsid w:val="0092569A"/>
    <w:rsid w:val="00934549"/>
    <w:rsid w:val="009365D5"/>
    <w:rsid w:val="00947D8C"/>
    <w:rsid w:val="0095168A"/>
    <w:rsid w:val="00971B34"/>
    <w:rsid w:val="009B0CF7"/>
    <w:rsid w:val="009C016D"/>
    <w:rsid w:val="009C2546"/>
    <w:rsid w:val="00A04DC3"/>
    <w:rsid w:val="00A32ACB"/>
    <w:rsid w:val="00A364DC"/>
    <w:rsid w:val="00A40419"/>
    <w:rsid w:val="00A411F3"/>
    <w:rsid w:val="00A60200"/>
    <w:rsid w:val="00A7357E"/>
    <w:rsid w:val="00A77359"/>
    <w:rsid w:val="00A80351"/>
    <w:rsid w:val="00A937DC"/>
    <w:rsid w:val="00A97C29"/>
    <w:rsid w:val="00AA5B1C"/>
    <w:rsid w:val="00AB3A9F"/>
    <w:rsid w:val="00AB612C"/>
    <w:rsid w:val="00AC3FCE"/>
    <w:rsid w:val="00AD1B2D"/>
    <w:rsid w:val="00AD547A"/>
    <w:rsid w:val="00AD7517"/>
    <w:rsid w:val="00AE4E4A"/>
    <w:rsid w:val="00AE6DC2"/>
    <w:rsid w:val="00AF7732"/>
    <w:rsid w:val="00B1267E"/>
    <w:rsid w:val="00B249EB"/>
    <w:rsid w:val="00B401B8"/>
    <w:rsid w:val="00B40E65"/>
    <w:rsid w:val="00B426C3"/>
    <w:rsid w:val="00B64590"/>
    <w:rsid w:val="00B73414"/>
    <w:rsid w:val="00B76EC5"/>
    <w:rsid w:val="00BB589A"/>
    <w:rsid w:val="00BB62A5"/>
    <w:rsid w:val="00BC0AD2"/>
    <w:rsid w:val="00BC1596"/>
    <w:rsid w:val="00BF119C"/>
    <w:rsid w:val="00C162B1"/>
    <w:rsid w:val="00C30377"/>
    <w:rsid w:val="00C30EB4"/>
    <w:rsid w:val="00C4390E"/>
    <w:rsid w:val="00C43B29"/>
    <w:rsid w:val="00C452E8"/>
    <w:rsid w:val="00C46885"/>
    <w:rsid w:val="00C55AE5"/>
    <w:rsid w:val="00C90A7E"/>
    <w:rsid w:val="00C92C7E"/>
    <w:rsid w:val="00CA0CF6"/>
    <w:rsid w:val="00CB2AF4"/>
    <w:rsid w:val="00CC5A52"/>
    <w:rsid w:val="00CE318D"/>
    <w:rsid w:val="00CE76C3"/>
    <w:rsid w:val="00CF4FBF"/>
    <w:rsid w:val="00D0357F"/>
    <w:rsid w:val="00D21783"/>
    <w:rsid w:val="00D34FCE"/>
    <w:rsid w:val="00D47EA7"/>
    <w:rsid w:val="00D5273A"/>
    <w:rsid w:val="00D72910"/>
    <w:rsid w:val="00DA6C00"/>
    <w:rsid w:val="00DB0EC1"/>
    <w:rsid w:val="00DB3A7F"/>
    <w:rsid w:val="00DC4DB1"/>
    <w:rsid w:val="00DC67AC"/>
    <w:rsid w:val="00DF3644"/>
    <w:rsid w:val="00E11386"/>
    <w:rsid w:val="00E302BE"/>
    <w:rsid w:val="00E37E76"/>
    <w:rsid w:val="00E449D6"/>
    <w:rsid w:val="00E46B44"/>
    <w:rsid w:val="00E54374"/>
    <w:rsid w:val="00E57C52"/>
    <w:rsid w:val="00E61ECF"/>
    <w:rsid w:val="00E62ACD"/>
    <w:rsid w:val="00E702A0"/>
    <w:rsid w:val="00E723C3"/>
    <w:rsid w:val="00E80065"/>
    <w:rsid w:val="00EA1987"/>
    <w:rsid w:val="00EA58A1"/>
    <w:rsid w:val="00EA5BF0"/>
    <w:rsid w:val="00EA72A0"/>
    <w:rsid w:val="00EB5058"/>
    <w:rsid w:val="00EC4252"/>
    <w:rsid w:val="00ED31AA"/>
    <w:rsid w:val="00ED5378"/>
    <w:rsid w:val="00ED7FF4"/>
    <w:rsid w:val="00EE17D8"/>
    <w:rsid w:val="00EF4F6F"/>
    <w:rsid w:val="00EF60C0"/>
    <w:rsid w:val="00F00F83"/>
    <w:rsid w:val="00F100FE"/>
    <w:rsid w:val="00F102B9"/>
    <w:rsid w:val="00F143D0"/>
    <w:rsid w:val="00F30457"/>
    <w:rsid w:val="00F31251"/>
    <w:rsid w:val="00F359CB"/>
    <w:rsid w:val="00F415C5"/>
    <w:rsid w:val="00F64109"/>
    <w:rsid w:val="00F84482"/>
    <w:rsid w:val="00F937C9"/>
    <w:rsid w:val="00FA2D10"/>
    <w:rsid w:val="00FC1407"/>
    <w:rsid w:val="00FC1855"/>
    <w:rsid w:val="00FC699F"/>
    <w:rsid w:val="00FD169F"/>
    <w:rsid w:val="00FD7FEC"/>
    <w:rsid w:val="00FF0C6D"/>
    <w:rsid w:val="0225651D"/>
    <w:rsid w:val="02674DD0"/>
    <w:rsid w:val="02E82741"/>
    <w:rsid w:val="04584074"/>
    <w:rsid w:val="05147C3C"/>
    <w:rsid w:val="0692058D"/>
    <w:rsid w:val="07033BAC"/>
    <w:rsid w:val="0762713B"/>
    <w:rsid w:val="07EC4BEA"/>
    <w:rsid w:val="09551409"/>
    <w:rsid w:val="099D7D2C"/>
    <w:rsid w:val="0C325A99"/>
    <w:rsid w:val="0E82650B"/>
    <w:rsid w:val="0F095A37"/>
    <w:rsid w:val="10352792"/>
    <w:rsid w:val="10516A06"/>
    <w:rsid w:val="10E64C92"/>
    <w:rsid w:val="11CD523F"/>
    <w:rsid w:val="133B07BF"/>
    <w:rsid w:val="13B8465A"/>
    <w:rsid w:val="14A04432"/>
    <w:rsid w:val="150D6238"/>
    <w:rsid w:val="15124286"/>
    <w:rsid w:val="15E43E66"/>
    <w:rsid w:val="17DD3D91"/>
    <w:rsid w:val="188F3422"/>
    <w:rsid w:val="18C2085D"/>
    <w:rsid w:val="1A6F38CC"/>
    <w:rsid w:val="1B2467F0"/>
    <w:rsid w:val="1BB35DBD"/>
    <w:rsid w:val="1C0550B5"/>
    <w:rsid w:val="1D1B089A"/>
    <w:rsid w:val="1D2D2AA6"/>
    <w:rsid w:val="1DA01140"/>
    <w:rsid w:val="1DA82F09"/>
    <w:rsid w:val="1DB52C0F"/>
    <w:rsid w:val="1DC009E0"/>
    <w:rsid w:val="1E8461F1"/>
    <w:rsid w:val="1F924895"/>
    <w:rsid w:val="1FB405BE"/>
    <w:rsid w:val="1FC90663"/>
    <w:rsid w:val="208D2D95"/>
    <w:rsid w:val="226C4A28"/>
    <w:rsid w:val="23B01B82"/>
    <w:rsid w:val="2591111E"/>
    <w:rsid w:val="25BD5676"/>
    <w:rsid w:val="25DF0E2D"/>
    <w:rsid w:val="26DA713B"/>
    <w:rsid w:val="277E2C99"/>
    <w:rsid w:val="2B190844"/>
    <w:rsid w:val="2B34320F"/>
    <w:rsid w:val="2B807273"/>
    <w:rsid w:val="2BC748AF"/>
    <w:rsid w:val="2BCC4267"/>
    <w:rsid w:val="2D196A9E"/>
    <w:rsid w:val="2D1F7F26"/>
    <w:rsid w:val="2D221D79"/>
    <w:rsid w:val="2DD460B8"/>
    <w:rsid w:val="2DFCEC10"/>
    <w:rsid w:val="2E0C310F"/>
    <w:rsid w:val="2F4F0A2B"/>
    <w:rsid w:val="2F8E2738"/>
    <w:rsid w:val="304B5C1B"/>
    <w:rsid w:val="318F4387"/>
    <w:rsid w:val="323B48BA"/>
    <w:rsid w:val="3243451A"/>
    <w:rsid w:val="32C67299"/>
    <w:rsid w:val="335A4557"/>
    <w:rsid w:val="3433588F"/>
    <w:rsid w:val="35BD3A6F"/>
    <w:rsid w:val="374708CC"/>
    <w:rsid w:val="38716F8D"/>
    <w:rsid w:val="38953AC8"/>
    <w:rsid w:val="38D77FCD"/>
    <w:rsid w:val="39572A38"/>
    <w:rsid w:val="3AAA024B"/>
    <w:rsid w:val="3B682342"/>
    <w:rsid w:val="3B8807DC"/>
    <w:rsid w:val="3BAD5578"/>
    <w:rsid w:val="3BC946FA"/>
    <w:rsid w:val="3BF50BB7"/>
    <w:rsid w:val="3C246F62"/>
    <w:rsid w:val="3C526A0A"/>
    <w:rsid w:val="3C55677D"/>
    <w:rsid w:val="3D1D4DAA"/>
    <w:rsid w:val="3E674987"/>
    <w:rsid w:val="3EEFA74B"/>
    <w:rsid w:val="40A806BA"/>
    <w:rsid w:val="40D93256"/>
    <w:rsid w:val="41440EF1"/>
    <w:rsid w:val="41A26CF5"/>
    <w:rsid w:val="42402B63"/>
    <w:rsid w:val="42C42797"/>
    <w:rsid w:val="436B6BC5"/>
    <w:rsid w:val="44FD4015"/>
    <w:rsid w:val="462732B0"/>
    <w:rsid w:val="4682615B"/>
    <w:rsid w:val="46E47370"/>
    <w:rsid w:val="471D263E"/>
    <w:rsid w:val="47D62067"/>
    <w:rsid w:val="47DD4738"/>
    <w:rsid w:val="4888388C"/>
    <w:rsid w:val="49592DB9"/>
    <w:rsid w:val="496A5A69"/>
    <w:rsid w:val="4B336D84"/>
    <w:rsid w:val="4C5152ED"/>
    <w:rsid w:val="4D32D958"/>
    <w:rsid w:val="4DDD1451"/>
    <w:rsid w:val="4EB002A9"/>
    <w:rsid w:val="5066048A"/>
    <w:rsid w:val="50BC17B3"/>
    <w:rsid w:val="51526479"/>
    <w:rsid w:val="517562EF"/>
    <w:rsid w:val="5197703F"/>
    <w:rsid w:val="51FE11CB"/>
    <w:rsid w:val="52956A64"/>
    <w:rsid w:val="52F51E30"/>
    <w:rsid w:val="54653739"/>
    <w:rsid w:val="54C80841"/>
    <w:rsid w:val="54F1682A"/>
    <w:rsid w:val="560F0729"/>
    <w:rsid w:val="571D00BA"/>
    <w:rsid w:val="5777351E"/>
    <w:rsid w:val="57BB47FC"/>
    <w:rsid w:val="58C1407C"/>
    <w:rsid w:val="5A8DEDCC"/>
    <w:rsid w:val="5BFF126B"/>
    <w:rsid w:val="5C992808"/>
    <w:rsid w:val="5CAC12FC"/>
    <w:rsid w:val="5CEA0CD8"/>
    <w:rsid w:val="5D21324C"/>
    <w:rsid w:val="5DFB7BA1"/>
    <w:rsid w:val="5E032D25"/>
    <w:rsid w:val="60A97E04"/>
    <w:rsid w:val="618B700B"/>
    <w:rsid w:val="61AD727E"/>
    <w:rsid w:val="625569A9"/>
    <w:rsid w:val="629673D7"/>
    <w:rsid w:val="62D738B4"/>
    <w:rsid w:val="657C2E6F"/>
    <w:rsid w:val="66CC5F6E"/>
    <w:rsid w:val="66D949E0"/>
    <w:rsid w:val="67305040"/>
    <w:rsid w:val="688B391F"/>
    <w:rsid w:val="68D6136A"/>
    <w:rsid w:val="6B755EFA"/>
    <w:rsid w:val="6E565963"/>
    <w:rsid w:val="6ED30D0D"/>
    <w:rsid w:val="6F035C80"/>
    <w:rsid w:val="6F3235DE"/>
    <w:rsid w:val="6FDE6B28"/>
    <w:rsid w:val="6FE06646"/>
    <w:rsid w:val="70175A91"/>
    <w:rsid w:val="70700C31"/>
    <w:rsid w:val="725BB92D"/>
    <w:rsid w:val="72785A42"/>
    <w:rsid w:val="72DA05FA"/>
    <w:rsid w:val="73B82616"/>
    <w:rsid w:val="73F84FA8"/>
    <w:rsid w:val="74E17549"/>
    <w:rsid w:val="74FD067F"/>
    <w:rsid w:val="75042F2C"/>
    <w:rsid w:val="75771DB1"/>
    <w:rsid w:val="75DF2771"/>
    <w:rsid w:val="766C8DEE"/>
    <w:rsid w:val="767DE67A"/>
    <w:rsid w:val="77770FA9"/>
    <w:rsid w:val="77F52CC5"/>
    <w:rsid w:val="78B50865"/>
    <w:rsid w:val="78C30BFB"/>
    <w:rsid w:val="7BB01F03"/>
    <w:rsid w:val="7CCF229B"/>
    <w:rsid w:val="7CF07CC4"/>
    <w:rsid w:val="7DE22E07"/>
    <w:rsid w:val="7EB432D9"/>
    <w:rsid w:val="7ECA395B"/>
    <w:rsid w:val="7F884698"/>
    <w:rsid w:val="7FA46F26"/>
    <w:rsid w:val="7FEC22AE"/>
    <w:rsid w:val="7FF75A2D"/>
    <w:rsid w:val="7FFF45D4"/>
    <w:rsid w:val="A7DD678A"/>
    <w:rsid w:val="BEDB3510"/>
    <w:rsid w:val="BFFF1F2C"/>
    <w:rsid w:val="CDBF8A39"/>
    <w:rsid w:val="D957340F"/>
    <w:rsid w:val="DFEEBF95"/>
    <w:rsid w:val="EDBF2BB6"/>
    <w:rsid w:val="EEFC98A2"/>
    <w:rsid w:val="F36F3480"/>
    <w:rsid w:val="F7DFACC5"/>
    <w:rsid w:val="F7E5DC03"/>
    <w:rsid w:val="F974C03F"/>
    <w:rsid w:val="FCE95B05"/>
    <w:rsid w:val="FEBF6D7F"/>
    <w:rsid w:val="FFB9831B"/>
    <w:rsid w:val="FFFFE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outlineLvl w:val="0"/>
    </w:pPr>
    <w:rPr>
      <w:rFonts w:eastAsia="黑体"/>
      <w:b/>
      <w:bCs/>
      <w:kern w:val="44"/>
      <w:szCs w:val="44"/>
    </w:rPr>
  </w:style>
  <w:style w:type="paragraph" w:styleId="3">
    <w:name w:val="heading 3"/>
    <w:basedOn w:val="1"/>
    <w:next w:val="1"/>
    <w:qFormat/>
    <w:uiPriority w:val="0"/>
    <w:pPr>
      <w:keepNext/>
      <w:keepLines/>
      <w:spacing w:before="120" w:after="120"/>
      <w:outlineLvl w:val="2"/>
    </w:pPr>
    <w:rPr>
      <w:b/>
      <w:bCs/>
      <w:sz w:val="24"/>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1"/>
    <w:pPr>
      <w:spacing w:after="120"/>
    </w:pPr>
  </w:style>
  <w:style w:type="paragraph" w:styleId="6">
    <w:name w:val="footer"/>
    <w:basedOn w:val="1"/>
    <w:link w:val="14"/>
    <w:qFormat/>
    <w:uiPriority w:val="99"/>
    <w:pPr>
      <w:tabs>
        <w:tab w:val="center" w:pos="4153"/>
        <w:tab w:val="right" w:pos="8306"/>
      </w:tabs>
      <w:snapToGrid w:val="0"/>
      <w:spacing w:line="240" w:lineRule="auto"/>
      <w:jc w:val="left"/>
    </w:pPr>
    <w:rPr>
      <w:sz w:val="18"/>
      <w:szCs w:val="18"/>
    </w:rPr>
  </w:style>
  <w:style w:type="paragraph" w:styleId="7">
    <w:name w:val="header"/>
    <w:basedOn w:val="1"/>
    <w:link w:val="13"/>
    <w:qFormat/>
    <w:uiPriority w:val="0"/>
    <w:pP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5"/>
    <w:qFormat/>
    <w:uiPriority w:val="0"/>
    <w:pPr>
      <w:ind w:firstLine="420" w:firstLineChars="100"/>
    </w:pPr>
  </w:style>
  <w:style w:type="character" w:styleId="12">
    <w:name w:val="annotation reference"/>
    <w:basedOn w:val="11"/>
    <w:qFormat/>
    <w:uiPriority w:val="0"/>
    <w:rPr>
      <w:sz w:val="21"/>
      <w:szCs w:val="21"/>
    </w:rPr>
  </w:style>
  <w:style w:type="character" w:customStyle="1" w:styleId="13">
    <w:name w:val="页眉 字符"/>
    <w:basedOn w:val="11"/>
    <w:link w:val="7"/>
    <w:qFormat/>
    <w:uiPriority w:val="0"/>
    <w:rPr>
      <w:kern w:val="2"/>
      <w:sz w:val="18"/>
      <w:szCs w:val="18"/>
    </w:rPr>
  </w:style>
  <w:style w:type="character" w:customStyle="1" w:styleId="14">
    <w:name w:val="页脚 字符"/>
    <w:basedOn w:val="11"/>
    <w:link w:val="6"/>
    <w:qFormat/>
    <w:uiPriority w:val="99"/>
    <w:rPr>
      <w:kern w:val="2"/>
      <w:sz w:val="18"/>
      <w:szCs w:val="18"/>
    </w:rPr>
  </w:style>
  <w:style w:type="paragraph" w:styleId="15">
    <w:name w:val="List Paragraph"/>
    <w:basedOn w:val="1"/>
    <w:unhideWhenUsed/>
    <w:qFormat/>
    <w:uiPriority w:val="99"/>
    <w:pPr>
      <w:ind w:firstLine="420"/>
    </w:pPr>
  </w:style>
  <w:style w:type="paragraph" w:customStyle="1" w:styleId="16">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7">
    <w:name w:val="CM60"/>
    <w:basedOn w:val="18"/>
    <w:next w:val="1"/>
    <w:qFormat/>
    <w:uiPriority w:val="0"/>
    <w:pPr>
      <w:spacing w:after="60"/>
    </w:pPr>
    <w:rPr>
      <w:rFonts w:ascii="宋体" w:eastAsia="宋体"/>
      <w:color w:val="auto"/>
    </w:rPr>
  </w:style>
  <w:style w:type="paragraph" w:customStyle="1" w:styleId="18">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1412</Words>
  <Characters>1492</Characters>
  <Lines>82</Lines>
  <Paragraphs>23</Paragraphs>
  <TotalTime>0</TotalTime>
  <ScaleCrop>false</ScaleCrop>
  <LinksUpToDate>false</LinksUpToDate>
  <CharactersWithSpaces>1506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2024-08-01T00:04:00Z</dcterms:created>
  <dc:creator>卓柏刚</dc:creator>
  <cp:lastModifiedBy>1</cp:lastModifiedBy>
  <cp:lastPrinted>2024-09-10T19:47:00Z</cp:lastPrinted>
  <dcterms:modified xsi:type="dcterms:W3CDTF">2026-04-03T06:52:53Z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68F82FE578794663B7B3ACC6AD325C59</vt:lpwstr>
  </property>
  <property fmtid="{D5CDD505-2E9C-101B-9397-08002B2CF9AE}" pid="4" name="KSOTemplateDocerSaveRecord">
    <vt:lpwstr>eyJoZGlkIjoiODU4NDYxNDY4MWI1YzM3NTM1NDZkYTcwYmUxYmY2NTMiLCJ1c2VySWQiOiIyMzI2MDg4MjEifQ==</vt:lpwstr>
  </property>
</Properties>
</file>