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610BD">
      <w:pPr>
        <w:ind w:firstLine="3654" w:firstLineChars="1300"/>
        <w:rPr>
          <w:rFonts w:ascii="宋体" w:hAnsi="宋体"/>
          <w:color w:val="FF0000"/>
          <w:szCs w:val="21"/>
          <w:lang w:eastAsia="zh-CN"/>
        </w:rPr>
      </w:pPr>
      <w:bookmarkStart w:id="0" w:name="_Hlk71456902"/>
      <w:r>
        <w:rPr>
          <w:rFonts w:hint="eastAsia" w:ascii="宋体" w:hAnsi="宋体" w:eastAsia="黑体"/>
          <w:b/>
          <w:bCs/>
          <w:color w:val="FF0000"/>
          <w:kern w:val="44"/>
          <w:sz w:val="28"/>
          <w:szCs w:val="44"/>
          <w:lang w:eastAsia="zh-CN"/>
        </w:rPr>
        <w:t>特别警示条款</w:t>
      </w:r>
    </w:p>
    <w:p w14:paraId="6453B88B">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hint="eastAsia" w:ascii="宋体" w:hAnsi="宋体" w:eastAsia="宋体" w:cs="宋体"/>
          <w:b/>
          <w:bCs/>
          <w:color w:val="FF0000"/>
          <w:sz w:val="21"/>
          <w:szCs w:val="21"/>
          <w:highlight w:val="yellow"/>
          <w:lang w:eastAsia="zh-CN"/>
        </w:rPr>
      </w:pPr>
      <w:r>
        <w:rPr>
          <w:rFonts w:hint="eastAsia" w:ascii="宋体" w:hAnsi="宋体" w:eastAsia="宋体" w:cs="宋体"/>
          <w:b/>
          <w:bCs/>
          <w:color w:val="FF0000"/>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754E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480B9554">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序号</w:t>
            </w:r>
          </w:p>
        </w:tc>
        <w:tc>
          <w:tcPr>
            <w:tcW w:w="7711" w:type="dxa"/>
            <w:tcBorders>
              <w:tl2br w:val="nil"/>
              <w:tr2bl w:val="nil"/>
            </w:tcBorders>
            <w:vAlign w:val="center"/>
          </w:tcPr>
          <w:p w14:paraId="20FC6D0D">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b/>
                <w:bCs/>
                <w:color w:val="FF0000"/>
                <w:sz w:val="21"/>
                <w:szCs w:val="21"/>
                <w:lang w:eastAsia="zh-CN"/>
              </w:rPr>
              <w:t>供应商参与投标禁止情形</w:t>
            </w:r>
          </w:p>
        </w:tc>
      </w:tr>
      <w:tr w14:paraId="6D6E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FEB9A21">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w:t>
            </w:r>
          </w:p>
        </w:tc>
        <w:tc>
          <w:tcPr>
            <w:tcW w:w="7711" w:type="dxa"/>
            <w:tcBorders>
              <w:tl2br w:val="nil"/>
              <w:tr2bl w:val="nil"/>
            </w:tcBorders>
            <w:vAlign w:val="center"/>
          </w:tcPr>
          <w:p w14:paraId="55C4AB19">
            <w:pPr>
              <w:widowControl w:val="0"/>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lang w:eastAsia="zh-CN"/>
              </w:rPr>
              <w:t>同一人、属同一单位或者在同一单位缴纳社会保险</w:t>
            </w:r>
            <w:r>
              <w:rPr>
                <w:rFonts w:hint="eastAsia" w:ascii="宋体" w:hAnsi="宋体" w:eastAsia="宋体" w:cs="宋体"/>
                <w:color w:val="FF0000"/>
                <w:sz w:val="21"/>
                <w:szCs w:val="21"/>
                <w:lang w:eastAsia="zh-CN"/>
              </w:rPr>
              <w:t>。</w:t>
            </w:r>
          </w:p>
        </w:tc>
      </w:tr>
      <w:tr w14:paraId="38DE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5C19A50">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w:t>
            </w:r>
          </w:p>
        </w:tc>
        <w:tc>
          <w:tcPr>
            <w:tcW w:w="7711" w:type="dxa"/>
            <w:tcBorders>
              <w:tl2br w:val="nil"/>
              <w:tr2bl w:val="nil"/>
            </w:tcBorders>
            <w:vAlign w:val="center"/>
          </w:tcPr>
          <w:p w14:paraId="77B47644">
            <w:pPr>
              <w:widowControl w:val="0"/>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参与本项目政府采购活动时，与其他投标供应商存在单位负责人为</w:t>
            </w:r>
            <w:r>
              <w:rPr>
                <w:rFonts w:hint="eastAsia" w:ascii="宋体" w:hAnsi="宋体" w:eastAsia="宋体" w:cs="宋体"/>
                <w:b/>
                <w:bCs/>
                <w:color w:val="FF0000"/>
                <w:sz w:val="21"/>
                <w:szCs w:val="21"/>
                <w:lang w:eastAsia="zh-CN"/>
              </w:rPr>
              <w:t>同一人或直接控股、管理关系</w:t>
            </w:r>
            <w:r>
              <w:rPr>
                <w:rFonts w:hint="eastAsia" w:ascii="宋体" w:hAnsi="宋体" w:eastAsia="宋体" w:cs="宋体"/>
                <w:color w:val="FF0000"/>
                <w:sz w:val="21"/>
                <w:szCs w:val="21"/>
                <w:lang w:eastAsia="zh-CN"/>
              </w:rPr>
              <w:t>。</w:t>
            </w:r>
          </w:p>
        </w:tc>
      </w:tr>
      <w:tr w14:paraId="5E2C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090CD39">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3</w:t>
            </w:r>
          </w:p>
        </w:tc>
        <w:tc>
          <w:tcPr>
            <w:tcW w:w="7711" w:type="dxa"/>
            <w:tcBorders>
              <w:tl2br w:val="nil"/>
              <w:tr2bl w:val="nil"/>
            </w:tcBorders>
            <w:vAlign w:val="center"/>
          </w:tcPr>
          <w:p w14:paraId="22CB995F">
            <w:pPr>
              <w:widowControl w:val="0"/>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与其他投标供应商的投标文件或部分投标文件</w:t>
            </w:r>
            <w:r>
              <w:rPr>
                <w:rFonts w:hint="eastAsia" w:ascii="宋体" w:hAnsi="宋体" w:eastAsia="宋体" w:cs="宋体"/>
                <w:b/>
                <w:bCs/>
                <w:color w:val="FF0000"/>
                <w:sz w:val="21"/>
                <w:szCs w:val="21"/>
                <w:lang w:eastAsia="zh-CN"/>
              </w:rPr>
              <w:t>相互混装或存在非正常一致</w:t>
            </w:r>
            <w:r>
              <w:rPr>
                <w:rFonts w:hint="eastAsia" w:ascii="宋体" w:hAnsi="宋体" w:eastAsia="宋体" w:cs="宋体"/>
                <w:color w:val="FF0000"/>
                <w:sz w:val="21"/>
                <w:szCs w:val="21"/>
                <w:lang w:eastAsia="zh-CN"/>
              </w:rPr>
              <w:t>。</w:t>
            </w:r>
          </w:p>
        </w:tc>
      </w:tr>
      <w:tr w14:paraId="75F0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2C09D574">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4</w:t>
            </w:r>
          </w:p>
        </w:tc>
        <w:tc>
          <w:tcPr>
            <w:tcW w:w="7711" w:type="dxa"/>
            <w:tcBorders>
              <w:tl2br w:val="nil"/>
              <w:tr2bl w:val="nil"/>
            </w:tcBorders>
            <w:vAlign w:val="center"/>
          </w:tcPr>
          <w:p w14:paraId="40511992">
            <w:pPr>
              <w:widowControl w:val="0"/>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rPr>
              <w:t>与其他投标供应商的投标文件由</w:t>
            </w:r>
            <w:r>
              <w:rPr>
                <w:rFonts w:hint="eastAsia" w:ascii="宋体" w:hAnsi="宋体" w:eastAsia="宋体" w:cs="宋体"/>
                <w:b/>
                <w:bCs/>
                <w:color w:val="FF0000"/>
                <w:sz w:val="21"/>
                <w:szCs w:val="21"/>
                <w:lang w:eastAsia="zh-CN"/>
              </w:rPr>
              <w:t>同一单位或者同一人编制</w:t>
            </w:r>
            <w:r>
              <w:rPr>
                <w:rFonts w:hint="eastAsia" w:ascii="宋体" w:hAnsi="宋体" w:eastAsia="宋体" w:cs="宋体"/>
                <w:color w:val="FF0000"/>
                <w:sz w:val="21"/>
                <w:szCs w:val="21"/>
                <w:lang w:eastAsia="zh-CN"/>
              </w:rPr>
              <w:t>，或者使用</w:t>
            </w:r>
            <w:r>
              <w:rPr>
                <w:rFonts w:hint="eastAsia" w:ascii="宋体" w:hAnsi="宋体" w:eastAsia="宋体" w:cs="宋体"/>
                <w:b/>
                <w:bCs/>
                <w:color w:val="FF0000"/>
                <w:sz w:val="21"/>
                <w:szCs w:val="21"/>
                <w:lang w:eastAsia="zh-CN"/>
              </w:rPr>
              <w:t>同一设备编制</w:t>
            </w:r>
            <w:r>
              <w:rPr>
                <w:rFonts w:hint="eastAsia" w:ascii="宋体" w:hAnsi="宋体" w:eastAsia="宋体" w:cs="宋体"/>
                <w:color w:val="FF0000"/>
                <w:sz w:val="21"/>
                <w:szCs w:val="21"/>
                <w:lang w:eastAsia="zh-CN"/>
              </w:rPr>
              <w:t>（“文件制作机器码”“文件创建标识码”一致）。</w:t>
            </w:r>
          </w:p>
        </w:tc>
      </w:tr>
      <w:tr w14:paraId="3FE6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182DC97D">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5</w:t>
            </w:r>
          </w:p>
        </w:tc>
        <w:tc>
          <w:tcPr>
            <w:tcW w:w="7711" w:type="dxa"/>
            <w:tcBorders>
              <w:tl2br w:val="nil"/>
              <w:tr2bl w:val="nil"/>
            </w:tcBorders>
            <w:vAlign w:val="center"/>
          </w:tcPr>
          <w:p w14:paraId="459E3E4B">
            <w:pPr>
              <w:widowControl w:val="0"/>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提供</w:t>
            </w:r>
            <w:r>
              <w:rPr>
                <w:rFonts w:hint="eastAsia" w:ascii="宋体" w:hAnsi="宋体" w:eastAsia="宋体" w:cs="宋体"/>
                <w:b/>
                <w:bCs/>
                <w:color w:val="FF0000"/>
                <w:sz w:val="21"/>
                <w:szCs w:val="21"/>
                <w:lang w:eastAsia="zh-CN"/>
              </w:rPr>
              <w:t>未经出具机构核实</w:t>
            </w:r>
            <w:r>
              <w:rPr>
                <w:rFonts w:hint="eastAsia" w:ascii="宋体" w:hAnsi="宋体" w:eastAsia="宋体" w:cs="宋体"/>
                <w:color w:val="FF0000"/>
                <w:sz w:val="21"/>
                <w:szCs w:val="21"/>
                <w:lang w:eastAsia="zh-CN"/>
              </w:rPr>
              <w:t>的虚假的检验检测报告、业绩材料、社保缴纳证明、学历学位证书、职称认证证书等材料。</w:t>
            </w:r>
          </w:p>
        </w:tc>
      </w:tr>
      <w:tr w14:paraId="2E92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407DEFD2">
            <w:pPr>
              <w:widowControl w:val="0"/>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w:t>
            </w:r>
          </w:p>
        </w:tc>
        <w:tc>
          <w:tcPr>
            <w:tcW w:w="7711" w:type="dxa"/>
            <w:tcBorders>
              <w:tl2br w:val="nil"/>
              <w:tr2bl w:val="nil"/>
            </w:tcBorders>
            <w:vAlign w:val="center"/>
          </w:tcPr>
          <w:p w14:paraId="1E133E24">
            <w:pPr>
              <w:widowControl w:val="0"/>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kern w:val="2"/>
                <w:sz w:val="21"/>
                <w:szCs w:val="21"/>
                <w:lang w:eastAsia="zh-CN"/>
              </w:rPr>
            </w:pPr>
            <w:r>
              <w:rPr>
                <w:rFonts w:hint="eastAsia" w:ascii="宋体" w:hAnsi="宋体" w:eastAsia="宋体" w:cs="宋体"/>
                <w:color w:val="FF0000"/>
                <w:sz w:val="21"/>
                <w:szCs w:val="21"/>
                <w:lang w:eastAsia="zh-CN"/>
              </w:rPr>
              <w:t>擅自将投标密钥或电子营业执照出借他人使用或未妥善保管。</w:t>
            </w:r>
          </w:p>
        </w:tc>
      </w:tr>
    </w:tbl>
    <w:p w14:paraId="4F4E129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p>
    <w:p w14:paraId="1050070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一、</w:t>
      </w:r>
      <w:r>
        <w:rPr>
          <w:rFonts w:hint="eastAsia" w:ascii="宋体" w:hAnsi="宋体"/>
          <w:b/>
          <w:bCs/>
          <w:color w:val="FF0000"/>
          <w:sz w:val="20"/>
          <w:szCs w:val="20"/>
          <w:lang w:eastAsia="zh-CN"/>
        </w:rPr>
        <w:t>《深圳经济特区政府采购条例》第五十七条</w:t>
      </w:r>
      <w:r>
        <w:rPr>
          <w:rFonts w:hint="eastAsia" w:ascii="宋体" w:hAnsi="宋体"/>
          <w:color w:val="FF0000"/>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FFE8D2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（一）在采购活动中应当回避而未回避的；</w:t>
      </w:r>
    </w:p>
    <w:p w14:paraId="6D65F40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（二）未按本条例规定签订、履行采购合同，造成严重后果的；</w:t>
      </w:r>
    </w:p>
    <w:p w14:paraId="32B53DD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（三）隐瞒真实情况，提供虚假资料的；</w:t>
      </w:r>
    </w:p>
    <w:p w14:paraId="063D567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（四）以非法手段排斥其他供应商参与竞争的；</w:t>
      </w:r>
    </w:p>
    <w:p w14:paraId="1427FCF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（五）与其他采购参加人串通投标的；</w:t>
      </w:r>
    </w:p>
    <w:p w14:paraId="0E87254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（六）恶意投诉的；</w:t>
      </w:r>
    </w:p>
    <w:p w14:paraId="109BC28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（七）向采购项目相关人行贿或者提供其他不当利益的；</w:t>
      </w:r>
    </w:p>
    <w:p w14:paraId="4F67A50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（八）阻碍、抗拒主管部门监督检查的；</w:t>
      </w:r>
    </w:p>
    <w:p w14:paraId="644F216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（九）其他违反本条例规定的行为。</w:t>
      </w:r>
    </w:p>
    <w:p w14:paraId="168DAE2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b/>
          <w:bCs/>
          <w:color w:val="FF0000"/>
          <w:sz w:val="20"/>
          <w:szCs w:val="20"/>
          <w:lang w:eastAsia="zh-CN"/>
        </w:rPr>
        <w:t xml:space="preserve">二、《深圳经济特区政府采购条例实施细则》第七十五条 </w:t>
      </w:r>
      <w:r>
        <w:rPr>
          <w:rFonts w:hint="eastAsia" w:ascii="宋体" w:hAnsi="宋体"/>
          <w:color w:val="FF0000"/>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8B8B39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b/>
          <w:bCs/>
          <w:color w:val="FF0000"/>
          <w:sz w:val="20"/>
          <w:szCs w:val="20"/>
          <w:lang w:eastAsia="zh-CN"/>
        </w:rPr>
        <w:t xml:space="preserve">三、《深圳经济特区政府采购条例实施细则》第七十七条 </w:t>
      </w:r>
      <w:r>
        <w:rPr>
          <w:rFonts w:hint="eastAsia" w:ascii="宋体" w:hAnsi="宋体"/>
          <w:color w:val="FF0000"/>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187FFB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lang w:eastAsia="zh-CN"/>
        </w:rPr>
      </w:pPr>
      <w:r>
        <w:rPr>
          <w:rFonts w:hint="eastAsia" w:ascii="宋体" w:hAnsi="宋体"/>
          <w:color w:val="FF0000"/>
          <w:sz w:val="20"/>
          <w:szCs w:val="20"/>
          <w:lang w:eastAsia="zh-CN"/>
        </w:rPr>
        <w:t>投标供应商不能提供项目负责人或者主要技术人员的劳动合同、社会保险等劳动关系证明材料的，视为存在前款第（三）项规定的情形。</w:t>
      </w:r>
    </w:p>
    <w:p w14:paraId="33A7270C">
      <w:pPr>
        <w:pBdr>
          <w:top w:val="none" w:color="auto" w:sz="0" w:space="1"/>
          <w:left w:val="none" w:color="auto" w:sz="0" w:space="4"/>
          <w:bottom w:val="none" w:color="auto" w:sz="0" w:space="1"/>
          <w:right w:val="none" w:color="auto" w:sz="0" w:space="4"/>
        </w:pBdr>
        <w:ind w:firstLine="400" w:firstLineChars="200"/>
        <w:rPr>
          <w:bCs/>
          <w:color w:val="FF0000"/>
          <w:sz w:val="20"/>
          <w:szCs w:val="20"/>
          <w:lang w:eastAsia="zh-CN"/>
        </w:rPr>
      </w:pPr>
      <w:r>
        <w:rPr>
          <w:rFonts w:hint="eastAsia"/>
          <w:bCs/>
          <w:color w:val="FF0000"/>
          <w:sz w:val="20"/>
          <w:szCs w:val="20"/>
          <w:lang w:eastAsia="zh-CN"/>
        </w:rPr>
        <w:t>四、</w:t>
      </w:r>
      <w:r>
        <w:rPr>
          <w:rFonts w:hint="eastAsia" w:eastAsia="宋体"/>
          <w:bCs/>
          <w:color w:val="FF0000"/>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25A0CFC8">
      <w:pPr>
        <w:pBdr>
          <w:top w:val="none" w:color="auto" w:sz="0" w:space="1"/>
          <w:left w:val="none" w:color="auto" w:sz="0" w:space="4"/>
          <w:bottom w:val="none" w:color="auto" w:sz="0" w:space="1"/>
          <w:right w:val="none" w:color="auto" w:sz="0" w:space="4"/>
        </w:pBdr>
        <w:ind w:firstLine="400" w:firstLineChars="200"/>
        <w:rPr>
          <w:bCs/>
          <w:color w:val="FF0000"/>
          <w:sz w:val="20"/>
          <w:szCs w:val="20"/>
          <w:lang w:eastAsia="zh-CN"/>
        </w:rPr>
      </w:pPr>
      <w:r>
        <w:rPr>
          <w:rFonts w:hint="eastAsia" w:eastAsia="宋体"/>
          <w:bCs/>
          <w:color w:val="FF0000"/>
          <w:sz w:val="20"/>
          <w:szCs w:val="20"/>
          <w:lang w:eastAsia="zh-CN"/>
        </w:rPr>
        <w:t>为避免出现不同供应商投标文件的文件制作机器码、文件创建标识码、IP地址一致的异常情况，建议各供应商编制、上传投标文件时不要使用公共电脑设备或公共网络。</w:t>
      </w:r>
    </w:p>
    <w:p w14:paraId="11F5AD21">
      <w:pPr>
        <w:pBdr>
          <w:top w:val="none" w:color="auto" w:sz="0" w:space="1"/>
          <w:left w:val="none" w:color="auto" w:sz="0" w:space="4"/>
          <w:bottom w:val="none" w:color="auto" w:sz="0" w:space="1"/>
          <w:right w:val="none" w:color="auto" w:sz="0" w:space="4"/>
        </w:pBdr>
        <w:ind w:firstLine="400" w:firstLineChars="200"/>
        <w:rPr>
          <w:rFonts w:eastAsia="宋体"/>
          <w:bCs/>
          <w:color w:val="FF0000"/>
          <w:sz w:val="20"/>
          <w:szCs w:val="20"/>
          <w:lang w:eastAsia="zh-CN"/>
        </w:rPr>
      </w:pPr>
      <w:r>
        <w:rPr>
          <w:rFonts w:hint="eastAsia" w:eastAsia="宋体"/>
          <w:bCs/>
          <w:color w:val="FF0000"/>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lang w:eastAsia="zh-CN"/>
        </w:rPr>
        <w:t>取消参与本市政府采购资格</w:t>
      </w:r>
      <w:r>
        <w:rPr>
          <w:rFonts w:hint="eastAsia" w:hAnsi="宋体"/>
          <w:color w:val="FF0000"/>
          <w:sz w:val="20"/>
          <w:szCs w:val="20"/>
          <w:lang w:eastAsia="zh-CN"/>
        </w:rPr>
        <w:t>、</w:t>
      </w:r>
      <w:r>
        <w:rPr>
          <w:rFonts w:hint="eastAsia" w:ascii="宋体" w:hAnsi="宋体"/>
          <w:color w:val="FF0000"/>
          <w:sz w:val="20"/>
          <w:szCs w:val="20"/>
          <w:lang w:eastAsia="zh-CN"/>
        </w:rPr>
        <w:t>依法吊销其营业</w:t>
      </w:r>
      <w:r>
        <w:rPr>
          <w:rFonts w:hint="eastAsia" w:hAnsi="宋体"/>
          <w:color w:val="FF0000"/>
          <w:sz w:val="20"/>
          <w:szCs w:val="20"/>
          <w:lang w:eastAsia="zh-CN"/>
        </w:rPr>
        <w:t>执照等行政处罚，</w:t>
      </w:r>
      <w:r>
        <w:rPr>
          <w:rFonts w:hint="eastAsia" w:ascii="宋体" w:hAnsi="宋体"/>
          <w:color w:val="FF0000"/>
          <w:sz w:val="20"/>
          <w:szCs w:val="20"/>
          <w:lang w:eastAsia="zh-CN"/>
        </w:rPr>
        <w:t>构成犯罪的，依法追究刑事责任</w:t>
      </w:r>
      <w:r>
        <w:rPr>
          <w:rFonts w:hint="eastAsia" w:eastAsia="宋体"/>
          <w:bCs/>
          <w:color w:val="FF0000"/>
          <w:sz w:val="20"/>
          <w:szCs w:val="20"/>
          <w:lang w:eastAsia="zh-CN"/>
        </w:rPr>
        <w:t>，请各供应商独立编制、上传投标文件，妥善保管和使用电子秘钥。</w:t>
      </w:r>
    </w:p>
    <w:p w14:paraId="137B4EB3">
      <w:pPr>
        <w:pBdr>
          <w:top w:val="none" w:color="auto" w:sz="0" w:space="1"/>
          <w:left w:val="none" w:color="auto" w:sz="0" w:space="4"/>
          <w:bottom w:val="none" w:color="auto" w:sz="0" w:space="1"/>
          <w:right w:val="none" w:color="auto" w:sz="0" w:space="4"/>
        </w:pBdr>
        <w:ind w:firstLine="422" w:firstLineChars="200"/>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73FFEE3">
      <w:pPr>
        <w:pStyle w:val="25"/>
      </w:pPr>
    </w:p>
    <w:p w14:paraId="05083B6A">
      <w:pPr>
        <w:pStyle w:val="15"/>
        <w:widowControl/>
        <w:pBdr>
          <w:top w:val="none" w:color="auto" w:sz="0" w:space="1"/>
          <w:left w:val="none" w:color="auto" w:sz="0" w:space="4"/>
          <w:bottom w:val="none" w:color="auto" w:sz="0" w:space="1"/>
          <w:right w:val="none" w:color="auto" w:sz="0" w:space="4"/>
        </w:pBdr>
        <w:jc w:val="both"/>
        <w:outlineLvl w:val="1"/>
        <w:rPr>
          <w:b/>
          <w:color w:val="FF0000"/>
          <w:kern w:val="2"/>
          <w:sz w:val="21"/>
        </w:rPr>
      </w:pPr>
      <w:r>
        <w:rPr>
          <w:rFonts w:hint="eastAsia"/>
          <w:b/>
          <w:color w:val="FF0000"/>
          <w:kern w:val="2"/>
          <w:sz w:val="21"/>
        </w:rPr>
        <w:t>注：“特别警示条款”和《政府采购违法行为风险知悉确认书》用于对供应商违法行为的提醒，不作为供应商资格性审查及符合性审查条件。</w:t>
      </w:r>
    </w:p>
    <w:p w14:paraId="05807F12">
      <w:pPr>
        <w:spacing w:beforeAutospacing="1" w:afterAutospacing="1" w:line="278" w:lineRule="auto"/>
        <w:jc w:val="center"/>
        <w:outlineLvl w:val="1"/>
        <w:rPr>
          <w:rFonts w:ascii="黑体" w:hAnsi="宋体" w:eastAsia="黑体" w:cs="黑体"/>
          <w:sz w:val="40"/>
          <w:szCs w:val="40"/>
          <w:lang w:eastAsia="zh-CN"/>
        </w:rPr>
      </w:pPr>
    </w:p>
    <w:p w14:paraId="3F93EA27">
      <w:pPr>
        <w:pStyle w:val="2"/>
        <w:rPr>
          <w:rFonts w:ascii="黑体" w:hAnsi="宋体" w:eastAsia="黑体" w:cs="黑体"/>
          <w:sz w:val="40"/>
          <w:szCs w:val="40"/>
          <w:lang w:eastAsia="zh-CN"/>
        </w:rPr>
      </w:pPr>
    </w:p>
    <w:p w14:paraId="54829400">
      <w:pPr>
        <w:pStyle w:val="3"/>
        <w:rPr>
          <w:rFonts w:ascii="黑体" w:hAnsi="宋体" w:eastAsia="黑体" w:cs="黑体"/>
          <w:sz w:val="40"/>
          <w:szCs w:val="40"/>
          <w:lang w:eastAsia="zh-CN"/>
        </w:rPr>
      </w:pPr>
    </w:p>
    <w:p w14:paraId="6CB88B00">
      <w:pPr>
        <w:pStyle w:val="2"/>
        <w:rPr>
          <w:rFonts w:ascii="黑体" w:hAnsi="宋体" w:eastAsia="黑体" w:cs="黑体"/>
          <w:sz w:val="40"/>
          <w:szCs w:val="40"/>
          <w:lang w:eastAsia="zh-CN"/>
        </w:rPr>
      </w:pPr>
    </w:p>
    <w:p w14:paraId="00CE8782">
      <w:pPr>
        <w:pStyle w:val="3"/>
        <w:rPr>
          <w:lang w:eastAsia="zh-CN"/>
        </w:rPr>
      </w:pPr>
    </w:p>
    <w:p w14:paraId="12B07150">
      <w:pPr>
        <w:spacing w:beforeAutospacing="1" w:after="160" w:afterAutospacing="1" w:line="278" w:lineRule="auto"/>
        <w:jc w:val="center"/>
        <w:outlineLvl w:val="1"/>
        <w:rPr>
          <w:rFonts w:ascii="黑体" w:hAnsi="宋体" w:eastAsia="黑体" w:cs="黑体"/>
          <w:sz w:val="40"/>
          <w:szCs w:val="40"/>
          <w:lang w:eastAsia="zh-CN"/>
        </w:rPr>
      </w:pPr>
    </w:p>
    <w:p w14:paraId="4A60B407">
      <w:pPr>
        <w:spacing w:beforeAutospacing="1" w:after="160" w:afterAutospacing="1" w:line="278" w:lineRule="auto"/>
        <w:jc w:val="center"/>
        <w:outlineLvl w:val="1"/>
        <w:rPr>
          <w:rFonts w:ascii="黑体" w:hAnsi="宋体" w:eastAsia="黑体" w:cs="黑体"/>
          <w:sz w:val="40"/>
          <w:szCs w:val="40"/>
          <w:lang w:eastAsia="zh-CN"/>
        </w:rPr>
      </w:pPr>
    </w:p>
    <w:p w14:paraId="11269672">
      <w:pPr>
        <w:spacing w:beforeAutospacing="1" w:after="160" w:afterAutospacing="1" w:line="278" w:lineRule="auto"/>
        <w:jc w:val="center"/>
        <w:outlineLvl w:val="1"/>
        <w:rPr>
          <w:rFonts w:hint="eastAsia" w:ascii="黑体" w:hAnsi="宋体" w:eastAsia="黑体" w:cs="黑体"/>
          <w:sz w:val="40"/>
          <w:szCs w:val="40"/>
          <w:lang w:eastAsia="zh-CN"/>
        </w:rPr>
      </w:pPr>
      <w:bookmarkStart w:id="146" w:name="_GoBack"/>
      <w:bookmarkEnd w:id="146"/>
    </w:p>
    <w:p w14:paraId="0E688036">
      <w:pPr>
        <w:spacing w:beforeAutospacing="1"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8"/>
        <w:tblW w:w="5000" w:type="pct"/>
        <w:jc w:val="center"/>
        <w:tblCellSpacing w:w="0" w:type="dxa"/>
        <w:tblLayout w:type="fixed"/>
        <w:tblCellMar>
          <w:top w:w="45" w:type="dxa"/>
          <w:left w:w="45" w:type="dxa"/>
          <w:bottom w:w="45" w:type="dxa"/>
          <w:right w:w="45" w:type="dxa"/>
        </w:tblCellMar>
      </w:tblPr>
      <w:tblGrid>
        <w:gridCol w:w="3141"/>
        <w:gridCol w:w="6020"/>
      </w:tblGrid>
      <w:tr w14:paraId="7F0402A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275052">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项目编号：</w:t>
            </w:r>
          </w:p>
        </w:tc>
        <w:tc>
          <w:tcPr>
            <w:tcW w:w="5220" w:type="dxa"/>
            <w:shd w:val="clear" w:color="auto" w:fill="auto"/>
            <w:vAlign w:val="center"/>
          </w:tcPr>
          <w:p w14:paraId="6DB23B47">
            <w:pPr>
              <w:spacing w:after="160" w:line="278" w:lineRule="auto"/>
              <w:rPr>
                <w:rFonts w:hint="default" w:eastAsia="宋体"/>
                <w:kern w:val="2"/>
                <w:sz w:val="30"/>
                <w:szCs w:val="30"/>
                <w:lang w:val="en-US" w:eastAsia="zh-CN"/>
              </w:rPr>
            </w:pPr>
            <w:r>
              <w:rPr>
                <w:rFonts w:hint="default" w:eastAsia="宋体"/>
                <w:kern w:val="2"/>
                <w:sz w:val="30"/>
                <w:szCs w:val="30"/>
                <w:lang w:val="en-US" w:eastAsia="zh-CN"/>
              </w:rPr>
              <w:t>SZZXCG-2025-00491</w:t>
            </w:r>
          </w:p>
        </w:tc>
      </w:tr>
      <w:tr w14:paraId="0FD1FCDA">
        <w:tblPrEx>
          <w:tblCellMar>
            <w:top w:w="45" w:type="dxa"/>
            <w:left w:w="45" w:type="dxa"/>
            <w:bottom w:w="45" w:type="dxa"/>
            <w:right w:w="45" w:type="dxa"/>
          </w:tblCellMar>
        </w:tblPrEx>
        <w:trPr>
          <w:trHeight w:val="749" w:hRule="atLeast"/>
          <w:tblCellSpacing w:w="0" w:type="dxa"/>
          <w:jc w:val="center"/>
        </w:trPr>
        <w:tc>
          <w:tcPr>
            <w:tcW w:w="2723" w:type="dxa"/>
            <w:shd w:val="clear" w:color="auto" w:fill="auto"/>
            <w:vAlign w:val="center"/>
          </w:tcPr>
          <w:p w14:paraId="2F02C029">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项目名称：</w:t>
            </w:r>
          </w:p>
        </w:tc>
        <w:tc>
          <w:tcPr>
            <w:tcW w:w="5220" w:type="dxa"/>
            <w:shd w:val="clear" w:color="auto" w:fill="auto"/>
            <w:vAlign w:val="center"/>
          </w:tcPr>
          <w:p w14:paraId="54414BF6">
            <w:pPr>
              <w:spacing w:after="160" w:line="240" w:lineRule="auto"/>
              <w:rPr>
                <w:rFonts w:hint="default" w:eastAsia="宋体"/>
                <w:kern w:val="2"/>
                <w:sz w:val="30"/>
                <w:szCs w:val="30"/>
                <w:lang w:val="en-US" w:eastAsia="zh-CN"/>
              </w:rPr>
            </w:pPr>
            <w:r>
              <w:rPr>
                <w:rFonts w:hint="eastAsia" w:ascii="宋体" w:hAnsi="宋体" w:eastAsia="宋体" w:cs="宋体"/>
                <w:sz w:val="30"/>
                <w:szCs w:val="30"/>
                <w:lang w:val="en-US" w:eastAsia="zh-CN" w:bidi="ar"/>
              </w:rPr>
              <w:t>深圳北理莫斯科大学附属实验中学精品录播教室项目</w:t>
            </w:r>
          </w:p>
        </w:tc>
      </w:tr>
      <w:tr w14:paraId="7E40160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338183">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 xml:space="preserve">包 </w:t>
            </w:r>
            <w:r>
              <w:rPr>
                <w:rFonts w:hint="eastAsia" w:ascii="宋体" w:hAnsi="宋体" w:eastAsia="宋体" w:cs="宋体"/>
                <w:sz w:val="30"/>
                <w:szCs w:val="30"/>
                <w:lang w:eastAsia="zh-CN" w:bidi="ar"/>
              </w:rPr>
              <w:t xml:space="preserve">   </w:t>
            </w:r>
            <w:r>
              <w:rPr>
                <w:rFonts w:ascii="宋体" w:hAnsi="宋体" w:eastAsia="宋体" w:cs="宋体"/>
                <w:sz w:val="30"/>
                <w:szCs w:val="30"/>
                <w:lang w:eastAsia="zh-CN" w:bidi="ar"/>
              </w:rPr>
              <w:t>号：</w:t>
            </w:r>
          </w:p>
        </w:tc>
        <w:tc>
          <w:tcPr>
            <w:tcW w:w="5220" w:type="dxa"/>
            <w:shd w:val="clear" w:color="auto" w:fill="auto"/>
            <w:vAlign w:val="center"/>
          </w:tcPr>
          <w:p w14:paraId="15B25081">
            <w:pPr>
              <w:spacing w:after="160" w:line="278" w:lineRule="auto"/>
              <w:rPr>
                <w:rFonts w:eastAsia="宋体"/>
                <w:kern w:val="2"/>
                <w:sz w:val="30"/>
                <w:szCs w:val="30"/>
                <w:lang w:eastAsia="zh-CN"/>
              </w:rPr>
            </w:pPr>
            <w:r>
              <w:rPr>
                <w:rFonts w:ascii="宋体" w:hAnsi="宋体" w:eastAsia="宋体" w:cs="宋体"/>
                <w:sz w:val="30"/>
                <w:szCs w:val="30"/>
                <w:lang w:eastAsia="zh-CN" w:bidi="ar"/>
              </w:rPr>
              <w:t>A</w:t>
            </w:r>
          </w:p>
        </w:tc>
      </w:tr>
      <w:tr w14:paraId="5974969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8132E45">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项目类型：</w:t>
            </w:r>
          </w:p>
        </w:tc>
        <w:tc>
          <w:tcPr>
            <w:tcW w:w="5220" w:type="dxa"/>
            <w:shd w:val="clear" w:color="auto" w:fill="auto"/>
            <w:vAlign w:val="center"/>
          </w:tcPr>
          <w:p w14:paraId="1AA25805">
            <w:pPr>
              <w:spacing w:after="160" w:line="278" w:lineRule="auto"/>
              <w:rPr>
                <w:rFonts w:eastAsia="宋体"/>
                <w:kern w:val="2"/>
                <w:sz w:val="30"/>
                <w:szCs w:val="30"/>
                <w:lang w:eastAsia="zh-CN"/>
              </w:rPr>
            </w:pPr>
            <w:r>
              <w:rPr>
                <w:rFonts w:ascii="宋体" w:hAnsi="宋体" w:eastAsia="宋体" w:cs="宋体"/>
                <w:sz w:val="30"/>
                <w:szCs w:val="30"/>
                <w:lang w:eastAsia="zh-CN" w:bidi="ar"/>
              </w:rPr>
              <w:t>货物类</w:t>
            </w:r>
          </w:p>
        </w:tc>
      </w:tr>
      <w:tr w14:paraId="008F018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B84841F">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采购方式：</w:t>
            </w:r>
          </w:p>
        </w:tc>
        <w:tc>
          <w:tcPr>
            <w:tcW w:w="5220" w:type="dxa"/>
            <w:shd w:val="clear" w:color="auto" w:fill="auto"/>
            <w:vAlign w:val="center"/>
          </w:tcPr>
          <w:p w14:paraId="70B38785">
            <w:pPr>
              <w:spacing w:after="160" w:line="278" w:lineRule="auto"/>
              <w:rPr>
                <w:rFonts w:eastAsia="宋体"/>
                <w:kern w:val="2"/>
                <w:sz w:val="30"/>
                <w:szCs w:val="30"/>
                <w:lang w:eastAsia="zh-CN"/>
              </w:rPr>
            </w:pPr>
            <w:r>
              <w:rPr>
                <w:rFonts w:ascii="宋体" w:hAnsi="宋体" w:eastAsia="宋体" w:cs="宋体"/>
                <w:sz w:val="30"/>
                <w:szCs w:val="30"/>
                <w:lang w:eastAsia="zh-CN" w:bidi="ar"/>
              </w:rPr>
              <w:t>公开招标</w:t>
            </w:r>
          </w:p>
        </w:tc>
      </w:tr>
      <w:tr w14:paraId="5AEA149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8080128">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货币类型：</w:t>
            </w:r>
          </w:p>
        </w:tc>
        <w:tc>
          <w:tcPr>
            <w:tcW w:w="5220" w:type="dxa"/>
            <w:shd w:val="clear" w:color="auto" w:fill="auto"/>
            <w:vAlign w:val="center"/>
          </w:tcPr>
          <w:p w14:paraId="591B2DBF">
            <w:pPr>
              <w:spacing w:after="160" w:line="278" w:lineRule="auto"/>
              <w:rPr>
                <w:rFonts w:eastAsia="宋体"/>
                <w:kern w:val="2"/>
                <w:sz w:val="30"/>
                <w:szCs w:val="30"/>
                <w:lang w:eastAsia="zh-CN"/>
              </w:rPr>
            </w:pPr>
            <w:r>
              <w:rPr>
                <w:rFonts w:ascii="宋体" w:hAnsi="宋体" w:eastAsia="宋体" w:cs="宋体"/>
                <w:sz w:val="30"/>
                <w:szCs w:val="30"/>
                <w:lang w:eastAsia="zh-CN" w:bidi="ar"/>
              </w:rPr>
              <w:t>人民币</w:t>
            </w:r>
          </w:p>
        </w:tc>
      </w:tr>
      <w:tr w14:paraId="30965EF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69A1775">
            <w:pPr>
              <w:spacing w:after="160" w:line="278" w:lineRule="auto"/>
              <w:jc w:val="right"/>
              <w:rPr>
                <w:rFonts w:eastAsia="宋体"/>
                <w:kern w:val="2"/>
                <w:sz w:val="30"/>
                <w:szCs w:val="30"/>
                <w:lang w:eastAsia="zh-CN"/>
              </w:rPr>
            </w:pPr>
            <w:r>
              <w:rPr>
                <w:rFonts w:ascii="宋体" w:hAnsi="宋体" w:eastAsia="宋体" w:cs="宋体"/>
                <w:sz w:val="30"/>
                <w:szCs w:val="30"/>
                <w:lang w:eastAsia="zh-CN" w:bidi="ar"/>
              </w:rPr>
              <w:t>评标方法：</w:t>
            </w:r>
          </w:p>
        </w:tc>
        <w:tc>
          <w:tcPr>
            <w:tcW w:w="5220" w:type="dxa"/>
            <w:shd w:val="clear" w:color="auto" w:fill="auto"/>
            <w:vAlign w:val="center"/>
          </w:tcPr>
          <w:p w14:paraId="4D7401D5">
            <w:pPr>
              <w:spacing w:after="160" w:line="278" w:lineRule="auto"/>
              <w:rPr>
                <w:rFonts w:eastAsia="宋体"/>
                <w:kern w:val="2"/>
                <w:sz w:val="30"/>
                <w:szCs w:val="30"/>
                <w:lang w:eastAsia="zh-CN"/>
              </w:rPr>
            </w:pPr>
            <w:r>
              <w:rPr>
                <w:rFonts w:ascii="宋体" w:hAnsi="宋体" w:eastAsia="宋体" w:cs="宋体"/>
                <w:sz w:val="30"/>
                <w:szCs w:val="30"/>
                <w:lang w:eastAsia="zh-CN" w:bidi="ar"/>
              </w:rPr>
              <w:t>综合评分法</w:t>
            </w:r>
          </w:p>
        </w:tc>
      </w:tr>
      <w:bookmarkEnd w:id="0"/>
    </w:tbl>
    <w:p w14:paraId="410B02C1">
      <w:pPr>
        <w:spacing w:beforeAutospacing="1" w:after="160" w:afterAutospacing="1" w:line="278" w:lineRule="auto"/>
        <w:jc w:val="center"/>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29CBCE5B">
      <w:pPr>
        <w:spacing w:beforeAutospacing="1"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资格性审查表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7C5BEA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9DAA74">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B7062BB">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内容</w:t>
            </w:r>
          </w:p>
        </w:tc>
      </w:tr>
      <w:tr w14:paraId="53BCB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402961C">
            <w:pPr>
              <w:spacing w:after="160" w:line="278" w:lineRule="auto"/>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49049A4">
            <w:pPr>
              <w:spacing w:after="160" w:line="278" w:lineRule="auto"/>
              <w:textAlignment w:val="top"/>
              <w:rPr>
                <w:rFonts w:eastAsia="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bidi="ar"/>
              </w:rPr>
              <w:t>）</w:t>
            </w:r>
          </w:p>
        </w:tc>
      </w:tr>
    </w:tbl>
    <w:p w14:paraId="1A826C71">
      <w:pPr>
        <w:spacing w:before="280"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符合性审查表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2"/>
        <w:gridCol w:w="8475"/>
      </w:tblGrid>
      <w:tr w14:paraId="5273E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93837A">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序号</w:t>
            </w:r>
          </w:p>
        </w:tc>
        <w:tc>
          <w:tcPr>
            <w:tcW w:w="847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E885FB">
            <w:pPr>
              <w:spacing w:after="160" w:line="278" w:lineRule="auto"/>
              <w:jc w:val="center"/>
              <w:rPr>
                <w:rFonts w:eastAsia="宋体"/>
                <w:kern w:val="2"/>
                <w:sz w:val="28"/>
                <w:szCs w:val="28"/>
                <w:lang w:eastAsia="zh-CN"/>
              </w:rPr>
            </w:pPr>
            <w:r>
              <w:rPr>
                <w:rFonts w:ascii="宋体" w:hAnsi="宋体" w:eastAsia="宋体" w:cs="宋体"/>
                <w:sz w:val="28"/>
                <w:szCs w:val="28"/>
                <w:lang w:eastAsia="zh-CN" w:bidi="ar"/>
              </w:rPr>
              <w:t>内容</w:t>
            </w:r>
          </w:p>
        </w:tc>
      </w:tr>
      <w:tr w14:paraId="46F30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7A997">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ascii="宋体" w:hAnsi="宋体" w:eastAsia="宋体" w:cs="宋体"/>
                <w:sz w:val="21"/>
                <w:szCs w:val="21"/>
                <w:lang w:eastAsia="zh-CN" w:bidi="ar"/>
              </w:rPr>
              <w:t>1</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2ED838F4">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不得将一个包的内容拆开投标；</w:t>
            </w:r>
          </w:p>
        </w:tc>
      </w:tr>
      <w:tr w14:paraId="4A1DE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FACFB">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ascii="宋体" w:hAnsi="宋体" w:eastAsia="宋体" w:cs="宋体"/>
                <w:sz w:val="21"/>
                <w:szCs w:val="21"/>
                <w:lang w:eastAsia="zh-CN" w:bidi="ar"/>
              </w:rPr>
              <w:t>2</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7E1D050C">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44936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4120E">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ascii="宋体" w:hAnsi="宋体" w:eastAsia="宋体" w:cs="宋体"/>
                <w:sz w:val="21"/>
                <w:szCs w:val="21"/>
                <w:lang w:eastAsia="zh-CN" w:bidi="ar"/>
              </w:rPr>
              <w:t>3</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3CA9AEFB">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分项报价或投标总价不得高于</w:t>
            </w:r>
            <w:bookmarkStart w:id="1" w:name="_Hlk71832186"/>
            <w:r>
              <w:rPr>
                <w:rFonts w:hint="eastAsia" w:eastAsia="宋体"/>
                <w:kern w:val="2"/>
                <w:sz w:val="21"/>
                <w:lang w:eastAsia="zh-CN"/>
              </w:rPr>
              <w:t>相应预算金额（或设定的预算金额下的最高限价）</w:t>
            </w:r>
            <w:bookmarkEnd w:id="1"/>
            <w:r>
              <w:rPr>
                <w:rFonts w:hint="eastAsia" w:eastAsia="宋体"/>
                <w:kern w:val="2"/>
                <w:sz w:val="21"/>
                <w:lang w:eastAsia="zh-CN"/>
              </w:rPr>
              <w:t>；</w:t>
            </w:r>
          </w:p>
        </w:tc>
      </w:tr>
      <w:tr w14:paraId="2B9FB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56A07">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ascii="宋体" w:hAnsi="宋体" w:eastAsia="宋体" w:cs="宋体"/>
                <w:sz w:val="21"/>
                <w:szCs w:val="21"/>
                <w:lang w:eastAsia="zh-CN" w:bidi="ar"/>
              </w:rPr>
              <w:t>4</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5C21254B">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AB613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C21A3">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ascii="宋体" w:hAnsi="宋体" w:eastAsia="宋体" w:cs="宋体"/>
                <w:sz w:val="21"/>
                <w:szCs w:val="21"/>
                <w:lang w:eastAsia="zh-CN" w:bidi="ar"/>
              </w:rPr>
              <w:t>5</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3AB80C72">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8328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0D8E8">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ascii="宋体" w:hAnsi="宋体" w:eastAsia="宋体" w:cs="宋体"/>
                <w:sz w:val="21"/>
                <w:szCs w:val="21"/>
                <w:lang w:eastAsia="zh-CN" w:bidi="ar"/>
              </w:rPr>
              <w:t>6</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64FAAF58">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未按招标文件所提供的样式填写《投标函》；未按招标文件所提供的《政府采购投标及履约承诺函》进行承诺；未按招标文件对投标文件组成的要求提供投标文件；</w:t>
            </w:r>
          </w:p>
        </w:tc>
      </w:tr>
      <w:tr w14:paraId="05D39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E66BE">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lang w:eastAsia="zh-CN"/>
              </w:rPr>
            </w:pPr>
            <w:r>
              <w:rPr>
                <w:rFonts w:hint="eastAsia" w:eastAsia="宋体"/>
                <w:kern w:val="2"/>
                <w:sz w:val="21"/>
                <w:lang w:eastAsia="zh-CN"/>
              </w:rPr>
              <w:t>7</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7342C759">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495F7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28648">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hint="eastAsia" w:ascii="宋体" w:hAnsi="宋体" w:eastAsia="宋体" w:cs="宋体"/>
                <w:sz w:val="21"/>
                <w:szCs w:val="21"/>
                <w:lang w:eastAsia="zh-CN" w:bidi="ar"/>
              </w:rPr>
              <w:t>8</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7F498E3B">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51C86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FDA7A">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eastAsia="宋体"/>
                <w:kern w:val="2"/>
                <w:sz w:val="21"/>
                <w:szCs w:val="21"/>
                <w:lang w:eastAsia="zh-CN"/>
              </w:rPr>
            </w:pPr>
            <w:r>
              <w:rPr>
                <w:rFonts w:hint="eastAsia" w:ascii="宋体" w:hAnsi="宋体" w:eastAsia="宋体" w:cs="宋体"/>
                <w:sz w:val="21"/>
                <w:szCs w:val="21"/>
                <w:lang w:eastAsia="zh-CN" w:bidi="ar"/>
              </w:rPr>
              <w:t>9</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68A3AA12">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投标文件用不属于本公司的电子密钥或电子营业执照进行加密的；</w:t>
            </w:r>
          </w:p>
        </w:tc>
      </w:tr>
      <w:tr w14:paraId="42FB1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6AC7C">
            <w:pPr>
              <w:keepNext w:val="0"/>
              <w:keepLines w:val="0"/>
              <w:pageBreakBefore w:val="0"/>
              <w:widowControl/>
              <w:kinsoku/>
              <w:wordWrap/>
              <w:overflowPunct/>
              <w:topLinePunct w:val="0"/>
              <w:autoSpaceDE/>
              <w:autoSpaceDN/>
              <w:bidi w:val="0"/>
              <w:adjustRightInd/>
              <w:snapToGrid/>
              <w:spacing w:after="160" w:line="240" w:lineRule="auto"/>
              <w:jc w:val="center"/>
              <w:textAlignment w:val="top"/>
              <w:rPr>
                <w:rFonts w:hint="default" w:eastAsia="宋体"/>
                <w:kern w:val="2"/>
                <w:sz w:val="21"/>
                <w:szCs w:val="21"/>
                <w:lang w:val="en-US" w:eastAsia="zh-CN"/>
              </w:rPr>
            </w:pPr>
            <w:r>
              <w:rPr>
                <w:rFonts w:hint="eastAsia" w:ascii="宋体" w:hAnsi="宋体" w:eastAsia="宋体" w:cs="宋体"/>
                <w:sz w:val="21"/>
                <w:szCs w:val="21"/>
                <w:lang w:eastAsia="zh-CN" w:bidi="ar"/>
              </w:rPr>
              <w:t>1</w:t>
            </w:r>
            <w:r>
              <w:rPr>
                <w:rFonts w:hint="eastAsia" w:ascii="宋体" w:hAnsi="宋体" w:eastAsia="宋体" w:cs="宋体"/>
                <w:sz w:val="21"/>
                <w:szCs w:val="21"/>
                <w:lang w:val="en-US" w:eastAsia="zh-CN" w:bidi="ar"/>
              </w:rPr>
              <w:t>0</w:t>
            </w:r>
          </w:p>
        </w:tc>
        <w:tc>
          <w:tcPr>
            <w:tcW w:w="8475" w:type="dxa"/>
            <w:tcBorders>
              <w:top w:val="single" w:color="000000" w:sz="8" w:space="0"/>
              <w:left w:val="single" w:color="000000" w:sz="8" w:space="0"/>
              <w:bottom w:val="single" w:color="000000" w:sz="8" w:space="0"/>
              <w:right w:val="single" w:color="000000" w:sz="8" w:space="0"/>
            </w:tcBorders>
            <w:shd w:val="clear" w:color="auto" w:fill="auto"/>
          </w:tcPr>
          <w:p w14:paraId="6EE18EF0">
            <w:pPr>
              <w:keepNext w:val="0"/>
              <w:keepLines w:val="0"/>
              <w:pageBreakBefore w:val="0"/>
              <w:widowControl/>
              <w:kinsoku/>
              <w:wordWrap/>
              <w:overflowPunct/>
              <w:topLinePunct w:val="0"/>
              <w:autoSpaceDE/>
              <w:autoSpaceDN/>
              <w:bidi w:val="0"/>
              <w:adjustRightInd/>
              <w:snapToGrid/>
              <w:spacing w:after="160" w:line="240" w:lineRule="auto"/>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29A5C0AD">
      <w:pPr>
        <w:spacing w:beforeAutospacing="1" w:after="160" w:afterAutospacing="1" w:line="278" w:lineRule="auto"/>
        <w:jc w:val="center"/>
        <w:outlineLvl w:val="1"/>
        <w:rPr>
          <w:rFonts w:ascii="黑体" w:hAnsi="宋体" w:eastAsia="黑体" w:cs="黑体"/>
          <w:sz w:val="40"/>
          <w:szCs w:val="40"/>
          <w:lang w:eastAsia="zh-CN"/>
        </w:rPr>
        <w:sectPr>
          <w:pgSz w:w="11907" w:h="16840"/>
          <w:pgMar w:top="1440" w:right="1418" w:bottom="1440" w:left="1418" w:header="851" w:footer="992" w:gutter="0"/>
          <w:cols w:space="425" w:num="1"/>
          <w:titlePg/>
          <w:docGrid w:linePitch="462" w:charSpace="0"/>
        </w:sectPr>
      </w:pPr>
    </w:p>
    <w:p w14:paraId="5658AD63">
      <w:pPr>
        <w:spacing w:beforeAutospacing="1" w:after="160" w:afterAutospacing="1" w:line="278" w:lineRule="auto"/>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评标信息</w:t>
      </w:r>
    </w:p>
    <w:tbl>
      <w:tblPr>
        <w:tblStyle w:val="18"/>
        <w:tblW w:w="5000" w:type="pct"/>
        <w:jc w:val="center"/>
        <w:tblCellSpacing w:w="0" w:type="dxa"/>
        <w:tblLayout w:type="fixed"/>
        <w:tblCellMar>
          <w:top w:w="45" w:type="dxa"/>
          <w:left w:w="45" w:type="dxa"/>
          <w:bottom w:w="45" w:type="dxa"/>
          <w:right w:w="45" w:type="dxa"/>
        </w:tblCellMar>
      </w:tblPr>
      <w:tblGrid>
        <w:gridCol w:w="169"/>
        <w:gridCol w:w="603"/>
        <w:gridCol w:w="666"/>
        <w:gridCol w:w="1947"/>
        <w:gridCol w:w="852"/>
        <w:gridCol w:w="4754"/>
        <w:gridCol w:w="170"/>
      </w:tblGrid>
      <w:tr w14:paraId="7489A806">
        <w:tblPrEx>
          <w:tblCellMar>
            <w:top w:w="45" w:type="dxa"/>
            <w:left w:w="45" w:type="dxa"/>
            <w:bottom w:w="45" w:type="dxa"/>
            <w:right w:w="45" w:type="dxa"/>
          </w:tblCellMar>
        </w:tblPrEx>
        <w:trPr>
          <w:gridBefore w:val="1"/>
          <w:wBefore w:w="169" w:type="dxa"/>
          <w:tblCellSpacing w:w="0" w:type="dxa"/>
          <w:jc w:val="center"/>
        </w:trPr>
        <w:tc>
          <w:tcPr>
            <w:tcW w:w="8992" w:type="dxa"/>
            <w:gridSpan w:val="6"/>
            <w:shd w:val="clear" w:color="auto" w:fill="auto"/>
            <w:vAlign w:val="center"/>
          </w:tcPr>
          <w:p w14:paraId="7341BDD0">
            <w:pPr>
              <w:widowControl w:val="0"/>
              <w:spacing w:after="160" w:line="278" w:lineRule="auto"/>
              <w:rPr>
                <w:rFonts w:ascii="宋体" w:eastAsia="宋体"/>
                <w:b/>
                <w:bCs/>
                <w:kern w:val="2"/>
                <w:lang w:eastAsia="zh-CN"/>
              </w:rPr>
            </w:pPr>
            <w:r>
              <w:rPr>
                <w:rFonts w:eastAsia="宋体"/>
                <w:b/>
                <w:bCs/>
                <w:kern w:val="2"/>
                <w:sz w:val="21"/>
                <w:lang w:eastAsia="zh-CN"/>
              </w:rPr>
              <w:t>评标方法：综合评分法</w:t>
            </w:r>
          </w:p>
        </w:tc>
      </w:tr>
      <w:tr w14:paraId="434D4716">
        <w:tblPrEx>
          <w:tblCellMar>
            <w:top w:w="45" w:type="dxa"/>
            <w:left w:w="45" w:type="dxa"/>
            <w:bottom w:w="45" w:type="dxa"/>
            <w:right w:w="45" w:type="dxa"/>
          </w:tblCellMar>
        </w:tblPrEx>
        <w:trPr>
          <w:gridBefore w:val="1"/>
          <w:wBefore w:w="169" w:type="dxa"/>
          <w:tblCellSpacing w:w="0" w:type="dxa"/>
          <w:jc w:val="center"/>
        </w:trPr>
        <w:tc>
          <w:tcPr>
            <w:tcW w:w="8992" w:type="dxa"/>
            <w:gridSpan w:val="6"/>
            <w:shd w:val="clear" w:color="auto" w:fill="auto"/>
            <w:vAlign w:val="center"/>
          </w:tcPr>
          <w:p w14:paraId="76AFB09E">
            <w:pPr>
              <w:widowControl w:val="0"/>
              <w:spacing w:after="160" w:line="278" w:lineRule="auto"/>
              <w:ind w:firstLine="420"/>
              <w:jc w:val="both"/>
              <w:rPr>
                <w:rFonts w:eastAsia="宋体"/>
                <w:kern w:val="2"/>
                <w:sz w:val="21"/>
                <w:szCs w:val="21"/>
                <w:lang w:eastAsia="zh-CN"/>
              </w:rPr>
            </w:pPr>
            <w:r>
              <w:rPr>
                <w:rFonts w:eastAsia="宋体"/>
                <w:kern w:val="2"/>
                <w:sz w:val="21"/>
                <w:szCs w:val="21"/>
                <w:lang w:eastAsia="zh-CN"/>
              </w:rPr>
              <w:t>综合评分法，</w:t>
            </w:r>
            <w:r>
              <w:rPr>
                <w:rFonts w:hint="eastAsia" w:eastAsia="宋体"/>
                <w:kern w:val="2"/>
                <w:sz w:val="21"/>
                <w:szCs w:val="21"/>
                <w:lang w:eastAsia="zh-CN"/>
              </w:rPr>
              <w:t>是指投标文件满足招标文件全部实质性要求，且按照评审因素的量化指标评审得分排名前列</w:t>
            </w:r>
            <w:r>
              <w:rPr>
                <w:rFonts w:eastAsia="宋体"/>
                <w:kern w:val="2"/>
                <w:sz w:val="21"/>
                <w:szCs w:val="21"/>
                <w:lang w:eastAsia="zh-CN"/>
              </w:rPr>
              <w:t>的投标人为中标候选人的评标方法。</w:t>
            </w:r>
          </w:p>
          <w:p w14:paraId="5E7F2E78">
            <w:pPr>
              <w:widowControl w:val="0"/>
              <w:spacing w:after="160" w:line="278" w:lineRule="auto"/>
              <w:ind w:firstLine="420"/>
              <w:jc w:val="both"/>
              <w:rPr>
                <w:rFonts w:eastAsia="宋体"/>
                <w:kern w:val="2"/>
                <w:sz w:val="21"/>
                <w:szCs w:val="21"/>
                <w:lang w:eastAsia="zh-CN"/>
              </w:rPr>
            </w:pPr>
            <w:r>
              <w:rPr>
                <w:rFonts w:eastAsia="宋体"/>
                <w:kern w:val="2"/>
                <w:sz w:val="21"/>
                <w:szCs w:val="21"/>
                <w:lang w:eastAsia="zh-CN"/>
              </w:rPr>
              <w:t>价格分计算方法：</w:t>
            </w:r>
          </w:p>
          <w:p w14:paraId="482867C9">
            <w:pPr>
              <w:spacing w:after="160" w:line="278" w:lineRule="auto"/>
              <w:ind w:left="420"/>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4C50441A">
            <w:pPr>
              <w:spacing w:after="160" w:line="278" w:lineRule="auto"/>
              <w:ind w:left="420"/>
              <w:rPr>
                <w:rFonts w:eastAsia="宋体"/>
                <w:kern w:val="2"/>
                <w:sz w:val="21"/>
                <w:szCs w:val="21"/>
                <w:lang w:eastAsia="zh-CN"/>
              </w:rPr>
            </w:pPr>
            <w:r>
              <w:rPr>
                <w:rFonts w:hint="eastAsia" w:eastAsia="宋体"/>
                <w:kern w:val="2"/>
                <w:sz w:val="21"/>
                <w:szCs w:val="21"/>
                <w:lang w:eastAsia="zh-CN"/>
              </w:rPr>
              <w:t>因落实政府采购政策进行价格调整的，以调整后的价格计算评标基准价和投标报价。</w:t>
            </w:r>
          </w:p>
        </w:tc>
      </w:tr>
      <w:tr w14:paraId="6BEAA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rHeight w:val="90" w:hRule="atLeast"/>
          <w:tblCellSpacing w:w="0" w:type="dxa"/>
          <w:jc w:val="center"/>
        </w:trPr>
        <w:tc>
          <w:tcPr>
            <w:tcW w:w="772"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0A253E49">
            <w:pPr>
              <w:wordWrap w:val="0"/>
              <w:spacing w:after="160" w:line="278" w:lineRule="auto"/>
              <w:jc w:val="center"/>
              <w:rPr>
                <w:rFonts w:hint="eastAsia" w:ascii="宋体" w:hAnsi="宋体" w:eastAsia="宋体" w:cs="宋体"/>
                <w:b/>
                <w:bCs/>
                <w:kern w:val="2"/>
                <w:sz w:val="21"/>
                <w:szCs w:val="21"/>
                <w:lang w:eastAsia="zh-CN"/>
              </w:rPr>
            </w:pPr>
            <w:bookmarkStart w:id="2" w:name="_Hlk173404792"/>
            <w:r>
              <w:rPr>
                <w:rFonts w:hint="eastAsia" w:ascii="宋体" w:hAnsi="宋体" w:eastAsia="宋体" w:cs="宋体"/>
                <w:b/>
                <w:bCs/>
                <w:sz w:val="21"/>
                <w:szCs w:val="21"/>
                <w:lang w:eastAsia="zh-CN" w:bidi="ar"/>
              </w:rPr>
              <w:t>序号</w:t>
            </w:r>
          </w:p>
        </w:tc>
        <w:tc>
          <w:tcPr>
            <w:tcW w:w="346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73838A1">
            <w:pPr>
              <w:wordWrap w:val="0"/>
              <w:spacing w:after="160" w:line="278" w:lineRule="auto"/>
              <w:jc w:val="center"/>
              <w:rPr>
                <w:rFonts w:hint="eastAsia" w:ascii="宋体" w:hAnsi="宋体" w:eastAsia="宋体" w:cs="宋体"/>
                <w:b/>
                <w:bCs/>
                <w:kern w:val="2"/>
                <w:sz w:val="21"/>
                <w:szCs w:val="21"/>
                <w:lang w:eastAsia="zh-CN"/>
              </w:rPr>
            </w:pPr>
            <w:r>
              <w:rPr>
                <w:rFonts w:hint="eastAsia" w:ascii="宋体" w:hAnsi="宋体" w:eastAsia="宋体" w:cs="宋体"/>
                <w:b/>
                <w:bCs/>
                <w:sz w:val="21"/>
                <w:szCs w:val="21"/>
                <w:lang w:eastAsia="zh-CN" w:bidi="ar"/>
              </w:rPr>
              <w:t>评分项</w:t>
            </w:r>
          </w:p>
        </w:tc>
        <w:tc>
          <w:tcPr>
            <w:tcW w:w="475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18C2891">
            <w:pPr>
              <w:wordWrap w:val="0"/>
              <w:spacing w:after="160" w:line="278" w:lineRule="auto"/>
              <w:jc w:val="center"/>
              <w:rPr>
                <w:rFonts w:hint="eastAsia" w:ascii="宋体" w:hAnsi="宋体" w:eastAsia="宋体" w:cs="宋体"/>
                <w:b/>
                <w:bCs/>
                <w:kern w:val="2"/>
                <w:sz w:val="21"/>
                <w:szCs w:val="21"/>
                <w:lang w:eastAsia="zh-CN"/>
              </w:rPr>
            </w:pPr>
            <w:r>
              <w:rPr>
                <w:rFonts w:hint="eastAsia" w:ascii="宋体" w:hAnsi="宋体" w:eastAsia="宋体" w:cs="宋体"/>
                <w:b/>
                <w:bCs/>
                <w:sz w:val="21"/>
                <w:szCs w:val="21"/>
                <w:lang w:eastAsia="zh-CN" w:bidi="ar"/>
              </w:rPr>
              <w:t>权重(%)</w:t>
            </w:r>
          </w:p>
        </w:tc>
      </w:tr>
      <w:tr w14:paraId="7F0F5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7376F1">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1</w:t>
            </w:r>
          </w:p>
        </w:tc>
        <w:tc>
          <w:tcPr>
            <w:tcW w:w="346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7D511D8">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价格</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22B32">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30</w:t>
            </w:r>
          </w:p>
        </w:tc>
      </w:tr>
      <w:tr w14:paraId="76282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BA8D9D">
            <w:pPr>
              <w:widowControl w:val="0"/>
              <w:spacing w:after="160" w:line="278" w:lineRule="auto"/>
              <w:jc w:val="center"/>
              <w:rPr>
                <w:rFonts w:hint="eastAsia"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14:paraId="3ECFFBA0">
            <w:pPr>
              <w:widowControl w:val="0"/>
              <w:spacing w:after="160" w:line="278" w:lineRule="auto"/>
              <w:jc w:val="both"/>
              <w:rPr>
                <w:rFonts w:hint="eastAsia" w:ascii="宋体" w:hAnsi="宋体" w:eastAsia="宋体" w:cs="宋体"/>
                <w:kern w:val="2"/>
                <w:sz w:val="21"/>
                <w:szCs w:val="21"/>
                <w:lang w:eastAsia="zh-CN"/>
              </w:rPr>
            </w:pPr>
          </w:p>
        </w:tc>
      </w:tr>
      <w:tr w14:paraId="066DB8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restart"/>
            <w:tcBorders>
              <w:top w:val="single" w:color="000000" w:sz="8" w:space="0"/>
              <w:left w:val="single" w:color="000000" w:sz="8" w:space="0"/>
              <w:right w:val="single" w:color="000000" w:sz="8" w:space="0"/>
            </w:tcBorders>
            <w:shd w:val="clear" w:color="auto" w:fill="auto"/>
            <w:vAlign w:val="center"/>
          </w:tcPr>
          <w:p w14:paraId="246FE856">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2</w:t>
            </w:r>
          </w:p>
        </w:tc>
        <w:tc>
          <w:tcPr>
            <w:tcW w:w="346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A648618">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技术部分</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9BABC">
            <w:pPr>
              <w:wordWrap w:val="0"/>
              <w:spacing w:after="160" w:line="278" w:lineRule="auto"/>
              <w:jc w:val="center"/>
              <w:rPr>
                <w:rFonts w:hint="default" w:ascii="宋体" w:hAnsi="宋体" w:eastAsia="宋体" w:cs="宋体"/>
                <w:b/>
                <w:bCs/>
                <w:color w:val="0000FF"/>
                <w:kern w:val="2"/>
                <w:sz w:val="21"/>
                <w:szCs w:val="21"/>
                <w:lang w:val="en-US" w:eastAsia="zh-CN"/>
              </w:rPr>
            </w:pPr>
            <w:r>
              <w:rPr>
                <w:rFonts w:hint="eastAsia" w:ascii="宋体" w:hAnsi="宋体" w:eastAsia="宋体" w:cs="宋体"/>
                <w:b/>
                <w:bCs/>
                <w:color w:val="0000FF"/>
                <w:kern w:val="2"/>
                <w:sz w:val="21"/>
                <w:szCs w:val="21"/>
                <w:lang w:val="en-US" w:eastAsia="zh-CN"/>
              </w:rPr>
              <w:t>60</w:t>
            </w:r>
          </w:p>
        </w:tc>
      </w:tr>
      <w:tr w14:paraId="758FD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rHeight w:val="90" w:hRule="atLeast"/>
          <w:tblCellSpacing w:w="0" w:type="dxa"/>
          <w:jc w:val="center"/>
        </w:trPr>
        <w:tc>
          <w:tcPr>
            <w:tcW w:w="772" w:type="dxa"/>
            <w:gridSpan w:val="2"/>
            <w:vMerge w:val="continue"/>
            <w:tcBorders>
              <w:left w:val="single" w:color="000000" w:sz="8" w:space="0"/>
              <w:right w:val="single" w:color="000000" w:sz="8" w:space="0"/>
            </w:tcBorders>
            <w:shd w:val="clear" w:color="auto" w:fill="auto"/>
            <w:vAlign w:val="center"/>
          </w:tcPr>
          <w:p w14:paraId="66803764">
            <w:pPr>
              <w:widowControl w:val="0"/>
              <w:spacing w:after="160" w:line="278" w:lineRule="auto"/>
              <w:jc w:val="center"/>
              <w:rPr>
                <w:rFonts w:hint="eastAsia"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14:paraId="715396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eastAsia="zh-CN"/>
              </w:rPr>
            </w:pPr>
          </w:p>
        </w:tc>
      </w:tr>
      <w:tr w14:paraId="44BC7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rHeight w:val="90" w:hRule="atLeast"/>
          <w:tblCellSpacing w:w="0" w:type="dxa"/>
          <w:jc w:val="center"/>
        </w:trPr>
        <w:tc>
          <w:tcPr>
            <w:tcW w:w="772" w:type="dxa"/>
            <w:gridSpan w:val="2"/>
            <w:vMerge w:val="continue"/>
            <w:tcBorders>
              <w:left w:val="single" w:color="000000" w:sz="8" w:space="0"/>
              <w:right w:val="single" w:color="000000" w:sz="8" w:space="0"/>
            </w:tcBorders>
            <w:shd w:val="clear" w:color="auto" w:fill="E6EFFA"/>
            <w:vAlign w:val="center"/>
          </w:tcPr>
          <w:p w14:paraId="4C12D0E1">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0AC991">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序号</w:t>
            </w:r>
          </w:p>
        </w:tc>
        <w:tc>
          <w:tcPr>
            <w:tcW w:w="19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5C410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820AB4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权重(%)</w:t>
            </w:r>
          </w:p>
        </w:tc>
        <w:tc>
          <w:tcPr>
            <w:tcW w:w="475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EE88A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bidi="ar"/>
              </w:rPr>
              <w:t>评分准则</w:t>
            </w:r>
          </w:p>
        </w:tc>
      </w:tr>
      <w:tr w14:paraId="391C2D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left w:val="single" w:color="000000" w:sz="8" w:space="0"/>
              <w:right w:val="single" w:color="000000" w:sz="8" w:space="0"/>
            </w:tcBorders>
            <w:shd w:val="clear" w:color="auto" w:fill="auto"/>
            <w:vAlign w:val="center"/>
          </w:tcPr>
          <w:p w14:paraId="6A89803F">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63006">
            <w:pPr>
              <w:pageBreakBefore w:val="0"/>
              <w:widowControl w:val="0"/>
              <w:kinsoku/>
              <w:overflowPunct/>
              <w:topLinePunct w:val="0"/>
              <w:autoSpaceDN/>
              <w:bidi w:val="0"/>
              <w:adjustRightInd/>
              <w:spacing w:line="240" w:lineRule="auto"/>
              <w:ind w:firstLine="0" w:firstLineChars="0"/>
              <w:jc w:val="center"/>
              <w:outlineLvl w:val="9"/>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eastAsia="zh-CN"/>
              </w:rPr>
              <w:t>1</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B97B0">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重要技术要求偏离情况</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57DFB">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25</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BCF83">
            <w:pPr>
              <w:pageBreakBefore w:val="0"/>
              <w:widowControl/>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（一）评分内容：</w:t>
            </w:r>
          </w:p>
          <w:p w14:paraId="3002B667">
            <w:pPr>
              <w:pageBreakBefore w:val="0"/>
              <w:widowControl/>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所投产品▲符号技术参数响应情况，全部满足得100分；有负偏离的，每负偏离一条扣</w:t>
            </w:r>
            <w:r>
              <w:rPr>
                <w:rFonts w:hint="eastAsia" w:asciiTheme="minorEastAsia" w:hAnsiTheme="minorEastAsia" w:eastAsiaTheme="minorEastAsia" w:cstheme="minorEastAsia"/>
                <w:b/>
                <w:bCs/>
                <w:kern w:val="2"/>
                <w:sz w:val="21"/>
                <w:szCs w:val="21"/>
                <w:highlight w:val="yellow"/>
                <w:lang w:val="en-US" w:eastAsia="zh-CN"/>
              </w:rPr>
              <w:t>20</w:t>
            </w:r>
            <w:r>
              <w:rPr>
                <w:rFonts w:hint="eastAsia" w:asciiTheme="minorEastAsia" w:hAnsiTheme="minorEastAsia" w:eastAsiaTheme="minorEastAsia" w:cstheme="minorEastAsia"/>
                <w:b/>
                <w:bCs/>
                <w:kern w:val="2"/>
                <w:sz w:val="21"/>
                <w:szCs w:val="21"/>
                <w:highlight w:val="yellow"/>
                <w:lang w:eastAsia="zh-CN"/>
              </w:rPr>
              <w:t>分</w:t>
            </w:r>
            <w:r>
              <w:rPr>
                <w:rFonts w:hint="eastAsia" w:asciiTheme="minorEastAsia" w:hAnsiTheme="minorEastAsia" w:eastAsiaTheme="minorEastAsia" w:cstheme="minorEastAsia"/>
                <w:kern w:val="2"/>
                <w:sz w:val="21"/>
                <w:szCs w:val="21"/>
                <w:lang w:eastAsia="zh-CN"/>
              </w:rPr>
              <w:t>，扣完为止。</w:t>
            </w:r>
          </w:p>
          <w:p w14:paraId="48D9AC78">
            <w:pPr>
              <w:pageBreakBefore w:val="0"/>
              <w:widowControl/>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eastAsia="zh-CN"/>
              </w:rPr>
              <w:t>（二）评分依据：</w:t>
            </w:r>
            <w:r>
              <w:rPr>
                <w:rFonts w:hint="eastAsia" w:asciiTheme="minorEastAsia" w:hAnsiTheme="minorEastAsia" w:eastAsiaTheme="minorEastAsia" w:cstheme="minorEastAsia"/>
                <w:kern w:val="2"/>
                <w:sz w:val="21"/>
                <w:szCs w:val="21"/>
                <w:lang w:eastAsia="zh-CN"/>
              </w:rPr>
              <w:t>《技术要求偏离表》。投标人未按技术参数要求提供相关证明材料或者提供的证明材料不符合要求的或提供的证明材料不清晰评审专家无法辨认的，该项参数按照负偏离处理，扣除相应分值。技术参数未要求提供证明材料的，则无需提供材料证明。</w:t>
            </w:r>
          </w:p>
        </w:tc>
      </w:tr>
      <w:tr w14:paraId="5E537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left w:val="single" w:color="000000" w:sz="8" w:space="0"/>
              <w:right w:val="single" w:color="000000" w:sz="8" w:space="0"/>
            </w:tcBorders>
            <w:shd w:val="clear" w:color="auto" w:fill="auto"/>
            <w:vAlign w:val="center"/>
          </w:tcPr>
          <w:p w14:paraId="1EB8C7A5">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E7ECB">
            <w:pPr>
              <w:pageBreakBefore w:val="0"/>
              <w:widowControl w:val="0"/>
              <w:kinsoku/>
              <w:overflowPunct/>
              <w:topLinePunct w:val="0"/>
              <w:autoSpaceDN/>
              <w:bidi w:val="0"/>
              <w:adjustRightInd/>
              <w:spacing w:line="240" w:lineRule="auto"/>
              <w:ind w:firstLine="0" w:firstLineChars="0"/>
              <w:jc w:val="center"/>
              <w:outlineLvl w:val="9"/>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eastAsia="zh-CN"/>
              </w:rPr>
              <w:t>2</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B94FC">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eastAsia="zh-CN"/>
              </w:rPr>
              <w:t>一般技术要求偏离情况</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55E80">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15</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304D6">
            <w:pPr>
              <w:pageBreakBefore w:val="0"/>
              <w:widowControl/>
              <w:kinsoku/>
              <w:overflowPunct/>
              <w:topLinePunct w:val="0"/>
              <w:autoSpaceDE w:val="0"/>
              <w:autoSpaceDN/>
              <w:bidi w:val="0"/>
              <w:adjustRightInd/>
              <w:spacing w:line="240" w:lineRule="auto"/>
              <w:ind w:firstLine="0" w:firstLineChars="0"/>
              <w:jc w:val="both"/>
              <w:outlineLvl w:val="9"/>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（一）评分内容：</w:t>
            </w:r>
          </w:p>
          <w:p w14:paraId="2954C03B">
            <w:pPr>
              <w:pageBreakBefore w:val="0"/>
              <w:widowControl/>
              <w:kinsoku/>
              <w:overflowPunct/>
              <w:topLinePunct w:val="0"/>
              <w:autoSpaceDE w:val="0"/>
              <w:autoSpaceDN/>
              <w:bidi w:val="0"/>
              <w:adjustRightInd/>
              <w:spacing w:line="240" w:lineRule="auto"/>
              <w:ind w:firstLine="0" w:firstLineChars="0"/>
              <w:jc w:val="both"/>
              <w:outlineLvl w:val="9"/>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所投产品一般技术参数响应情况，全部满足得100分；有负偏离的，每负偏离一条扣</w:t>
            </w:r>
            <w:r>
              <w:rPr>
                <w:rFonts w:hint="eastAsia" w:asciiTheme="minorEastAsia" w:hAnsiTheme="minorEastAsia" w:eastAsiaTheme="minorEastAsia" w:cstheme="minorEastAsia"/>
                <w:b/>
                <w:bCs/>
                <w:kern w:val="2"/>
                <w:sz w:val="21"/>
                <w:szCs w:val="21"/>
                <w:highlight w:val="yellow"/>
                <w:lang w:val="en-US" w:eastAsia="zh-CN"/>
              </w:rPr>
              <w:t>0.17</w:t>
            </w:r>
            <w:r>
              <w:rPr>
                <w:rFonts w:hint="eastAsia" w:asciiTheme="minorEastAsia" w:hAnsiTheme="minorEastAsia" w:eastAsiaTheme="minorEastAsia" w:cstheme="minorEastAsia"/>
                <w:b/>
                <w:bCs/>
                <w:kern w:val="2"/>
                <w:sz w:val="21"/>
                <w:szCs w:val="21"/>
                <w:highlight w:val="yellow"/>
                <w:lang w:eastAsia="zh-CN"/>
              </w:rPr>
              <w:t>分</w:t>
            </w:r>
            <w:r>
              <w:rPr>
                <w:rFonts w:hint="eastAsia" w:asciiTheme="minorEastAsia" w:hAnsiTheme="minorEastAsia" w:eastAsiaTheme="minorEastAsia" w:cstheme="minorEastAsia"/>
                <w:kern w:val="2"/>
                <w:sz w:val="21"/>
                <w:szCs w:val="21"/>
                <w:highlight w:val="none"/>
                <w:lang w:eastAsia="zh-CN"/>
              </w:rPr>
              <w:t>，扣完为止。</w:t>
            </w:r>
          </w:p>
          <w:p w14:paraId="748CBB08">
            <w:pPr>
              <w:pageBreakBefore w:val="0"/>
              <w:widowControl/>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eastAsia="zh-CN"/>
              </w:rPr>
              <w:t>（二）评分依据：</w:t>
            </w:r>
            <w:r>
              <w:rPr>
                <w:rFonts w:hint="eastAsia" w:asciiTheme="minorEastAsia" w:hAnsiTheme="minorEastAsia" w:eastAsiaTheme="minorEastAsia" w:cstheme="minorEastAsia"/>
                <w:kern w:val="2"/>
                <w:sz w:val="21"/>
                <w:szCs w:val="21"/>
                <w:highlight w:val="none"/>
                <w:lang w:eastAsia="zh-CN"/>
              </w:rPr>
              <w:t>《技术要求偏离表》。投标人未按技术参数要求提供相关证明材料或者提供的证明材料不符合要求的或提供的证明材料不清晰评审专家无法辨认的，该项参数按照负偏离处理，扣除相应分值。技术参数未要求提供证明材料的，则无需提供材料证明。</w:t>
            </w:r>
          </w:p>
        </w:tc>
      </w:tr>
      <w:tr w14:paraId="066A1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left w:val="single" w:color="000000" w:sz="8" w:space="0"/>
              <w:right w:val="single" w:color="000000" w:sz="8" w:space="0"/>
            </w:tcBorders>
            <w:shd w:val="clear" w:color="auto" w:fill="auto"/>
            <w:vAlign w:val="center"/>
          </w:tcPr>
          <w:p w14:paraId="61B3A5F7">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D233B">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eastAsia="zh-CN"/>
              </w:rPr>
              <w:t>3</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3A622">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b/>
                <w:color w:val="FF0000"/>
                <w:kern w:val="2"/>
                <w:sz w:val="21"/>
                <w:szCs w:val="21"/>
                <w:lang w:val="en-US" w:eastAsia="zh-CN" w:bidi="ar-SA"/>
              </w:rPr>
            </w:pPr>
            <w:r>
              <w:rPr>
                <w:rFonts w:hint="eastAsia" w:asciiTheme="minorEastAsia" w:hAnsiTheme="minorEastAsia" w:eastAsiaTheme="minorEastAsia" w:cstheme="minorEastAsia"/>
                <w:kern w:val="2"/>
                <w:sz w:val="21"/>
                <w:szCs w:val="21"/>
                <w:lang w:eastAsia="zh-CN"/>
              </w:rPr>
              <w:t>技术保障措施</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218D7">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3</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C7F76">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b/>
                <w:bCs/>
                <w:color w:val="000000"/>
                <w:kern w:val="2"/>
                <w:sz w:val="21"/>
                <w:szCs w:val="21"/>
                <w:lang w:eastAsia="zh-CN"/>
              </w:rPr>
            </w:pPr>
            <w:r>
              <w:rPr>
                <w:rFonts w:hint="eastAsia" w:asciiTheme="minorEastAsia" w:hAnsiTheme="minorEastAsia" w:eastAsiaTheme="minorEastAsia" w:cstheme="minorEastAsia"/>
                <w:b/>
                <w:bCs/>
                <w:color w:val="000000"/>
                <w:kern w:val="2"/>
                <w:sz w:val="21"/>
                <w:szCs w:val="21"/>
                <w:lang w:eastAsia="zh-CN"/>
              </w:rPr>
              <w:t>（一）评分内容：</w:t>
            </w:r>
          </w:p>
          <w:p w14:paraId="5CFA0B5A">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val="zh-CN" w:eastAsia="zh-CN"/>
              </w:rPr>
            </w:pPr>
            <w:r>
              <w:rPr>
                <w:rFonts w:hint="eastAsia" w:asciiTheme="minorEastAsia" w:hAnsiTheme="minorEastAsia" w:eastAsiaTheme="minorEastAsia" w:cstheme="minorEastAsia"/>
                <w:color w:val="000000"/>
                <w:kern w:val="2"/>
                <w:sz w:val="21"/>
                <w:szCs w:val="21"/>
                <w:lang w:val="zh-CN" w:eastAsia="zh-CN"/>
              </w:rPr>
              <w:t>投标人需针对本项目提供技术保障措施，包含但不限于：</w:t>
            </w:r>
          </w:p>
          <w:p w14:paraId="59E2D393">
            <w:pPr>
              <w:pageBreakBefore w:val="0"/>
              <w:widowControl/>
              <w:numPr>
                <w:ilvl w:val="-1"/>
                <w:numId w:val="0"/>
              </w:numPr>
              <w:kinsoku/>
              <w:overflowPunct/>
              <w:topLinePunct w:val="0"/>
              <w:autoSpaceDN/>
              <w:bidi w:val="0"/>
              <w:adjustRightInd/>
              <w:spacing w:line="240" w:lineRule="auto"/>
              <w:ind w:left="0" w:firstLine="0" w:firstLineChars="0"/>
              <w:jc w:val="both"/>
              <w:textAlignment w:val="center"/>
              <w:outlineLvl w:val="9"/>
              <w:rPr>
                <w:rFonts w:hint="eastAsia" w:asciiTheme="minorEastAsia" w:hAnsiTheme="minorEastAsia" w:eastAsiaTheme="minorEastAsia" w:cstheme="minorEastAsia"/>
                <w:color w:val="000000"/>
                <w:kern w:val="2"/>
                <w:sz w:val="21"/>
                <w:szCs w:val="21"/>
                <w:lang w:val="zh-CN" w:eastAsia="zh-CN"/>
              </w:rPr>
            </w:pPr>
            <w:r>
              <w:rPr>
                <w:rFonts w:hint="eastAsia" w:asciiTheme="minorEastAsia" w:hAnsiTheme="minorEastAsia" w:eastAsiaTheme="minorEastAsia" w:cstheme="minorEastAsia"/>
                <w:color w:val="000000"/>
                <w:kern w:val="2"/>
                <w:sz w:val="21"/>
                <w:szCs w:val="21"/>
                <w:lang w:val="en-US" w:eastAsia="zh-CN"/>
              </w:rPr>
              <w:t>（1）</w:t>
            </w:r>
            <w:r>
              <w:rPr>
                <w:rFonts w:hint="eastAsia" w:asciiTheme="minorEastAsia" w:hAnsiTheme="minorEastAsia" w:eastAsiaTheme="minorEastAsia" w:cstheme="minorEastAsia"/>
                <w:color w:val="000000"/>
                <w:kern w:val="2"/>
                <w:sz w:val="21"/>
                <w:szCs w:val="21"/>
                <w:lang w:val="zh-CN" w:eastAsia="zh-CN"/>
              </w:rPr>
              <w:t>项目安全保障措施方案；</w:t>
            </w:r>
          </w:p>
          <w:p w14:paraId="0145ACFC">
            <w:pPr>
              <w:pageBreakBefore w:val="0"/>
              <w:widowControl/>
              <w:numPr>
                <w:ilvl w:val="-1"/>
                <w:numId w:val="0"/>
              </w:numPr>
              <w:kinsoku/>
              <w:overflowPunct/>
              <w:topLinePunct w:val="0"/>
              <w:autoSpaceDN/>
              <w:bidi w:val="0"/>
              <w:adjustRightInd/>
              <w:spacing w:line="240" w:lineRule="auto"/>
              <w:ind w:left="0" w:firstLine="0" w:firstLineChars="0"/>
              <w:jc w:val="both"/>
              <w:textAlignment w:val="center"/>
              <w:outlineLvl w:val="9"/>
              <w:rPr>
                <w:rFonts w:hint="eastAsia" w:asciiTheme="minorEastAsia" w:hAnsiTheme="minorEastAsia" w:eastAsiaTheme="minorEastAsia" w:cstheme="minorEastAsia"/>
                <w:color w:val="000000"/>
                <w:kern w:val="2"/>
                <w:sz w:val="21"/>
                <w:szCs w:val="21"/>
                <w:lang w:val="zh-CN" w:eastAsia="zh-CN"/>
              </w:rPr>
            </w:pPr>
            <w:r>
              <w:rPr>
                <w:rFonts w:hint="eastAsia" w:asciiTheme="minorEastAsia" w:hAnsiTheme="minorEastAsia" w:eastAsiaTheme="minorEastAsia" w:cstheme="minorEastAsia"/>
                <w:color w:val="000000"/>
                <w:kern w:val="2"/>
                <w:sz w:val="21"/>
                <w:szCs w:val="21"/>
                <w:lang w:val="zh-CN" w:eastAsia="zh-CN"/>
              </w:rPr>
              <w:t>（</w:t>
            </w:r>
            <w:r>
              <w:rPr>
                <w:rFonts w:hint="eastAsia" w:asciiTheme="minorEastAsia" w:hAnsiTheme="minorEastAsia" w:eastAsiaTheme="minorEastAsia" w:cstheme="minorEastAsia"/>
                <w:color w:val="000000"/>
                <w:kern w:val="2"/>
                <w:sz w:val="21"/>
                <w:szCs w:val="21"/>
                <w:lang w:val="en-US" w:eastAsia="zh-CN"/>
              </w:rPr>
              <w:t>2</w:t>
            </w:r>
            <w:r>
              <w:rPr>
                <w:rFonts w:hint="eastAsia" w:asciiTheme="minorEastAsia" w:hAnsiTheme="minorEastAsia" w:eastAsiaTheme="minorEastAsia" w:cstheme="minorEastAsia"/>
                <w:color w:val="000000"/>
                <w:kern w:val="2"/>
                <w:sz w:val="21"/>
                <w:szCs w:val="21"/>
                <w:lang w:val="zh-CN" w:eastAsia="zh-CN"/>
              </w:rPr>
              <w:t>）项目质量控制措施；</w:t>
            </w:r>
          </w:p>
          <w:p w14:paraId="35CAA851">
            <w:pPr>
              <w:pageBreakBefore w:val="0"/>
              <w:widowControl/>
              <w:numPr>
                <w:ilvl w:val="-1"/>
                <w:numId w:val="0"/>
              </w:numPr>
              <w:kinsoku/>
              <w:overflowPunct/>
              <w:topLinePunct w:val="0"/>
              <w:autoSpaceDN/>
              <w:bidi w:val="0"/>
              <w:adjustRightInd/>
              <w:spacing w:line="240" w:lineRule="auto"/>
              <w:ind w:left="0" w:firstLine="0" w:firstLineChars="0"/>
              <w:jc w:val="both"/>
              <w:textAlignment w:val="center"/>
              <w:outlineLvl w:val="9"/>
              <w:rPr>
                <w:rFonts w:hint="eastAsia" w:asciiTheme="minorEastAsia" w:hAnsiTheme="minorEastAsia" w:eastAsiaTheme="minorEastAsia" w:cstheme="minorEastAsia"/>
                <w:color w:val="000000"/>
                <w:kern w:val="2"/>
                <w:sz w:val="21"/>
                <w:szCs w:val="21"/>
                <w:lang w:val="zh-CN" w:eastAsia="zh-CN"/>
              </w:rPr>
            </w:pPr>
            <w:r>
              <w:rPr>
                <w:rFonts w:hint="eastAsia" w:asciiTheme="minorEastAsia" w:hAnsiTheme="minorEastAsia" w:eastAsiaTheme="minorEastAsia" w:cstheme="minorEastAsia"/>
                <w:color w:val="000000"/>
                <w:kern w:val="2"/>
                <w:sz w:val="21"/>
                <w:szCs w:val="21"/>
                <w:lang w:val="zh-CN" w:eastAsia="zh-CN"/>
              </w:rPr>
              <w:t>（</w:t>
            </w:r>
            <w:r>
              <w:rPr>
                <w:rFonts w:hint="eastAsia" w:asciiTheme="minorEastAsia" w:hAnsiTheme="minorEastAsia" w:eastAsiaTheme="minorEastAsia" w:cstheme="minorEastAsia"/>
                <w:color w:val="000000"/>
                <w:kern w:val="2"/>
                <w:sz w:val="21"/>
                <w:szCs w:val="21"/>
                <w:lang w:val="en-US" w:eastAsia="zh-CN"/>
              </w:rPr>
              <w:t>3</w:t>
            </w:r>
            <w:r>
              <w:rPr>
                <w:rFonts w:hint="eastAsia" w:asciiTheme="minorEastAsia" w:hAnsiTheme="minorEastAsia" w:eastAsiaTheme="minorEastAsia" w:cstheme="minorEastAsia"/>
                <w:color w:val="000000"/>
                <w:kern w:val="2"/>
                <w:sz w:val="21"/>
                <w:szCs w:val="21"/>
                <w:lang w:val="zh-CN" w:eastAsia="zh-CN"/>
              </w:rPr>
              <w:t>）项目进度控制措施等内容。</w:t>
            </w:r>
          </w:p>
          <w:p w14:paraId="665D4F2E">
            <w:pPr>
              <w:pageBreakBefore w:val="0"/>
              <w:widowControl/>
              <w:kinsoku/>
              <w:overflowPunct/>
              <w:topLinePunct w:val="0"/>
              <w:autoSpaceDE/>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b/>
                <w:color w:val="000000"/>
                <w:kern w:val="2"/>
                <w:sz w:val="21"/>
                <w:szCs w:val="21"/>
                <w:lang w:eastAsia="zh-CN"/>
              </w:rPr>
            </w:pPr>
            <w:r>
              <w:rPr>
                <w:rFonts w:hint="eastAsia" w:asciiTheme="minorEastAsia" w:hAnsiTheme="minorEastAsia" w:eastAsiaTheme="minorEastAsia" w:cstheme="minorEastAsia"/>
                <w:b/>
                <w:color w:val="000000"/>
                <w:kern w:val="2"/>
                <w:sz w:val="21"/>
                <w:szCs w:val="21"/>
                <w:lang w:eastAsia="zh-CN"/>
              </w:rPr>
              <w:t>（二）评分依据：</w:t>
            </w:r>
          </w:p>
          <w:p w14:paraId="58BF153B">
            <w:pPr>
              <w:pageBreakBefore w:val="0"/>
              <w:widowControl/>
              <w:numPr>
                <w:ilvl w:val="-1"/>
                <w:numId w:val="0"/>
              </w:numPr>
              <w:kinsoku/>
              <w:overflowPunct/>
              <w:topLinePunct w:val="0"/>
              <w:autoSpaceDN/>
              <w:bidi w:val="0"/>
              <w:adjustRightInd/>
              <w:spacing w:line="240" w:lineRule="auto"/>
              <w:ind w:left="0" w:firstLine="0" w:firstLineChars="0"/>
              <w:jc w:val="both"/>
              <w:textAlignment w:val="center"/>
              <w:outlineLvl w:val="9"/>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1、每提供上述任意一项内容得</w:t>
            </w:r>
            <w:r>
              <w:rPr>
                <w:rFonts w:hint="eastAsia" w:asciiTheme="minorEastAsia" w:hAnsiTheme="minorEastAsia" w:eastAsiaTheme="minorEastAsia" w:cstheme="minorEastAsia"/>
                <w:kern w:val="2"/>
                <w:sz w:val="21"/>
                <w:szCs w:val="21"/>
                <w:lang w:val="en-US" w:eastAsia="zh-CN"/>
              </w:rPr>
              <w:t>20</w:t>
            </w:r>
            <w:r>
              <w:rPr>
                <w:rFonts w:hint="eastAsia" w:asciiTheme="minorEastAsia" w:hAnsiTheme="minorEastAsia" w:eastAsiaTheme="minorEastAsia" w:cstheme="minorEastAsia"/>
                <w:kern w:val="2"/>
                <w:sz w:val="21"/>
                <w:szCs w:val="21"/>
                <w:lang w:eastAsia="zh-CN"/>
              </w:rPr>
              <w:t>分，本小项最高得</w:t>
            </w:r>
            <w:r>
              <w:rPr>
                <w:rFonts w:hint="eastAsia" w:asciiTheme="minorEastAsia" w:hAnsiTheme="minorEastAsia" w:eastAsiaTheme="minorEastAsia" w:cstheme="minorEastAsia"/>
                <w:kern w:val="2"/>
                <w:sz w:val="21"/>
                <w:szCs w:val="21"/>
                <w:lang w:val="en-US" w:eastAsia="zh-CN"/>
              </w:rPr>
              <w:t>60</w:t>
            </w:r>
            <w:r>
              <w:rPr>
                <w:rFonts w:hint="eastAsia" w:asciiTheme="minorEastAsia" w:hAnsiTheme="minorEastAsia" w:eastAsiaTheme="minorEastAsia" w:cstheme="minorEastAsia"/>
                <w:kern w:val="2"/>
                <w:sz w:val="21"/>
                <w:szCs w:val="21"/>
                <w:lang w:eastAsia="zh-CN"/>
              </w:rPr>
              <w:t>分；</w:t>
            </w:r>
          </w:p>
          <w:p w14:paraId="4EB9C24F">
            <w:pPr>
              <w:pageBreakBefore w:val="0"/>
              <w:widowControl/>
              <w:kinsoku/>
              <w:wordWrap/>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2、</w:t>
            </w:r>
            <w:r>
              <w:rPr>
                <w:rFonts w:hint="eastAsia" w:asciiTheme="minorEastAsia" w:hAnsiTheme="minorEastAsia" w:eastAsiaTheme="minorEastAsia" w:cstheme="minorEastAsia"/>
                <w:kern w:val="2"/>
                <w:sz w:val="21"/>
                <w:szCs w:val="21"/>
                <w:lang w:eastAsia="zh-CN"/>
              </w:rPr>
              <w:t>在此基础上，专家根据各投标人的具体响应内容按</w:t>
            </w:r>
            <w:r>
              <w:rPr>
                <w:rFonts w:hint="eastAsia" w:asciiTheme="minorEastAsia" w:hAnsiTheme="minorEastAsia" w:eastAsiaTheme="minorEastAsia" w:cstheme="minorEastAsia"/>
                <w:strike w:val="0"/>
                <w:kern w:val="2"/>
                <w:sz w:val="21"/>
                <w:szCs w:val="21"/>
                <w:lang w:eastAsia="zh-CN"/>
              </w:rPr>
              <w:t>照量化的评审因素指标进一步评审：</w:t>
            </w:r>
          </w:p>
          <w:p w14:paraId="64FA02C5">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（1）</w:t>
            </w:r>
            <w:r>
              <w:rPr>
                <w:rFonts w:hint="eastAsia" w:asciiTheme="minorEastAsia" w:hAnsiTheme="minorEastAsia" w:eastAsiaTheme="minorEastAsia" w:cstheme="minorEastAsia"/>
                <w:strike w:val="0"/>
                <w:color w:val="000000"/>
                <w:kern w:val="2"/>
                <w:sz w:val="21"/>
                <w:szCs w:val="21"/>
                <w:lang w:val="en-US" w:eastAsia="zh-CN"/>
              </w:rPr>
              <w:t>具有施工安全防护、人员安全管理等明确安全保障措施</w:t>
            </w:r>
            <w:r>
              <w:rPr>
                <w:rFonts w:hint="eastAsia" w:asciiTheme="minorEastAsia" w:hAnsiTheme="minorEastAsia" w:eastAsiaTheme="minorEastAsia" w:cstheme="minorEastAsia"/>
                <w:strike w:val="0"/>
                <w:kern w:val="2"/>
                <w:sz w:val="21"/>
                <w:szCs w:val="21"/>
                <w:lang w:eastAsia="zh-CN"/>
              </w:rPr>
              <w:t>；</w:t>
            </w:r>
          </w:p>
          <w:p w14:paraId="2EBE4361">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color w:val="00000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（2）</w:t>
            </w:r>
            <w:r>
              <w:rPr>
                <w:rFonts w:hint="eastAsia" w:asciiTheme="minorEastAsia" w:hAnsiTheme="minorEastAsia" w:eastAsiaTheme="minorEastAsia" w:cstheme="minorEastAsia"/>
                <w:strike w:val="0"/>
                <w:color w:val="000000"/>
                <w:kern w:val="2"/>
                <w:sz w:val="21"/>
                <w:szCs w:val="21"/>
                <w:lang w:val="en-US" w:eastAsia="zh-CN"/>
              </w:rPr>
              <w:t>具有设备质量把控、施工质量把控等明确的质量控制措施；</w:t>
            </w:r>
          </w:p>
          <w:p w14:paraId="6486533F">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（3）</w:t>
            </w:r>
            <w:r>
              <w:rPr>
                <w:rFonts w:hint="eastAsia" w:asciiTheme="minorEastAsia" w:hAnsiTheme="minorEastAsia" w:eastAsiaTheme="minorEastAsia" w:cstheme="minorEastAsia"/>
                <w:strike w:val="0"/>
                <w:color w:val="000000"/>
                <w:kern w:val="2"/>
                <w:sz w:val="21"/>
                <w:szCs w:val="21"/>
                <w:lang w:val="en-US" w:eastAsia="zh-CN"/>
              </w:rPr>
              <w:t>具有到货进度规划、施工进度规划等明确的进度控制措施</w:t>
            </w:r>
            <w:r>
              <w:rPr>
                <w:rFonts w:hint="eastAsia" w:asciiTheme="minorEastAsia" w:hAnsiTheme="minorEastAsia" w:eastAsiaTheme="minorEastAsia" w:cstheme="minorEastAsia"/>
                <w:strike w:val="0"/>
                <w:color w:val="000000"/>
                <w:kern w:val="2"/>
                <w:sz w:val="21"/>
                <w:szCs w:val="21"/>
                <w:lang w:eastAsia="zh-CN"/>
              </w:rPr>
              <w:t>；</w:t>
            </w:r>
          </w:p>
          <w:p w14:paraId="4E76939F">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满足以上3项要求的评价为优，加40分。</w:t>
            </w:r>
          </w:p>
          <w:p w14:paraId="2310A3E0">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满足以上任意2项要求的评价为良，加2</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分。</w:t>
            </w:r>
          </w:p>
          <w:p w14:paraId="09CE4A85">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满足以上任意1项要求的评价为中，加10分。</w:t>
            </w:r>
          </w:p>
          <w:p w14:paraId="545B0F7D">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kern w:val="2"/>
                <w:sz w:val="21"/>
                <w:szCs w:val="21"/>
                <w:lang w:eastAsia="zh-CN"/>
              </w:rPr>
              <w:t>方案不尽合理、无针对性、无可操作性，评审为差不加分。</w:t>
            </w:r>
          </w:p>
        </w:tc>
      </w:tr>
      <w:tr w14:paraId="450E3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left w:val="single" w:color="000000" w:sz="8" w:space="0"/>
              <w:right w:val="single" w:color="000000" w:sz="8" w:space="0"/>
            </w:tcBorders>
            <w:shd w:val="clear" w:color="auto" w:fill="auto"/>
            <w:vAlign w:val="center"/>
          </w:tcPr>
          <w:p w14:paraId="51D8C7B7">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50337">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eastAsia="zh-CN"/>
              </w:rPr>
              <w:t>4</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C7D6B">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eastAsia="zh-CN"/>
              </w:rPr>
              <w:t>施工安全保障措施</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20BB6">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2</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24006">
            <w:pPr>
              <w:pageBreakBefore w:val="0"/>
              <w:widowControl w:val="0"/>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b/>
                <w:bCs/>
                <w:color w:val="000000"/>
                <w:kern w:val="2"/>
                <w:sz w:val="21"/>
                <w:szCs w:val="21"/>
                <w:lang w:eastAsia="zh-CN"/>
              </w:rPr>
            </w:pPr>
            <w:r>
              <w:rPr>
                <w:rFonts w:hint="eastAsia" w:asciiTheme="minorEastAsia" w:hAnsiTheme="minorEastAsia" w:eastAsiaTheme="minorEastAsia" w:cstheme="minorEastAsia"/>
                <w:b/>
                <w:bCs/>
                <w:color w:val="000000"/>
                <w:kern w:val="2"/>
                <w:sz w:val="21"/>
                <w:szCs w:val="21"/>
                <w:lang w:eastAsia="zh-CN"/>
              </w:rPr>
              <w:t>（一）评分内容：</w:t>
            </w:r>
          </w:p>
          <w:p w14:paraId="2BFBDBF2">
            <w:pPr>
              <w:pageBreakBefore w:val="0"/>
              <w:widowControl w:val="0"/>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投标人根据本项目制定施工安全保障措施，具体内容包括：</w:t>
            </w:r>
          </w:p>
          <w:p w14:paraId="61E91087">
            <w:pPr>
              <w:pageBreakBefore w:val="0"/>
              <w:widowControl w:val="0"/>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lang w:val="en-US" w:eastAsia="zh-CN"/>
              </w:rPr>
              <w:t>1</w:t>
            </w:r>
            <w:r>
              <w:rPr>
                <w:rFonts w:hint="eastAsia" w:asciiTheme="minorEastAsia" w:hAnsiTheme="minorEastAsia" w:eastAsiaTheme="minorEastAsia" w:cstheme="minorEastAsia"/>
                <w:color w:val="000000"/>
                <w:kern w:val="2"/>
                <w:sz w:val="21"/>
                <w:szCs w:val="21"/>
                <w:lang w:eastAsia="zh-CN"/>
              </w:rPr>
              <w:t>）整体实施方案；</w:t>
            </w:r>
          </w:p>
          <w:p w14:paraId="1A23EB7E">
            <w:pPr>
              <w:pageBreakBefore w:val="0"/>
              <w:widowControl w:val="0"/>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lang w:val="en-US" w:eastAsia="zh-CN"/>
              </w:rPr>
              <w:t>2</w:t>
            </w:r>
            <w:r>
              <w:rPr>
                <w:rFonts w:hint="eastAsia" w:asciiTheme="minorEastAsia" w:hAnsiTheme="minorEastAsia" w:eastAsiaTheme="minorEastAsia" w:cstheme="minorEastAsia"/>
                <w:color w:val="000000"/>
                <w:kern w:val="2"/>
                <w:sz w:val="21"/>
                <w:szCs w:val="21"/>
                <w:lang w:eastAsia="zh-CN"/>
              </w:rPr>
              <w:t>）安装调试方案；</w:t>
            </w:r>
          </w:p>
          <w:p w14:paraId="2B193C2C">
            <w:pPr>
              <w:pageBreakBefore w:val="0"/>
              <w:widowControl w:val="0"/>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lang w:val="en-US" w:eastAsia="zh-CN"/>
              </w:rPr>
              <w:t>3</w:t>
            </w:r>
            <w:r>
              <w:rPr>
                <w:rFonts w:hint="eastAsia" w:asciiTheme="minorEastAsia" w:hAnsiTheme="minorEastAsia" w:eastAsiaTheme="minorEastAsia" w:cstheme="minorEastAsia"/>
                <w:color w:val="000000"/>
                <w:kern w:val="2"/>
                <w:sz w:val="21"/>
                <w:szCs w:val="21"/>
                <w:lang w:eastAsia="zh-CN"/>
              </w:rPr>
              <w:t>）设计方案。</w:t>
            </w:r>
          </w:p>
          <w:p w14:paraId="6AE98931">
            <w:pPr>
              <w:pageBreakBefore w:val="0"/>
              <w:widowControl/>
              <w:kinsoku/>
              <w:overflowPunct/>
              <w:topLinePunct w:val="0"/>
              <w:autoSpaceDE/>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b/>
                <w:color w:val="000000"/>
                <w:kern w:val="2"/>
                <w:sz w:val="21"/>
                <w:szCs w:val="21"/>
                <w:lang w:eastAsia="zh-CN"/>
              </w:rPr>
            </w:pPr>
            <w:r>
              <w:rPr>
                <w:rFonts w:hint="eastAsia" w:asciiTheme="minorEastAsia" w:hAnsiTheme="minorEastAsia" w:eastAsiaTheme="minorEastAsia" w:cstheme="minorEastAsia"/>
                <w:b/>
                <w:color w:val="000000"/>
                <w:kern w:val="2"/>
                <w:sz w:val="21"/>
                <w:szCs w:val="21"/>
                <w:lang w:eastAsia="zh-CN"/>
              </w:rPr>
              <w:t>（二）评分依据：</w:t>
            </w:r>
          </w:p>
          <w:p w14:paraId="02CEC993">
            <w:pPr>
              <w:pageBreakBefore w:val="0"/>
              <w:widowControl/>
              <w:numPr>
                <w:ilvl w:val="-1"/>
                <w:numId w:val="0"/>
              </w:numPr>
              <w:kinsoku/>
              <w:overflowPunct/>
              <w:topLinePunct w:val="0"/>
              <w:autoSpaceDN/>
              <w:bidi w:val="0"/>
              <w:adjustRightInd/>
              <w:spacing w:line="240" w:lineRule="auto"/>
              <w:ind w:left="0" w:firstLine="0" w:firstLineChars="0"/>
              <w:jc w:val="both"/>
              <w:textAlignment w:val="center"/>
              <w:outlineLvl w:val="9"/>
              <w:rPr>
                <w:rFonts w:hint="eastAsia" w:asciiTheme="minorEastAsia" w:hAnsiTheme="minorEastAsia" w:eastAsiaTheme="minorEastAsia" w:cstheme="minorEastAsia"/>
                <w:strike w:val="0"/>
                <w:kern w:val="2"/>
                <w:sz w:val="21"/>
                <w:szCs w:val="21"/>
                <w:lang w:eastAsia="zh-CN"/>
              </w:rPr>
            </w:pPr>
            <w:r>
              <w:rPr>
                <w:rFonts w:hint="eastAsia" w:asciiTheme="minorEastAsia" w:hAnsiTheme="minorEastAsia" w:eastAsiaTheme="minorEastAsia" w:cstheme="minorEastAsia"/>
                <w:kern w:val="2"/>
                <w:sz w:val="21"/>
                <w:szCs w:val="21"/>
                <w:lang w:eastAsia="zh-CN"/>
              </w:rPr>
              <w:t>1、</w:t>
            </w:r>
            <w:r>
              <w:rPr>
                <w:rFonts w:hint="eastAsia" w:asciiTheme="minorEastAsia" w:hAnsiTheme="minorEastAsia" w:eastAsiaTheme="minorEastAsia" w:cstheme="minorEastAsia"/>
                <w:strike w:val="0"/>
                <w:kern w:val="2"/>
                <w:sz w:val="21"/>
                <w:szCs w:val="21"/>
                <w:lang w:eastAsia="zh-CN"/>
              </w:rPr>
              <w:t>每提供上述任意一项内容得</w:t>
            </w:r>
            <w:r>
              <w:rPr>
                <w:rFonts w:hint="eastAsia" w:asciiTheme="minorEastAsia" w:hAnsiTheme="minorEastAsia" w:eastAsiaTheme="minorEastAsia" w:cstheme="minorEastAsia"/>
                <w:strike w:val="0"/>
                <w:kern w:val="2"/>
                <w:sz w:val="21"/>
                <w:szCs w:val="21"/>
                <w:lang w:val="en-US" w:eastAsia="zh-CN"/>
              </w:rPr>
              <w:t>20</w:t>
            </w:r>
            <w:r>
              <w:rPr>
                <w:rFonts w:hint="eastAsia" w:asciiTheme="minorEastAsia" w:hAnsiTheme="minorEastAsia" w:eastAsiaTheme="minorEastAsia" w:cstheme="minorEastAsia"/>
                <w:strike w:val="0"/>
                <w:kern w:val="2"/>
                <w:sz w:val="21"/>
                <w:szCs w:val="21"/>
                <w:lang w:eastAsia="zh-CN"/>
              </w:rPr>
              <w:t>分，本小项最高得</w:t>
            </w:r>
            <w:r>
              <w:rPr>
                <w:rFonts w:hint="eastAsia" w:asciiTheme="minorEastAsia" w:hAnsiTheme="minorEastAsia" w:eastAsiaTheme="minorEastAsia" w:cstheme="minorEastAsia"/>
                <w:strike w:val="0"/>
                <w:kern w:val="2"/>
                <w:sz w:val="21"/>
                <w:szCs w:val="21"/>
                <w:lang w:val="en-US" w:eastAsia="zh-CN"/>
              </w:rPr>
              <w:t>60</w:t>
            </w:r>
            <w:r>
              <w:rPr>
                <w:rFonts w:hint="eastAsia" w:asciiTheme="minorEastAsia" w:hAnsiTheme="minorEastAsia" w:eastAsiaTheme="minorEastAsia" w:cstheme="minorEastAsia"/>
                <w:strike w:val="0"/>
                <w:kern w:val="2"/>
                <w:sz w:val="21"/>
                <w:szCs w:val="21"/>
                <w:lang w:eastAsia="zh-CN"/>
              </w:rPr>
              <w:t>分；</w:t>
            </w:r>
          </w:p>
          <w:p w14:paraId="242562C4">
            <w:pPr>
              <w:pageBreakBefore w:val="0"/>
              <w:widowControl/>
              <w:kinsoku/>
              <w:wordWrap/>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color w:val="00000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2、</w:t>
            </w:r>
            <w:r>
              <w:rPr>
                <w:rFonts w:hint="eastAsia" w:asciiTheme="minorEastAsia" w:hAnsiTheme="minorEastAsia" w:eastAsiaTheme="minorEastAsia" w:cstheme="minorEastAsia"/>
                <w:strike w:val="0"/>
                <w:kern w:val="2"/>
                <w:sz w:val="21"/>
                <w:szCs w:val="21"/>
                <w:lang w:eastAsia="zh-CN"/>
              </w:rPr>
              <w:t>在此基础上，专家根据各投标人的具体响应内容按照量化的评审因素指标进一步评审：</w:t>
            </w:r>
          </w:p>
          <w:p w14:paraId="775BED21">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（1）</w:t>
            </w:r>
            <w:r>
              <w:rPr>
                <w:rFonts w:hint="eastAsia" w:asciiTheme="minorEastAsia" w:hAnsiTheme="minorEastAsia" w:eastAsiaTheme="minorEastAsia" w:cstheme="minorEastAsia"/>
                <w:strike w:val="0"/>
                <w:color w:val="000000"/>
                <w:kern w:val="2"/>
                <w:sz w:val="21"/>
                <w:szCs w:val="21"/>
                <w:lang w:val="en-US" w:eastAsia="zh-CN"/>
              </w:rPr>
              <w:t>具有清晰的项目实施步骤与时间规划</w:t>
            </w:r>
            <w:r>
              <w:rPr>
                <w:rFonts w:hint="eastAsia" w:asciiTheme="minorEastAsia" w:hAnsiTheme="minorEastAsia" w:eastAsiaTheme="minorEastAsia" w:cstheme="minorEastAsia"/>
                <w:strike w:val="0"/>
                <w:kern w:val="2"/>
                <w:sz w:val="21"/>
                <w:szCs w:val="21"/>
                <w:lang w:eastAsia="zh-CN"/>
              </w:rPr>
              <w:t>；</w:t>
            </w:r>
          </w:p>
          <w:p w14:paraId="0CDF6B28">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color w:val="00000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（2）</w:t>
            </w:r>
            <w:r>
              <w:rPr>
                <w:rFonts w:hint="eastAsia" w:asciiTheme="minorEastAsia" w:hAnsiTheme="minorEastAsia" w:eastAsiaTheme="minorEastAsia" w:cstheme="minorEastAsia"/>
                <w:strike w:val="0"/>
                <w:color w:val="000000"/>
                <w:kern w:val="2"/>
                <w:sz w:val="21"/>
                <w:szCs w:val="21"/>
                <w:lang w:val="en-US" w:eastAsia="zh-CN"/>
              </w:rPr>
              <w:t>具有清晰的安装调试技术步骤与流程；</w:t>
            </w:r>
          </w:p>
          <w:p w14:paraId="2CDDE9EA">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strike w:val="0"/>
                <w:color w:val="000000"/>
                <w:kern w:val="2"/>
                <w:sz w:val="21"/>
                <w:szCs w:val="21"/>
                <w:lang w:eastAsia="zh-CN"/>
              </w:rPr>
            </w:pPr>
            <w:r>
              <w:rPr>
                <w:rFonts w:hint="eastAsia" w:asciiTheme="minorEastAsia" w:hAnsiTheme="minorEastAsia" w:eastAsiaTheme="minorEastAsia" w:cstheme="minorEastAsia"/>
                <w:strike w:val="0"/>
                <w:color w:val="000000"/>
                <w:kern w:val="2"/>
                <w:sz w:val="21"/>
                <w:szCs w:val="21"/>
                <w:lang w:eastAsia="zh-CN"/>
              </w:rPr>
              <w:t>（3）</w:t>
            </w:r>
            <w:r>
              <w:rPr>
                <w:rFonts w:hint="eastAsia" w:asciiTheme="minorEastAsia" w:hAnsiTheme="minorEastAsia" w:eastAsiaTheme="minorEastAsia" w:cstheme="minorEastAsia"/>
                <w:strike w:val="0"/>
                <w:color w:val="000000"/>
                <w:kern w:val="2"/>
                <w:sz w:val="21"/>
                <w:szCs w:val="21"/>
                <w:lang w:val="en-US" w:eastAsia="zh-CN"/>
              </w:rPr>
              <w:t>具有清晰的软件设计与硬件设计</w:t>
            </w:r>
            <w:r>
              <w:rPr>
                <w:rFonts w:hint="eastAsia" w:asciiTheme="minorEastAsia" w:hAnsiTheme="minorEastAsia" w:eastAsiaTheme="minorEastAsia" w:cstheme="minorEastAsia"/>
                <w:strike w:val="0"/>
                <w:color w:val="000000"/>
                <w:kern w:val="2"/>
                <w:sz w:val="21"/>
                <w:szCs w:val="21"/>
                <w:lang w:eastAsia="zh-CN"/>
              </w:rPr>
              <w:t>；</w:t>
            </w:r>
          </w:p>
          <w:p w14:paraId="6FD16681">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满足以上3项要求的评价为优，加40分。</w:t>
            </w:r>
          </w:p>
          <w:p w14:paraId="745EC0F0">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满足以上任意2项要求的评价为良，加2</w:t>
            </w:r>
            <w:r>
              <w:rPr>
                <w:rFonts w:hint="eastAsia" w:asciiTheme="minorEastAsia" w:hAnsiTheme="minorEastAsia" w:eastAsiaTheme="minorEastAsia" w:cstheme="minorEastAsia"/>
                <w:kern w:val="2"/>
                <w:sz w:val="21"/>
                <w:szCs w:val="21"/>
                <w:lang w:val="en-US" w:eastAsia="zh-CN"/>
              </w:rPr>
              <w:t>0</w:t>
            </w:r>
            <w:r>
              <w:rPr>
                <w:rFonts w:hint="eastAsia" w:asciiTheme="minorEastAsia" w:hAnsiTheme="minorEastAsia" w:eastAsiaTheme="minorEastAsia" w:cstheme="minorEastAsia"/>
                <w:kern w:val="2"/>
                <w:sz w:val="21"/>
                <w:szCs w:val="21"/>
                <w:lang w:eastAsia="zh-CN"/>
              </w:rPr>
              <w:t>分。</w:t>
            </w:r>
          </w:p>
          <w:p w14:paraId="64E87091">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满足以上任意1项要求的评价为中，加10分。</w:t>
            </w:r>
          </w:p>
          <w:p w14:paraId="7A01C20E">
            <w:pPr>
              <w:pageBreakBefore w:val="0"/>
              <w:widowControl/>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eastAsia="zh-CN"/>
              </w:rPr>
              <w:t>方案不尽合理、无针对性、无可操作性，评审为差不加分。</w:t>
            </w:r>
          </w:p>
        </w:tc>
      </w:tr>
      <w:tr w14:paraId="7094A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left w:val="single" w:color="000000" w:sz="8" w:space="0"/>
              <w:right w:val="single" w:color="000000" w:sz="8" w:space="0"/>
            </w:tcBorders>
            <w:shd w:val="clear" w:color="auto" w:fill="auto"/>
            <w:vAlign w:val="center"/>
          </w:tcPr>
          <w:p w14:paraId="0DA218C1">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F57CF">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5</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BF4EE">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演示</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3218D">
            <w:pPr>
              <w:pageBreakBefore w:val="0"/>
              <w:widowControl w:val="0"/>
              <w:kinsoku/>
              <w:overflowPunct/>
              <w:topLinePunct w:val="0"/>
              <w:autoSpaceDN/>
              <w:bidi w:val="0"/>
              <w:adjustRightInd/>
              <w:spacing w:line="240" w:lineRule="auto"/>
              <w:ind w:firstLine="0" w:firstLineChars="0"/>
              <w:jc w:val="center"/>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rPr>
              <w:t>15</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71706">
            <w:pPr>
              <w:pageBreakBefore w:val="0"/>
              <w:widowControl w:val="0"/>
              <w:numPr>
                <w:ilvl w:val="0"/>
                <w:numId w:val="1"/>
              </w:numPr>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评分内容：</w:t>
            </w:r>
          </w:p>
          <w:p w14:paraId="0612FA66">
            <w:pPr>
              <w:pageBreakBefore w:val="0"/>
              <w:widowControl/>
              <w:kinsoku/>
              <w:wordWrap/>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投标人针对</w:t>
            </w:r>
            <w:r>
              <w:rPr>
                <w:rFonts w:hint="eastAsia" w:asciiTheme="minorEastAsia" w:hAnsiTheme="minorEastAsia" w:eastAsiaTheme="minorEastAsia" w:cstheme="minorEastAsia"/>
                <w:color w:val="000000"/>
                <w:kern w:val="2"/>
                <w:sz w:val="21"/>
                <w:szCs w:val="21"/>
                <w:lang w:val="en-US" w:eastAsia="zh-CN"/>
              </w:rPr>
              <w:t>第4项高清录播主机、第7项智能课堂行为分析软件</w:t>
            </w:r>
            <w:r>
              <w:rPr>
                <w:rFonts w:hint="eastAsia" w:asciiTheme="minorEastAsia" w:hAnsiTheme="minorEastAsia" w:eastAsiaTheme="minorEastAsia" w:cstheme="minorEastAsia"/>
                <w:color w:val="000000"/>
                <w:kern w:val="2"/>
                <w:sz w:val="21"/>
                <w:szCs w:val="21"/>
                <w:lang w:eastAsia="zh-CN"/>
              </w:rPr>
              <w:t>，根据招标文件第一册第三章“</w:t>
            </w:r>
            <w:r>
              <w:rPr>
                <w:rFonts w:hint="eastAsia" w:asciiTheme="minorEastAsia" w:hAnsiTheme="minorEastAsia" w:eastAsiaTheme="minorEastAsia" w:cstheme="minorEastAsia"/>
                <w:color w:val="000000"/>
                <w:kern w:val="2"/>
                <w:sz w:val="21"/>
                <w:szCs w:val="21"/>
                <w:lang w:val="en-US" w:eastAsia="zh-CN"/>
              </w:rPr>
              <w:t>八</w:t>
            </w:r>
            <w:r>
              <w:rPr>
                <w:rFonts w:hint="eastAsia" w:asciiTheme="minorEastAsia" w:hAnsiTheme="minorEastAsia" w:eastAsiaTheme="minorEastAsia" w:cstheme="minorEastAsia"/>
                <w:color w:val="000000"/>
                <w:kern w:val="2"/>
                <w:sz w:val="21"/>
                <w:szCs w:val="21"/>
                <w:lang w:eastAsia="zh-CN"/>
              </w:rPr>
              <w:t>、演示要求”提供演示。</w:t>
            </w:r>
          </w:p>
          <w:p w14:paraId="404C1CF7">
            <w:pPr>
              <w:pageBreakBefore w:val="0"/>
              <w:widowControl/>
              <w:kinsoku/>
              <w:overflowPunct/>
              <w:topLinePunct w:val="0"/>
              <w:autoSpaceDN/>
              <w:bidi w:val="0"/>
              <w:adjustRightInd/>
              <w:spacing w:line="240" w:lineRule="auto"/>
              <w:ind w:firstLine="0" w:firstLineChars="0"/>
              <w:jc w:val="both"/>
              <w:textAlignment w:val="top"/>
              <w:outlineLvl w:val="9"/>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（二）评分依据：</w:t>
            </w:r>
          </w:p>
          <w:p w14:paraId="1F8FB068">
            <w:pPr>
              <w:pageBreakBefore w:val="0"/>
              <w:widowControl w:val="0"/>
              <w:kinsoku/>
              <w:overflowPunct/>
              <w:topLinePunct w:val="0"/>
              <w:autoSpaceDN/>
              <w:bidi w:val="0"/>
              <w:adjustRightInd/>
              <w:spacing w:line="240" w:lineRule="auto"/>
              <w:ind w:firstLine="0" w:firstLineChars="0"/>
              <w:jc w:val="both"/>
              <w:textAlignment w:val="center"/>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2"/>
                <w:sz w:val="21"/>
                <w:szCs w:val="21"/>
                <w:lang w:eastAsia="zh-CN"/>
              </w:rPr>
              <w:t>评审委员会根据演示内容及要求表进行打分，满足</w:t>
            </w:r>
            <w:r>
              <w:rPr>
                <w:rFonts w:hint="eastAsia" w:asciiTheme="minorEastAsia" w:hAnsiTheme="minorEastAsia" w:eastAsiaTheme="minorEastAsia" w:cstheme="minorEastAsia"/>
                <w:kern w:val="2"/>
                <w:sz w:val="21"/>
                <w:szCs w:val="21"/>
                <w:lang w:val="en-US" w:eastAsia="zh-CN"/>
              </w:rPr>
              <w:t>第</w:t>
            </w:r>
            <w:r>
              <w:rPr>
                <w:rFonts w:hint="eastAsia" w:asciiTheme="minorEastAsia" w:hAnsiTheme="minorEastAsia" w:eastAsiaTheme="minorEastAsia" w:cstheme="minorEastAsia"/>
                <w:kern w:val="2"/>
                <w:sz w:val="21"/>
                <w:szCs w:val="21"/>
                <w:lang w:eastAsia="zh-CN"/>
              </w:rPr>
              <w:t>一部分、</w:t>
            </w:r>
            <w:r>
              <w:rPr>
                <w:rFonts w:hint="eastAsia" w:asciiTheme="minorEastAsia" w:hAnsiTheme="minorEastAsia" w:eastAsiaTheme="minorEastAsia" w:cstheme="minorEastAsia"/>
                <w:kern w:val="2"/>
                <w:sz w:val="21"/>
                <w:szCs w:val="21"/>
                <w:lang w:val="en-US" w:eastAsia="zh-CN"/>
              </w:rPr>
              <w:t>第二部分</w:t>
            </w:r>
            <w:r>
              <w:rPr>
                <w:rFonts w:hint="eastAsia" w:asciiTheme="minorEastAsia" w:hAnsiTheme="minorEastAsia" w:eastAsiaTheme="minorEastAsia" w:cstheme="minorEastAsia"/>
                <w:kern w:val="2"/>
                <w:sz w:val="21"/>
                <w:szCs w:val="21"/>
                <w:lang w:eastAsia="zh-CN"/>
              </w:rPr>
              <w:t>演示要求的</w:t>
            </w:r>
            <w:r>
              <w:rPr>
                <w:rFonts w:hint="eastAsia" w:asciiTheme="minorEastAsia" w:hAnsiTheme="minorEastAsia" w:eastAsiaTheme="minorEastAsia" w:cstheme="minorEastAsia"/>
                <w:kern w:val="2"/>
                <w:sz w:val="21"/>
                <w:szCs w:val="21"/>
                <w:lang w:val="en-US" w:eastAsia="zh-CN"/>
              </w:rPr>
              <w:t>每项</w:t>
            </w:r>
            <w:r>
              <w:rPr>
                <w:rFonts w:hint="eastAsia" w:asciiTheme="minorEastAsia" w:hAnsiTheme="minorEastAsia" w:eastAsiaTheme="minorEastAsia" w:cstheme="minorEastAsia"/>
                <w:kern w:val="2"/>
                <w:sz w:val="21"/>
                <w:szCs w:val="21"/>
                <w:lang w:eastAsia="zh-CN"/>
              </w:rPr>
              <w:t>得</w:t>
            </w:r>
            <w:r>
              <w:rPr>
                <w:rFonts w:hint="eastAsia" w:asciiTheme="minorEastAsia" w:hAnsiTheme="minorEastAsia" w:eastAsiaTheme="minorEastAsia" w:cstheme="minorEastAsia"/>
                <w:kern w:val="2"/>
                <w:sz w:val="21"/>
                <w:szCs w:val="21"/>
                <w:lang w:val="en-US" w:eastAsia="zh-CN"/>
              </w:rPr>
              <w:t>30</w:t>
            </w:r>
            <w:r>
              <w:rPr>
                <w:rFonts w:hint="eastAsia" w:asciiTheme="minorEastAsia" w:hAnsiTheme="minorEastAsia" w:eastAsiaTheme="minorEastAsia" w:cstheme="minorEastAsia"/>
                <w:kern w:val="2"/>
                <w:sz w:val="21"/>
                <w:szCs w:val="21"/>
                <w:lang w:eastAsia="zh-CN"/>
              </w:rPr>
              <w:t>分，</w:t>
            </w:r>
            <w:r>
              <w:rPr>
                <w:rFonts w:hint="eastAsia" w:asciiTheme="minorEastAsia" w:hAnsiTheme="minorEastAsia" w:eastAsiaTheme="minorEastAsia" w:cstheme="minorEastAsia"/>
                <w:kern w:val="2"/>
                <w:sz w:val="21"/>
                <w:szCs w:val="21"/>
                <w:lang w:val="en-US" w:eastAsia="zh-CN"/>
              </w:rPr>
              <w:t>满足第三部分演示要求的得40分</w:t>
            </w:r>
            <w:r>
              <w:rPr>
                <w:rFonts w:hint="eastAsia" w:asciiTheme="minorEastAsia" w:hAnsiTheme="minorEastAsia" w:eastAsiaTheme="minorEastAsia" w:cstheme="minorEastAsia"/>
                <w:kern w:val="2"/>
                <w:sz w:val="21"/>
                <w:szCs w:val="21"/>
                <w:lang w:eastAsia="zh-CN"/>
              </w:rPr>
              <w:t>，全部演示满足要求的得100分；演示不满足要求或未参加演示的投标人不得分。演示时间不超过15分钟。</w:t>
            </w:r>
          </w:p>
        </w:tc>
      </w:tr>
      <w:tr w14:paraId="5C137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680547">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3</w:t>
            </w:r>
          </w:p>
        </w:tc>
        <w:tc>
          <w:tcPr>
            <w:tcW w:w="346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60B589D">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商务部分</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741C6">
            <w:pPr>
              <w:wordWrap w:val="0"/>
              <w:spacing w:after="160" w:line="278" w:lineRule="auto"/>
              <w:jc w:val="center"/>
              <w:rPr>
                <w:rFonts w:hint="eastAsia" w:ascii="宋体" w:hAnsi="宋体" w:eastAsia="宋体" w:cs="宋体"/>
                <w:b/>
                <w:bCs/>
                <w:color w:val="0000FF"/>
                <w:kern w:val="2"/>
                <w:sz w:val="21"/>
                <w:szCs w:val="21"/>
                <w:lang w:val="en-US" w:eastAsia="zh-CN"/>
              </w:rPr>
            </w:pPr>
            <w:r>
              <w:rPr>
                <w:rFonts w:hint="eastAsia" w:ascii="宋体" w:hAnsi="宋体" w:eastAsia="宋体" w:cs="宋体"/>
                <w:b/>
                <w:bCs/>
                <w:color w:val="0000FF"/>
                <w:kern w:val="2"/>
                <w:sz w:val="21"/>
                <w:szCs w:val="21"/>
                <w:lang w:val="en-US" w:eastAsia="zh-CN"/>
              </w:rPr>
              <w:t>5</w:t>
            </w:r>
          </w:p>
        </w:tc>
      </w:tr>
      <w:tr w14:paraId="4C77D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10CE94">
            <w:pPr>
              <w:widowControl w:val="0"/>
              <w:spacing w:after="160" w:line="278" w:lineRule="auto"/>
              <w:jc w:val="center"/>
              <w:rPr>
                <w:rFonts w:hint="eastAsia"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14:paraId="5F2676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eastAsia="zh-CN"/>
              </w:rPr>
            </w:pPr>
          </w:p>
        </w:tc>
      </w:tr>
      <w:tr w14:paraId="46FF9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081D217">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164FB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序号</w:t>
            </w:r>
          </w:p>
        </w:tc>
        <w:tc>
          <w:tcPr>
            <w:tcW w:w="19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6C49FD3">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93EEC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权重(%)</w:t>
            </w:r>
          </w:p>
        </w:tc>
        <w:tc>
          <w:tcPr>
            <w:tcW w:w="475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D3008F">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评分准则</w:t>
            </w:r>
          </w:p>
        </w:tc>
      </w:tr>
      <w:tr w14:paraId="1B240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F6E8E7">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48F9A">
            <w:pPr>
              <w:wordWrap w:val="0"/>
              <w:spacing w:after="160" w:line="278" w:lineRule="auto"/>
              <w:jc w:val="center"/>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DC913">
            <w:pPr>
              <w:wordWrap w:val="0"/>
              <w:spacing w:after="160" w:line="278" w:lineRule="auto"/>
              <w:jc w:val="center"/>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免费保修期内售后服务条款偏离情况</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E28B3">
            <w:pPr>
              <w:wordWrap w:val="0"/>
              <w:spacing w:after="160" w:line="278" w:lineRule="auto"/>
              <w:jc w:val="center"/>
              <w:textAlignment w:val="top"/>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3AF42">
            <w:pPr>
              <w:pageBreakBefore w:val="0"/>
              <w:widowControl w:val="0"/>
              <w:numPr>
                <w:ilvl w:val="0"/>
                <w:numId w:val="2"/>
              </w:numPr>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评分内容：</w:t>
            </w:r>
          </w:p>
          <w:p w14:paraId="158842D4">
            <w:pPr>
              <w:pageBreakBefore w:val="0"/>
              <w:widowControl w:val="0"/>
              <w:numPr>
                <w:ilvl w:val="0"/>
                <w:numId w:val="0"/>
              </w:numPr>
              <w:kinsoku/>
              <w:overflowPunct/>
              <w:topLinePunct w:val="0"/>
              <w:autoSpaceDN/>
              <w:bidi w:val="0"/>
              <w:adjustRightInd/>
              <w:spacing w:line="240" w:lineRule="auto"/>
              <w:ind w:left="0" w:firstLine="0" w:firstLineChars="0"/>
              <w:jc w:val="both"/>
              <w:outlineLvl w:val="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投标人应如实填写《商务要求偏离表（免费保修期内售后服务要求）》，评审委员会根据响应情况进行打分，全部满足要求的得100分，每负偏离一项扣</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lang w:eastAsia="zh-CN"/>
              </w:rPr>
              <w:t>分，扣完为止。</w:t>
            </w:r>
          </w:p>
          <w:p w14:paraId="44402F52">
            <w:pPr>
              <w:pageBreakBefore w:val="0"/>
              <w:widowControl w:val="0"/>
              <w:numPr>
                <w:ilvl w:val="0"/>
                <w:numId w:val="2"/>
              </w:numPr>
              <w:kinsoku/>
              <w:overflowPunct/>
              <w:topLinePunct w:val="0"/>
              <w:autoSpaceDN/>
              <w:bidi w:val="0"/>
              <w:adjustRightInd/>
              <w:spacing w:line="240" w:lineRule="auto"/>
              <w:ind w:left="0" w:leftChars="0" w:firstLine="0" w:firstLineChars="0"/>
              <w:jc w:val="both"/>
              <w:outlineLvl w:val="9"/>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评分依据：</w:t>
            </w:r>
          </w:p>
          <w:p w14:paraId="0F1B6BDD">
            <w:pPr>
              <w:pageBreakBefore w:val="0"/>
              <w:widowControl w:val="0"/>
              <w:numPr>
                <w:ilvl w:val="0"/>
                <w:numId w:val="0"/>
              </w:numPr>
              <w:kinsoku/>
              <w:overflowPunct/>
              <w:topLinePunct w:val="0"/>
              <w:autoSpaceDN/>
              <w:bidi w:val="0"/>
              <w:adjustRightInd/>
              <w:spacing w:line="240" w:lineRule="auto"/>
              <w:ind w:left="0" w:leftChars="0" w:firstLine="0" w:firstLineChars="0"/>
              <w:jc w:val="both"/>
              <w:outlineLvl w:val="9"/>
              <w:rPr>
                <w:rFonts w:hint="eastAsia" w:ascii="宋体" w:hAnsi="宋体" w:eastAsia="宋体" w:cs="宋体"/>
                <w:kern w:val="2"/>
                <w:sz w:val="21"/>
                <w:szCs w:val="21"/>
                <w:highlight w:val="none"/>
                <w:lang w:eastAsia="zh-CN"/>
              </w:rPr>
            </w:pPr>
            <w:r>
              <w:rPr>
                <w:rFonts w:hint="eastAsia" w:asciiTheme="minorEastAsia" w:hAnsiTheme="minorEastAsia" w:eastAsiaTheme="minorEastAsia" w:cstheme="minorEastAsia"/>
                <w:sz w:val="21"/>
                <w:szCs w:val="21"/>
                <w:highlight w:val="none"/>
                <w:lang w:eastAsia="zh-CN"/>
              </w:rPr>
              <w:t>《商务要求偏离表》</w:t>
            </w:r>
          </w:p>
        </w:tc>
      </w:tr>
      <w:tr w14:paraId="55F71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795CA6">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D8290">
            <w:pPr>
              <w:wordWrap w:val="0"/>
              <w:spacing w:after="160" w:line="278" w:lineRule="auto"/>
              <w:jc w:val="center"/>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F7334">
            <w:pPr>
              <w:widowControl w:val="0"/>
              <w:spacing w:after="160" w:line="278"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免费保修期外售后服务条款偏离情况</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04B6A">
            <w:pPr>
              <w:wordWrap w:val="0"/>
              <w:spacing w:after="160" w:line="278" w:lineRule="auto"/>
              <w:jc w:val="center"/>
              <w:textAlignment w:val="top"/>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7F3F7">
            <w:pPr>
              <w:pageBreakBefore w:val="0"/>
              <w:widowControl w:val="0"/>
              <w:numPr>
                <w:ilvl w:val="0"/>
                <w:numId w:val="3"/>
              </w:numPr>
              <w:kinsoku/>
              <w:overflowPunct/>
              <w:topLinePunct w:val="0"/>
              <w:autoSpaceDN/>
              <w:bidi w:val="0"/>
              <w:adjustRightInd/>
              <w:spacing w:line="240" w:lineRule="auto"/>
              <w:ind w:firstLine="0" w:firstLineChars="0"/>
              <w:jc w:val="both"/>
              <w:outlineLvl w:val="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评分内容：</w:t>
            </w:r>
          </w:p>
          <w:p w14:paraId="6DB946DF">
            <w:pPr>
              <w:pageBreakBefore w:val="0"/>
              <w:widowControl w:val="0"/>
              <w:numPr>
                <w:ilvl w:val="0"/>
                <w:numId w:val="0"/>
              </w:numPr>
              <w:kinsoku/>
              <w:overflowPunct/>
              <w:topLinePunct w:val="0"/>
              <w:autoSpaceDN/>
              <w:bidi w:val="0"/>
              <w:adjustRightInd/>
              <w:spacing w:line="240" w:lineRule="auto"/>
              <w:ind w:left="0" w:firstLine="0" w:firstLineChars="0"/>
              <w:jc w:val="both"/>
              <w:outlineLvl w:val="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投标人应如实填写《商务要求偏离表（免费保修期外售后服务要求）》，评审委员会根据响应情况进行打分，全部满足要求的得100分，每负偏离一项扣</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lang w:eastAsia="zh-CN"/>
              </w:rPr>
              <w:t>分，扣完为止。</w:t>
            </w:r>
          </w:p>
          <w:p w14:paraId="7ED0F06F">
            <w:pPr>
              <w:pageBreakBefore w:val="0"/>
              <w:widowControl w:val="0"/>
              <w:numPr>
                <w:ilvl w:val="0"/>
                <w:numId w:val="3"/>
              </w:numPr>
              <w:kinsoku/>
              <w:overflowPunct/>
              <w:topLinePunct w:val="0"/>
              <w:autoSpaceDN/>
              <w:bidi w:val="0"/>
              <w:adjustRightInd/>
              <w:spacing w:line="240" w:lineRule="auto"/>
              <w:ind w:left="0" w:leftChars="0" w:firstLine="0" w:firstLineChars="0"/>
              <w:jc w:val="both"/>
              <w:outlineLvl w:val="9"/>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评分依据：</w:t>
            </w:r>
          </w:p>
          <w:p w14:paraId="5F67ADEE">
            <w:pPr>
              <w:pageBreakBefore w:val="0"/>
              <w:widowControl w:val="0"/>
              <w:numPr>
                <w:ilvl w:val="0"/>
                <w:numId w:val="0"/>
              </w:numPr>
              <w:kinsoku/>
              <w:overflowPunct/>
              <w:topLinePunct w:val="0"/>
              <w:autoSpaceDN/>
              <w:bidi w:val="0"/>
              <w:adjustRightInd/>
              <w:spacing w:line="240" w:lineRule="auto"/>
              <w:ind w:left="0" w:leftChars="0" w:firstLine="0" w:firstLineChars="0"/>
              <w:jc w:val="both"/>
              <w:outlineLvl w:val="9"/>
              <w:rPr>
                <w:rFonts w:hint="eastAsia" w:ascii="宋体" w:hAnsi="宋体" w:eastAsia="宋体" w:cs="宋体"/>
                <w:kern w:val="2"/>
                <w:sz w:val="21"/>
                <w:szCs w:val="21"/>
                <w:highlight w:val="none"/>
                <w:lang w:eastAsia="zh-CN"/>
              </w:rPr>
            </w:pPr>
            <w:r>
              <w:rPr>
                <w:rFonts w:hint="eastAsia" w:asciiTheme="minorEastAsia" w:hAnsiTheme="minorEastAsia" w:eastAsiaTheme="minorEastAsia" w:cstheme="minorEastAsia"/>
                <w:sz w:val="21"/>
                <w:szCs w:val="21"/>
                <w:highlight w:val="none"/>
                <w:lang w:eastAsia="zh-CN"/>
              </w:rPr>
              <w:t>《商务要求偏离表》</w:t>
            </w:r>
          </w:p>
        </w:tc>
      </w:tr>
      <w:tr w14:paraId="1149B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B59BDD">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val="en-US" w:eastAsia="zh-CN" w:bidi="ar"/>
              </w:rPr>
              <w:t>4</w:t>
            </w:r>
          </w:p>
        </w:tc>
        <w:tc>
          <w:tcPr>
            <w:tcW w:w="346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68305F9">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sz w:val="21"/>
                <w:szCs w:val="21"/>
                <w:lang w:eastAsia="zh-CN" w:bidi="ar"/>
              </w:rPr>
              <w:t>诚信情况</w:t>
            </w:r>
          </w:p>
        </w:tc>
        <w:tc>
          <w:tcPr>
            <w:tcW w:w="4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2E492">
            <w:pPr>
              <w:wordWrap w:val="0"/>
              <w:spacing w:after="160" w:line="278"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43BAC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3DE65A">
            <w:pPr>
              <w:widowControl w:val="0"/>
              <w:spacing w:after="160" w:line="278" w:lineRule="auto"/>
              <w:jc w:val="center"/>
              <w:rPr>
                <w:rFonts w:hint="eastAsia" w:ascii="宋体" w:hAnsi="宋体" w:eastAsia="宋体" w:cs="宋体"/>
                <w:b/>
                <w:bCs/>
                <w:color w:val="0000FF"/>
                <w:kern w:val="2"/>
                <w:sz w:val="21"/>
                <w:szCs w:val="21"/>
                <w:lang w:eastAsia="zh-CN"/>
              </w:rPr>
            </w:pPr>
          </w:p>
        </w:tc>
        <w:tc>
          <w:tcPr>
            <w:tcW w:w="8219" w:type="dxa"/>
            <w:gridSpan w:val="4"/>
            <w:tcBorders>
              <w:top w:val="single" w:color="000000" w:sz="8" w:space="0"/>
              <w:left w:val="single" w:color="000000" w:sz="8" w:space="0"/>
              <w:bottom w:val="single" w:color="000000" w:sz="8" w:space="0"/>
              <w:right w:val="single" w:color="000000" w:sz="8" w:space="0"/>
            </w:tcBorders>
            <w:shd w:val="clear" w:color="auto" w:fill="auto"/>
          </w:tcPr>
          <w:p w14:paraId="58579B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eastAsia="zh-CN"/>
              </w:rPr>
            </w:pPr>
          </w:p>
        </w:tc>
      </w:tr>
      <w:tr w14:paraId="1B1D4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C189755">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5C7ED0">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序号</w:t>
            </w:r>
          </w:p>
        </w:tc>
        <w:tc>
          <w:tcPr>
            <w:tcW w:w="194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D913AC">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8515068">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权重(%)</w:t>
            </w:r>
          </w:p>
        </w:tc>
        <w:tc>
          <w:tcPr>
            <w:tcW w:w="475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70345F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评分准则</w:t>
            </w:r>
          </w:p>
        </w:tc>
      </w:tr>
      <w:tr w14:paraId="4AC80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70" w:type="dxa"/>
          <w:tblCellSpacing w:w="0" w:type="dxa"/>
          <w:jc w:val="center"/>
        </w:trPr>
        <w:tc>
          <w:tcPr>
            <w:tcW w:w="77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B93782">
            <w:pPr>
              <w:widowControl w:val="0"/>
              <w:spacing w:after="160" w:line="278" w:lineRule="auto"/>
              <w:jc w:val="center"/>
              <w:rPr>
                <w:rFonts w:hint="eastAsia" w:ascii="宋体" w:hAnsi="宋体" w:eastAsia="宋体" w:cs="宋体"/>
                <w:b/>
                <w:bCs/>
                <w:color w:val="0000FF"/>
                <w:kern w:val="2"/>
                <w:sz w:val="21"/>
                <w:szCs w:val="21"/>
                <w:lang w:eastAsia="zh-CN"/>
              </w:rPr>
            </w:pPr>
          </w:p>
        </w:tc>
        <w:tc>
          <w:tcPr>
            <w:tcW w:w="6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898B0">
            <w:pPr>
              <w:wordWrap w:val="0"/>
              <w:spacing w:after="160" w:line="278" w:lineRule="auto"/>
              <w:jc w:val="center"/>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D52AE">
            <w:pPr>
              <w:wordWrap w:val="0"/>
              <w:spacing w:after="160" w:line="278" w:lineRule="auto"/>
              <w:jc w:val="center"/>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B6F7B">
            <w:pPr>
              <w:wordWrap w:val="0"/>
              <w:spacing w:after="160" w:line="278" w:lineRule="auto"/>
              <w:jc w:val="center"/>
              <w:textAlignment w:val="top"/>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754" w:type="dxa"/>
            <w:tcBorders>
              <w:top w:val="single" w:color="000000" w:sz="8" w:space="0"/>
              <w:left w:val="single" w:color="000000" w:sz="8" w:space="0"/>
              <w:bottom w:val="single" w:color="000000" w:sz="8" w:space="0"/>
              <w:right w:val="single" w:color="000000" w:sz="8" w:space="0"/>
            </w:tcBorders>
            <w:shd w:val="clear" w:color="auto" w:fill="auto"/>
          </w:tcPr>
          <w:p w14:paraId="00D0F191">
            <w:pPr>
              <w:widowControl w:val="0"/>
              <w:wordWrap w:val="0"/>
              <w:spacing w:after="16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分。投标人无需提供任何证明材料，评标过程中由工作人员向评审委员会提供有关供应商诚信查询结果。</w:t>
            </w:r>
          </w:p>
          <w:p w14:paraId="73FE245C">
            <w:pPr>
              <w:widowControl w:val="0"/>
              <w:wordWrap w:val="0"/>
              <w:spacing w:after="160"/>
              <w:ind w:firstLine="420" w:firstLineChars="200"/>
              <w:jc w:val="both"/>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32D935AF">
      <w:pPr>
        <w:widowControl w:val="0"/>
        <w:spacing w:after="160" w:line="278" w:lineRule="auto"/>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14:paraId="5C0ACE69">
      <w:pPr>
        <w:widowControl w:val="0"/>
        <w:spacing w:after="160" w:line="278" w:lineRule="auto"/>
        <w:jc w:val="center"/>
        <w:rPr>
          <w:rFonts w:hint="eastAsia" w:eastAsia="宋体"/>
          <w:b/>
          <w:kern w:val="2"/>
          <w:sz w:val="120"/>
          <w:szCs w:val="120"/>
          <w:lang w:eastAsia="zh-CN"/>
        </w:rPr>
      </w:pPr>
    </w:p>
    <w:p w14:paraId="144DD41F">
      <w:pPr>
        <w:widowControl w:val="0"/>
        <w:spacing w:after="160" w:line="278" w:lineRule="auto"/>
        <w:jc w:val="center"/>
        <w:rPr>
          <w:rFonts w:eastAsia="宋体"/>
          <w:b/>
          <w:kern w:val="2"/>
          <w:sz w:val="120"/>
          <w:szCs w:val="120"/>
          <w:lang w:eastAsia="zh-CN"/>
        </w:rPr>
      </w:pPr>
      <w:r>
        <w:rPr>
          <w:rFonts w:hint="eastAsia" w:eastAsia="宋体"/>
          <w:b/>
          <w:kern w:val="2"/>
          <w:sz w:val="120"/>
          <w:szCs w:val="120"/>
          <w:lang w:eastAsia="zh-CN"/>
        </w:rPr>
        <w:t>政府采购</w:t>
      </w:r>
    </w:p>
    <w:p w14:paraId="0FF53628">
      <w:pPr>
        <w:widowControl w:val="0"/>
        <w:spacing w:after="160" w:line="278" w:lineRule="auto"/>
        <w:jc w:val="center"/>
        <w:rPr>
          <w:rFonts w:eastAsia="宋体"/>
          <w:b/>
          <w:kern w:val="2"/>
          <w:sz w:val="120"/>
          <w:szCs w:val="120"/>
          <w:lang w:eastAsia="zh-CN"/>
        </w:rPr>
      </w:pPr>
      <w:r>
        <w:rPr>
          <w:rFonts w:hint="eastAsia" w:eastAsia="宋体"/>
          <w:b/>
          <w:kern w:val="2"/>
          <w:sz w:val="120"/>
          <w:szCs w:val="120"/>
          <w:lang w:eastAsia="zh-CN"/>
        </w:rPr>
        <w:t>招标文件</w:t>
      </w:r>
    </w:p>
    <w:p w14:paraId="1FAE41CB">
      <w:pPr>
        <w:widowControl w:val="0"/>
        <w:spacing w:after="160" w:line="278" w:lineRule="auto"/>
        <w:jc w:val="center"/>
        <w:rPr>
          <w:rFonts w:eastAsia="宋体"/>
          <w:b/>
          <w:kern w:val="2"/>
          <w:sz w:val="52"/>
          <w:szCs w:val="52"/>
          <w:lang w:eastAsia="zh-CN"/>
        </w:rPr>
      </w:pPr>
      <w:r>
        <w:rPr>
          <w:rFonts w:hint="eastAsia" w:eastAsia="宋体"/>
          <w:b/>
          <w:kern w:val="2"/>
          <w:sz w:val="52"/>
          <w:szCs w:val="52"/>
          <w:lang w:eastAsia="zh-CN"/>
        </w:rPr>
        <w:t>（货物类）</w:t>
      </w:r>
    </w:p>
    <w:p w14:paraId="3E5F7792">
      <w:pPr>
        <w:widowControl w:val="0"/>
        <w:spacing w:after="160" w:line="278" w:lineRule="auto"/>
        <w:jc w:val="both"/>
        <w:rPr>
          <w:rFonts w:eastAsia="宋体"/>
          <w:kern w:val="2"/>
          <w:sz w:val="21"/>
          <w:lang w:eastAsia="zh-CN"/>
        </w:rPr>
      </w:pPr>
    </w:p>
    <w:p w14:paraId="299CB0FB">
      <w:pPr>
        <w:widowControl w:val="0"/>
        <w:spacing w:after="160" w:line="278" w:lineRule="auto"/>
        <w:jc w:val="both"/>
        <w:rPr>
          <w:rFonts w:eastAsia="宋体"/>
          <w:kern w:val="2"/>
          <w:sz w:val="21"/>
          <w:lang w:eastAsia="zh-CN"/>
        </w:rPr>
      </w:pPr>
    </w:p>
    <w:p w14:paraId="19063E51">
      <w:pPr>
        <w:widowControl w:val="0"/>
        <w:spacing w:after="160" w:line="278" w:lineRule="auto"/>
        <w:jc w:val="both"/>
        <w:rPr>
          <w:rFonts w:eastAsia="宋体"/>
          <w:kern w:val="2"/>
          <w:sz w:val="21"/>
          <w:lang w:eastAsia="zh-CN"/>
        </w:rPr>
      </w:pPr>
    </w:p>
    <w:p w14:paraId="39F128DA">
      <w:pPr>
        <w:widowControl w:val="0"/>
        <w:spacing w:after="160" w:line="278" w:lineRule="auto"/>
        <w:jc w:val="both"/>
        <w:rPr>
          <w:rFonts w:eastAsia="宋体"/>
          <w:kern w:val="2"/>
          <w:sz w:val="21"/>
          <w:lang w:eastAsia="zh-CN"/>
        </w:rPr>
      </w:pPr>
    </w:p>
    <w:p w14:paraId="0B38A2AA">
      <w:pPr>
        <w:widowControl w:val="0"/>
        <w:spacing w:after="160" w:line="278" w:lineRule="auto"/>
        <w:jc w:val="both"/>
        <w:rPr>
          <w:rFonts w:eastAsia="宋体"/>
          <w:kern w:val="2"/>
          <w:sz w:val="21"/>
          <w:lang w:eastAsia="zh-CN"/>
        </w:rPr>
      </w:pPr>
    </w:p>
    <w:p w14:paraId="26BF5200">
      <w:pPr>
        <w:widowControl w:val="0"/>
        <w:spacing w:after="160" w:line="278" w:lineRule="auto"/>
        <w:jc w:val="both"/>
        <w:rPr>
          <w:rFonts w:eastAsia="宋体"/>
          <w:kern w:val="2"/>
          <w:sz w:val="21"/>
          <w:lang w:eastAsia="zh-CN"/>
        </w:rPr>
      </w:pPr>
    </w:p>
    <w:p w14:paraId="0A266D7C">
      <w:pPr>
        <w:widowControl w:val="0"/>
        <w:spacing w:after="160" w:line="278" w:lineRule="auto"/>
        <w:jc w:val="both"/>
        <w:rPr>
          <w:rFonts w:eastAsia="宋体"/>
          <w:kern w:val="2"/>
          <w:sz w:val="21"/>
          <w:lang w:eastAsia="zh-CN"/>
        </w:rPr>
      </w:pPr>
    </w:p>
    <w:p w14:paraId="32C9A5C4">
      <w:pPr>
        <w:widowControl w:val="0"/>
        <w:spacing w:after="160" w:line="278" w:lineRule="auto"/>
        <w:jc w:val="both"/>
        <w:rPr>
          <w:rFonts w:eastAsia="宋体"/>
          <w:kern w:val="2"/>
          <w:sz w:val="21"/>
          <w:lang w:eastAsia="zh-CN"/>
        </w:rPr>
      </w:pPr>
    </w:p>
    <w:p w14:paraId="7000555A">
      <w:pPr>
        <w:widowControl w:val="0"/>
        <w:spacing w:after="160" w:line="278" w:lineRule="auto"/>
        <w:jc w:val="both"/>
        <w:rPr>
          <w:rFonts w:eastAsia="宋体"/>
          <w:kern w:val="2"/>
          <w:sz w:val="21"/>
          <w:lang w:eastAsia="zh-CN"/>
        </w:rPr>
      </w:pPr>
    </w:p>
    <w:p w14:paraId="232FDCFB">
      <w:pPr>
        <w:widowControl w:val="0"/>
        <w:spacing w:after="160" w:line="278" w:lineRule="auto"/>
        <w:jc w:val="both"/>
        <w:rPr>
          <w:rFonts w:eastAsia="宋体"/>
          <w:kern w:val="2"/>
          <w:sz w:val="21"/>
          <w:lang w:eastAsia="zh-CN"/>
        </w:rPr>
      </w:pPr>
    </w:p>
    <w:p w14:paraId="771B57C5">
      <w:pPr>
        <w:widowControl w:val="0"/>
        <w:spacing w:after="160" w:line="278" w:lineRule="auto"/>
        <w:jc w:val="both"/>
        <w:rPr>
          <w:rFonts w:eastAsia="宋体"/>
          <w:kern w:val="2"/>
          <w:sz w:val="21"/>
          <w:lang w:eastAsia="zh-CN"/>
        </w:rPr>
      </w:pPr>
    </w:p>
    <w:p w14:paraId="5E994B5B">
      <w:pPr>
        <w:widowControl w:val="0"/>
        <w:spacing w:after="160" w:line="278" w:lineRule="auto"/>
        <w:jc w:val="center"/>
        <w:rPr>
          <w:rFonts w:eastAsia="宋体"/>
          <w:b/>
          <w:kern w:val="2"/>
          <w:sz w:val="44"/>
          <w:szCs w:val="44"/>
          <w:lang w:eastAsia="zh-CN"/>
        </w:rPr>
      </w:pPr>
      <w:bookmarkStart w:id="3" w:name="_Hlk71465316"/>
      <w:r>
        <w:rPr>
          <w:rFonts w:hint="eastAsia" w:eastAsia="宋体"/>
          <w:b/>
          <w:kern w:val="2"/>
          <w:sz w:val="44"/>
          <w:szCs w:val="44"/>
          <w:lang w:eastAsia="zh-CN"/>
        </w:rPr>
        <w:t>深圳公共资源交易中心</w:t>
      </w:r>
    </w:p>
    <w:p w14:paraId="74CFCDC6">
      <w:pPr>
        <w:widowControl w:val="0"/>
        <w:spacing w:after="160" w:line="278" w:lineRule="auto"/>
        <w:jc w:val="center"/>
        <w:rPr>
          <w:rFonts w:eastAsia="宋体"/>
          <w:b/>
          <w:kern w:val="2"/>
          <w:sz w:val="44"/>
          <w:szCs w:val="44"/>
          <w:lang w:eastAsia="zh-CN"/>
        </w:rPr>
      </w:pPr>
      <w:r>
        <w:rPr>
          <w:rFonts w:hint="eastAsia" w:eastAsia="宋体"/>
          <w:b/>
          <w:kern w:val="2"/>
          <w:sz w:val="44"/>
          <w:szCs w:val="44"/>
          <w:lang w:eastAsia="zh-CN"/>
        </w:rPr>
        <w:t>（</w:t>
      </w:r>
      <w:r>
        <w:rPr>
          <w:rFonts w:eastAsia="宋体"/>
          <w:b/>
          <w:kern w:val="2"/>
          <w:sz w:val="44"/>
          <w:szCs w:val="44"/>
          <w:lang w:eastAsia="zh-CN"/>
        </w:rPr>
        <w:t>20</w:t>
      </w:r>
      <w:r>
        <w:rPr>
          <w:rFonts w:hint="eastAsia" w:eastAsia="宋体"/>
          <w:b/>
          <w:kern w:val="2"/>
          <w:sz w:val="44"/>
          <w:szCs w:val="44"/>
          <w:lang w:eastAsia="zh-CN"/>
        </w:rPr>
        <w:t>25）</w:t>
      </w:r>
    </w:p>
    <w:bookmarkEnd w:id="3"/>
    <w:p w14:paraId="070A71B1">
      <w:pPr>
        <w:widowControl w:val="0"/>
        <w:spacing w:after="160" w:line="278" w:lineRule="auto"/>
        <w:ind w:firstLine="400" w:firstLineChars="200"/>
        <w:jc w:val="both"/>
        <w:rPr>
          <w:rFonts w:ascii="宋体" w:hAnsi="宋体" w:eastAsia="宋体"/>
          <w:color w:val="FF0000"/>
          <w:kern w:val="2"/>
          <w:sz w:val="20"/>
          <w:szCs w:val="20"/>
          <w:lang w:eastAsia="zh-CN"/>
        </w:rPr>
        <w:sectPr>
          <w:pgSz w:w="11907" w:h="16840"/>
          <w:pgMar w:top="1440" w:right="1797" w:bottom="1440" w:left="1797" w:header="851" w:footer="992" w:gutter="0"/>
          <w:cols w:space="425" w:num="1"/>
          <w:titlePg/>
          <w:docGrid w:linePitch="462" w:charSpace="0"/>
        </w:sectPr>
      </w:pPr>
    </w:p>
    <w:p w14:paraId="7152CA14">
      <w:pPr>
        <w:widowControl w:val="0"/>
        <w:spacing w:before="240" w:beforeLines="100" w:after="240" w:afterLines="100" w:line="278" w:lineRule="auto"/>
        <w:jc w:val="center"/>
        <w:rPr>
          <w:rFonts w:ascii="黑体" w:hAnsi="黑体" w:eastAsia="黑体" w:cs="黑体"/>
          <w:b/>
          <w:bCs/>
          <w:kern w:val="2"/>
          <w:sz w:val="28"/>
          <w:szCs w:val="36"/>
          <w:lang w:eastAsia="zh-CN"/>
        </w:rPr>
      </w:pPr>
      <w:bookmarkStart w:id="4" w:name="_Hlk72218009"/>
      <w:r>
        <w:rPr>
          <w:rFonts w:hint="eastAsia" w:ascii="黑体" w:hAnsi="黑体" w:eastAsia="黑体" w:cs="黑体"/>
          <w:b/>
          <w:bCs/>
          <w:kern w:val="2"/>
          <w:sz w:val="28"/>
          <w:szCs w:val="36"/>
          <w:lang w:eastAsia="zh-CN"/>
        </w:rPr>
        <w:t>目   录</w:t>
      </w:r>
    </w:p>
    <w:p w14:paraId="5D91E0F8">
      <w:pPr>
        <w:outlineLvl w:val="0"/>
        <w:rPr>
          <w:rFonts w:hint="eastAsia" w:ascii="宋体" w:hAnsi="宋体" w:eastAsia="宋体" w:cs="宋体"/>
          <w:b/>
          <w:sz w:val="21"/>
          <w:szCs w:val="21"/>
        </w:rPr>
      </w:pPr>
      <w:r>
        <w:rPr>
          <w:rFonts w:hint="eastAsia" w:ascii="宋体" w:hAnsi="宋体" w:eastAsia="宋体" w:cs="宋体"/>
          <w:b/>
          <w:sz w:val="21"/>
          <w:szCs w:val="21"/>
        </w:rPr>
        <w:t>第一册  专用条款</w:t>
      </w:r>
    </w:p>
    <w:p w14:paraId="0286AC71">
      <w:pPr>
        <w:rPr>
          <w:rFonts w:hint="eastAsia" w:ascii="宋体" w:hAnsi="宋体" w:eastAsia="宋体" w:cs="宋体"/>
          <w:sz w:val="21"/>
          <w:szCs w:val="21"/>
        </w:rPr>
      </w:pPr>
      <w:r>
        <w:rPr>
          <w:rFonts w:hint="eastAsia" w:ascii="宋体" w:hAnsi="宋体" w:eastAsia="宋体" w:cs="宋体"/>
          <w:sz w:val="21"/>
          <w:szCs w:val="21"/>
        </w:rPr>
        <w:t xml:space="preserve">          关键信息</w:t>
      </w:r>
    </w:p>
    <w:p w14:paraId="3A24DD04">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第一章  招标公告</w:t>
      </w:r>
    </w:p>
    <w:p w14:paraId="2A45B207">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 xml:space="preserve">第二章  </w:t>
      </w:r>
      <w:bookmarkStart w:id="5" w:name="_Hlk71994379"/>
      <w:r>
        <w:rPr>
          <w:rFonts w:hint="eastAsia" w:ascii="宋体" w:hAnsi="宋体" w:eastAsia="宋体" w:cs="宋体"/>
          <w:sz w:val="21"/>
          <w:szCs w:val="21"/>
        </w:rPr>
        <w:t>对通用条款的补充内容及其他关键信息</w:t>
      </w:r>
      <w:bookmarkEnd w:id="5"/>
    </w:p>
    <w:p w14:paraId="508B9494">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第三章  用户需求书</w:t>
      </w:r>
    </w:p>
    <w:p w14:paraId="0EC1C7DB">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第四章  投标文件组成要求及格式</w:t>
      </w:r>
    </w:p>
    <w:p w14:paraId="30530DA9">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第五章  合同条款及格式</w:t>
      </w:r>
    </w:p>
    <w:p w14:paraId="11793CDA">
      <w:pPr>
        <w:rPr>
          <w:rFonts w:hint="eastAsia" w:ascii="宋体" w:hAnsi="宋体" w:eastAsia="宋体" w:cs="宋体"/>
          <w:b/>
          <w:sz w:val="21"/>
          <w:szCs w:val="21"/>
        </w:rPr>
      </w:pPr>
    </w:p>
    <w:p w14:paraId="5FD640F4">
      <w:pPr>
        <w:outlineLvl w:val="0"/>
        <w:rPr>
          <w:rFonts w:hint="eastAsia" w:ascii="宋体" w:hAnsi="宋体" w:eastAsia="宋体" w:cs="宋体"/>
          <w:b/>
          <w:sz w:val="21"/>
          <w:szCs w:val="21"/>
        </w:rPr>
      </w:pPr>
      <w:r>
        <w:rPr>
          <w:rFonts w:hint="eastAsia" w:ascii="宋体" w:hAnsi="宋体" w:eastAsia="宋体" w:cs="宋体"/>
          <w:b/>
          <w:sz w:val="21"/>
          <w:szCs w:val="21"/>
        </w:rPr>
        <w:t>第二册  通用条款</w:t>
      </w:r>
    </w:p>
    <w:p w14:paraId="72B11949">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第一章  总则</w:t>
      </w:r>
    </w:p>
    <w:p w14:paraId="3EDB5C4E">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第二章  招标文件</w:t>
      </w:r>
    </w:p>
    <w:p w14:paraId="12238A12">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第三章  投标文件的编制</w:t>
      </w:r>
    </w:p>
    <w:p w14:paraId="3EF92F89">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第四章  投标文件的递交</w:t>
      </w:r>
    </w:p>
    <w:p w14:paraId="5C3B549D">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第五章  开标</w:t>
      </w:r>
    </w:p>
    <w:p w14:paraId="046B9FC8">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第六章  评审要求</w:t>
      </w:r>
    </w:p>
    <w:p w14:paraId="6D50E64A">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第七章  评审程序及评审方法</w:t>
      </w:r>
    </w:p>
    <w:p w14:paraId="3CFA15E5">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第八章  定标及公示</w:t>
      </w:r>
    </w:p>
    <w:p w14:paraId="56523E87">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第九章  公开招标失败的后续处理</w:t>
      </w:r>
    </w:p>
    <w:p w14:paraId="520F427B">
      <w:pPr>
        <w:ind w:left="720" w:leftChars="300"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第十章  合同的授予与备案</w:t>
      </w:r>
      <w:r>
        <w:rPr>
          <w:rFonts w:hint="eastAsia" w:ascii="宋体" w:hAnsi="宋体" w:eastAsia="宋体" w:cs="宋体"/>
          <w:sz w:val="21"/>
          <w:szCs w:val="21"/>
          <w:lang w:val="en-US" w:eastAsia="zh-CN"/>
        </w:rPr>
        <w:t xml:space="preserve">  </w:t>
      </w:r>
    </w:p>
    <w:p w14:paraId="11609777">
      <w:pPr>
        <w:ind w:left="720" w:leftChars="300" w:firstLine="630" w:firstLineChars="300"/>
        <w:rPr>
          <w:rFonts w:hint="eastAsia" w:ascii="宋体" w:hAnsi="宋体" w:eastAsia="宋体" w:cs="宋体"/>
          <w:sz w:val="21"/>
          <w:szCs w:val="21"/>
        </w:rPr>
      </w:pPr>
      <w:r>
        <w:rPr>
          <w:rFonts w:hint="eastAsia" w:ascii="宋体" w:hAnsi="宋体" w:eastAsia="宋体" w:cs="宋体"/>
          <w:sz w:val="21"/>
          <w:szCs w:val="21"/>
        </w:rPr>
        <w:t>第十一章  质疑处理</w:t>
      </w:r>
    </w:p>
    <w:p w14:paraId="5E6A9321">
      <w:pPr>
        <w:widowControl w:val="0"/>
        <w:spacing w:after="160" w:line="360" w:lineRule="auto"/>
        <w:jc w:val="both"/>
        <w:rPr>
          <w:rFonts w:eastAsia="宋体"/>
          <w:b/>
          <w:bCs/>
          <w:kern w:val="2"/>
          <w:lang w:eastAsia="zh-CN"/>
        </w:rPr>
      </w:pPr>
    </w:p>
    <w:p w14:paraId="6ADD20F0">
      <w:pPr>
        <w:widowControl w:val="0"/>
        <w:spacing w:after="160" w:line="360" w:lineRule="auto"/>
        <w:jc w:val="both"/>
        <w:rPr>
          <w:rFonts w:eastAsia="宋体"/>
          <w:kern w:val="2"/>
          <w:lang w:eastAsia="zh-CN"/>
        </w:rPr>
      </w:pPr>
    </w:p>
    <w:p w14:paraId="68C0D922">
      <w:pPr>
        <w:widowControl w:val="0"/>
        <w:spacing w:after="160" w:line="360" w:lineRule="auto"/>
        <w:jc w:val="both"/>
        <w:rPr>
          <w:rFonts w:eastAsia="宋体"/>
          <w:kern w:val="2"/>
          <w:lang w:eastAsia="zh-CN"/>
        </w:rPr>
      </w:pPr>
    </w:p>
    <w:p w14:paraId="486F1116">
      <w:pPr>
        <w:widowControl w:val="0"/>
        <w:spacing w:after="160" w:line="360" w:lineRule="auto"/>
        <w:jc w:val="both"/>
        <w:rPr>
          <w:rFonts w:eastAsia="宋体"/>
          <w:b/>
          <w:bCs/>
          <w:kern w:val="2"/>
          <w:lang w:eastAsia="zh-CN"/>
        </w:rPr>
        <w:sectPr>
          <w:pgSz w:w="11907" w:h="16840"/>
          <w:pgMar w:top="1440" w:right="1797" w:bottom="1440" w:left="1797" w:header="851" w:footer="992" w:gutter="0"/>
          <w:cols w:space="425" w:num="1"/>
          <w:titlePg/>
          <w:docGrid w:linePitch="462" w:charSpace="0"/>
        </w:sectPr>
      </w:pPr>
    </w:p>
    <w:bookmarkEnd w:id="4"/>
    <w:p w14:paraId="160241F6">
      <w:pPr>
        <w:keepNext/>
        <w:keepLines/>
        <w:widowControl w:val="0"/>
        <w:spacing w:before="340" w:after="330" w:line="360" w:lineRule="auto"/>
        <w:jc w:val="center"/>
        <w:outlineLvl w:val="0"/>
        <w:rPr>
          <w:rFonts w:ascii="宋体" w:hAnsi="宋体" w:eastAsia="黑体"/>
          <w:b/>
          <w:bCs/>
          <w:color w:val="FF0000"/>
          <w:kern w:val="44"/>
          <w:szCs w:val="44"/>
          <w:lang w:eastAsia="zh-CN"/>
        </w:rPr>
      </w:pPr>
      <w:bookmarkStart w:id="6" w:name="bt技术标投标文件格式"/>
      <w:bookmarkEnd w:id="6"/>
      <w:bookmarkStart w:id="7" w:name="bt本工程承诺书"/>
      <w:bookmarkEnd w:id="7"/>
      <w:bookmarkStart w:id="8" w:name="bt合同格式"/>
      <w:bookmarkEnd w:id="8"/>
      <w:bookmarkStart w:id="9" w:name="bt投标报价汇总表"/>
      <w:bookmarkEnd w:id="9"/>
      <w:bookmarkStart w:id="10" w:name="bt投标人须知"/>
      <w:bookmarkEnd w:id="10"/>
      <w:bookmarkStart w:id="11" w:name="bt投标人情况介绍"/>
      <w:bookmarkEnd w:id="11"/>
      <w:bookmarkStart w:id="12" w:name="bt投标函"/>
      <w:bookmarkEnd w:id="12"/>
      <w:bookmarkStart w:id="13" w:name="bt开标一览表"/>
      <w:bookmarkEnd w:id="13"/>
      <w:bookmarkStart w:id="14" w:name="bt合同条款及格式"/>
      <w:bookmarkEnd w:id="14"/>
      <w:bookmarkStart w:id="15" w:name="合同格式"/>
      <w:bookmarkEnd w:id="15"/>
      <w:bookmarkStart w:id="16" w:name="bt合同条款"/>
      <w:bookmarkEnd w:id="16"/>
      <w:bookmarkStart w:id="17" w:name="bt其他资料由投标人自定"/>
      <w:bookmarkEnd w:id="17"/>
      <w:bookmarkStart w:id="18" w:name="bt说明"/>
      <w:bookmarkEnd w:id="18"/>
      <w:bookmarkStart w:id="19" w:name="bt其他资料2"/>
      <w:bookmarkEnd w:id="19"/>
      <w:bookmarkStart w:id="20" w:name="bt项目管理班子配备情况"/>
      <w:bookmarkEnd w:id="20"/>
      <w:bookmarkStart w:id="21" w:name="bt投标文件签署授权委托书"/>
      <w:bookmarkEnd w:id="21"/>
      <w:bookmarkStart w:id="22" w:name="bt商务标投标文件格式"/>
      <w:bookmarkEnd w:id="22"/>
      <w:r>
        <w:rPr>
          <w:rFonts w:hint="eastAsia" w:ascii="宋体" w:hAnsi="宋体" w:eastAsia="黑体"/>
          <w:b/>
          <w:bCs/>
          <w:kern w:val="44"/>
          <w:sz w:val="28"/>
          <w:szCs w:val="44"/>
          <w:lang w:eastAsia="zh-CN"/>
        </w:rPr>
        <w:t>第一册  专用条款</w:t>
      </w:r>
    </w:p>
    <w:p w14:paraId="64EA622D">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98AFD45">
      <w:pPr>
        <w:widowControl w:val="0"/>
        <w:spacing w:after="160"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7E9F37E9">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1.具有独立承担民事责任的能力（提供营业执照或事业单位法人证书等证明资料扫描件，原件备查，分支机构参与投标的，须同时提供总公司授权文件且授权书载明其民事责任由总公司承担）；</w:t>
      </w:r>
    </w:p>
    <w:p w14:paraId="68AA352D">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2.本项目不接受联合体投标，不接受投标人选用进口产品参与投标，详见招标文件“第三章 用户需求书”，不允许分包；</w:t>
      </w:r>
    </w:p>
    <w:p w14:paraId="65908699">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338326DE">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30AB4239">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19F8A6F4">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6.不存在《深圳市财政局政府采购供应商信用信息管理办法》（深财规〔2023〕3号）列明的严重违法失信行为（由供应商在《政府采购投标及履约承诺函》中作出声明）；</w:t>
      </w:r>
    </w:p>
    <w:p w14:paraId="7575F5C7">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67688FEC">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1728A93">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9.本项目为非专门面向中小企业采购项目。</w:t>
      </w:r>
    </w:p>
    <w:p w14:paraId="05FF4C8D">
      <w:pPr>
        <w:widowControl w:val="0"/>
        <w:spacing w:after="160" w:line="278" w:lineRule="auto"/>
        <w:ind w:firstLine="420" w:firstLineChars="200"/>
        <w:jc w:val="both"/>
        <w:rPr>
          <w:rFonts w:hint="eastAsia" w:ascii="宋体" w:hAnsi="宋体" w:eastAsia="宋体"/>
          <w:kern w:val="2"/>
          <w:sz w:val="21"/>
          <w:lang w:eastAsia="zh-CN"/>
        </w:rPr>
      </w:pPr>
    </w:p>
    <w:p w14:paraId="3EDBFF4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kern w:val="2"/>
          <w:sz w:val="21"/>
          <w:lang w:eastAsia="zh-CN"/>
        </w:rPr>
      </w:pPr>
      <w:r>
        <w:rPr>
          <w:rFonts w:hint="eastAsia" w:ascii="宋体" w:hAnsi="宋体" w:eastAsia="宋体"/>
          <w:kern w:val="2"/>
          <w:sz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39A29C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（2）供应商投标（上传投标文件）必须先行办理注册手续，具体请按照本公告“六、其他补充事宜”相关内容指引办理。</w:t>
      </w:r>
    </w:p>
    <w:p w14:paraId="5BE36FF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eastAsia="宋体"/>
          <w:b/>
          <w:kern w:val="2"/>
          <w:sz w:val="21"/>
          <w:lang w:eastAsia="zh-CN"/>
        </w:rPr>
      </w:pPr>
      <w:r>
        <w:rPr>
          <w:rFonts w:hint="eastAsia"/>
          <w:b/>
          <w:sz w:val="22"/>
          <w:szCs w:val="18"/>
        </w:rPr>
        <w:t>完整公告内容详见：深圳交易集团官网</w:t>
      </w:r>
      <w:bookmarkStart w:id="23" w:name="OLE_LINK3"/>
      <w:r>
        <w:rPr>
          <w:rFonts w:hint="eastAsia"/>
          <w:b/>
          <w:sz w:val="22"/>
          <w:szCs w:val="18"/>
        </w:rPr>
        <w:t>（https://www.szexgrp.com/jyfw/zfcg-view.html?id=zfcg）</w:t>
      </w:r>
      <w:bookmarkEnd w:id="23"/>
    </w:p>
    <w:p w14:paraId="4E790FEC">
      <w:pPr>
        <w:widowControl w:val="0"/>
        <w:spacing w:after="160" w:line="278" w:lineRule="auto"/>
        <w:jc w:val="both"/>
        <w:rPr>
          <w:rFonts w:eastAsia="宋体"/>
          <w:kern w:val="2"/>
          <w:lang w:eastAsia="zh-CN"/>
        </w:rPr>
        <w:sectPr>
          <w:pgSz w:w="11907" w:h="16840"/>
          <w:pgMar w:top="1440" w:right="1797" w:bottom="1440" w:left="1797" w:header="851" w:footer="992" w:gutter="0"/>
          <w:cols w:space="425" w:num="1"/>
          <w:titlePg/>
          <w:docGrid w:linePitch="462" w:charSpace="0"/>
        </w:sectPr>
      </w:pPr>
    </w:p>
    <w:p w14:paraId="1782F335">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24" w:name="_Hlk71926094"/>
      <w:r>
        <w:rPr>
          <w:rFonts w:hint="eastAsia" w:ascii="宋体" w:hAnsi="宋体" w:eastAsia="宋体"/>
          <w:b/>
          <w:bCs/>
          <w:sz w:val="28"/>
          <w:szCs w:val="28"/>
          <w:lang w:eastAsia="zh-CN"/>
        </w:rPr>
        <w:t>对通用条款的补充内容及其他关键信息</w:t>
      </w:r>
      <w:bookmarkEnd w:id="24"/>
    </w:p>
    <w:p w14:paraId="24B3B4A8">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bookmarkStart w:id="25" w:name="_Toc73518117"/>
      <w:bookmarkStart w:id="26" w:name="_Toc73521635"/>
      <w:bookmarkStart w:id="27" w:name="_Toc100052364"/>
      <w:bookmarkStart w:id="28" w:name="_Toc73517639"/>
      <w:bookmarkStart w:id="29" w:name="_Toc101074876"/>
      <w:bookmarkStart w:id="30" w:name="_Toc60631620"/>
      <w:bookmarkStart w:id="31" w:name="_Toc60560625"/>
      <w:bookmarkStart w:id="32" w:name="_Toc73521547"/>
      <w:r>
        <w:rPr>
          <w:rFonts w:hint="eastAsia" w:ascii="宋体" w:hAnsi="宋体" w:eastAsia="宋体"/>
          <w:b/>
          <w:bCs/>
          <w:lang w:eastAsia="zh-CN"/>
        </w:rPr>
        <w:t>一、对通用条款的补充内容</w:t>
      </w:r>
    </w:p>
    <w:bookmarkEnd w:id="25"/>
    <w:bookmarkEnd w:id="26"/>
    <w:bookmarkEnd w:id="27"/>
    <w:bookmarkEnd w:id="28"/>
    <w:bookmarkEnd w:id="29"/>
    <w:bookmarkEnd w:id="30"/>
    <w:bookmarkEnd w:id="31"/>
    <w:bookmarkEnd w:id="32"/>
    <w:tbl>
      <w:tblPr>
        <w:tblStyle w:val="1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456"/>
        <w:gridCol w:w="5076"/>
      </w:tblGrid>
      <w:tr w14:paraId="52223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4A4A97D6">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b/>
                <w:bCs/>
                <w:kern w:val="2"/>
                <w:sz w:val="21"/>
                <w:lang w:eastAsia="zh-CN"/>
              </w:rPr>
            </w:pPr>
            <w:bookmarkStart w:id="33" w:name="_Hlk72218097"/>
            <w:r>
              <w:rPr>
                <w:rFonts w:hint="eastAsia" w:ascii="宋体" w:hAnsi="宋体" w:eastAsia="宋体"/>
                <w:b/>
                <w:bCs/>
                <w:kern w:val="2"/>
                <w:sz w:val="21"/>
                <w:lang w:eastAsia="zh-CN"/>
              </w:rPr>
              <w:t>通用条款序号</w:t>
            </w:r>
          </w:p>
        </w:tc>
        <w:tc>
          <w:tcPr>
            <w:tcW w:w="2456" w:type="dxa"/>
            <w:vAlign w:val="center"/>
          </w:tcPr>
          <w:p w14:paraId="4FE41021">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076" w:type="dxa"/>
            <w:vAlign w:val="center"/>
          </w:tcPr>
          <w:p w14:paraId="3081C104">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5D3756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268621D8">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56" w:type="dxa"/>
            <w:vAlign w:val="center"/>
          </w:tcPr>
          <w:p w14:paraId="3B085843">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eastAsia="宋体"/>
                <w:kern w:val="2"/>
                <w:sz w:val="21"/>
                <w:lang w:eastAsia="zh-CN"/>
              </w:rPr>
            </w:pPr>
            <w:r>
              <w:rPr>
                <w:rFonts w:hint="eastAsia" w:eastAsia="宋体"/>
                <w:kern w:val="2"/>
                <w:sz w:val="21"/>
                <w:lang w:eastAsia="zh-CN"/>
              </w:rPr>
              <w:t>采购人</w:t>
            </w:r>
          </w:p>
        </w:tc>
        <w:tc>
          <w:tcPr>
            <w:tcW w:w="5076" w:type="dxa"/>
            <w:vAlign w:val="center"/>
          </w:tcPr>
          <w:p w14:paraId="4A02A1FE">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深圳北理莫斯科大学附属实验中学</w:t>
            </w:r>
          </w:p>
        </w:tc>
      </w:tr>
      <w:tr w14:paraId="3DDE2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4D7CE273">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56" w:type="dxa"/>
            <w:vAlign w:val="center"/>
          </w:tcPr>
          <w:p w14:paraId="4CDDD387">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政府集中采购机构</w:t>
            </w:r>
          </w:p>
        </w:tc>
        <w:tc>
          <w:tcPr>
            <w:tcW w:w="5076" w:type="dxa"/>
            <w:vAlign w:val="center"/>
          </w:tcPr>
          <w:p w14:paraId="537F61D0">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2710384C">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74916C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59B6FA27">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9</w:t>
            </w:r>
          </w:p>
        </w:tc>
        <w:tc>
          <w:tcPr>
            <w:tcW w:w="2456" w:type="dxa"/>
            <w:vAlign w:val="center"/>
          </w:tcPr>
          <w:p w14:paraId="16785585">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踏勘现场</w:t>
            </w:r>
          </w:p>
        </w:tc>
        <w:tc>
          <w:tcPr>
            <w:tcW w:w="5076" w:type="dxa"/>
            <w:vAlign w:val="center"/>
          </w:tcPr>
          <w:p w14:paraId="6528E568">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 xml:space="preserve">不组织  </w:t>
            </w:r>
          </w:p>
        </w:tc>
      </w:tr>
      <w:tr w14:paraId="4A763F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2E1C9744">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56" w:type="dxa"/>
            <w:vAlign w:val="center"/>
          </w:tcPr>
          <w:p w14:paraId="10E13571">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标前会议</w:t>
            </w:r>
          </w:p>
        </w:tc>
        <w:tc>
          <w:tcPr>
            <w:tcW w:w="5076" w:type="dxa"/>
            <w:vAlign w:val="center"/>
          </w:tcPr>
          <w:p w14:paraId="059F2FDC">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不组织</w:t>
            </w:r>
          </w:p>
        </w:tc>
      </w:tr>
      <w:tr w14:paraId="60102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6A119755">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56" w:type="dxa"/>
            <w:vAlign w:val="center"/>
          </w:tcPr>
          <w:p w14:paraId="0CCEBF6E">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076" w:type="dxa"/>
            <w:vAlign w:val="center"/>
          </w:tcPr>
          <w:p w14:paraId="4A817B44">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不晚于投标截止日三日前，投标人有义务在招标期间在政府集中采购机构网站浏览与本项目有关的澄清和修改信息</w:t>
            </w:r>
          </w:p>
        </w:tc>
      </w:tr>
      <w:tr w14:paraId="072A2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6525C6EE">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56" w:type="dxa"/>
            <w:vAlign w:val="center"/>
          </w:tcPr>
          <w:p w14:paraId="523188D9">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投标有效期</w:t>
            </w:r>
          </w:p>
        </w:tc>
        <w:tc>
          <w:tcPr>
            <w:tcW w:w="5076" w:type="dxa"/>
            <w:vAlign w:val="center"/>
          </w:tcPr>
          <w:p w14:paraId="4C4C0A1E">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120个日历日</w:t>
            </w:r>
          </w:p>
        </w:tc>
      </w:tr>
      <w:tr w14:paraId="495F1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7AB6A3DA">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56" w:type="dxa"/>
            <w:vAlign w:val="center"/>
          </w:tcPr>
          <w:p w14:paraId="2518E96E">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076" w:type="dxa"/>
            <w:vAlign w:val="center"/>
          </w:tcPr>
          <w:p w14:paraId="0301CE21">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不接受</w:t>
            </w:r>
          </w:p>
        </w:tc>
      </w:tr>
      <w:tr w14:paraId="5236C3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1E30A1A6">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56" w:type="dxa"/>
            <w:vAlign w:val="center"/>
          </w:tcPr>
          <w:p w14:paraId="18331624">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076" w:type="dxa"/>
            <w:vAlign w:val="center"/>
          </w:tcPr>
          <w:p w14:paraId="739E7B41">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投标文件大小不得超过100MB</w:t>
            </w:r>
          </w:p>
        </w:tc>
      </w:tr>
      <w:tr w14:paraId="04093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7EEF9A54">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56" w:type="dxa"/>
            <w:vAlign w:val="center"/>
          </w:tcPr>
          <w:p w14:paraId="073B0180">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bookmarkStart w:id="34" w:name="_Hlk71664860"/>
            <w:r>
              <w:rPr>
                <w:rFonts w:hint="eastAsia" w:ascii="宋体" w:hAnsi="宋体" w:eastAsia="宋体"/>
                <w:kern w:val="2"/>
                <w:sz w:val="21"/>
                <w:lang w:eastAsia="zh-CN"/>
              </w:rPr>
              <w:t>样品、现场演示、方案讲解</w:t>
            </w:r>
            <w:bookmarkEnd w:id="34"/>
          </w:p>
        </w:tc>
        <w:tc>
          <w:tcPr>
            <w:tcW w:w="5076" w:type="dxa"/>
            <w:vAlign w:val="center"/>
          </w:tcPr>
          <w:p w14:paraId="625FB669">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hint="default" w:ascii="宋体" w:hAnsi="宋体" w:eastAsia="宋体"/>
                <w:kern w:val="2"/>
                <w:sz w:val="21"/>
                <w:lang w:val="en-US" w:eastAsia="zh-CN"/>
              </w:rPr>
            </w:pPr>
            <w:r>
              <w:rPr>
                <w:rFonts w:hint="default" w:ascii="宋体" w:hAnsi="宋体" w:eastAsia="宋体"/>
                <w:kern w:val="2"/>
                <w:sz w:val="21"/>
                <w:lang w:val="en-US" w:eastAsia="zh-CN"/>
              </w:rPr>
              <w:t xml:space="preserve">有现场演示要求，具体安排见其他关键信息章节 </w:t>
            </w:r>
          </w:p>
        </w:tc>
      </w:tr>
      <w:tr w14:paraId="70D67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25BB51BC">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56" w:type="dxa"/>
            <w:vAlign w:val="center"/>
          </w:tcPr>
          <w:p w14:paraId="0EEDC55B">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评审方法</w:t>
            </w:r>
          </w:p>
        </w:tc>
        <w:tc>
          <w:tcPr>
            <w:tcW w:w="5076" w:type="dxa"/>
            <w:vAlign w:val="center"/>
          </w:tcPr>
          <w:p w14:paraId="304B0571">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综合评分法</w:t>
            </w:r>
          </w:p>
        </w:tc>
      </w:tr>
      <w:tr w14:paraId="7E4AF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5992C00A">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56" w:type="dxa"/>
            <w:vAlign w:val="center"/>
          </w:tcPr>
          <w:p w14:paraId="57B98292">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定标方法</w:t>
            </w:r>
          </w:p>
        </w:tc>
        <w:tc>
          <w:tcPr>
            <w:tcW w:w="5076" w:type="dxa"/>
            <w:vAlign w:val="center"/>
          </w:tcPr>
          <w:p w14:paraId="51E49FD6">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非评定分离</w:t>
            </w:r>
          </w:p>
        </w:tc>
      </w:tr>
      <w:tr w14:paraId="7AF75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97" w:type="dxa"/>
            <w:vAlign w:val="center"/>
          </w:tcPr>
          <w:p w14:paraId="4F5E5E08">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56" w:type="dxa"/>
            <w:vAlign w:val="center"/>
          </w:tcPr>
          <w:p w14:paraId="7F533EAA">
            <w:pPr>
              <w:keepNext w:val="0"/>
              <w:keepLines w:val="0"/>
              <w:pageBreakBefore w:val="0"/>
              <w:widowControl w:val="0"/>
              <w:kinsoku/>
              <w:wordWrap/>
              <w:overflowPunct/>
              <w:topLinePunct w:val="0"/>
              <w:autoSpaceDE/>
              <w:autoSpaceDN/>
              <w:bidi w:val="0"/>
              <w:adjustRightInd/>
              <w:snapToGrid/>
              <w:spacing w:line="279" w:lineRule="auto"/>
              <w:jc w:val="center"/>
              <w:textAlignment w:val="auto"/>
              <w:rPr>
                <w:rFonts w:ascii="宋体" w:hAnsi="宋体" w:eastAsia="宋体"/>
                <w:kern w:val="2"/>
                <w:sz w:val="21"/>
                <w:lang w:eastAsia="zh-CN"/>
              </w:rPr>
            </w:pPr>
            <w:r>
              <w:rPr>
                <w:rFonts w:hint="eastAsia" w:ascii="宋体" w:hAnsi="宋体" w:eastAsia="宋体"/>
                <w:kern w:val="2"/>
                <w:sz w:val="21"/>
                <w:lang w:eastAsia="zh-CN"/>
              </w:rPr>
              <w:t>履约担保</w:t>
            </w:r>
          </w:p>
        </w:tc>
        <w:tc>
          <w:tcPr>
            <w:tcW w:w="5076" w:type="dxa"/>
            <w:vAlign w:val="center"/>
          </w:tcPr>
          <w:p w14:paraId="7B707258">
            <w:pPr>
              <w:keepNext w:val="0"/>
              <w:keepLines w:val="0"/>
              <w:pageBreakBefore w:val="0"/>
              <w:widowControl w:val="0"/>
              <w:kinsoku/>
              <w:wordWrap/>
              <w:overflowPunct/>
              <w:topLinePunct w:val="0"/>
              <w:autoSpaceDE/>
              <w:autoSpaceDN/>
              <w:bidi w:val="0"/>
              <w:adjustRightInd/>
              <w:snapToGrid/>
              <w:spacing w:line="279" w:lineRule="auto"/>
              <w:ind w:firstLine="2100" w:firstLineChars="1000"/>
              <w:jc w:val="both"/>
              <w:textAlignment w:val="auto"/>
              <w:rPr>
                <w:rFonts w:ascii="宋体" w:hAnsi="宋体" w:eastAsia="宋体"/>
                <w:kern w:val="2"/>
                <w:sz w:val="21"/>
                <w:lang w:eastAsia="zh-CN"/>
              </w:rPr>
            </w:pPr>
            <w:r>
              <w:rPr>
                <w:rFonts w:hint="eastAsia" w:ascii="宋体" w:hAnsi="宋体" w:eastAsia="宋体"/>
                <w:kern w:val="2"/>
                <w:sz w:val="21"/>
                <w:lang w:eastAsia="zh-CN"/>
              </w:rPr>
              <w:t>不需要</w:t>
            </w:r>
          </w:p>
        </w:tc>
      </w:tr>
    </w:tbl>
    <w:p w14:paraId="05B9CBD4">
      <w:pPr>
        <w:widowControl w:val="0"/>
        <w:spacing w:after="160" w:line="278" w:lineRule="auto"/>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bookmarkEnd w:id="33"/>
    <w:p w14:paraId="726FBCA1">
      <w:pPr>
        <w:rPr>
          <w:rFonts w:ascii="宋体" w:hAnsi="宋体" w:eastAsia="宋体"/>
          <w:b/>
          <w:bCs/>
          <w:lang w:eastAsia="zh-CN"/>
        </w:rPr>
      </w:pPr>
      <w:bookmarkStart w:id="35" w:name="_Hlk72218117"/>
      <w:r>
        <w:rPr>
          <w:rFonts w:hint="eastAsia" w:eastAsia="宋体"/>
          <w:kern w:val="2"/>
          <w:sz w:val="21"/>
          <w:lang w:eastAsia="zh-CN"/>
        </w:rPr>
        <w:br w:type="page"/>
      </w:r>
    </w:p>
    <w:p w14:paraId="14B46477">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0F7ECA84">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eastAsia="宋体"/>
          <w:b/>
          <w:bCs/>
          <w:kern w:val="2"/>
          <w:sz w:val="21"/>
          <w:lang w:eastAsia="zh-CN"/>
        </w:rPr>
      </w:pPr>
      <w:bookmarkStart w:id="36" w:name="_Hlk72579427"/>
      <w:r>
        <w:rPr>
          <w:rFonts w:hint="eastAsia" w:eastAsia="宋体"/>
          <w:b/>
          <w:bCs/>
          <w:kern w:val="2"/>
          <w:sz w:val="21"/>
          <w:lang w:eastAsia="zh-CN"/>
        </w:rPr>
        <w:t>（一）与“对通用条款的补充内容”章节相关的事项</w:t>
      </w:r>
    </w:p>
    <w:p w14:paraId="355EF8D2">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eastAsia="宋体"/>
          <w:b/>
          <w:sz w:val="21"/>
          <w:szCs w:val="20"/>
          <w:lang w:eastAsia="zh-CN"/>
        </w:rPr>
      </w:pPr>
      <w:r>
        <w:rPr>
          <w:rFonts w:hint="eastAsia" w:ascii="宋体" w:hAnsi="宋体" w:eastAsia="宋体"/>
          <w:b/>
          <w:sz w:val="21"/>
          <w:szCs w:val="20"/>
          <w:lang w:eastAsia="zh-CN"/>
        </w:rPr>
        <w:t>1、评标定标信息</w:t>
      </w:r>
    </w:p>
    <w:p w14:paraId="7B476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b/>
          <w:kern w:val="2"/>
          <w:sz w:val="21"/>
          <w:lang w:eastAsia="zh-CN"/>
        </w:rPr>
        <w:t>非评定分离项目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812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5648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bookmarkStart w:id="37" w:name="_Hlk74239733"/>
            <w:r>
              <w:rPr>
                <w:rFonts w:hint="eastAsia" w:eastAsia="宋体"/>
                <w:kern w:val="2"/>
                <w:sz w:val="21"/>
                <w:lang w:eastAsia="zh-CN"/>
              </w:rPr>
              <w:t>评标方法</w:t>
            </w:r>
          </w:p>
        </w:tc>
        <w:tc>
          <w:tcPr>
            <w:tcW w:w="4265" w:type="dxa"/>
          </w:tcPr>
          <w:p w14:paraId="72CF3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综合评分法</w:t>
            </w:r>
          </w:p>
        </w:tc>
      </w:tr>
      <w:tr w14:paraId="6D32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FF9E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候选中标供应商家数</w:t>
            </w:r>
          </w:p>
        </w:tc>
        <w:tc>
          <w:tcPr>
            <w:tcW w:w="4265" w:type="dxa"/>
          </w:tcPr>
          <w:p w14:paraId="1AF87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3</w:t>
            </w:r>
          </w:p>
        </w:tc>
      </w:tr>
      <w:tr w14:paraId="092B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3E09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中标供应商家数</w:t>
            </w:r>
          </w:p>
        </w:tc>
        <w:tc>
          <w:tcPr>
            <w:tcW w:w="4265" w:type="dxa"/>
          </w:tcPr>
          <w:p w14:paraId="6BB30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w:t>
            </w:r>
          </w:p>
        </w:tc>
      </w:tr>
      <w:bookmarkEnd w:id="37"/>
    </w:tbl>
    <w:p w14:paraId="3E87F1F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eastAsia="宋体"/>
          <w:b/>
          <w:kern w:val="2"/>
          <w:sz w:val="21"/>
          <w:lang w:eastAsia="zh-CN"/>
        </w:rPr>
      </w:pPr>
    </w:p>
    <w:p w14:paraId="23773D61">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eastAsia="宋体"/>
          <w:b/>
          <w:kern w:val="2"/>
          <w:sz w:val="21"/>
          <w:lang w:eastAsia="zh-CN"/>
        </w:rPr>
      </w:pPr>
      <w:r>
        <w:rPr>
          <w:rFonts w:hint="eastAsia" w:eastAsia="宋体"/>
          <w:b/>
          <w:kern w:val="2"/>
          <w:sz w:val="21"/>
          <w:lang w:eastAsia="zh-CN"/>
        </w:rPr>
        <w:t>（二）其他事项</w:t>
      </w:r>
      <w:bookmarkEnd w:id="36"/>
    </w:p>
    <w:p w14:paraId="69407C78">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、关于享受优惠政策的主体、价格扣除比例及采购标的所属行业</w:t>
      </w:r>
    </w:p>
    <w:p w14:paraId="5593FA2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sz w:val="21"/>
          <w:szCs w:val="21"/>
          <w:lang w:eastAsia="zh-CN"/>
        </w:rPr>
        <w:t>非专门面向中小企业采购的项目，应执行价格扣除比例：投标人提供的货物（以招标文件用户需求书“货物清单明细”的“货物名称”一栏为准）全部均由优惠主体制造，则对其投标总价给予</w:t>
      </w:r>
      <w:r>
        <w:rPr>
          <w:rFonts w:hint="eastAsia" w:ascii="宋体" w:hAnsi="宋体" w:eastAsia="宋体" w:cs="宋体"/>
          <w:b/>
          <w:bCs/>
          <w:color w:val="FF0000"/>
          <w:sz w:val="21"/>
          <w:szCs w:val="21"/>
          <w:u w:val="single"/>
          <w:lang w:val="en-US" w:eastAsia="zh-CN"/>
        </w:rPr>
        <w:t xml:space="preserve">  </w:t>
      </w:r>
      <w:r>
        <w:rPr>
          <w:rFonts w:hint="eastAsia" w:ascii="宋体" w:hAnsi="宋体" w:eastAsia="宋体" w:cs="宋体"/>
          <w:b/>
          <w:bCs/>
          <w:color w:val="FF0000"/>
          <w:sz w:val="21"/>
          <w:szCs w:val="21"/>
          <w:u w:val="single"/>
          <w:lang w:eastAsia="zh-CN"/>
        </w:rPr>
        <w:t xml:space="preserve">10  </w:t>
      </w:r>
      <w:r>
        <w:rPr>
          <w:rFonts w:hint="eastAsia" w:ascii="宋体" w:hAnsi="宋体" w:eastAsia="宋体" w:cs="宋体"/>
          <w:b/>
          <w:bCs/>
          <w:color w:val="FF0000"/>
          <w:sz w:val="21"/>
          <w:szCs w:val="21"/>
          <w:lang w:eastAsia="zh-CN"/>
        </w:rPr>
        <w:t>%</w:t>
      </w:r>
      <w:r>
        <w:rPr>
          <w:rFonts w:hint="eastAsia" w:ascii="宋体" w:hAnsi="宋体" w:eastAsia="宋体" w:cs="宋体"/>
          <w:sz w:val="21"/>
          <w:szCs w:val="21"/>
          <w:lang w:eastAsia="zh-CN"/>
        </w:rPr>
        <w:t>的扣除，用扣除后的价格参与评审。满足多项优惠政策的供应商，不重复享受多项价格扣除政策。</w:t>
      </w:r>
    </w:p>
    <w:p w14:paraId="2B95045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w:t>
      </w:r>
      <w:r>
        <w:rPr>
          <w:rFonts w:hint="eastAsia" w:ascii="宋体" w:hAnsi="宋体" w:eastAsia="宋体" w:cs="宋体"/>
          <w:kern w:val="2"/>
          <w:sz w:val="21"/>
          <w:szCs w:val="21"/>
          <w:lang w:eastAsia="zh-CN"/>
        </w:rPr>
        <w:t>注册商标；投标人提供的货物既有优惠主体制造货物，又有非优惠主体制造货物的，不给予价格扣除。</w:t>
      </w:r>
    </w:p>
    <w:p w14:paraId="08B071D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color w:val="FF0000"/>
          <w:sz w:val="21"/>
          <w:szCs w:val="21"/>
          <w:lang w:eastAsia="zh-CN"/>
        </w:rPr>
      </w:pPr>
      <w:bookmarkStart w:id="38" w:name="_Hlk71970739"/>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8"/>
      <w:r>
        <w:rPr>
          <w:rFonts w:hint="eastAsia" w:ascii="宋体" w:hAnsi="宋体" w:eastAsia="宋体" w:cs="宋体"/>
          <w:kern w:val="2"/>
          <w:sz w:val="21"/>
          <w:szCs w:val="21"/>
          <w:lang w:eastAsia="zh-CN"/>
        </w:rPr>
        <w:t>，</w:t>
      </w:r>
      <w:r>
        <w:rPr>
          <w:rFonts w:hint="eastAsia" w:ascii="宋体" w:hAnsi="宋体" w:eastAsia="宋体" w:cs="宋体"/>
          <w:b/>
          <w:bCs/>
          <w:color w:val="FF0000"/>
          <w:sz w:val="21"/>
          <w:szCs w:val="21"/>
          <w:lang w:eastAsia="zh-CN"/>
        </w:rPr>
        <w:t>《中小企业声明函》中相关企业（货物制造商）所属行业应当与采购标的所属行业相一致，标的所属行业以招标文件第一册第三章用户需求书“货物清单明细”的“标的所属行业”一栏为准。</w:t>
      </w:r>
    </w:p>
    <w:p w14:paraId="0B84306B">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2E4FFB3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lang w:eastAsia="zh-CN"/>
        </w:rPr>
      </w:pPr>
      <w:r>
        <w:rPr>
          <w:rFonts w:hint="eastAsia" w:ascii="宋体" w:hAnsi="宋体" w:eastAsia="宋体" w:cs="宋体"/>
          <w:sz w:val="21"/>
          <w:szCs w:val="21"/>
          <w:lang w:eastAsia="zh-CN"/>
        </w:rPr>
        <w:t>（4）享受价格扣除获得政府采购合同的，小微企业不得将合同分包给大中型企业。</w:t>
      </w:r>
    </w:p>
    <w:p w14:paraId="35868174">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eastAsia="宋体"/>
          <w:b/>
          <w:kern w:val="2"/>
          <w:sz w:val="21"/>
          <w:lang w:eastAsia="zh-CN"/>
        </w:rPr>
      </w:pPr>
    </w:p>
    <w:p w14:paraId="0D35B33F">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eastAsia="宋体"/>
          <w:b/>
          <w:kern w:val="2"/>
          <w:sz w:val="21"/>
          <w:lang w:eastAsia="zh-CN"/>
        </w:rPr>
      </w:pPr>
      <w:r>
        <w:rPr>
          <w:rFonts w:hint="eastAsia" w:eastAsia="宋体"/>
          <w:b/>
          <w:kern w:val="2"/>
          <w:sz w:val="21"/>
          <w:lang w:val="en-US" w:eastAsia="zh-CN"/>
        </w:rPr>
        <w:t>2</w:t>
      </w:r>
      <w:r>
        <w:rPr>
          <w:rFonts w:hint="eastAsia" w:eastAsia="宋体"/>
          <w:b/>
          <w:kern w:val="2"/>
          <w:sz w:val="21"/>
          <w:lang w:eastAsia="zh-CN"/>
        </w:rPr>
        <w:t>、</w:t>
      </w:r>
      <w:bookmarkStart w:id="39" w:name="_Hlk72594729"/>
      <w:bookmarkStart w:id="40" w:name="_Hlk76855768"/>
      <w:r>
        <w:rPr>
          <w:rFonts w:hint="eastAsia" w:eastAsia="宋体"/>
          <w:b/>
          <w:kern w:val="2"/>
          <w:sz w:val="21"/>
          <w:lang w:eastAsia="zh-CN"/>
        </w:rPr>
        <w:t>本项目为代理服务项目，将向中标（成交）供应商收取代理服务费。</w:t>
      </w:r>
    </w:p>
    <w:bookmarkEnd w:id="39"/>
    <w:bookmarkEnd w:id="40"/>
    <w:p w14:paraId="0F9CFB5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w:t>
      </w:r>
      <w:r>
        <w:rPr>
          <w:rFonts w:hint="eastAsia" w:ascii="宋体" w:hAnsi="宋体" w:eastAsia="宋体"/>
          <w:kern w:val="2"/>
          <w:sz w:val="21"/>
          <w:lang w:eastAsia="zh-CN"/>
        </w:rPr>
        <w:t>政府采购业务分公司</w:t>
      </w:r>
      <w:r>
        <w:rPr>
          <w:rFonts w:hint="eastAsia" w:eastAsia="宋体"/>
          <w:kern w:val="2"/>
          <w:sz w:val="21"/>
          <w:lang w:eastAsia="zh-CN"/>
        </w:rPr>
        <w:t>）交纳代理服务费。若因中标（成交）供应商交纳代理服务费所产生的时间影响到合同签订的，由中标（成交）供应商自行承担责任。代理服务费标准参照下列标准收取。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本项目类型为货物采购：</w:t>
      </w:r>
    </w:p>
    <w:p w14:paraId="461A87B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072A335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（2）中标（成交）金额的各部分费率如下表：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33F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15E6417">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中标（成交）金额</w:t>
            </w:r>
          </w:p>
        </w:tc>
        <w:tc>
          <w:tcPr>
            <w:tcW w:w="1799" w:type="dxa"/>
            <w:vAlign w:val="center"/>
          </w:tcPr>
          <w:p w14:paraId="2BB8BC32">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货物采购</w:t>
            </w:r>
          </w:p>
        </w:tc>
        <w:tc>
          <w:tcPr>
            <w:tcW w:w="1799" w:type="dxa"/>
            <w:vAlign w:val="center"/>
          </w:tcPr>
          <w:p w14:paraId="2A4C9291">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服务采购</w:t>
            </w:r>
          </w:p>
        </w:tc>
        <w:tc>
          <w:tcPr>
            <w:tcW w:w="1799" w:type="dxa"/>
            <w:vAlign w:val="center"/>
          </w:tcPr>
          <w:p w14:paraId="286BD0EA">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工程采购</w:t>
            </w:r>
          </w:p>
        </w:tc>
      </w:tr>
      <w:tr w14:paraId="526C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A672073">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100万元以下</w:t>
            </w:r>
          </w:p>
        </w:tc>
        <w:tc>
          <w:tcPr>
            <w:tcW w:w="1799" w:type="dxa"/>
            <w:vAlign w:val="center"/>
          </w:tcPr>
          <w:p w14:paraId="7D3BC525">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1.5%</w:t>
            </w:r>
          </w:p>
        </w:tc>
        <w:tc>
          <w:tcPr>
            <w:tcW w:w="1799" w:type="dxa"/>
            <w:vAlign w:val="center"/>
          </w:tcPr>
          <w:p w14:paraId="4580E738">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1.5%</w:t>
            </w:r>
          </w:p>
        </w:tc>
        <w:tc>
          <w:tcPr>
            <w:tcW w:w="1799" w:type="dxa"/>
            <w:vAlign w:val="center"/>
          </w:tcPr>
          <w:p w14:paraId="7D2F6E45">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w:t>
            </w:r>
          </w:p>
        </w:tc>
      </w:tr>
      <w:tr w14:paraId="26E9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892671B">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1594F407">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1.1%</w:t>
            </w:r>
          </w:p>
        </w:tc>
        <w:tc>
          <w:tcPr>
            <w:tcW w:w="1799" w:type="dxa"/>
            <w:vAlign w:val="center"/>
          </w:tcPr>
          <w:p w14:paraId="0AEC3740">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0.8%</w:t>
            </w:r>
          </w:p>
        </w:tc>
        <w:tc>
          <w:tcPr>
            <w:tcW w:w="1799" w:type="dxa"/>
            <w:vAlign w:val="center"/>
          </w:tcPr>
          <w:p w14:paraId="3A4EAD60">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0.7%</w:t>
            </w:r>
          </w:p>
        </w:tc>
      </w:tr>
      <w:tr w14:paraId="4D64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0AE726">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5AD919F2">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0.8%</w:t>
            </w:r>
          </w:p>
        </w:tc>
        <w:tc>
          <w:tcPr>
            <w:tcW w:w="1799" w:type="dxa"/>
            <w:vAlign w:val="center"/>
          </w:tcPr>
          <w:p w14:paraId="3EDD0E66">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0.45%</w:t>
            </w:r>
          </w:p>
        </w:tc>
        <w:tc>
          <w:tcPr>
            <w:tcW w:w="1799" w:type="dxa"/>
            <w:vAlign w:val="center"/>
          </w:tcPr>
          <w:p w14:paraId="2B7FC3DA">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0.55%</w:t>
            </w:r>
          </w:p>
        </w:tc>
      </w:tr>
      <w:tr w14:paraId="1404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1B46554">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57EA13AB">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0.5%</w:t>
            </w:r>
          </w:p>
        </w:tc>
        <w:tc>
          <w:tcPr>
            <w:tcW w:w="1799" w:type="dxa"/>
            <w:vAlign w:val="center"/>
          </w:tcPr>
          <w:p w14:paraId="14F92FD3">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0.25%</w:t>
            </w:r>
          </w:p>
        </w:tc>
        <w:tc>
          <w:tcPr>
            <w:tcW w:w="1799" w:type="dxa"/>
            <w:vAlign w:val="center"/>
          </w:tcPr>
          <w:p w14:paraId="58E15745">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0.35%</w:t>
            </w:r>
          </w:p>
        </w:tc>
      </w:tr>
      <w:tr w14:paraId="7709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25475D">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40BEDBBD">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0.25%</w:t>
            </w:r>
          </w:p>
        </w:tc>
        <w:tc>
          <w:tcPr>
            <w:tcW w:w="1799" w:type="dxa"/>
            <w:vAlign w:val="center"/>
          </w:tcPr>
          <w:p w14:paraId="6B78EA75">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0.1%</w:t>
            </w:r>
          </w:p>
        </w:tc>
        <w:tc>
          <w:tcPr>
            <w:tcW w:w="1799" w:type="dxa"/>
            <w:vAlign w:val="center"/>
          </w:tcPr>
          <w:p w14:paraId="2FCD6360">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0.2%</w:t>
            </w:r>
          </w:p>
        </w:tc>
      </w:tr>
      <w:tr w14:paraId="0D68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08D5CF">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1亿元（含）-5亿元</w:t>
            </w:r>
          </w:p>
        </w:tc>
        <w:tc>
          <w:tcPr>
            <w:tcW w:w="1799" w:type="dxa"/>
            <w:vAlign w:val="center"/>
          </w:tcPr>
          <w:p w14:paraId="6BF82375">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0.05%</w:t>
            </w:r>
          </w:p>
        </w:tc>
        <w:tc>
          <w:tcPr>
            <w:tcW w:w="1799" w:type="dxa"/>
            <w:vAlign w:val="center"/>
          </w:tcPr>
          <w:p w14:paraId="44351CF0">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0.05%</w:t>
            </w:r>
          </w:p>
        </w:tc>
        <w:tc>
          <w:tcPr>
            <w:tcW w:w="1799" w:type="dxa"/>
            <w:vAlign w:val="center"/>
          </w:tcPr>
          <w:p w14:paraId="4B69B8CF">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0.05%</w:t>
            </w:r>
          </w:p>
        </w:tc>
      </w:tr>
      <w:tr w14:paraId="231E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93753C">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5亿元（含）-10亿元</w:t>
            </w:r>
          </w:p>
        </w:tc>
        <w:tc>
          <w:tcPr>
            <w:tcW w:w="1799" w:type="dxa"/>
            <w:vAlign w:val="center"/>
          </w:tcPr>
          <w:p w14:paraId="40962CEF">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0.035%</w:t>
            </w:r>
          </w:p>
        </w:tc>
        <w:tc>
          <w:tcPr>
            <w:tcW w:w="1799" w:type="dxa"/>
            <w:vAlign w:val="center"/>
          </w:tcPr>
          <w:p w14:paraId="504431FE">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0.035%</w:t>
            </w:r>
          </w:p>
        </w:tc>
        <w:tc>
          <w:tcPr>
            <w:tcW w:w="1799" w:type="dxa"/>
            <w:vAlign w:val="center"/>
          </w:tcPr>
          <w:p w14:paraId="7B437A55">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0.035%</w:t>
            </w:r>
          </w:p>
        </w:tc>
      </w:tr>
      <w:tr w14:paraId="1765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A7810F1">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10亿元（含）-50亿元</w:t>
            </w:r>
          </w:p>
        </w:tc>
        <w:tc>
          <w:tcPr>
            <w:tcW w:w="1799" w:type="dxa"/>
            <w:vAlign w:val="center"/>
          </w:tcPr>
          <w:p w14:paraId="6017D1D2">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0.008%</w:t>
            </w:r>
          </w:p>
        </w:tc>
        <w:tc>
          <w:tcPr>
            <w:tcW w:w="1799" w:type="dxa"/>
            <w:vAlign w:val="center"/>
          </w:tcPr>
          <w:p w14:paraId="0F40378B">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0.008%</w:t>
            </w:r>
          </w:p>
        </w:tc>
        <w:tc>
          <w:tcPr>
            <w:tcW w:w="1799" w:type="dxa"/>
            <w:vAlign w:val="center"/>
          </w:tcPr>
          <w:p w14:paraId="139524C9">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0.008%</w:t>
            </w:r>
          </w:p>
        </w:tc>
      </w:tr>
      <w:tr w14:paraId="7AFA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B0EE49">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11B9A1E2">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0.006%</w:t>
            </w:r>
          </w:p>
        </w:tc>
        <w:tc>
          <w:tcPr>
            <w:tcW w:w="1799" w:type="dxa"/>
            <w:vAlign w:val="center"/>
          </w:tcPr>
          <w:p w14:paraId="6B610E12">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0.006%</w:t>
            </w:r>
          </w:p>
        </w:tc>
        <w:tc>
          <w:tcPr>
            <w:tcW w:w="1799" w:type="dxa"/>
            <w:vAlign w:val="center"/>
          </w:tcPr>
          <w:p w14:paraId="7332BB99">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0.006%</w:t>
            </w:r>
          </w:p>
        </w:tc>
      </w:tr>
      <w:tr w14:paraId="26B0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124259">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100亿元（含）以上</w:t>
            </w:r>
          </w:p>
        </w:tc>
        <w:tc>
          <w:tcPr>
            <w:tcW w:w="1799" w:type="dxa"/>
            <w:vAlign w:val="center"/>
          </w:tcPr>
          <w:p w14:paraId="7A879209">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0.004%</w:t>
            </w:r>
          </w:p>
        </w:tc>
        <w:tc>
          <w:tcPr>
            <w:tcW w:w="1799" w:type="dxa"/>
            <w:vAlign w:val="center"/>
          </w:tcPr>
          <w:p w14:paraId="75C0A518">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0.004%</w:t>
            </w:r>
          </w:p>
        </w:tc>
        <w:tc>
          <w:tcPr>
            <w:tcW w:w="1799" w:type="dxa"/>
            <w:vAlign w:val="center"/>
          </w:tcPr>
          <w:p w14:paraId="11602A10">
            <w:pPr>
              <w:keepNext w:val="0"/>
              <w:keepLines w:val="0"/>
              <w:pageBreakBefore w:val="0"/>
              <w:kinsoku/>
              <w:wordWrap/>
              <w:overflowPunct/>
              <w:topLinePunct w:val="0"/>
              <w:autoSpaceDE/>
              <w:autoSpaceDN/>
              <w:bidi w:val="0"/>
              <w:adjustRightInd/>
              <w:snapToGrid/>
              <w:spacing w:line="240" w:lineRule="auto"/>
              <w:jc w:val="center"/>
              <w:textAlignment w:val="auto"/>
              <w:rPr>
                <w:rFonts w:eastAsia="宋体"/>
                <w:kern w:val="2"/>
                <w:sz w:val="21"/>
                <w:lang w:eastAsia="zh-CN"/>
              </w:rPr>
            </w:pPr>
            <w:r>
              <w:rPr>
                <w:rFonts w:hint="eastAsia" w:eastAsia="宋体"/>
                <w:kern w:val="2"/>
                <w:sz w:val="21"/>
                <w:lang w:eastAsia="zh-CN"/>
              </w:rPr>
              <w:t>0.004%</w:t>
            </w:r>
          </w:p>
        </w:tc>
      </w:tr>
    </w:tbl>
    <w:p w14:paraId="5D5FA25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备注：1.每宗交易代理服务费不低于 5000 元；</w:t>
      </w:r>
    </w:p>
    <w:p w14:paraId="724933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ascii="Times New Roman" w:hAnsi="Times New Roman" w:eastAsia="宋体" w:cs="Times New Roman"/>
          <w:kern w:val="2"/>
          <w:sz w:val="21"/>
          <w:szCs w:val="24"/>
          <w:lang w:val="en-US" w:eastAsia="zh-CN" w:bidi="ar-SA"/>
        </w:rPr>
        <w:t>2.</w:t>
      </w:r>
      <w:r>
        <w:rPr>
          <w:rFonts w:hint="eastAsia" w:eastAsia="宋体"/>
          <w:kern w:val="2"/>
          <w:sz w:val="21"/>
          <w:lang w:eastAsia="zh-CN"/>
        </w:rPr>
        <w:t>对于报总价的采购类项目，中标（成交）价为中标（成交）金额；对于报单价、折扣或费率的采购类项目，中标（成交）价为预算上限金额或经委托方与代理方确定的支付上限金额；</w:t>
      </w:r>
    </w:p>
    <w:p w14:paraId="6CEC7B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7AB038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099619A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jc w:val="both"/>
        <w:textAlignment w:val="auto"/>
        <w:rPr>
          <w:lang w:eastAsia="zh-CN"/>
        </w:rPr>
      </w:pPr>
      <w:r>
        <w:rPr>
          <w:rFonts w:hint="eastAsia" w:eastAsia="宋体"/>
          <w:kern w:val="2"/>
          <w:sz w:val="21"/>
          <w:lang w:eastAsia="zh-CN"/>
        </w:rPr>
        <w:t>中标（成交）供应商中标（成交）后，必须按规定采用银行对公转账方式向深圳交易集团有限公司直接交纳代理服务费，</w:t>
      </w:r>
      <w:r>
        <w:rPr>
          <w:rFonts w:hint="eastAsia"/>
          <w:lang w:eastAsia="zh-CN"/>
        </w:rPr>
        <w:t>交纳信息及要求：</w:t>
      </w:r>
    </w:p>
    <w:p w14:paraId="43539CF3">
      <w:pPr>
        <w:ind w:firstLine="482" w:firstLineChars="200"/>
        <w:rPr>
          <w:rFonts w:hint="eastAsia" w:eastAsia="宋体"/>
          <w:b/>
          <w:bCs/>
          <w:kern w:val="2"/>
          <w:lang w:eastAsia="zh-CN"/>
        </w:rPr>
      </w:pPr>
      <w:r>
        <w:rPr>
          <w:rFonts w:hint="eastAsia" w:eastAsia="宋体"/>
          <w:b/>
          <w:bCs/>
          <w:kern w:val="2"/>
          <w:lang w:eastAsia="zh-CN"/>
        </w:rPr>
        <w:t xml:space="preserve"> </w:t>
      </w:r>
    </w:p>
    <w:p w14:paraId="050D13C6">
      <w:pPr>
        <w:ind w:firstLine="480" w:firstLineChars="200"/>
        <w:rPr>
          <w:rFonts w:ascii="宋体" w:hAnsi="宋体" w:cs="宋体"/>
          <w:bCs/>
          <w:color w:val="FF0000"/>
          <w:szCs w:val="21"/>
          <w:lang w:eastAsia="zh-CN"/>
        </w:rPr>
      </w:pPr>
      <w:r>
        <w:rPr>
          <w:rFonts w:hint="eastAsia" w:ascii="宋体" w:hAnsi="宋体" w:cs="宋体"/>
          <w:b/>
          <w:bCs/>
          <w:color w:val="FF0000"/>
          <w:szCs w:val="21"/>
          <w:lang w:eastAsia="zh-CN"/>
        </w:rPr>
        <w:t>基本户信息：</w:t>
      </w:r>
    </w:p>
    <w:p w14:paraId="732C4AA2">
      <w:pPr>
        <w:ind w:firstLine="480" w:firstLineChars="200"/>
        <w:rPr>
          <w:rFonts w:ascii="宋体" w:hAnsi="宋体" w:cs="宋体"/>
          <w:color w:val="FF0000"/>
          <w:szCs w:val="21"/>
          <w:lang w:eastAsia="zh-CN"/>
        </w:rPr>
      </w:pPr>
      <w:r>
        <w:rPr>
          <w:rFonts w:hint="eastAsia" w:ascii="宋体" w:hAnsi="宋体" w:cs="宋体"/>
          <w:color w:val="FF0000"/>
          <w:szCs w:val="21"/>
          <w:lang w:eastAsia="zh-CN"/>
        </w:rPr>
        <w:t>账户名：深圳交易集团有限公司</w:t>
      </w:r>
    </w:p>
    <w:p w14:paraId="11C0EC4C">
      <w:pPr>
        <w:ind w:firstLine="480" w:firstLineChars="200"/>
        <w:rPr>
          <w:rFonts w:ascii="宋体" w:hAnsi="宋体" w:cs="宋体"/>
          <w:color w:val="FF0000"/>
          <w:szCs w:val="21"/>
          <w:lang w:eastAsia="zh-CN"/>
        </w:rPr>
      </w:pPr>
      <w:r>
        <w:rPr>
          <w:rFonts w:hint="eastAsia" w:ascii="宋体" w:hAnsi="宋体" w:cs="宋体"/>
          <w:color w:val="FF0000"/>
          <w:szCs w:val="21"/>
          <w:lang w:eastAsia="zh-CN"/>
        </w:rPr>
        <w:t>账号：632765883</w:t>
      </w:r>
    </w:p>
    <w:p w14:paraId="50B35C4C">
      <w:pPr>
        <w:ind w:firstLine="480" w:firstLineChars="200"/>
        <w:rPr>
          <w:rFonts w:ascii="宋体" w:hAnsi="宋体" w:cs="宋体"/>
          <w:color w:val="FF0000"/>
          <w:szCs w:val="21"/>
          <w:lang w:eastAsia="zh-CN"/>
        </w:rPr>
      </w:pPr>
      <w:r>
        <w:rPr>
          <w:rFonts w:hint="eastAsia" w:ascii="宋体" w:hAnsi="宋体" w:cs="宋体"/>
          <w:color w:val="FF0000"/>
          <w:szCs w:val="21"/>
          <w:lang w:eastAsia="zh-CN"/>
        </w:rPr>
        <w:t>开户行：民生银行深圳五洲支行</w:t>
      </w:r>
    </w:p>
    <w:p w14:paraId="2512273F">
      <w:pPr>
        <w:ind w:firstLine="480" w:firstLineChars="200"/>
        <w:rPr>
          <w:rFonts w:ascii="宋体" w:hAnsi="宋体" w:cs="宋体"/>
          <w:bCs/>
          <w:color w:val="FF0000"/>
          <w:szCs w:val="21"/>
          <w:lang w:eastAsia="zh-CN"/>
        </w:rPr>
      </w:pPr>
      <w:r>
        <w:rPr>
          <w:rFonts w:hint="eastAsia" w:ascii="宋体" w:hAnsi="宋体" w:cs="宋体"/>
          <w:b/>
          <w:bCs/>
          <w:color w:val="FF0000"/>
          <w:szCs w:val="21"/>
          <w:lang w:eastAsia="zh-CN"/>
        </w:rPr>
        <w:t>转账备注：</w:t>
      </w:r>
    </w:p>
    <w:p w14:paraId="12930BFA">
      <w:pPr>
        <w:ind w:firstLine="480" w:firstLineChars="200"/>
        <w:rPr>
          <w:rFonts w:ascii="宋体" w:hAnsi="宋体" w:cs="宋体"/>
          <w:bCs/>
          <w:color w:val="FF0000"/>
          <w:szCs w:val="21"/>
          <w:lang w:eastAsia="zh-CN"/>
        </w:rPr>
      </w:pPr>
      <w:r>
        <w:rPr>
          <w:rFonts w:hint="eastAsia" w:ascii="宋体" w:hAnsi="宋体" w:cs="宋体"/>
          <w:bCs/>
          <w:color w:val="FF0000"/>
          <w:szCs w:val="21"/>
          <w:lang w:eastAsia="zh-CN"/>
        </w:rPr>
        <w:t>项目编号+项目名称</w:t>
      </w:r>
    </w:p>
    <w:p w14:paraId="499AA2F6">
      <w:pPr>
        <w:widowControl w:val="0"/>
        <w:spacing w:after="160" w:line="360" w:lineRule="auto"/>
        <w:jc w:val="both"/>
        <w:rPr>
          <w:rFonts w:eastAsia="宋体"/>
          <w:b/>
          <w:kern w:val="2"/>
          <w:lang w:eastAsia="zh-CN"/>
        </w:rPr>
        <w:sectPr>
          <w:pgSz w:w="11907" w:h="16840"/>
          <w:pgMar w:top="1440" w:right="1797" w:bottom="1440" w:left="1797" w:header="851" w:footer="992" w:gutter="0"/>
          <w:cols w:space="425" w:num="1"/>
          <w:titlePg/>
          <w:docGrid w:linePitch="462" w:charSpace="0"/>
        </w:sectPr>
      </w:pPr>
    </w:p>
    <w:bookmarkEnd w:id="35"/>
    <w:p w14:paraId="43686FFC">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69A00E5F">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679"/>
        <w:gridCol w:w="3783"/>
      </w:tblGrid>
      <w:tr w14:paraId="06DE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625" w:type="pct"/>
            <w:vAlign w:val="center"/>
          </w:tcPr>
          <w:p w14:paraId="2C1E42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序号</w:t>
            </w:r>
          </w:p>
        </w:tc>
        <w:tc>
          <w:tcPr>
            <w:tcW w:w="2156" w:type="pct"/>
            <w:vAlign w:val="center"/>
          </w:tcPr>
          <w:p w14:paraId="2089F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2"/>
                <w:sz w:val="21"/>
                <w:szCs w:val="21"/>
                <w:lang w:eastAsia="zh-CN"/>
              </w:rPr>
            </w:pPr>
            <w:r>
              <w:rPr>
                <w:rFonts w:hint="eastAsia" w:ascii="宋体" w:hAnsi="宋体" w:eastAsia="宋体" w:cs="宋体"/>
                <w:b/>
                <w:bCs w:val="0"/>
                <w:kern w:val="2"/>
                <w:sz w:val="21"/>
                <w:szCs w:val="21"/>
                <w:lang w:eastAsia="zh-CN"/>
              </w:rPr>
              <w:t>采购项目名称</w:t>
            </w:r>
          </w:p>
        </w:tc>
        <w:tc>
          <w:tcPr>
            <w:tcW w:w="2217" w:type="pct"/>
            <w:vAlign w:val="center"/>
          </w:tcPr>
          <w:p w14:paraId="0E00D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FF0000"/>
                <w:kern w:val="2"/>
                <w:sz w:val="21"/>
                <w:szCs w:val="21"/>
                <w:lang w:eastAsia="zh-CN"/>
              </w:rPr>
            </w:pPr>
            <w:r>
              <w:rPr>
                <w:rFonts w:hint="eastAsia" w:ascii="宋体" w:hAnsi="宋体" w:eastAsia="宋体" w:cs="宋体"/>
                <w:b/>
                <w:bCs w:val="0"/>
                <w:kern w:val="2"/>
                <w:sz w:val="21"/>
                <w:szCs w:val="21"/>
                <w:lang w:eastAsia="zh-CN"/>
              </w:rPr>
              <w:t>预算金额（元）</w:t>
            </w:r>
          </w:p>
        </w:tc>
      </w:tr>
      <w:tr w14:paraId="52A4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25" w:type="pct"/>
            <w:vAlign w:val="center"/>
          </w:tcPr>
          <w:p w14:paraId="42BE2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2156" w:type="pct"/>
            <w:vAlign w:val="center"/>
          </w:tcPr>
          <w:p w14:paraId="364F3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eastAsia="zh-CN"/>
              </w:rPr>
              <w:t xml:space="preserve">深圳北理莫斯科大学附属实验中学精品录播教室项目 </w:t>
            </w:r>
          </w:p>
        </w:tc>
        <w:tc>
          <w:tcPr>
            <w:tcW w:w="2217" w:type="pct"/>
            <w:vAlign w:val="center"/>
          </w:tcPr>
          <w:p w14:paraId="798E2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lang w:val="en-US" w:eastAsia="zh-CN"/>
              </w:rPr>
              <w:t>65</w:t>
            </w:r>
            <w:r>
              <w:rPr>
                <w:rFonts w:hint="eastAsia" w:ascii="宋体" w:hAnsi="宋体" w:eastAsia="宋体" w:cs="宋体"/>
                <w:bCs/>
                <w:kern w:val="2"/>
                <w:sz w:val="21"/>
                <w:szCs w:val="21"/>
                <w:lang w:eastAsia="zh-CN"/>
              </w:rPr>
              <w:t>0000.00</w:t>
            </w:r>
          </w:p>
        </w:tc>
      </w:tr>
    </w:tbl>
    <w:p w14:paraId="1ECE4D54">
      <w:pPr>
        <w:widowControl w:val="0"/>
        <w:spacing w:after="160" w:line="278" w:lineRule="auto"/>
        <w:jc w:val="both"/>
        <w:rPr>
          <w:rFonts w:ascii="宋体" w:hAnsi="宋体" w:eastAsia="宋体"/>
          <w:b/>
          <w:color w:val="FF0000"/>
          <w:kern w:val="2"/>
          <w:sz w:val="21"/>
          <w:szCs w:val="21"/>
          <w:lang w:eastAsia="zh-CN"/>
        </w:rPr>
      </w:pPr>
    </w:p>
    <w:p w14:paraId="2B9C8255">
      <w:pPr>
        <w:keepNext/>
        <w:keepLines/>
        <w:widowControl w:val="0"/>
        <w:numPr>
          <w:ilvl w:val="0"/>
          <w:numId w:val="5"/>
        </w:numPr>
        <w:adjustRightInd w:val="0"/>
        <w:spacing w:before="120" w:beforeLines="50" w:after="120" w:afterLines="50"/>
        <w:jc w:val="center"/>
        <w:textAlignment w:val="baseline"/>
        <w:outlineLvl w:val="1"/>
        <w:rPr>
          <w:rFonts w:hint="eastAsia" w:ascii="宋体" w:hAnsi="宋体" w:eastAsia="宋体"/>
          <w:b/>
          <w:bCs/>
          <w:lang w:val="en-US" w:eastAsia="zh-CN"/>
        </w:rPr>
      </w:pPr>
      <w:bookmarkStart w:id="41" w:name="_Hlk72258617"/>
      <w:r>
        <w:rPr>
          <w:rFonts w:hint="eastAsia" w:ascii="宋体" w:hAnsi="宋体" w:eastAsia="宋体"/>
          <w:b/>
          <w:bCs/>
          <w:lang w:val="en-US" w:eastAsia="zh-CN"/>
        </w:rPr>
        <w:t>项目概况</w:t>
      </w:r>
    </w:p>
    <w:p w14:paraId="244F3757">
      <w:pPr>
        <w:spacing w:line="276"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深圳北理莫斯科大学附属实验中学依托深圳北理莫斯科大学的中俄联合办学资源优势，秉持“融合中外、知行合一”的教育理念，以培养具备国际视野、创新精神和实践能力的高素质人才为核心目标。精品录播教室作为附中开展教学技能训练、课堂教学研讨、教学质量评估的核心场所，是支撑教师专业发展、推动教学模式创新的关键基础设施，在学校教育教学体系中占据重要地位。</w:t>
      </w:r>
    </w:p>
    <w:p w14:paraId="697CB0C2">
      <w:pPr>
        <w:spacing w:line="276"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随着新时代教育理念的深度革新，个性化学习、探究式学习等理念已成为教学实践的核心导向，翻转课堂、项目式学习等新型教学模式广泛应用，对精品录播教室的功能支撑提出了更高要求。同时，人工智能、大数据等技术与教育教学的融合不断深化，为精品录播教室的智能化升级提供了技术支撑，也推动学校对教学评估、教师发展的精准化需求日益迫切。在此背景下，教师群体期望通过设施升级获得更稳定、高效的教学研讨工具，提升教学设计与实施质量；学生群体期待在更优质的教学环境中参与互动学习，增强学习体验；学校管理层则致力于通过基础设施升级，进一步提升教育教学质量，强化办学特色，增强学校核心竞争力。</w:t>
      </w:r>
    </w:p>
    <w:p w14:paraId="66FC4918">
      <w:pPr>
        <w:pStyle w:val="2"/>
        <w:numPr>
          <w:ilvl w:val="0"/>
          <w:numId w:val="0"/>
        </w:numPr>
        <w:rPr>
          <w:rFonts w:hint="default"/>
          <w:lang w:val="en-US" w:eastAsia="zh-CN"/>
        </w:rPr>
      </w:pPr>
    </w:p>
    <w:p w14:paraId="624FF332">
      <w:pPr>
        <w:rPr>
          <w:rFonts w:hint="eastAsia" w:ascii="宋体" w:hAnsi="宋体" w:eastAsia="宋体"/>
          <w:b/>
          <w:bCs/>
          <w:lang w:val="en-US" w:eastAsia="zh-CN"/>
        </w:rPr>
      </w:pPr>
      <w:r>
        <w:rPr>
          <w:rFonts w:hint="eastAsia" w:ascii="宋体" w:hAnsi="宋体" w:eastAsia="宋体"/>
          <w:b/>
          <w:bCs/>
          <w:lang w:val="en-US" w:eastAsia="zh-CN"/>
        </w:rPr>
        <w:br w:type="page"/>
      </w:r>
    </w:p>
    <w:p w14:paraId="2A848903">
      <w:pPr>
        <w:keepNext/>
        <w:keepLines/>
        <w:widowControl w:val="0"/>
        <w:adjustRightInd w:val="0"/>
        <w:spacing w:before="120" w:beforeLines="50" w:after="120" w:afterLines="50"/>
        <w:jc w:val="center"/>
        <w:textAlignment w:val="baseline"/>
        <w:outlineLvl w:val="1"/>
        <w:rPr>
          <w:rFonts w:ascii="宋体" w:hAnsi="宋体" w:eastAsia="宋体"/>
          <w:b/>
          <w:bCs/>
          <w:lang w:eastAsia="zh-CN"/>
        </w:rPr>
      </w:pPr>
      <w:r>
        <w:rPr>
          <w:rFonts w:hint="eastAsia" w:ascii="宋体" w:hAnsi="宋体" w:eastAsia="宋体"/>
          <w:b/>
          <w:bCs/>
          <w:lang w:val="en-US" w:eastAsia="zh-CN"/>
        </w:rPr>
        <w:t>三</w:t>
      </w:r>
      <w:r>
        <w:rPr>
          <w:rFonts w:hint="eastAsia" w:ascii="宋体" w:hAnsi="宋体" w:eastAsia="宋体"/>
          <w:b/>
          <w:bCs/>
          <w:lang w:eastAsia="zh-CN"/>
        </w:rPr>
        <w:t>、</w:t>
      </w:r>
      <w:bookmarkStart w:id="42" w:name="_Hlk72073432"/>
      <w:r>
        <w:rPr>
          <w:rFonts w:hint="eastAsia" w:ascii="宋体" w:hAnsi="宋体" w:eastAsia="宋体"/>
          <w:b/>
          <w:bCs/>
          <w:lang w:eastAsia="zh-CN"/>
        </w:rPr>
        <w:t>货物</w:t>
      </w:r>
      <w:r>
        <w:rPr>
          <w:rFonts w:hint="eastAsia" w:ascii="宋体" w:hAnsi="宋体" w:eastAsia="宋体"/>
          <w:b/>
          <w:bCs/>
          <w:lang w:val="en-US" w:eastAsia="zh-CN"/>
        </w:rPr>
        <w:t>清单</w:t>
      </w:r>
      <w:r>
        <w:rPr>
          <w:rFonts w:hint="eastAsia" w:ascii="宋体" w:hAnsi="宋体" w:eastAsia="宋体"/>
          <w:b/>
          <w:bCs/>
          <w:lang w:eastAsia="zh-CN"/>
        </w:rPr>
        <w:t>明细</w:t>
      </w:r>
      <w:bookmarkEnd w:id="42"/>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2347"/>
        <w:gridCol w:w="504"/>
        <w:gridCol w:w="492"/>
        <w:gridCol w:w="1692"/>
        <w:gridCol w:w="1455"/>
        <w:gridCol w:w="1421"/>
      </w:tblGrid>
      <w:tr w14:paraId="1ED8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70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DD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3A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B2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EDC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28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是否专门面向中小企业</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ECF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标的所属行业</w:t>
            </w:r>
          </w:p>
        </w:tc>
      </w:tr>
      <w:tr w14:paraId="01B9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00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一、显示系统</w:t>
            </w:r>
          </w:p>
        </w:tc>
      </w:tr>
      <w:tr w14:paraId="18C5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nil"/>
              <w:right w:val="single" w:color="000000" w:sz="4" w:space="0"/>
            </w:tcBorders>
            <w:shd w:val="clear" w:color="auto" w:fill="FFFFFF"/>
            <w:noWrap/>
            <w:vAlign w:val="center"/>
          </w:tcPr>
          <w:p w14:paraId="6502743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47" w:type="dxa"/>
            <w:tcBorders>
              <w:top w:val="single" w:color="000000" w:sz="4" w:space="0"/>
              <w:left w:val="single" w:color="000000" w:sz="4" w:space="0"/>
              <w:bottom w:val="nil"/>
              <w:right w:val="single" w:color="000000" w:sz="4" w:space="0"/>
            </w:tcBorders>
            <w:shd w:val="clear" w:color="auto" w:fill="FFFFFF"/>
            <w:vAlign w:val="center"/>
          </w:tcPr>
          <w:p w14:paraId="2C55A88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AI全面屏</w:t>
            </w:r>
          </w:p>
        </w:tc>
        <w:tc>
          <w:tcPr>
            <w:tcW w:w="504" w:type="dxa"/>
            <w:tcBorders>
              <w:top w:val="single" w:color="000000" w:sz="4" w:space="0"/>
              <w:left w:val="single" w:color="000000" w:sz="4" w:space="0"/>
              <w:bottom w:val="nil"/>
              <w:right w:val="single" w:color="000000" w:sz="4" w:space="0"/>
            </w:tcBorders>
            <w:shd w:val="clear" w:color="auto" w:fill="FFFFFF"/>
            <w:vAlign w:val="center"/>
          </w:tcPr>
          <w:p w14:paraId="654E5F7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nil"/>
              <w:right w:val="single" w:color="000000" w:sz="4" w:space="0"/>
            </w:tcBorders>
            <w:shd w:val="clear" w:color="auto" w:fill="FFFFFF"/>
            <w:vAlign w:val="center"/>
          </w:tcPr>
          <w:p w14:paraId="707EB6E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nil"/>
              <w:right w:val="single" w:color="000000" w:sz="4" w:space="0"/>
            </w:tcBorders>
            <w:shd w:val="clear" w:color="auto" w:fill="FFFFFF"/>
            <w:noWrap/>
            <w:vAlign w:val="center"/>
          </w:tcPr>
          <w:p w14:paraId="42BAA7E5">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nil"/>
              <w:right w:val="single" w:color="000000" w:sz="4" w:space="0"/>
            </w:tcBorders>
            <w:shd w:val="clear" w:color="auto" w:fill="FFFFFF"/>
            <w:noWrap/>
            <w:vAlign w:val="center"/>
          </w:tcPr>
          <w:p w14:paraId="423C73B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nil"/>
              <w:right w:val="single" w:color="000000" w:sz="4" w:space="0"/>
            </w:tcBorders>
            <w:shd w:val="clear" w:color="auto" w:fill="FFFFFF"/>
            <w:noWrap/>
            <w:vAlign w:val="center"/>
          </w:tcPr>
          <w:p w14:paraId="1DDB2B2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r>
      <w:tr w14:paraId="0095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1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高清显示器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F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9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1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0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13F8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2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辅助显示屏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7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7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6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3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DB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3E21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243F">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二、精品录播系统</w:t>
            </w:r>
          </w:p>
        </w:tc>
      </w:tr>
      <w:tr w14:paraId="2D00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6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7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高清录播主机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6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9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FB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D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827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0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录播流媒体处理软件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E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D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0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0481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F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E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智能跟踪处理软件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9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5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1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5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D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3C56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A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智能课堂行为分析软件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A3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E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B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397C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4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6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智能语音分析软件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1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7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9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4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5EDA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高清全景摄像机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B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D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8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D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5914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2D9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高清特写摄像机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D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5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7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3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0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085F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CF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摄像机跟踪拍摄软件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A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5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5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195A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92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8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采访话筒（指向性）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4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A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B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D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6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4188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873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A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教学视频资源管理系统</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4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B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F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C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371A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BE33">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三、微课系统</w:t>
            </w:r>
          </w:p>
        </w:tc>
      </w:tr>
      <w:tr w14:paraId="100F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F6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1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微课录播主机</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A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7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9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5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F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77A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EE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D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微课录制软件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B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A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3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04D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C2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F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F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E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95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CF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56A6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37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0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高清摄像机管理软件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7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A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F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B4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2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F88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98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5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D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4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9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738B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A9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录制面板</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B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A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0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C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7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4DDB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1EF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编辑设备</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D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B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3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7F6A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E5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演播补光灯</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4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A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盏</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3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7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0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79B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F4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86寸背景一体机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C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1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0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C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4FC0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7098">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四、物联管控系统</w:t>
            </w:r>
          </w:p>
        </w:tc>
      </w:tr>
      <w:tr w14:paraId="5C76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3A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物联网边缘高聚合网关</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C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3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8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700F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6E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2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物联网控制终端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A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0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D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D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1D3E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400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智能照明面板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2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B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0A26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E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红外控制终端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B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1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5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6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41C5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0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3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物联网聚合管理终端</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A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D38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D9A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C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8路HDMI 视频矩阵</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9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4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1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4837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96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8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设备物联集控管理系统</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1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1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14F2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9C24">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五、音频系统</w:t>
            </w:r>
          </w:p>
        </w:tc>
      </w:tr>
      <w:tr w14:paraId="0285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ECB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6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智能红外无线功放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2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8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1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15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CB1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D8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B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红外线手持话筒（含充电座）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9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1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2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8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B86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24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扩声音柱</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A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D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7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C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0E51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07C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颈挂红外线话筒</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E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56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F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0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989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34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A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9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0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6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9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5BB2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E4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A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6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8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0E42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3173">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六、智慧课堂教学系统</w:t>
            </w:r>
          </w:p>
        </w:tc>
      </w:tr>
      <w:tr w14:paraId="563B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C09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0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课堂主机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C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F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2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4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1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061B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D3C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en-US" w:bidi="ar-SA"/>
              </w:rPr>
            </w:pPr>
            <w:r>
              <w:rPr>
                <w:rFonts w:hint="eastAsia" w:ascii="宋体" w:hAnsi="宋体" w:eastAsia="宋体" w:cs="宋体"/>
                <w:i w:val="0"/>
                <w:iCs w:val="0"/>
                <w:color w:val="000000"/>
                <w:kern w:val="0"/>
                <w:sz w:val="20"/>
                <w:szCs w:val="20"/>
                <w:u w:val="none"/>
                <w:lang w:val="en-US" w:eastAsia="zh-CN" w:bidi="ar"/>
              </w:rPr>
              <w:t>37</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智慧管理软件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3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5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5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3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6A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F1A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4E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en-US" w:bidi="ar-SA"/>
              </w:rPr>
            </w:pPr>
            <w:r>
              <w:rPr>
                <w:rFonts w:hint="eastAsia" w:ascii="宋体" w:hAnsi="宋体" w:eastAsia="宋体" w:cs="宋体"/>
                <w:i w:val="0"/>
                <w:iCs w:val="0"/>
                <w:color w:val="000000"/>
                <w:kern w:val="0"/>
                <w:sz w:val="20"/>
                <w:szCs w:val="20"/>
                <w:u w:val="none"/>
                <w:lang w:val="en-US" w:eastAsia="zh-CN" w:bidi="ar"/>
              </w:rPr>
              <w:t>38</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E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智慧课堂软件</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D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B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4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A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F9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46FF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B9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en-US" w:bidi="ar-SA"/>
              </w:rPr>
            </w:pPr>
            <w:r>
              <w:rPr>
                <w:rFonts w:hint="eastAsia" w:ascii="宋体" w:hAnsi="宋体" w:eastAsia="宋体" w:cs="宋体"/>
                <w:i w:val="0"/>
                <w:iCs w:val="0"/>
                <w:color w:val="000000"/>
                <w:kern w:val="0"/>
                <w:sz w:val="20"/>
                <w:szCs w:val="20"/>
                <w:u w:val="none"/>
                <w:lang w:val="en-US" w:eastAsia="zh-CN" w:bidi="ar"/>
              </w:rPr>
              <w:t>39</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A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教学平板</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2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2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C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A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2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442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EF0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en-US" w:bidi="ar-SA"/>
              </w:rPr>
            </w:pPr>
            <w:r>
              <w:rPr>
                <w:rFonts w:hint="eastAsia" w:ascii="宋体" w:hAnsi="宋体" w:eastAsia="宋体" w:cs="宋体"/>
                <w:i w:val="0"/>
                <w:iCs w:val="0"/>
                <w:color w:val="000000"/>
                <w:kern w:val="0"/>
                <w:sz w:val="20"/>
                <w:szCs w:val="20"/>
                <w:u w:val="none"/>
                <w:lang w:val="en-US" w:eastAsia="zh-CN" w:bidi="ar"/>
              </w:rPr>
              <w:t>40</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B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平板充电柜</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D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6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6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B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7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3494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696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en-US" w:bidi="ar-SA"/>
              </w:rPr>
            </w:pPr>
            <w:r>
              <w:rPr>
                <w:rFonts w:hint="eastAsia" w:ascii="宋体" w:hAnsi="宋体" w:eastAsia="宋体" w:cs="宋体"/>
                <w:i w:val="0"/>
                <w:iCs w:val="0"/>
                <w:color w:val="000000"/>
                <w:kern w:val="0"/>
                <w:sz w:val="20"/>
                <w:szCs w:val="20"/>
                <w:u w:val="none"/>
                <w:lang w:val="en-US" w:eastAsia="zh-CN" w:bidi="ar"/>
              </w:rPr>
              <w:t>41</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无线AP</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E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D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9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5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7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648E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A500">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七、配套家具</w:t>
            </w:r>
          </w:p>
        </w:tc>
      </w:tr>
      <w:tr w14:paraId="1985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B3E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教师讲台（含椅子）</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F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4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A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F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57DB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EB2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6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操作台（含椅子）</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4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6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1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F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D1A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7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八、配套设备</w:t>
            </w:r>
          </w:p>
        </w:tc>
      </w:tr>
      <w:tr w14:paraId="6257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71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2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24口POE接入交换设备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2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5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7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1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C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r w14:paraId="2D45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C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0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E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5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拒绝进口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6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A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w:t>
            </w:r>
          </w:p>
        </w:tc>
      </w:tr>
    </w:tbl>
    <w:p w14:paraId="2A4ABF7A">
      <w:pPr>
        <w:widowControl w:val="0"/>
        <w:spacing w:after="160" w:line="278" w:lineRule="auto"/>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760A58B7">
      <w:pPr>
        <w:widowControl w:val="0"/>
        <w:spacing w:after="160" w:line="278" w:lineRule="auto"/>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C9FA53C">
      <w:pPr>
        <w:widowControl/>
        <w:spacing w:after="0" w:line="240" w:lineRule="auto"/>
        <w:ind w:firstLine="422" w:firstLineChars="200"/>
        <w:jc w:val="both"/>
        <w:rPr>
          <w:rFonts w:ascii="宋体" w:hAnsi="宋体" w:eastAsia="宋体"/>
          <w:b/>
          <w:color w:val="FF0000"/>
          <w:kern w:val="2"/>
          <w:sz w:val="21"/>
          <w:szCs w:val="21"/>
          <w:u w:val="single"/>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highlight w:val="yellow"/>
          <w:u w:val="single"/>
          <w:lang w:val="en-US" w:eastAsia="zh-CN"/>
        </w:rPr>
        <w:t>教学视频资源管理系统（序号13）</w:t>
      </w:r>
      <w:r>
        <w:rPr>
          <w:rFonts w:eastAsia="宋体"/>
          <w:b/>
          <w:color w:val="FF0000"/>
          <w:kern w:val="2"/>
          <w:sz w:val="21"/>
          <w:u w:val="none"/>
          <w:lang w:eastAsia="zh-CN"/>
        </w:rPr>
        <w:t xml:space="preserve">  </w:t>
      </w:r>
      <w:r>
        <w:rPr>
          <w:rFonts w:eastAsia="宋体"/>
          <w:b/>
          <w:color w:val="FF0000"/>
          <w:kern w:val="2"/>
          <w:sz w:val="21"/>
          <w:u w:val="single"/>
          <w:lang w:eastAsia="zh-CN"/>
        </w:rPr>
        <w:t xml:space="preserve">   </w:t>
      </w:r>
    </w:p>
    <w:bookmarkEnd w:id="41"/>
    <w:p w14:paraId="2EBECFD3">
      <w:pPr>
        <w:widowControl w:val="0"/>
        <w:spacing w:after="160" w:line="278" w:lineRule="auto"/>
        <w:jc w:val="both"/>
        <w:rPr>
          <w:rFonts w:ascii="宋体" w:hAnsi="宋体" w:eastAsia="宋体"/>
          <w:b/>
          <w:color w:val="FF0000"/>
          <w:kern w:val="2"/>
          <w:sz w:val="21"/>
          <w:szCs w:val="21"/>
          <w:lang w:eastAsia="zh-CN"/>
        </w:rPr>
      </w:pPr>
    </w:p>
    <w:p w14:paraId="1169F494">
      <w:pPr>
        <w:pStyle w:val="25"/>
        <w:numPr>
          <w:ilvl w:val="0"/>
          <w:numId w:val="0"/>
        </w:numPr>
        <w:ind w:firstLine="3300" w:firstLineChars="1500"/>
        <w:jc w:val="both"/>
        <w:rPr>
          <w:rFonts w:hint="eastAsia"/>
          <w:sz w:val="22"/>
          <w:szCs w:val="22"/>
          <w:lang w:val="en-US" w:eastAsia="zh-CN"/>
        </w:rPr>
      </w:pPr>
    </w:p>
    <w:p w14:paraId="3878C0F4">
      <w:pPr>
        <w:rPr>
          <w:rFonts w:ascii="宋体" w:hAnsi="宋体" w:eastAsia="宋体"/>
          <w:b/>
          <w:bCs/>
          <w:sz w:val="28"/>
          <w:szCs w:val="28"/>
          <w:lang w:eastAsia="zh-CN"/>
        </w:rPr>
      </w:pPr>
      <w:bookmarkStart w:id="43" w:name="_Toc128884461"/>
    </w:p>
    <w:p w14:paraId="4A833624">
      <w:pPr>
        <w:keepNext/>
        <w:keepLines/>
        <w:widowControl w:val="0"/>
        <w:adjustRightInd w:val="0"/>
        <w:spacing w:before="120" w:beforeLines="50" w:after="120" w:afterLines="50"/>
        <w:ind w:firstLine="2811" w:firstLineChars="1000"/>
        <w:jc w:val="both"/>
        <w:textAlignment w:val="baseline"/>
        <w:outlineLvl w:val="1"/>
        <w:rPr>
          <w:rFonts w:ascii="宋体" w:hAnsi="宋体" w:eastAsia="宋体"/>
          <w:b/>
          <w:bCs/>
          <w:sz w:val="28"/>
          <w:szCs w:val="28"/>
          <w:lang w:eastAsia="zh-CN"/>
        </w:rPr>
      </w:pPr>
      <w:r>
        <w:rPr>
          <w:rFonts w:hint="eastAsia" w:ascii="宋体" w:hAnsi="宋体" w:eastAsia="宋体"/>
          <w:b/>
          <w:bCs/>
          <w:sz w:val="28"/>
          <w:szCs w:val="28"/>
          <w:lang w:val="en-US" w:eastAsia="zh-CN"/>
        </w:rPr>
        <w:t>四</w:t>
      </w:r>
      <w:r>
        <w:rPr>
          <w:rFonts w:hint="eastAsia" w:ascii="宋体" w:hAnsi="宋体" w:eastAsia="宋体"/>
          <w:b/>
          <w:bCs/>
          <w:sz w:val="28"/>
          <w:szCs w:val="28"/>
          <w:lang w:eastAsia="zh-CN"/>
        </w:rPr>
        <w:t>、实质性条款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75E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4" w:type="dxa"/>
            <w:vAlign w:val="center"/>
          </w:tcPr>
          <w:p w14:paraId="6E72B273">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795" w:type="dxa"/>
            <w:vAlign w:val="center"/>
          </w:tcPr>
          <w:p w14:paraId="60EBA3E4">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5C1E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AD15728">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7795" w:type="dxa"/>
            <w:vAlign w:val="center"/>
          </w:tcPr>
          <w:p w14:paraId="49439266">
            <w:pPr>
              <w:widowControl w:val="0"/>
              <w:adjustRightInd w:val="0"/>
              <w:snapToGrid w:val="0"/>
              <w:spacing w:after="160" w:line="360" w:lineRule="auto"/>
              <w:jc w:val="center"/>
              <w:rPr>
                <w:rFonts w:hAnsi="宋体" w:eastAsia="宋体"/>
                <w:sz w:val="21"/>
                <w:szCs w:val="21"/>
                <w:lang w:eastAsia="zh-CN"/>
              </w:rPr>
            </w:pPr>
            <w:r>
              <w:rPr>
                <w:rFonts w:hint="eastAsia" w:hAnsi="宋体" w:eastAsia="宋体"/>
                <w:sz w:val="21"/>
                <w:szCs w:val="21"/>
                <w:lang w:eastAsia="zh-CN"/>
              </w:rPr>
              <w:t>满足本项目标★的条款要求</w:t>
            </w:r>
          </w:p>
        </w:tc>
      </w:tr>
    </w:tbl>
    <w:p w14:paraId="498BBFA6">
      <w:pPr>
        <w:widowControl w:val="0"/>
        <w:spacing w:after="160" w:line="278" w:lineRule="auto"/>
        <w:jc w:val="both"/>
        <w:rPr>
          <w:rFonts w:eastAsia="宋体"/>
          <w:b/>
          <w:kern w:val="2"/>
          <w:sz w:val="21"/>
          <w:lang w:eastAsia="zh-CN"/>
        </w:rPr>
      </w:pPr>
      <w:r>
        <w:rPr>
          <w:rFonts w:hint="eastAsia" w:eastAsia="宋体"/>
          <w:b/>
          <w:kern w:val="2"/>
          <w:sz w:val="21"/>
          <w:lang w:eastAsia="zh-CN"/>
        </w:rPr>
        <w:t>注：上表所列内容为不可负偏离条款</w:t>
      </w:r>
      <w:bookmarkEnd w:id="43"/>
      <w:r>
        <w:rPr>
          <w:rFonts w:hint="eastAsia" w:eastAsia="宋体"/>
          <w:b/>
          <w:kern w:val="2"/>
          <w:sz w:val="21"/>
          <w:lang w:eastAsia="zh-CN"/>
        </w:rPr>
        <w:t>，负偏离将视为未实质性满足招标文件要求作投标无效处理。</w:t>
      </w:r>
    </w:p>
    <w:p w14:paraId="3053E29E">
      <w:pPr>
        <w:pStyle w:val="25"/>
        <w:jc w:val="center"/>
        <w:rPr>
          <w:rFonts w:hint="eastAsia"/>
          <w:sz w:val="22"/>
          <w:szCs w:val="22"/>
          <w:lang w:val="en-US" w:eastAsia="zh-CN"/>
        </w:rPr>
      </w:pPr>
    </w:p>
    <w:p w14:paraId="1880B8C6">
      <w:pPr>
        <w:widowControl w:val="0"/>
        <w:spacing w:after="160" w:line="278" w:lineRule="auto"/>
        <w:jc w:val="both"/>
        <w:rPr>
          <w:rFonts w:eastAsia="宋体"/>
          <w:b/>
          <w:kern w:val="2"/>
          <w:sz w:val="21"/>
          <w:szCs w:val="21"/>
          <w:lang w:eastAsia="zh-CN"/>
        </w:rPr>
      </w:pPr>
    </w:p>
    <w:p w14:paraId="19C96189">
      <w:pPr>
        <w:widowControl w:val="0"/>
        <w:spacing w:after="160" w:line="360" w:lineRule="auto"/>
        <w:jc w:val="both"/>
        <w:rPr>
          <w:rFonts w:eastAsia="宋体"/>
          <w:b/>
          <w:bCs/>
          <w:kern w:val="2"/>
          <w:lang w:eastAsia="zh-CN"/>
        </w:rPr>
      </w:pPr>
    </w:p>
    <w:p w14:paraId="3826E285">
      <w:pPr>
        <w:keepNext/>
        <w:keepLines/>
        <w:widowControl w:val="0"/>
        <w:adjustRightInd w:val="0"/>
        <w:spacing w:before="120" w:beforeLines="50" w:after="120" w:afterLines="50"/>
        <w:jc w:val="center"/>
        <w:textAlignment w:val="baseline"/>
        <w:outlineLvl w:val="1"/>
        <w:rPr>
          <w:rFonts w:hint="eastAsia" w:ascii="宋体" w:hAnsi="宋体" w:eastAsia="宋体"/>
          <w:b/>
          <w:bCs/>
          <w:sz w:val="28"/>
          <w:szCs w:val="28"/>
          <w:lang w:val="en-US" w:eastAsia="zh-CN"/>
        </w:rPr>
      </w:pPr>
    </w:p>
    <w:p w14:paraId="4CAE6931">
      <w:pPr>
        <w:keepNext/>
        <w:keepLines/>
        <w:widowControl w:val="0"/>
        <w:adjustRightInd w:val="0"/>
        <w:spacing w:before="120" w:beforeLines="50" w:after="120" w:afterLines="5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val="en-US" w:eastAsia="zh-CN"/>
        </w:rPr>
        <w:t>五</w:t>
      </w:r>
      <w:r>
        <w:rPr>
          <w:rFonts w:hint="eastAsia" w:ascii="宋体" w:hAnsi="宋体" w:eastAsia="宋体"/>
          <w:b/>
          <w:bCs/>
          <w:sz w:val="28"/>
          <w:szCs w:val="28"/>
          <w:lang w:eastAsia="zh-CN"/>
        </w:rPr>
        <w:t>、技术要求</w:t>
      </w:r>
    </w:p>
    <w:p w14:paraId="5A4DE7F6">
      <w:pPr>
        <w:ind w:firstLine="422" w:firstLineChars="200"/>
        <w:rPr>
          <w:rFonts w:hint="eastAsia" w:asciiTheme="minorEastAsia" w:hAnsiTheme="minorEastAsia" w:eastAsiaTheme="minorEastAsia" w:cstheme="minorEastAsia"/>
          <w:b/>
          <w:sz w:val="21"/>
          <w:szCs w:val="21"/>
          <w:lang w:eastAsia="zh-CN"/>
        </w:rPr>
      </w:pPr>
      <w:bookmarkStart w:id="44" w:name="_Hlk72585069"/>
      <w:r>
        <w:rPr>
          <w:rFonts w:hint="eastAsia" w:asciiTheme="minorEastAsia" w:hAnsiTheme="minorEastAsia" w:eastAsiaTheme="minorEastAsia" w:cstheme="minorEastAsia"/>
          <w:b/>
          <w:sz w:val="21"/>
          <w:szCs w:val="21"/>
        </w:rPr>
        <w:t>说明：1、评分时，如对一项招标技术要求（</w:t>
      </w:r>
      <w:r>
        <w:rPr>
          <w:rFonts w:hint="eastAsia" w:asciiTheme="minorEastAsia" w:hAnsiTheme="minorEastAsia" w:eastAsiaTheme="minorEastAsia" w:cstheme="minorEastAsia"/>
          <w:b/>
          <w:sz w:val="21"/>
          <w:szCs w:val="21"/>
          <w:highlight w:val="yellow"/>
        </w:rPr>
        <w:t>以划分框为准</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的</w:t>
      </w:r>
      <w:r>
        <w:rPr>
          <w:rFonts w:hint="eastAsia" w:asciiTheme="minorEastAsia" w:hAnsiTheme="minorEastAsia" w:eastAsiaTheme="minorEastAsia" w:cstheme="minorEastAsia"/>
          <w:b/>
          <w:sz w:val="21"/>
          <w:szCs w:val="21"/>
        </w:rPr>
        <w:t>内容存在两处（或以上）负偏离的，在评分时只作一项负偏离扣分</w:t>
      </w:r>
      <w:r>
        <w:rPr>
          <w:rFonts w:hint="eastAsia" w:asciiTheme="minorEastAsia" w:hAnsiTheme="minorEastAsia" w:eastAsiaTheme="minorEastAsia" w:cstheme="minorEastAsia"/>
          <w:b/>
          <w:sz w:val="21"/>
          <w:szCs w:val="21"/>
          <w:lang w:eastAsia="zh-CN"/>
        </w:rPr>
        <w:t>。</w:t>
      </w:r>
    </w:p>
    <w:p w14:paraId="7EBE8707">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2、带★号条款为不可</w:t>
      </w:r>
      <w:r>
        <w:rPr>
          <w:rFonts w:hint="eastAsia" w:asciiTheme="minorEastAsia" w:hAnsiTheme="minorEastAsia" w:eastAsiaTheme="minorEastAsia" w:cstheme="minorEastAsia"/>
          <w:b/>
          <w:sz w:val="21"/>
          <w:szCs w:val="21"/>
          <w:lang w:val="en-US" w:eastAsia="zh-CN"/>
        </w:rPr>
        <w:t>负</w:t>
      </w:r>
      <w:r>
        <w:rPr>
          <w:rFonts w:hint="eastAsia" w:asciiTheme="minorEastAsia" w:hAnsiTheme="minorEastAsia" w:eastAsiaTheme="minorEastAsia" w:cstheme="minorEastAsia"/>
          <w:b/>
          <w:sz w:val="21"/>
          <w:szCs w:val="21"/>
        </w:rPr>
        <w:t>偏离条款，不作为评分准则中的评分内容</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如未响应或出现负偏离的，将作投标无效处理；带“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”指标项为重要参数条款，负偏离时依相关评分准则内容作重点扣分处理。</w:t>
      </w:r>
    </w:p>
    <w:p w14:paraId="1C199F6C">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3、招标技术要求中，要求提供证明资料</w:t>
      </w:r>
      <w:r>
        <w:rPr>
          <w:rFonts w:hint="eastAsia" w:asciiTheme="minorEastAsia" w:hAnsiTheme="minorEastAsia" w:eastAsiaTheme="minorEastAsia" w:cstheme="minorEastAsia"/>
          <w:b/>
          <w:sz w:val="21"/>
          <w:szCs w:val="21"/>
          <w:lang w:val="en-US" w:eastAsia="zh-CN"/>
        </w:rPr>
        <w:t>均需要提供证明材料</w:t>
      </w:r>
      <w:r>
        <w:rPr>
          <w:rFonts w:hint="eastAsia" w:asciiTheme="minorEastAsia" w:hAnsiTheme="minorEastAsia" w:eastAsiaTheme="minorEastAsia" w:cstheme="minorEastAsia"/>
          <w:b/>
          <w:sz w:val="21"/>
          <w:szCs w:val="21"/>
        </w:rPr>
        <w:t>；其余指标项未要求提供证明资料，无需提供相关证明资料。</w:t>
      </w:r>
    </w:p>
    <w:p w14:paraId="03392DAB">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4.涉及区间的参数，除特别注明以外，产品参数区间与招标要求不一致的均视为负偏离。例：区间要求为0-20ML,只要响应的不是“0-20ML”，如投标文件响应为 0-15ML 、0-21ML 、1-12ML 、 9-20ML 、6-21ML 、9ML等情形均视为负偏离。</w:t>
      </w:r>
    </w:p>
    <w:p w14:paraId="6A08ECBB">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5.相关证明材料的产品名称与招标技术要求的货物名称不一致的，需提供为同种产品的说明；若名称不一致又未提供说明的，由评审委员会判定是否符合文件要求。</w:t>
      </w:r>
    </w:p>
    <w:p w14:paraId="72744B9E">
      <w:pPr>
        <w:ind w:firstLine="422" w:firstLineChars="200"/>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6.</w:t>
      </w:r>
      <w:r>
        <w:rPr>
          <w:rFonts w:hint="eastAsia" w:asciiTheme="minorEastAsia" w:hAnsiTheme="minorEastAsia" w:eastAsiaTheme="minorEastAsia" w:cstheme="minorEastAsia"/>
          <w:b/>
          <w:sz w:val="21"/>
          <w:szCs w:val="21"/>
          <w:lang w:eastAsia="zh-CN"/>
        </w:rPr>
        <w:t>检验（检测）报告要求具有CMA标识的，若有材料证明相关检测事项不在实施该项检测的机构许可（认可）CMA资质范围或检测范围内的，该检验（检测）报告视为不满足招标文件要求，作负偏离处理。</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464"/>
        <w:gridCol w:w="6344"/>
      </w:tblGrid>
      <w:tr w14:paraId="319A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77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77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货物名称</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154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产品规格</w:t>
            </w:r>
          </w:p>
        </w:tc>
      </w:tr>
      <w:tr w14:paraId="610C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E1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一、显示系统</w:t>
            </w:r>
          </w:p>
        </w:tc>
      </w:tr>
      <w:tr w14:paraId="7DE8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2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58" w:type="pct"/>
            <w:vMerge w:val="restart"/>
            <w:tcBorders>
              <w:top w:val="single" w:color="000000" w:sz="4" w:space="0"/>
              <w:left w:val="single" w:color="000000" w:sz="4" w:space="0"/>
              <w:bottom w:val="nil"/>
              <w:right w:val="single" w:color="000000" w:sz="4" w:space="0"/>
            </w:tcBorders>
            <w:shd w:val="clear" w:color="auto" w:fill="FFFFFF"/>
            <w:vAlign w:val="center"/>
          </w:tcPr>
          <w:p w14:paraId="70F15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AI全面屏</w:t>
            </w:r>
          </w:p>
        </w:tc>
        <w:tc>
          <w:tcPr>
            <w:tcW w:w="37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5D7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一、整体设计：</w:t>
            </w:r>
          </w:p>
        </w:tc>
      </w:tr>
      <w:tr w14:paraId="7816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B5D0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3B96EE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1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1.整机具备≥3个液晶显示器，同时支持彩色画面显示、电容触控功能。</w:t>
            </w:r>
          </w:p>
        </w:tc>
      </w:tr>
      <w:tr w14:paraId="07B2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5BBC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D411D7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81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整机主机屏幕采用≥86英寸液晶显示器，左右两侧液晶副屏分别采用≥63英寸液晶显示器，总显示尺寸≥212吋。整机主屏采用超高清液晶显示屏，显示比例16:9，分辨率≥3840×2160，左右两侧副屏显示比例均为10:9，显示分辨率≥2400x1080。</w:t>
            </w:r>
          </w:p>
        </w:tc>
      </w:tr>
      <w:tr w14:paraId="7F9C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F989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B72EAB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F2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3.采用电容触控方式，支持</w:t>
            </w:r>
            <w:r>
              <w:rPr>
                <w:rFonts w:hint="eastAsia" w:asciiTheme="minorEastAsia" w:hAnsiTheme="minorEastAsia" w:eastAsiaTheme="minorEastAsia" w:cstheme="minorEastAsia"/>
                <w:b w:val="0"/>
                <w:bCs w:val="0"/>
                <w:i w:val="0"/>
                <w:iCs w:val="0"/>
                <w:color w:val="000000"/>
                <w:kern w:val="0"/>
                <w:sz w:val="21"/>
                <w:szCs w:val="21"/>
                <w:u w:val="dotted"/>
                <w:lang w:val="en-US" w:eastAsia="zh-CN" w:bidi="ar"/>
              </w:rPr>
              <w:t>双</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系统中进行40点或以上触控。</w:t>
            </w:r>
          </w:p>
        </w:tc>
      </w:tr>
      <w:tr w14:paraId="72B1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212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025CE78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9B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4.整机系统支持触摸书写延迟≤15ms。</w:t>
            </w:r>
          </w:p>
        </w:tc>
      </w:tr>
      <w:tr w14:paraId="6B06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C790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6602291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45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5.支持通过叩击和拍击的手势快速唤起黑板软件，支持三个屏幕分别通过手势唤起。</w:t>
            </w:r>
          </w:p>
        </w:tc>
      </w:tr>
      <w:tr w14:paraId="73A1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CF6A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542968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6C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FF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6.支持通过手势将当前屏幕的应用滑动到另一屏幕，可支持视频展台、文档、图片、视频、音频播放器、浏览器、社交软件、教学应用、系统设置应用进行移动。</w:t>
            </w:r>
          </w:p>
        </w:tc>
      </w:tr>
      <w:tr w14:paraId="5A9A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B92C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F739F1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9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二、护眼要求：</w:t>
            </w:r>
          </w:p>
        </w:tc>
      </w:tr>
      <w:tr w14:paraId="3CD8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D79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19093C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B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1.整机采用硬件低蓝光背光技术，在源头减少有害蓝光波段能量，蓝光占比（有害蓝光415～455nm能量综合）/（整体蓝光400～500能量综合）＜50%，低蓝光保护显示不偏色、不泛黄。</w:t>
            </w:r>
          </w:p>
        </w:tc>
      </w:tr>
      <w:tr w14:paraId="2451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40A8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2FD30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F8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2.纸质护眼模式下，显示画面各像素点灰度不规则，减少背景干扰。</w:t>
            </w:r>
          </w:p>
        </w:tc>
      </w:tr>
      <w:tr w14:paraId="4773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885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22C86A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B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3.整机支持色彩空间可选，包含标准模式和sRGB模式。</w:t>
            </w:r>
          </w:p>
        </w:tc>
      </w:tr>
      <w:tr w14:paraId="675C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07C8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62935AE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A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4.整机全通道支持纸质护眼模式，可实现画面纹理的实时调整；支持纸质纹理：牛皮纸、素描纸、宣纸、水彩纸、水纹纸；支持透明度调节；支持色温调节。</w:t>
            </w:r>
          </w:p>
        </w:tc>
      </w:tr>
      <w:tr w14:paraId="0E66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9E0A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BB0432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5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三、音效与麦克风要求：</w:t>
            </w:r>
          </w:p>
        </w:tc>
      </w:tr>
      <w:tr w14:paraId="2CDD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B91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DDF86F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9F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1.整机内置非独立外扩展的8阵列麦克风，拾音角度≥180°，可用于对教室环境音频进行采集，拾音距离≥12m。</w:t>
            </w:r>
          </w:p>
        </w:tc>
      </w:tr>
      <w:tr w14:paraId="092A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08B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CF7CBB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42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2.整机内置2.2声道扬声器，分别位于左右副屏上边框；顶置朝前发声，前朝向10W中高音扬声器2个；20W低音扬声器2个，额定总功率60W。</w:t>
            </w:r>
          </w:p>
        </w:tc>
      </w:tr>
      <w:tr w14:paraId="5CB3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4FBD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AC61A7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F1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3.支持标准、听力、观影和AI空间感知音效模式，AI空间感知音效模式可通过内置麦克风采集教室物理环境声音，自动生成符合当前教室物理环境的频段、音量、音效。（提供第三方检测机构出具的带有CMA标识合格的检验检测报告，报告内容能体现满足上述参数要求。）</w:t>
            </w:r>
          </w:p>
        </w:tc>
      </w:tr>
      <w:tr w14:paraId="09AA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57C4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CC62A1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16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lang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4.整机内置独立的4核音频CPU处理器，至少支持8路麦克风数据处理，采样率支持192K，同时不占用整机系统的CPU能力。</w:t>
            </w:r>
          </w:p>
        </w:tc>
      </w:tr>
      <w:tr w14:paraId="12C8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6EED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36C7E7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49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四、主要功能要求：</w:t>
            </w:r>
          </w:p>
        </w:tc>
      </w:tr>
      <w:tr w14:paraId="3681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309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BF3C29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A2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1.整机内存≥4GB，存储空间≥32GB。</w:t>
            </w:r>
          </w:p>
        </w:tc>
      </w:tr>
      <w:tr w14:paraId="31EF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A2E9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6B7FCA2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2C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2.整机内置双WiFi6无线网卡（不接受外接），在双系统下，可实现Wi-Fi无线上网连接、AP无线热点发射。</w:t>
            </w:r>
          </w:p>
        </w:tc>
      </w:tr>
      <w:tr w14:paraId="523D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0990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10068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0F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等窗口。</w:t>
            </w:r>
          </w:p>
        </w:tc>
      </w:tr>
      <w:tr w14:paraId="2014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E374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69B9A3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5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4.整机上边框内置非独立式摄像头，采用一体化集成设计，摄像头数量≥4个。</w:t>
            </w:r>
          </w:p>
        </w:tc>
      </w:tr>
      <w:tr w14:paraId="066B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27A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C328A4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86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5.上边框内置非独立式3个智能拼接摄像头，视场角≥141度且水平视场角≥139度画面，可拍摄＞1600万像素的照片，支持输出8192 x 2048分辨率的照片和视频，支持画面畸变矫正功能 。</w:t>
            </w:r>
          </w:p>
        </w:tc>
      </w:tr>
      <w:tr w14:paraId="34D6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3155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74B4304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1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6.上边框内置非独立式广角高清摄像头，视场角≥150度且水平视场角≥130度，支持输出4:3、16:9比例的图片和视频；在清晰度为3840 x 2160分辨率下，支持30帧的视频输出。</w:t>
            </w:r>
          </w:p>
        </w:tc>
      </w:tr>
      <w:tr w14:paraId="2890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B09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3C382F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3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lang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7.整机支持上边框内置非独立摄像头模组，同时输出至少 3 路视频流，同时支持课堂远程巡课、课堂教学数据采集、本地画面预览（拍照或视频录制）。</w:t>
            </w:r>
          </w:p>
        </w:tc>
      </w:tr>
      <w:tr w14:paraId="6280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E59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E5626F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63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lang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8.侧边栏快捷菜单支持进行快捷多屏工具使用，包含黑板书写、显示模式切换、跨屏播放、调度中心。</w:t>
            </w:r>
          </w:p>
        </w:tc>
      </w:tr>
      <w:tr w14:paraId="7AB1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3222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8B44AD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1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五、内置设备要求：</w:t>
            </w:r>
          </w:p>
        </w:tc>
      </w:tr>
      <w:tr w14:paraId="4166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BCE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AABF6D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49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1.搭载内存：16GB笔记本内存或以上配置；硬盘：512 GB或以上固态硬盘；</w:t>
            </w:r>
          </w:p>
        </w:tc>
      </w:tr>
      <w:tr w14:paraId="3626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4364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122AF3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2D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2.整机支持双路可插拔模块，一个槽位支持OPS模块插拔，另一个槽位支持AI模块插拔。</w:t>
            </w:r>
          </w:p>
        </w:tc>
      </w:tr>
      <w:tr w14:paraId="41A7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A9F5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3A300B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48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3.和整机的连接采用万兆级接口，传输速率≥10Gbps。</w:t>
            </w:r>
          </w:p>
        </w:tc>
      </w:tr>
      <w:tr w14:paraId="255A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A920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A06308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0A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4.采用按压式卡扣，无需工具就可快速拆卸电脑模块。</w:t>
            </w:r>
          </w:p>
        </w:tc>
      </w:tr>
      <w:tr w14:paraId="673C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664E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962DE0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F4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六、配套软件功能要求：</w:t>
            </w:r>
          </w:p>
        </w:tc>
      </w:tr>
      <w:tr w14:paraId="070A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F5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0DCB21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1AAD">
            <w:pPr>
              <w:keepNext w:val="0"/>
              <w:keepLines w:val="0"/>
              <w:widowControl/>
              <w:suppressLineNumbers w:val="0"/>
              <w:ind w:firstLine="210" w:firstLineChars="10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（一）教学白板软件</w:t>
            </w:r>
          </w:p>
        </w:tc>
      </w:tr>
      <w:tr w14:paraId="00B5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310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69B6921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63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1.互动教学软件能够帮助教师备课、授课；为教师提供可扩展，易于学校管理，安全可靠的云存储空间，根据每名教师使用时长与教学资料制作频率提供可扩展升级至不小于200G的个人云空间。</w:t>
            </w:r>
          </w:p>
        </w:tc>
      </w:tr>
      <w:tr w14:paraId="1A0B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889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602872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2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p>
        </w:tc>
      </w:tr>
      <w:tr w14:paraId="6831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CE9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E6F413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F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3.互动教学课件支持定向精准分享：分享者可将互动课件、课件组精准推送至指定接收方账号云空间，接收方可在云空间接收并打开分享课件。</w:t>
            </w:r>
          </w:p>
        </w:tc>
      </w:tr>
      <w:tr w14:paraId="4A08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94D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178C32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5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4.互动教学课件支持开放式云分享：分享者可将互动课件、课件组以公开或加密的web链接和二维码形式进行分享，分享链接可设置访问有效期。</w:t>
            </w:r>
          </w:p>
        </w:tc>
      </w:tr>
      <w:tr w14:paraId="0416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67E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162FA6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C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5.互动教学软件要求表格具备遮罩功能，表格中任一单元格可添加遮罩掩盖单元格内容，授课模式点击即可取消遮罩，便于教师交互式教学；</w:t>
            </w:r>
          </w:p>
        </w:tc>
      </w:tr>
      <w:tr w14:paraId="538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880E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1AB897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DD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lang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互动教学软件为教师备课节省大量时间，立体几何工具：可自由绘制长方体、立方体、圆柱体、圆锥等立体几何图形。任意调节几何体的大小尺寸，支持几何图形按比例放大缩小和通过单独调整长宽高（半径/高）改变几何体大小。</w:t>
            </w:r>
          </w:p>
        </w:tc>
      </w:tr>
      <w:tr w14:paraId="2EFB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A59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6AAD5A8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71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互动教学软件为教师备课节省大量时间，支持中英文、数学公式的编辑输入，可快速输入方程组、脱式运算，提供不少于70个数学符号及模板；预置不少于40个常用数学公式，无需编辑一键插入，输入内容可用不同颜色标记及重复编辑。</w:t>
            </w:r>
          </w:p>
        </w:tc>
      </w:tr>
      <w:tr w14:paraId="63CD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8CE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751D963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C0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互动教学软件要求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r>
      <w:tr w14:paraId="325F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37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1C51EC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0A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互动教学软件需要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p>
        </w:tc>
      </w:tr>
      <w:tr w14:paraId="1A9E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8E47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6488F1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09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r>
      <w:tr w14:paraId="6429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DE6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0BC44B7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E9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（二）设备集中控制管理软件</w:t>
            </w:r>
          </w:p>
        </w:tc>
      </w:tr>
      <w:tr w14:paraId="184C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7EC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F1B4F2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27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1.系统采用B/S混合云架构设计，支持在多种操作系统通过网页浏览器登录使用。</w:t>
            </w:r>
          </w:p>
        </w:tc>
      </w:tr>
      <w:tr w14:paraId="4DB4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5F28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9BBB85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BB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2.系统提供多种身份识别方式，支持通过账号登录、手机扫码登录，并提供账号安全登录检测。</w:t>
            </w:r>
          </w:p>
        </w:tc>
      </w:tr>
      <w:tr w14:paraId="4A84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E853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73FA291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AB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3.精准管理：支持根据实际使用场景按照产品类型、建筑物、班级、设备开关机状态分级管理，并可模糊搜索定位管理设备。</w:t>
            </w:r>
          </w:p>
        </w:tc>
      </w:tr>
      <w:tr w14:paraId="1746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2C6D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136D0B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CC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4.权限管理：支持根据具体设备、功能菜单进行权限划分，方便根据管理者职能分配管理权限。</w:t>
            </w:r>
          </w:p>
        </w:tc>
      </w:tr>
      <w:tr w14:paraId="2440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5AC0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7F3FC6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A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5.实时反馈：支持实时查看指令执行状态，并且可监管指令发送日志，对发送失败的指令进行远程重发。</w:t>
            </w:r>
          </w:p>
        </w:tc>
      </w:tr>
      <w:tr w14:paraId="274E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21D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6DAF811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B9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6.批量部署：支持同网段下，只需部署一台设备，即可将同网段下所有设备纳入管控，方便管理者直接向全校设备进行批量管理。</w:t>
            </w:r>
          </w:p>
        </w:tc>
      </w:tr>
      <w:tr w14:paraId="4686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FAF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018D88D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7F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7.支持实时展示所有设备的使用状态及设备运行画面，并可监控单台设备的开机情况、软件使用情况、硬盘使用、内存使用率、设备辅助管理软件版本号、设备ID等数据，便于远程定位及维护设备。</w:t>
            </w:r>
          </w:p>
        </w:tc>
      </w:tr>
      <w:tr w14:paraId="0483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A66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C4C05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6B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8.基础指令：支持自定义循环周期，执行远程关机、重启、打铃指令；支持远程切换通道、声音模式、图像模式。</w:t>
            </w:r>
          </w:p>
        </w:tc>
      </w:tr>
      <w:tr w14:paraId="1C32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77D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2906370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3E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9.智慧管控：支持长时间无人使用，自动锁屏/屏保/关机。</w:t>
            </w:r>
          </w:p>
        </w:tc>
      </w:tr>
      <w:tr w14:paraId="05AF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58E9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404BF1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3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10.信息发布：支持远程发送消息通知、文件传输、静默安装软件、倒计时。</w:t>
            </w:r>
          </w:p>
        </w:tc>
      </w:tr>
      <w:tr w14:paraId="42FE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1DDF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3145147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DF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11.远程控制：支持远程实时控制设备，可监测设备当前运行界面，并远程操作设备界面，适用于远程维护和修复设备软件问题。</w:t>
            </w:r>
          </w:p>
        </w:tc>
      </w:tr>
      <w:tr w14:paraId="112C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06BF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7F75CE6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B4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12.冰点还原：支持远程查看所有设备的冰点使用状态，并可针对开机状态下的设备批量修改系统还原点。</w:t>
            </w:r>
          </w:p>
        </w:tc>
      </w:tr>
      <w:tr w14:paraId="3CCB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4680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1543AFD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9C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13.弹窗拦截：支持后台远程一键开启/关闭弹窗拦截功能，并可针对不良弹窗设置黑白名单，更加精确的拦截。</w:t>
            </w:r>
          </w:p>
        </w:tc>
      </w:tr>
      <w:tr w14:paraId="182F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AD8F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5A04035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0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14.异常消息：支持自动发现设备运行过程中的异常问题，并可远程推送至移动端，便于管理者处理异常。</w:t>
            </w:r>
          </w:p>
        </w:tc>
      </w:tr>
      <w:tr w14:paraId="72DA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F70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FFFFFF"/>
            <w:vAlign w:val="center"/>
          </w:tcPr>
          <w:p w14:paraId="4B1CEBD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B0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15.数据分析：支持查看并导出设备使用数据、软件活跃数据、教学应用数据、健康度分析数据。</w:t>
            </w:r>
          </w:p>
        </w:tc>
      </w:tr>
      <w:tr w14:paraId="7FA5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2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5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高清显示器</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top"/>
          </w:tcPr>
          <w:p w14:paraId="40229CC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17" name="图片_4"/>
                  <wp:cNvGraphicFramePr/>
                  <a:graphic xmlns:a="http://schemas.openxmlformats.org/drawingml/2006/main">
                    <a:graphicData uri="http://schemas.openxmlformats.org/drawingml/2006/picture">
                      <pic:pic xmlns:pic="http://schemas.openxmlformats.org/drawingml/2006/picture">
                        <pic:nvPicPr>
                          <pic:cNvPr id="17" name="图片_4"/>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3" name="图片_63"/>
                  <wp:cNvGraphicFramePr/>
                  <a:graphic xmlns:a="http://schemas.openxmlformats.org/drawingml/2006/main">
                    <a:graphicData uri="http://schemas.openxmlformats.org/drawingml/2006/picture">
                      <pic:pic xmlns:pic="http://schemas.openxmlformats.org/drawingml/2006/picture">
                        <pic:nvPicPr>
                          <pic:cNvPr id="3" name="图片_63"/>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 name="图片_64"/>
                  <wp:cNvGraphicFramePr/>
                  <a:graphic xmlns:a="http://schemas.openxmlformats.org/drawingml/2006/main">
                    <a:graphicData uri="http://schemas.openxmlformats.org/drawingml/2006/picture">
                      <pic:pic xmlns:pic="http://schemas.openxmlformats.org/drawingml/2006/picture">
                        <pic:nvPicPr>
                          <pic:cNvPr id="1" name="图片_6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4" name="图片_16"/>
                  <wp:cNvGraphicFramePr/>
                  <a:graphic xmlns:a="http://schemas.openxmlformats.org/drawingml/2006/main">
                    <a:graphicData uri="http://schemas.openxmlformats.org/drawingml/2006/picture">
                      <pic:pic xmlns:pic="http://schemas.openxmlformats.org/drawingml/2006/picture">
                        <pic:nvPicPr>
                          <pic:cNvPr id="4" name="图片_16"/>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5" name="图片_17"/>
                  <wp:cNvGraphicFramePr/>
                  <a:graphic xmlns:a="http://schemas.openxmlformats.org/drawingml/2006/main">
                    <a:graphicData uri="http://schemas.openxmlformats.org/drawingml/2006/picture">
                      <pic:pic xmlns:pic="http://schemas.openxmlformats.org/drawingml/2006/picture">
                        <pic:nvPicPr>
                          <pic:cNvPr id="15" name="图片_1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6" name="图片_51"/>
                  <wp:cNvGraphicFramePr/>
                  <a:graphic xmlns:a="http://schemas.openxmlformats.org/drawingml/2006/main">
                    <a:graphicData uri="http://schemas.openxmlformats.org/drawingml/2006/picture">
                      <pic:pic xmlns:pic="http://schemas.openxmlformats.org/drawingml/2006/picture">
                        <pic:nvPicPr>
                          <pic:cNvPr id="6" name="图片_51"/>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6" name="图片_52"/>
                  <wp:cNvGraphicFramePr/>
                  <a:graphic xmlns:a="http://schemas.openxmlformats.org/drawingml/2006/main">
                    <a:graphicData uri="http://schemas.openxmlformats.org/drawingml/2006/picture">
                      <pic:pic xmlns:pic="http://schemas.openxmlformats.org/drawingml/2006/picture">
                        <pic:nvPicPr>
                          <pic:cNvPr id="16" name="图片_52"/>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1.不小于23.8英寸触控高清显示器。</w:t>
            </w:r>
          </w:p>
        </w:tc>
      </w:tr>
      <w:tr w14:paraId="47D6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B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16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辅助显示屏</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CC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7" name="图片_73"/>
                  <wp:cNvGraphicFramePr/>
                  <a:graphic xmlns:a="http://schemas.openxmlformats.org/drawingml/2006/main">
                    <a:graphicData uri="http://schemas.openxmlformats.org/drawingml/2006/picture">
                      <pic:pic xmlns:pic="http://schemas.openxmlformats.org/drawingml/2006/picture">
                        <pic:nvPicPr>
                          <pic:cNvPr id="7" name="图片_73"/>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8" name="图片_74"/>
                  <wp:cNvGraphicFramePr/>
                  <a:graphic xmlns:a="http://schemas.openxmlformats.org/drawingml/2006/main">
                    <a:graphicData uri="http://schemas.openxmlformats.org/drawingml/2006/picture">
                      <pic:pic xmlns:pic="http://schemas.openxmlformats.org/drawingml/2006/picture">
                        <pic:nvPicPr>
                          <pic:cNvPr id="8" name="图片_7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3" name="图片_27"/>
                  <wp:cNvGraphicFramePr/>
                  <a:graphic xmlns:a="http://schemas.openxmlformats.org/drawingml/2006/main">
                    <a:graphicData uri="http://schemas.openxmlformats.org/drawingml/2006/picture">
                      <pic:pic xmlns:pic="http://schemas.openxmlformats.org/drawingml/2006/picture">
                        <pic:nvPicPr>
                          <pic:cNvPr id="13" name="图片_2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10" name="图片_26"/>
                  <wp:cNvGraphicFramePr/>
                  <a:graphic xmlns:a="http://schemas.openxmlformats.org/drawingml/2006/main">
                    <a:graphicData uri="http://schemas.openxmlformats.org/drawingml/2006/picture">
                      <pic:pic xmlns:pic="http://schemas.openxmlformats.org/drawingml/2006/picture">
                        <pic:nvPicPr>
                          <pic:cNvPr id="10" name="图片_26"/>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1.分辨率：≥3840*2160。</w:t>
            </w:r>
          </w:p>
        </w:tc>
      </w:tr>
      <w:tr w14:paraId="7CF7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5C3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D6D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29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2.屏幕刷新率：≥60Hz/120Hz高刷模式。</w:t>
            </w:r>
          </w:p>
        </w:tc>
      </w:tr>
      <w:tr w14:paraId="2394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AA7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659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B3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3.屏幕比例：≥16:9。</w:t>
            </w:r>
          </w:p>
        </w:tc>
      </w:tr>
      <w:tr w14:paraId="183B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815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24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F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4.尺寸不低于45英寸。</w:t>
            </w:r>
          </w:p>
        </w:tc>
      </w:tr>
      <w:tr w14:paraId="4DC6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0148">
            <w:pP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二、精品录播系统</w:t>
            </w:r>
          </w:p>
        </w:tc>
      </w:tr>
      <w:tr w14:paraId="3D5E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4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A2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高清录播主机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46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一、整体设计</w:t>
            </w:r>
          </w:p>
        </w:tc>
      </w:tr>
      <w:tr w14:paraId="0792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386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DB6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47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1.主机架构：整体采用嵌入式设计、非PC与服务器工作站等架构，以保障系统运行稳定、安全。且为方便设备布线实施，主机需为标准1U机架式设计，支持外接不同尺寸控制屏满足不同环境的操作需要。</w:t>
            </w:r>
          </w:p>
        </w:tc>
      </w:tr>
      <w:tr w14:paraId="3849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821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BF7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E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2.高度集成：主机需同时具备录制、直播、导播、自动跟踪、音频编码、视频编码、音频处理、视频处理、存储、点播、互动多功能于一体。</w:t>
            </w:r>
          </w:p>
        </w:tc>
      </w:tr>
      <w:tr w14:paraId="4036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63B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AF7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01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3.优质性能：主机采用嵌入式架构处理器同时内置GPU与NPU协处理器，CPU核心数≥8核，核心主频≥2.4GHz。</w:t>
            </w:r>
          </w:p>
        </w:tc>
      </w:tr>
      <w:tr w14:paraId="567E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247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461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DC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4.工作噪声：主机在正常工作状态下的生产噪声不高于20dB(A)。</w:t>
            </w:r>
          </w:p>
        </w:tc>
      </w:tr>
      <w:tr w14:paraId="2E68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61F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7A3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75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5.工作功率：要求整机正常工作状态下功耗不超过50W。</w:t>
            </w:r>
          </w:p>
        </w:tc>
      </w:tr>
      <w:tr w14:paraId="7EFF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3E2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D16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6F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6.视频接口：数字视频接口D-Video（RJ45）≥5路，HDMI输入≥2路，HDMI输出≥2路。</w:t>
            </w:r>
          </w:p>
        </w:tc>
      </w:tr>
      <w:tr w14:paraId="48FC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CB4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420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52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7.音频接口：要求主机支持线性音频输入与数字音频输入，要求Linein接口≥2个，Lineout接口≥2个，数字音频接口D-Mic（RJ45）≥6个。（投标时提供设备接口图片证明材料）</w:t>
            </w:r>
          </w:p>
        </w:tc>
      </w:tr>
      <w:tr w14:paraId="6F28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DA2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BD1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75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8.网络接口：RJ45≥1个，支持100/1000M网络自适应及IPv4、IPv6双协议栈。</w:t>
            </w:r>
          </w:p>
        </w:tc>
      </w:tr>
      <w:tr w14:paraId="3B26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968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624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46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9.控制接口：RJ45≥2个，支持RS232串行通信协议进行外接控制。</w:t>
            </w:r>
          </w:p>
        </w:tc>
      </w:tr>
      <w:tr w14:paraId="6F8F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4F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33B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B8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10.外设接口：USB2.0≥2个，可用于连接U盘等外设。</w:t>
            </w:r>
          </w:p>
        </w:tc>
      </w:tr>
      <w:tr w14:paraId="5B91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814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6C7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3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11.系统存储≥2T，保障设备的正常运行与录制视频文件的本地存储。</w:t>
            </w:r>
          </w:p>
        </w:tc>
      </w:tr>
      <w:tr w14:paraId="1186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217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B11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85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12.视频一线通：支持摄像机与主机之间仅通过一根双绞线即可同时实现供电、控制和视频信号的同步传输，不接受使用转接器的方式。</w:t>
            </w:r>
          </w:p>
        </w:tc>
      </w:tr>
      <w:tr w14:paraId="7B5E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A53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14E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A4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13.音频一线通：支持麦克风与主机之间仅通过一根双绞线即可同时实现供电和音频信号的采集，实现音频信号的高品质、抗干扰稳定传输。</w:t>
            </w:r>
          </w:p>
        </w:tc>
      </w:tr>
      <w:tr w14:paraId="374C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B0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963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64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14.视频录制：兼容标准H.264视频编解码能力，要求支持4K@30fps、1080P@30fps、720P@30fps，以及AAC音频编解码协议标准且内置音频处理功能。</w:t>
            </w:r>
          </w:p>
        </w:tc>
      </w:tr>
      <w:tr w14:paraId="6AB2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A27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EC4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2BE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15.数字视频传输：支持对同品牌高清摄像机实现基于RJ45双绞线的视频裸数据传输技术，支持摄像机到录播主机端的视频采集和传输过程无需编解码、无画质损耗并实现≤100ms的声画同步，保障录制视频效果。（提供第三方检测机构出具的带有CMA标识合格的检验检测报告，报告内容能体现满足上述参数要求。）</w:t>
            </w:r>
          </w:p>
        </w:tc>
      </w:tr>
      <w:tr w14:paraId="3044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C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9B9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39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AI边缘计算：要求录播主机支持AI人工智能课堂行为分析能力和AI语音分析能力，无需添加任何设备即可实现基于课堂上师生的行为、表情、语音等相关数据，同时可以根据教学行为完成教师与学生的全景特写画面全自动跟踪切换，根据师生语音数据进行分析处理，完成课堂语音转写、语速分析、关键词与高频词分析。</w:t>
            </w:r>
          </w:p>
        </w:tc>
      </w:tr>
      <w:tr w14:paraId="5B15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D9F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FBA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E4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二、功能设计</w:t>
            </w:r>
          </w:p>
        </w:tc>
      </w:tr>
      <w:tr w14:paraId="673F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FC8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8F0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5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1.系统架构：软件需采用B/S架构设计，支持通过浏览器即可进行管理配置与操作，而无需额外安装客户端或APP。</w:t>
            </w:r>
          </w:p>
        </w:tc>
      </w:tr>
      <w:tr w14:paraId="6415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564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9DF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0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2.AI全场景跟踪：录播内置跟踪算法且跟踪功能基于AI人工智能技术无需额外增加图像定位主机或摄像机即可实现多机位的全自动跟踪切换。</w:t>
            </w:r>
          </w:p>
        </w:tc>
      </w:tr>
      <w:tr w14:paraId="0E29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820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E98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D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3.画面同步：要求录播主机配套同品牌摄像机支持在多机位接入的情况下所有画面高度同步。在多画面布局以及多流录制、多流直播的使用场景下不同画面保持高度同步，满足最佳的使用体验。</w:t>
            </w:r>
          </w:p>
        </w:tc>
      </w:tr>
      <w:tr w14:paraId="4280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DD4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DF16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A2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4.中英双语：需支持中英双语版本切换，适合不同用户的应用需求。要求通过网络导播界面即可便捷切换，无需进行更改授权、系统升级等复杂操作。</w:t>
            </w:r>
          </w:p>
        </w:tc>
      </w:tr>
      <w:tr w14:paraId="4511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F58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130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66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5.上电模式：需支持通电模式选择，实现主机通电后自动进入相应模式，包含但不限于自动开机、开机且休眠、不开机等模式。</w:t>
            </w:r>
          </w:p>
        </w:tc>
      </w:tr>
      <w:tr w14:paraId="5BA2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FA0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536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33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6.版本管理：支持查看系统软件版本，提供离线文件升级、网络在线升级和定时自动升级三种升级方式，且支持导出和导入系统配置文件。</w:t>
            </w:r>
          </w:p>
        </w:tc>
      </w:tr>
      <w:tr w14:paraId="4D3B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279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C3B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27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7.安装信息：支持填写设备的安装信息，包括位置、所在学校、安装地点、联系人等。</w:t>
            </w:r>
          </w:p>
        </w:tc>
      </w:tr>
      <w:tr w14:paraId="09D8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478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8C0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87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8.休眠唤醒：需支持定时休眠唤醒功能，提供精确到秒的自定义时间设置，可以单独设置是否定时休眠或者定时唤醒。</w:t>
            </w:r>
          </w:p>
        </w:tc>
      </w:tr>
      <w:tr w14:paraId="170C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A83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630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59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9.权限管理：需支持对主机后台设置管理员用户与普通用户两种使用权限，普通用户无法进行相关参数与配置修改。</w:t>
            </w:r>
          </w:p>
        </w:tc>
      </w:tr>
      <w:tr w14:paraId="1C57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EC8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CD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5D6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10.学生学情分析：要求主机具备学生AI分析能力，可提供学生视频分析数据包括检测时间、人像数据、行为数据等。</w:t>
            </w:r>
          </w:p>
        </w:tc>
      </w:tr>
      <w:tr w14:paraId="136E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B93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028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AD0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11.教师教情分析：要求主机具备教师AI分析能力，可提供教师活动轨迹、教师位置坐标等维度的数据分析。</w:t>
            </w:r>
          </w:p>
        </w:tc>
      </w:tr>
      <w:tr w14:paraId="5FE7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177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DFA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B5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12.智能音频处理：支持音频采样率的设置，且支持AGC自动增益、ANS噪声抑制、EQ均衡、AEC回声抑制等音频处理功能。</w:t>
            </w:r>
          </w:p>
        </w:tc>
      </w:tr>
      <w:tr w14:paraId="2C4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9CA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3F2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4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13.录制码流：支持主码流和子码流的高低双码流录制，且支持自定义清晰度、帧率、码率和I帧间隔，支持动态比特率或静态比特率两种模式。</w:t>
            </w:r>
          </w:p>
        </w:tc>
      </w:tr>
      <w:tr w14:paraId="6EE7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4D0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7FA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5B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14.存储管理：需支持录像文件循环覆盖功能，开启循环覆盖功能后，录播硬盘在已存储90%的空间时，再次启动录制将删除录播内现存时间最早的录像文件以应对录制频率比较高的情况。</w:t>
            </w:r>
          </w:p>
        </w:tc>
      </w:tr>
      <w:tr w14:paraId="05F5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753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9FB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3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15.标签设置：需支持视频信号源标签设置，对摄像机实时拍摄信号、HDMI高清输入信号均可自定义名称标签，为导播控制与编辑灵活性提供便利。</w:t>
            </w:r>
          </w:p>
        </w:tc>
      </w:tr>
      <w:tr w14:paraId="3500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30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1F1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F7D9">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16.多场景音频：需支持录制模式和互动模式的独立音频场景设置，针对无线MIC和多媒体等不同设备类型，支持对音频比特率和采样率等细节参数进行设置。</w:t>
            </w:r>
          </w:p>
        </w:tc>
      </w:tr>
      <w:tr w14:paraId="2644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F27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6A8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1E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17.跟踪自定义：要求支持根据实际喜好，自定义AI跟踪逻辑下所切换的画面信号，且支持双分屏、画中画等布局。</w:t>
            </w:r>
          </w:p>
        </w:tc>
      </w:tr>
      <w:tr w14:paraId="7441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765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C69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782F">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18.AI板书分析：基于AI技术、深度学习算法和图像处理能力，支持对教师在黑板上的板书内容实时识别并进行电子化处理，实现板书内容浮现在拍摄对象身前的效果并可实时环出至大屏进行观看。</w:t>
            </w:r>
          </w:p>
        </w:tc>
      </w:tr>
      <w:tr w14:paraId="290B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3EB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EEE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4B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19.智能板书拍摄：要求板书AI分析能力兼容各类传统教学黑板与智慧互联黑板，并可实现人物半透明与不透明处理，摄像机无惧人物遮挡正向拍摄安装不受限。</w:t>
            </w:r>
          </w:p>
        </w:tc>
      </w:tr>
      <w:tr w14:paraId="18FF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33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9AA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48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20.智能色彩增强：要求实现基于AI技术的板书笔迹智能色彩增强处理，满足白色、黄色、蓝色、红色、绿色等不同颜色的彩色笔迹色彩还原与笔迹增强。</w:t>
            </w:r>
          </w:p>
        </w:tc>
      </w:tr>
      <w:tr w14:paraId="0361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EA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221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2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三、其他要求</w:t>
            </w:r>
          </w:p>
        </w:tc>
      </w:tr>
      <w:tr w14:paraId="25EB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AB9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6E6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EE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1.为保障录播系统兼容性和便利性，要求高清录播主机与教学视频资源管理系统、高清特写摄像机为同一品牌。</w:t>
            </w:r>
          </w:p>
        </w:tc>
      </w:tr>
      <w:tr w14:paraId="6C6B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B90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BEF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3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2.平台对接：支持FTP文件传输协议，主机录制生成的视频文件与应用平台实现自动归档上传。</w:t>
            </w:r>
          </w:p>
        </w:tc>
      </w:tr>
      <w:tr w14:paraId="51E6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3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8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录播流媒体处理软件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2F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1" name="图片_35"/>
                  <wp:cNvGraphicFramePr/>
                  <a:graphic xmlns:a="http://schemas.openxmlformats.org/drawingml/2006/main">
                    <a:graphicData uri="http://schemas.openxmlformats.org/drawingml/2006/picture">
                      <pic:pic xmlns:pic="http://schemas.openxmlformats.org/drawingml/2006/picture">
                        <pic:nvPicPr>
                          <pic:cNvPr id="11" name="图片_35"/>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6" name="图片_10"/>
                  <wp:cNvGraphicFramePr/>
                  <a:graphic xmlns:a="http://schemas.openxmlformats.org/drawingml/2006/main">
                    <a:graphicData uri="http://schemas.openxmlformats.org/drawingml/2006/picture">
                      <pic:pic xmlns:pic="http://schemas.openxmlformats.org/drawingml/2006/picture">
                        <pic:nvPicPr>
                          <pic:cNvPr id="76" name="图片_10"/>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8" name="图片_57"/>
                  <wp:cNvGraphicFramePr/>
                  <a:graphic xmlns:a="http://schemas.openxmlformats.org/drawingml/2006/main">
                    <a:graphicData uri="http://schemas.openxmlformats.org/drawingml/2006/picture">
                      <pic:pic xmlns:pic="http://schemas.openxmlformats.org/drawingml/2006/picture">
                        <pic:nvPicPr>
                          <pic:cNvPr id="78" name="图片_5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81" name="图片_82"/>
                  <wp:cNvGraphicFramePr/>
                  <a:graphic xmlns:a="http://schemas.openxmlformats.org/drawingml/2006/main">
                    <a:graphicData uri="http://schemas.openxmlformats.org/drawingml/2006/picture">
                      <pic:pic xmlns:pic="http://schemas.openxmlformats.org/drawingml/2006/picture">
                        <pic:nvPicPr>
                          <pic:cNvPr id="81" name="图片_82"/>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1.智能混音：需支持自动识别人物声音与多媒体声音并动态调节其他音源的音量，避免音源间相互干扰，确保视频教师声音清晰可闻。</w:t>
            </w:r>
          </w:p>
        </w:tc>
      </w:tr>
      <w:tr w14:paraId="4178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4F7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79D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C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2.录制模式：支持电影模式和资源模式两种录制模式。电影模式下支持将多路视频信号的复合成一路画面进行录制；资源模式下支持将接入的摄像机画面和电脑画面进行独立录制。</w:t>
            </w:r>
          </w:p>
        </w:tc>
      </w:tr>
      <w:tr w14:paraId="04AA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A54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CC1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E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3.分段录制：支持30分钟分段、60分钟分段两种分段录制方式，系统可在不结束录制的条件下根据分段时长自动将视频录制为多个分段文件。</w:t>
            </w:r>
          </w:p>
        </w:tc>
      </w:tr>
      <w:tr w14:paraId="1913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E4D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4AC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BD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4.录制存储：采用H.264/H.265的视频编码格式和MP4的视频封装格式，支持在断网情况下也可以进行视频录制并存储于录播主机中，也支持在联网情况下通过FTP自动上传视频文件。</w:t>
            </w:r>
          </w:p>
        </w:tc>
      </w:tr>
      <w:tr w14:paraId="4E6B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462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9DE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5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5.同步录制：支持外接存储设备（如U盘），实现在视频录制的过程中，自动同步录制多一份并存储至U盘中。</w:t>
            </w:r>
          </w:p>
        </w:tc>
      </w:tr>
      <w:tr w14:paraId="3805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2B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DF2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6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6.录制关联：支持在录制启动时自动关联开启直播和全自动跟踪模式。</w:t>
            </w:r>
          </w:p>
        </w:tc>
      </w:tr>
      <w:tr w14:paraId="0438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561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218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54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7.视频管理：支持查看已录制的视频文件，并可按录制时间进行排序和按关键字检索查看，也支持对视频文件进行在线播放、下载、删除和FTP上传。</w:t>
            </w:r>
          </w:p>
        </w:tc>
      </w:tr>
      <w:tr w14:paraId="7737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EFD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91F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52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8.网络导播：支持通过浏览器即可访问并使用导播功能，而无需额外安装客户端或APP。</w:t>
            </w:r>
          </w:p>
        </w:tc>
      </w:tr>
      <w:tr w14:paraId="5205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F04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4BA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25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9.导播模式：支持全自动、半自动、手动三种导播模式，且支持在录制、直播和互动过程中任意切换导播模式。</w:t>
            </w:r>
          </w:p>
        </w:tc>
      </w:tr>
      <w:tr w14:paraId="494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C5B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89B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C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10.导播预览：支持对接入的所有画面进行导播预览，包括教师特写、教师全景、学生全景、学生特写、电脑画面等，电脑画面包括两路HDMI画面可切换，并支持点击预览画面即可切换为导播输出画面。</w:t>
            </w:r>
          </w:p>
        </w:tc>
      </w:tr>
      <w:tr w14:paraId="1A61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522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E71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7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11.视频布局：支持二分屏、三分屏、画中画等布局，也支持自定义布局方式，且支持对布局内的每个画面窗口进行拖动、叠加、缩放和指定视频源的操作，实现灵活调整。</w:t>
            </w:r>
          </w:p>
        </w:tc>
      </w:tr>
      <w:tr w14:paraId="75C1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76F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A65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84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12.台标字幕：需支持在导播预览界面添加Logo台标与字幕，可自主上传Logo图标、设置logo位置、编辑字幕内容、选择字幕字体颜色与是否滚动显示，且后台管理设置可预设字幕作为备选，方便灵活调整与切换。</w:t>
            </w:r>
          </w:p>
        </w:tc>
      </w:tr>
      <w:tr w14:paraId="3837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B9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364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9C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13.片头片尾：需支持片头片尾设置，可上传JPG格式图片作为录制默认的片头片尾画面，并可自定义片头片尾显示时长，支持片头片尾显示视频信息。</w:t>
            </w:r>
          </w:p>
        </w:tc>
      </w:tr>
      <w:tr w14:paraId="23EF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EC0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8EC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CE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p>
        </w:tc>
      </w:tr>
      <w:tr w14:paraId="5935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47C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469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64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15.音量控制：支持在导播过程中进行音量控制，可调整相关输入输出的音量大小，且支持一键静音功能。</w:t>
            </w:r>
          </w:p>
        </w:tc>
      </w:tr>
      <w:tr w14:paraId="1E31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F4D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B1D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A2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16.直播码流：需支持主码流和子码流高低双码流，且支持自定义清晰度、帧率和码流，主码流清晰度支持4K、1080P、720P。</w:t>
            </w:r>
          </w:p>
        </w:tc>
      </w:tr>
      <w:tr w14:paraId="4283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73E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182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4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17.直播推流：支持不少于4路RTMP同步推流直播，并可自定义选择主码流或子码流进行推流直播。</w:t>
            </w:r>
          </w:p>
        </w:tc>
      </w:tr>
      <w:tr w14:paraId="5F64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638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50D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4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18.直播模式：需支持RTMP直播、TS直播、集控推流直播等不少于3种不同直播模式，以适应不同场景直播需求。</w:t>
            </w:r>
          </w:p>
        </w:tc>
      </w:tr>
      <w:tr w14:paraId="752A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14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E1C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EB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19.智能降噪：需支持AI智能降噪处理，通过算法智能在录制过程中处理环境的噪音，如场室内空调与风扇声，保证录制后的音频质量。</w:t>
            </w:r>
          </w:p>
        </w:tc>
      </w:tr>
      <w:tr w14:paraId="4399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79" name="图片_6"/>
                  <wp:cNvGraphicFramePr/>
                  <a:graphic xmlns:a="http://schemas.openxmlformats.org/drawingml/2006/main">
                    <a:graphicData uri="http://schemas.openxmlformats.org/drawingml/2006/picture">
                      <pic:pic xmlns:pic="http://schemas.openxmlformats.org/drawingml/2006/picture">
                        <pic:nvPicPr>
                          <pic:cNvPr id="79" name="图片_6"/>
                          <pic:cNvPicPr/>
                        </pic:nvPicPr>
                        <pic:blipFill>
                          <a:blip r:embed="rId13"/>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80" name="图片_54"/>
                  <wp:cNvGraphicFramePr/>
                  <a:graphic xmlns:a="http://schemas.openxmlformats.org/drawingml/2006/main">
                    <a:graphicData uri="http://schemas.openxmlformats.org/drawingml/2006/picture">
                      <pic:pic xmlns:pic="http://schemas.openxmlformats.org/drawingml/2006/picture">
                        <pic:nvPicPr>
                          <pic:cNvPr id="80" name="图片_5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87" name="图片_146"/>
                  <wp:cNvGraphicFramePr/>
                  <a:graphic xmlns:a="http://schemas.openxmlformats.org/drawingml/2006/main">
                    <a:graphicData uri="http://schemas.openxmlformats.org/drawingml/2006/picture">
                      <pic:pic xmlns:pic="http://schemas.openxmlformats.org/drawingml/2006/picture">
                        <pic:nvPicPr>
                          <pic:cNvPr id="87" name="图片_14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86" name="图片_145"/>
                  <wp:cNvGraphicFramePr/>
                  <a:graphic xmlns:a="http://schemas.openxmlformats.org/drawingml/2006/main">
                    <a:graphicData uri="http://schemas.openxmlformats.org/drawingml/2006/picture">
                      <pic:pic xmlns:pic="http://schemas.openxmlformats.org/drawingml/2006/picture">
                        <pic:nvPicPr>
                          <pic:cNvPr id="86" name="图片_145"/>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82" name="图片_53"/>
                  <wp:cNvGraphicFramePr/>
                  <a:graphic xmlns:a="http://schemas.openxmlformats.org/drawingml/2006/main">
                    <a:graphicData uri="http://schemas.openxmlformats.org/drawingml/2006/picture">
                      <pic:pic xmlns:pic="http://schemas.openxmlformats.org/drawingml/2006/picture">
                        <pic:nvPicPr>
                          <pic:cNvPr id="82" name="图片_53"/>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2" name="图片_104"/>
                  <wp:cNvGraphicFramePr/>
                  <a:graphic xmlns:a="http://schemas.openxmlformats.org/drawingml/2006/main">
                    <a:graphicData uri="http://schemas.openxmlformats.org/drawingml/2006/picture">
                      <pic:pic xmlns:pic="http://schemas.openxmlformats.org/drawingml/2006/picture">
                        <pic:nvPicPr>
                          <pic:cNvPr id="72" name="图片_10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E1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智能跟踪处理软件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D2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89" name="图片_38"/>
                  <wp:cNvGraphicFramePr/>
                  <a:graphic xmlns:a="http://schemas.openxmlformats.org/drawingml/2006/main">
                    <a:graphicData uri="http://schemas.openxmlformats.org/drawingml/2006/picture">
                      <pic:pic xmlns:pic="http://schemas.openxmlformats.org/drawingml/2006/picture">
                        <pic:nvPicPr>
                          <pic:cNvPr id="89" name="图片_3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5" name="图片_69"/>
                  <wp:cNvGraphicFramePr/>
                  <a:graphic xmlns:a="http://schemas.openxmlformats.org/drawingml/2006/main">
                    <a:graphicData uri="http://schemas.openxmlformats.org/drawingml/2006/picture">
                      <pic:pic xmlns:pic="http://schemas.openxmlformats.org/drawingml/2006/picture">
                        <pic:nvPicPr>
                          <pic:cNvPr id="75" name="图片_6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84" name="图片_33"/>
                  <wp:cNvGraphicFramePr/>
                  <a:graphic xmlns:a="http://schemas.openxmlformats.org/drawingml/2006/main">
                    <a:graphicData uri="http://schemas.openxmlformats.org/drawingml/2006/picture">
                      <pic:pic xmlns:pic="http://schemas.openxmlformats.org/drawingml/2006/picture">
                        <pic:nvPicPr>
                          <pic:cNvPr id="84" name="图片_33"/>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7" name="图片_34"/>
                  <wp:cNvGraphicFramePr/>
                  <a:graphic xmlns:a="http://schemas.openxmlformats.org/drawingml/2006/main">
                    <a:graphicData uri="http://schemas.openxmlformats.org/drawingml/2006/picture">
                      <pic:pic xmlns:pic="http://schemas.openxmlformats.org/drawingml/2006/picture">
                        <pic:nvPicPr>
                          <pic:cNvPr id="77" name="图片_3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85" name="图片_9"/>
                  <wp:cNvGraphicFramePr/>
                  <a:graphic xmlns:a="http://schemas.openxmlformats.org/drawingml/2006/main">
                    <a:graphicData uri="http://schemas.openxmlformats.org/drawingml/2006/picture">
                      <pic:pic xmlns:pic="http://schemas.openxmlformats.org/drawingml/2006/picture">
                        <pic:nvPicPr>
                          <pic:cNvPr id="85" name="图片_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31" name="图片_56"/>
                  <wp:cNvGraphicFramePr/>
                  <a:graphic xmlns:a="http://schemas.openxmlformats.org/drawingml/2006/main">
                    <a:graphicData uri="http://schemas.openxmlformats.org/drawingml/2006/picture">
                      <pic:pic xmlns:pic="http://schemas.openxmlformats.org/drawingml/2006/picture">
                        <pic:nvPicPr>
                          <pic:cNvPr id="31" name="图片_5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19" name="图片_55"/>
                  <wp:cNvGraphicFramePr/>
                  <a:graphic xmlns:a="http://schemas.openxmlformats.org/drawingml/2006/main">
                    <a:graphicData uri="http://schemas.openxmlformats.org/drawingml/2006/picture">
                      <pic:pic xmlns:pic="http://schemas.openxmlformats.org/drawingml/2006/picture">
                        <pic:nvPicPr>
                          <pic:cNvPr id="19" name="图片_55"/>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26" name="图片_8"/>
                  <wp:cNvGraphicFramePr/>
                  <a:graphic xmlns:a="http://schemas.openxmlformats.org/drawingml/2006/main">
                    <a:graphicData uri="http://schemas.openxmlformats.org/drawingml/2006/picture">
                      <pic:pic xmlns:pic="http://schemas.openxmlformats.org/drawingml/2006/picture">
                        <pic:nvPicPr>
                          <pic:cNvPr id="26" name="图片_8"/>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20" name="图片_22"/>
                  <wp:cNvGraphicFramePr/>
                  <a:graphic xmlns:a="http://schemas.openxmlformats.org/drawingml/2006/main">
                    <a:graphicData uri="http://schemas.openxmlformats.org/drawingml/2006/picture">
                      <pic:pic xmlns:pic="http://schemas.openxmlformats.org/drawingml/2006/picture">
                        <pic:nvPicPr>
                          <pic:cNvPr id="20" name="图片_22"/>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21" name="图片_85"/>
                  <wp:cNvGraphicFramePr/>
                  <a:graphic xmlns:a="http://schemas.openxmlformats.org/drawingml/2006/main">
                    <a:graphicData uri="http://schemas.openxmlformats.org/drawingml/2006/picture">
                      <pic:pic xmlns:pic="http://schemas.openxmlformats.org/drawingml/2006/picture">
                        <pic:nvPicPr>
                          <pic:cNvPr id="21" name="图片_85"/>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22" name="图片_80"/>
                  <wp:cNvGraphicFramePr/>
                  <a:graphic xmlns:a="http://schemas.openxmlformats.org/drawingml/2006/main">
                    <a:graphicData uri="http://schemas.openxmlformats.org/drawingml/2006/picture">
                      <pic:pic xmlns:pic="http://schemas.openxmlformats.org/drawingml/2006/picture">
                        <pic:nvPicPr>
                          <pic:cNvPr id="22" name="图片_80"/>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25" name="图片_81"/>
                  <wp:cNvGraphicFramePr/>
                  <a:graphic xmlns:a="http://schemas.openxmlformats.org/drawingml/2006/main">
                    <a:graphicData uri="http://schemas.openxmlformats.org/drawingml/2006/picture">
                      <pic:pic xmlns:pic="http://schemas.openxmlformats.org/drawingml/2006/picture">
                        <pic:nvPicPr>
                          <pic:cNvPr id="25" name="图片_8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1.跟踪逻辑：支持智能识别接入摄像机的使用定位，并联动摄像机选用对应的跟踪逻辑，如教师跟踪、学生跟踪等。</w:t>
            </w:r>
          </w:p>
        </w:tc>
      </w:tr>
      <w:tr w14:paraId="3ECA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A23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347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5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2.检测区域：支持对接入摄像机的AI跟踪检测区域设置，可基于实景拍摄画面框选跟踪区域，框选后只在区域中方能触发跟踪，所见所得方便操作。</w:t>
            </w:r>
          </w:p>
        </w:tc>
      </w:tr>
      <w:tr w14:paraId="094C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4F2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BBE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69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3.跟踪切换：支持根据设定的跟踪策略形成跟踪指令，实现多路接入摄像机的全自动AI跟踪画面切换；且支持自定义跟踪切换逻辑的画面布局，包含但不限于双分屏、画中画与自定义布局等。</w:t>
            </w:r>
          </w:p>
        </w:tc>
      </w:tr>
      <w:tr w14:paraId="4E2D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447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0F8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5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4.跟踪策略：支持对接入摄像机自定义设置AI跟踪目标更新周期时间，摄像机依据配置实现相应跟踪策略。</w:t>
            </w:r>
          </w:p>
        </w:tc>
      </w:tr>
      <w:tr w14:paraId="22AC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405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25E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AC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5.智能构图：支持设置摄像机拍摄画面的智能构图模式，包含但不限于五分像、七分像、全身像等。</w:t>
            </w:r>
          </w:p>
        </w:tc>
      </w:tr>
      <w:tr w14:paraId="5F59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71C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1FA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3C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6.全场景跟拍：要求支持基于计算机视觉CV技术的AI人工智能跟踪算法，实现教师识别、教师移动跟拍、教师轨迹识别以及学生上台识别、板书行为识别、单人与多人起立识别等教学焦点进行自动捕捉与切换。</w:t>
            </w:r>
          </w:p>
        </w:tc>
      </w:tr>
      <w:tr w14:paraId="23A8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9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23" name="图片_147"/>
                  <wp:cNvGraphicFramePr/>
                  <a:graphic xmlns:a="http://schemas.openxmlformats.org/drawingml/2006/main">
                    <a:graphicData uri="http://schemas.openxmlformats.org/drawingml/2006/picture">
                      <pic:pic xmlns:pic="http://schemas.openxmlformats.org/drawingml/2006/picture">
                        <pic:nvPicPr>
                          <pic:cNvPr id="23" name="图片_147"/>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35" name="图片_116"/>
                  <wp:cNvGraphicFramePr/>
                  <a:graphic xmlns:a="http://schemas.openxmlformats.org/drawingml/2006/main">
                    <a:graphicData uri="http://schemas.openxmlformats.org/drawingml/2006/picture">
                      <pic:pic xmlns:pic="http://schemas.openxmlformats.org/drawingml/2006/picture">
                        <pic:nvPicPr>
                          <pic:cNvPr id="35" name="图片_11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24" name="图片_98"/>
                  <wp:cNvGraphicFramePr/>
                  <a:graphic xmlns:a="http://schemas.openxmlformats.org/drawingml/2006/main">
                    <a:graphicData uri="http://schemas.openxmlformats.org/drawingml/2006/picture">
                      <pic:pic xmlns:pic="http://schemas.openxmlformats.org/drawingml/2006/picture">
                        <pic:nvPicPr>
                          <pic:cNvPr id="24" name="图片_9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32" name="图片_19"/>
                  <wp:cNvGraphicFramePr/>
                  <a:graphic xmlns:a="http://schemas.openxmlformats.org/drawingml/2006/main">
                    <a:graphicData uri="http://schemas.openxmlformats.org/drawingml/2006/picture">
                      <pic:pic xmlns:pic="http://schemas.openxmlformats.org/drawingml/2006/picture">
                        <pic:nvPicPr>
                          <pic:cNvPr id="32" name="图片_1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27" name="图片_66"/>
                  <wp:cNvGraphicFramePr/>
                  <a:graphic xmlns:a="http://schemas.openxmlformats.org/drawingml/2006/main">
                    <a:graphicData uri="http://schemas.openxmlformats.org/drawingml/2006/picture">
                      <pic:pic xmlns:pic="http://schemas.openxmlformats.org/drawingml/2006/picture">
                        <pic:nvPicPr>
                          <pic:cNvPr id="27" name="图片_6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28" name="图片_65"/>
                  <wp:cNvGraphicFramePr/>
                  <a:graphic xmlns:a="http://schemas.openxmlformats.org/drawingml/2006/main">
                    <a:graphicData uri="http://schemas.openxmlformats.org/drawingml/2006/picture">
                      <pic:pic xmlns:pic="http://schemas.openxmlformats.org/drawingml/2006/picture">
                        <pic:nvPicPr>
                          <pic:cNvPr id="28" name="图片_65"/>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34" name="图片_18"/>
                  <wp:cNvGraphicFramePr/>
                  <a:graphic xmlns:a="http://schemas.openxmlformats.org/drawingml/2006/main">
                    <a:graphicData uri="http://schemas.openxmlformats.org/drawingml/2006/picture">
                      <pic:pic xmlns:pic="http://schemas.openxmlformats.org/drawingml/2006/picture">
                        <pic:nvPicPr>
                          <pic:cNvPr id="34" name="图片_18"/>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29" name="图片_148"/>
                  <wp:cNvGraphicFramePr/>
                  <a:graphic xmlns:a="http://schemas.openxmlformats.org/drawingml/2006/main">
                    <a:graphicData uri="http://schemas.openxmlformats.org/drawingml/2006/picture">
                      <pic:pic xmlns:pic="http://schemas.openxmlformats.org/drawingml/2006/picture">
                        <pic:nvPicPr>
                          <pic:cNvPr id="29" name="图片_14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30" name="图片_97"/>
                  <wp:cNvGraphicFramePr/>
                  <a:graphic xmlns:a="http://schemas.openxmlformats.org/drawingml/2006/main">
                    <a:graphicData uri="http://schemas.openxmlformats.org/drawingml/2006/picture">
                      <pic:pic xmlns:pic="http://schemas.openxmlformats.org/drawingml/2006/picture">
                        <pic:nvPicPr>
                          <pic:cNvPr id="30" name="图片_97"/>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D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智能课堂行为分析软件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02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18" name="图片_21"/>
                  <wp:cNvGraphicFramePr/>
                  <a:graphic xmlns:a="http://schemas.openxmlformats.org/drawingml/2006/main">
                    <a:graphicData uri="http://schemas.openxmlformats.org/drawingml/2006/picture">
                      <pic:pic xmlns:pic="http://schemas.openxmlformats.org/drawingml/2006/picture">
                        <pic:nvPicPr>
                          <pic:cNvPr id="18" name="图片_2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6" name="图片_37"/>
                  <wp:cNvGraphicFramePr/>
                  <a:graphic xmlns:a="http://schemas.openxmlformats.org/drawingml/2006/main">
                    <a:graphicData uri="http://schemas.openxmlformats.org/drawingml/2006/picture">
                      <pic:pic xmlns:pic="http://schemas.openxmlformats.org/drawingml/2006/picture">
                        <pic:nvPicPr>
                          <pic:cNvPr id="46" name="图片_3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52" name="图片_67"/>
                  <wp:cNvGraphicFramePr/>
                  <a:graphic xmlns:a="http://schemas.openxmlformats.org/drawingml/2006/main">
                    <a:graphicData uri="http://schemas.openxmlformats.org/drawingml/2006/picture">
                      <pic:pic xmlns:pic="http://schemas.openxmlformats.org/drawingml/2006/picture">
                        <pic:nvPicPr>
                          <pic:cNvPr id="52" name="图片_67"/>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47" name="图片_36"/>
                  <wp:cNvGraphicFramePr/>
                  <a:graphic xmlns:a="http://schemas.openxmlformats.org/drawingml/2006/main">
                    <a:graphicData uri="http://schemas.openxmlformats.org/drawingml/2006/picture">
                      <pic:pic xmlns:pic="http://schemas.openxmlformats.org/drawingml/2006/picture">
                        <pic:nvPicPr>
                          <pic:cNvPr id="47" name="图片_36"/>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36" name="图片_20"/>
                  <wp:cNvGraphicFramePr/>
                  <a:graphic xmlns:a="http://schemas.openxmlformats.org/drawingml/2006/main">
                    <a:graphicData uri="http://schemas.openxmlformats.org/drawingml/2006/picture">
                      <pic:pic xmlns:pic="http://schemas.openxmlformats.org/drawingml/2006/picture">
                        <pic:nvPicPr>
                          <pic:cNvPr id="36" name="图片_20"/>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3" name="图片_68"/>
                  <wp:cNvGraphicFramePr/>
                  <a:graphic xmlns:a="http://schemas.openxmlformats.org/drawingml/2006/main">
                    <a:graphicData uri="http://schemas.openxmlformats.org/drawingml/2006/picture">
                      <pic:pic xmlns:pic="http://schemas.openxmlformats.org/drawingml/2006/picture">
                        <pic:nvPicPr>
                          <pic:cNvPr id="43" name="图片_6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1" name="图片_84"/>
                  <wp:cNvGraphicFramePr/>
                  <a:graphic xmlns:a="http://schemas.openxmlformats.org/drawingml/2006/main">
                    <a:graphicData uri="http://schemas.openxmlformats.org/drawingml/2006/picture">
                      <pic:pic xmlns:pic="http://schemas.openxmlformats.org/drawingml/2006/picture">
                        <pic:nvPicPr>
                          <pic:cNvPr id="51" name="图片_8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53" name="图片_83"/>
                  <wp:cNvGraphicFramePr/>
                  <a:graphic xmlns:a="http://schemas.openxmlformats.org/drawingml/2006/main">
                    <a:graphicData uri="http://schemas.openxmlformats.org/drawingml/2006/picture">
                      <pic:pic xmlns:pic="http://schemas.openxmlformats.org/drawingml/2006/picture">
                        <pic:nvPicPr>
                          <pic:cNvPr id="53" name="图片_83"/>
                          <pic:cNvPicPr/>
                        </pic:nvPicPr>
                        <pic:blipFill>
                          <a:blip r:embed="rId11"/>
                          <a:stretch>
                            <a:fillRect/>
                          </a:stretch>
                        </pic:blipFill>
                        <pic:spPr>
                          <a:xfrm>
                            <a:off x="0" y="0"/>
                            <a:ext cx="190500" cy="1905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一.整体要求</w:t>
            </w:r>
          </w:p>
        </w:tc>
      </w:tr>
      <w:tr w14:paraId="6C68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F98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447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A6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1.兼容对接：要求实现录播主机内置的实时课堂行为分析，同时支持与视频资源管理平台无缝对接，将数据通过平台进行展示或主机内部展示两种模式，两种模式均支持下载分析报告。</w:t>
            </w:r>
          </w:p>
        </w:tc>
      </w:tr>
      <w:tr w14:paraId="103C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DF3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2B7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22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多维分析：支持对课堂数据进行综合多维度的分析，包括“课堂师生行为时序”、“教学行为分析”、“理答分析”、“PPT与板书分析”、“教师讲授分析”、“姿态与情感分析”、“课堂管理分析”、“学生学情分析”等多维度多类型分析数据板块。</w:t>
            </w:r>
          </w:p>
        </w:tc>
      </w:tr>
      <w:tr w14:paraId="573B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652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9D8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50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3.实时分析：支持对师生教学行为、教师活动轨迹、学生课堂动作表情分析等维度数据进行实时统计分析，并且能在课程录制结束三分钟内将数据整合建模生成分析报告。</w:t>
            </w:r>
          </w:p>
        </w:tc>
      </w:tr>
      <w:tr w14:paraId="0039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51F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097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F9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4.教学环节识别：要求支持按照教学环节定义将课程视频切片，并且在视频播放进度条上有明显标签显示对应的教学环节。</w:t>
            </w:r>
          </w:p>
        </w:tc>
      </w:tr>
      <w:tr w14:paraId="7707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2D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5BD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4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5.编辑教学环节：要求支持用户可以对AI分析生成的教学环节结果自主纠偏，可以依据时间轴自主定义教学环节的时长以及更改教学环节的结论，并支持自主创建教学环节名称。</w:t>
            </w:r>
          </w:p>
        </w:tc>
      </w:tr>
      <w:tr w14:paraId="71C4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A45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C21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BB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行为时序播放：支持在课程视频播放进度条显示PPT翻页的具体时间节点，同时将教师行为与学生行为的时序分布依次排列展开，点击时序图上的具体行为节点，视频将自动跳转到对应位置，方便老师快速回顾课堂教学环节。</w:t>
            </w:r>
          </w:p>
        </w:tc>
      </w:tr>
      <w:tr w14:paraId="4276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65A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DCF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A9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二.教师教情分析要求</w:t>
            </w:r>
          </w:p>
        </w:tc>
      </w:tr>
      <w:tr w14:paraId="4A8A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26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C35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36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教师行为分析：支持自动分析并统计老师授课过程中的教学行为，包括但不限于“教师板书”、“教师提问”、“教师追问”、“教师巡视”、“PPT演示”、“操作大屏”、“教师姿态”、“目光注视”、“教师发言”等。</w:t>
            </w:r>
          </w:p>
        </w:tc>
      </w:tr>
      <w:tr w14:paraId="7BF7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1AB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7AE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D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2.PPT分析：要求支持教师授课PPT分析，分析每页PPT所用时长以及PPT内的图片与图表页数，并可识别PPT内留给学生课堂任务的数量，分析任务时间占比。</w:t>
            </w:r>
          </w:p>
        </w:tc>
      </w:tr>
      <w:tr w14:paraId="17FB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FBA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310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D8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3.板书分析：要求支持教师板书分析，判定授课过程中教师板书的规范字、行间距合规程度、板书均衡情况、板书时间的学生抬头率、板书所用颜色。</w:t>
            </w:r>
          </w:p>
        </w:tc>
      </w:tr>
      <w:tr w14:paraId="133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970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5F3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03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4.教师巡视：要求支持分析教师课堂管理能力，统计教师巡视次数与巡视时长，并提供热点图直观查看教师授课轨迹情况。</w:t>
            </w:r>
          </w:p>
        </w:tc>
      </w:tr>
      <w:tr w14:paraId="146D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F39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8D4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C1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5.目光注视：要求支持分析教师对学生学习的观察情况，统计分析教师注视学生区域的时间占比情况。</w:t>
            </w:r>
          </w:p>
        </w:tc>
      </w:tr>
      <w:tr w14:paraId="34FA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2FA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B32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5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6.S-T分析：要求支持以图表的形式分析课堂过程中的师生行为，观察教师的课堂环节设计与师生互动情况。</w:t>
            </w:r>
          </w:p>
        </w:tc>
      </w:tr>
      <w:tr w14:paraId="2432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891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3EC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76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三.学生学情分析要求</w:t>
            </w:r>
          </w:p>
        </w:tc>
      </w:tr>
      <w:tr w14:paraId="7725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FEE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3ED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4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学生行为分析：要求支持自动分析并统计学生课堂过程中的学习行为，包括但不限于“多人站立”、“学生举手”、“学生低头”、“多人抬头”、“学生上台”、“学生应答”、“补充发言”、“课堂氛围”、“学生操作电脑”等。</w:t>
            </w:r>
          </w:p>
        </w:tc>
      </w:tr>
      <w:tr w14:paraId="2F07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90C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2F2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C1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2.学情观察统计：要求支持对学生区域进行预置位划分，统计学生举手次数以及应答次数，上台人数以及趴桌时长。</w:t>
            </w:r>
          </w:p>
        </w:tc>
      </w:tr>
      <w:tr w14:paraId="28CA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B0F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18F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03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3.个体观察分析：要求支持对学生区域进行预置位划分，同时在未上传人脸信息的前提下也对每个学生进行编号标记，记录并呈现每个学生具体某个时间点的行为截图。</w:t>
            </w:r>
          </w:p>
        </w:tc>
      </w:tr>
      <w:tr w14:paraId="2667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C02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A18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F5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4.学情区域对比：要求支持针对学生抬头率、学生情绪以及互动情况，选择2个不同的预置位进行听课情况对比，以图表的形式呈现学生的听课情况和次数对比。</w:t>
            </w:r>
          </w:p>
        </w:tc>
      </w:tr>
      <w:tr w14:paraId="756B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4B5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CDB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AD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5.学生站立分析：支持以热点图的形式呈现学生站立、学生举手、补充发言的情况与分布，并支持统计站立人数与站立次数，针对学生站立行为支持具体到某个时间以及某位学生。</w:t>
            </w:r>
          </w:p>
        </w:tc>
      </w:tr>
      <w:tr w14:paraId="5274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A5D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111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B0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6.学生专注分析：要求支持统计在不同场景下学生的抬头率情况，如教师板书时、学生上台时、教师PPT授课时，并呈现不同环节的抬头率比例。</w:t>
            </w:r>
          </w:p>
        </w:tc>
      </w:tr>
      <w:tr w14:paraId="0600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84C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5B0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6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7.课堂氛围分析：支持学生课堂表情分析，并支持对各类表情进行实时检测，统计课堂过程中不同时间点学生开心或平静的表情峰值。</w:t>
            </w:r>
          </w:p>
        </w:tc>
      </w:tr>
      <w:tr w14:paraId="22A3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BC3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92D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62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8.学生低头分析：要求支持整堂课学生的低头时长统计，并支持展示低头时间点。</w:t>
            </w:r>
          </w:p>
        </w:tc>
      </w:tr>
      <w:tr w14:paraId="52BD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6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7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智能语音分析软件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0D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1.教师提问情况分析：支持基于课堂语音识别能力进行教师课堂提问行为分析，从提问次数与高级认知提问比例两个核心维度进行数据统计，实现课堂提问情况的清晰回顾。</w:t>
            </w:r>
          </w:p>
        </w:tc>
      </w:tr>
      <w:tr w14:paraId="0CED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79F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8F0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24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2.教师语速分析：支持通过语音识别能力进行教师课堂授课语速分析，呈现数据需包括整体语速的变化图以及平均语速结论。</w:t>
            </w:r>
          </w:p>
        </w:tc>
      </w:tr>
      <w:tr w14:paraId="607A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DFD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DFE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AC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3.课堂语音转写：要求基于语音语义识别完成课堂音频的文字转换，实现课堂教学过程语音全纪录，要求平台上可输出整节课的文字字幕。并支持由上课老师课后自主编辑转写文本实现纠偏。</w:t>
            </w:r>
          </w:p>
        </w:tc>
      </w:tr>
      <w:tr w14:paraId="3892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029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1FD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4.课堂高频词分析：支持通过AI语音识别能力以及视觉分析能力，抓取授课过程中出现的高频词汇，并统计出现频次以及出现来源，包括但不限于PPT、板书、教师音频，精准判断课堂教学重点。</w:t>
            </w:r>
          </w:p>
        </w:tc>
      </w:tr>
      <w:tr w14:paraId="29B2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9AD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6D5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E5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5.课堂语气词分析：支持通过进行课堂语音识别，判断老师教学过程中出现的常规语气词出现频次，如“呐”，“嘛”，等语气词，辅助老师调整教学过程中的不良习惯。</w:t>
            </w:r>
          </w:p>
        </w:tc>
      </w:tr>
      <w:tr w14:paraId="61FF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803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0D1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2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6.教师普通话分析：要求支持对教师授课音频进行自适应分段，并分析每个段落教师授课过程中的普通话水平、语速、音量以及关键词。</w:t>
            </w:r>
          </w:p>
        </w:tc>
      </w:tr>
      <w:tr w14:paraId="7B34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768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2D6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9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7.教师音量分析：要求支持分析本堂课教师平均的授课音量，以及根据时间推移呈现音量波动的变化图表。</w:t>
            </w:r>
          </w:p>
        </w:tc>
      </w:tr>
      <w:tr w14:paraId="63F1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45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9EE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62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8.理答类型分析：要求支持对教师课堂理答情况进行分析，支持统计教师提问次数、抽答次数、追问次数，并可以获取每个问题以时间轴的形式记录在什么时间提问。</w:t>
            </w:r>
          </w:p>
        </w:tc>
      </w:tr>
      <w:tr w14:paraId="1711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CF2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F7F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CC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9.教师追问分析：要求支持分析教师追问类型与次数，并标记具体在第几次提问时发起追问，对追问内容分析是否对学生有诱发思考的作用并统计次数。</w:t>
            </w:r>
          </w:p>
        </w:tc>
      </w:tr>
      <w:tr w14:paraId="532E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4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18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高清全景摄像机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54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1.传感器：要求采用CMOS类型图像传感器，尺寸≥1/2.5英寸。</w:t>
            </w:r>
          </w:p>
        </w:tc>
      </w:tr>
      <w:tr w14:paraId="4ADF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4F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C85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E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2.像素：有效像素≥800万。</w:t>
            </w:r>
          </w:p>
        </w:tc>
      </w:tr>
      <w:tr w14:paraId="1A68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DB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A3D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4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3.视频分辨率：最大可支持3840×2160并向下兼容。</w:t>
            </w:r>
          </w:p>
        </w:tc>
      </w:tr>
      <w:tr w14:paraId="4845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B96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F7B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B3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4.变焦：要求支持自动和手动变焦，综合变焦倍数≥22倍。</w:t>
            </w:r>
          </w:p>
        </w:tc>
      </w:tr>
      <w:tr w14:paraId="300E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5F5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CEB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54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5.云台转动：要求具备机械云台可进行转动跟踪。水平转动速度最大不少于90°/s，垂直转动速度最大不少70°/s。</w:t>
            </w:r>
          </w:p>
        </w:tc>
      </w:tr>
      <w:tr w14:paraId="4EDD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D52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FD6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6A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6.快门速度：要求支持高速与慢速快门速度，最快不小于1/10000s，最慢不小于1/25s。</w:t>
            </w:r>
          </w:p>
        </w:tc>
      </w:tr>
      <w:tr w14:paraId="76D1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CE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70B6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7.视场角大小：支持水平视场角≥70°，垂直视场角≥43°。</w:t>
            </w:r>
          </w:p>
        </w:tc>
      </w:tr>
      <w:tr w14:paraId="1BA9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6D4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4A3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2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8.视频编码：要求支持H.265、H.264高清视频编码协议。</w:t>
            </w:r>
          </w:p>
        </w:tc>
      </w:tr>
      <w:tr w14:paraId="5AA0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449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279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E9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9.视频输出：要求具备数字视频输出口（RJ45）≥1个，HDMI视频输出口≥1个。</w:t>
            </w:r>
          </w:p>
        </w:tc>
      </w:tr>
      <w:tr w14:paraId="3DBF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3E7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B0F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E0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10.通讯接口：要求具备RS232/RS422≥1个。</w:t>
            </w:r>
          </w:p>
        </w:tc>
      </w:tr>
      <w:tr w14:paraId="48B7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1FD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26D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C2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11.网络接入：RJ45网络接口≥1个，并支持100M/1000M自适应以太网接入与RTSP协议网络视频输出。</w:t>
            </w:r>
          </w:p>
        </w:tc>
      </w:tr>
      <w:tr w14:paraId="5DDA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0FC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2F2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64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12.音频接口：Linein输入口≥1个。</w:t>
            </w:r>
          </w:p>
        </w:tc>
      </w:tr>
      <w:tr w14:paraId="4382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166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A6B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D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13.音频编码：要求支持常用音频编码协议。</w:t>
            </w:r>
          </w:p>
        </w:tc>
      </w:tr>
      <w:tr w14:paraId="1391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10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A02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70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14.USB接口：要求具备USBType-A≥1个。</w:t>
            </w:r>
          </w:p>
        </w:tc>
      </w:tr>
      <w:tr w14:paraId="49A3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A32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CE5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F6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15.协议支持：要求支持VISCA/ONVIF协议满足多种场景控制要求。</w:t>
            </w:r>
          </w:p>
        </w:tc>
      </w:tr>
      <w:tr w14:paraId="7E3B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1A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F24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96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16.背光补偿：要求具备背光补偿功能。</w:t>
            </w:r>
          </w:p>
        </w:tc>
      </w:tr>
      <w:tr w14:paraId="2C87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44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E58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9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17.数字降噪：支持2D/3D数字降噪，信噪比≥55dB。</w:t>
            </w:r>
          </w:p>
        </w:tc>
      </w:tr>
      <w:tr w14:paraId="5501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3FE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A41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3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18.一线通：要求与搭配的录播主机实现基于RJ45双绞线的一线通连接，完成摄像机供电、控制以及视频信号传输。</w:t>
            </w:r>
          </w:p>
        </w:tc>
      </w:tr>
      <w:tr w14:paraId="4890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19F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279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79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19.高效数据传输：支持对同品牌录播主机实现基于数据链路层的数字视频数据传输技术，能实现≤100ms的声画同步，在拍摄运动画面和复杂画面时不存在镜头呼吸效应带来的周期性画面焦距抖动。</w:t>
            </w:r>
          </w:p>
        </w:tc>
      </w:tr>
      <w:tr w14:paraId="6E47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49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1A0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C2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20.AI跟踪：要求内置跟踪算法，摄像机内无额外辅助摄像头也无需增加任何设备即可实现人像自动跟踪，包括水平运动、俯仰运动、变焦、聚焦四维实时跟踪。</w:t>
            </w:r>
          </w:p>
        </w:tc>
      </w:tr>
      <w:tr w14:paraId="406D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BD7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E77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07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21.跟踪逻辑自选：要求支持根据AI智能算法，同一摄像机可根据部署使用场景智能应用为教师、学生跟踪模式，无需手动设置。</w:t>
            </w:r>
          </w:p>
        </w:tc>
      </w:tr>
      <w:tr w14:paraId="438F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0AC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9B2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2F8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t>22.交叉识别：需支持对锁定跟拍对象进行人脸特征与肢体双重认证识别，在多人同时进入拍摄画面的情况下，持续锁定跟踪对象，不出现跟丢和误跟的情况。</w:t>
            </w:r>
          </w:p>
        </w:tc>
      </w:tr>
      <w:tr w14:paraId="2E33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DAC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DB6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A5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23.AI抗干扰：支持在拍摄画面有显示设备或其他动态视频播放的情况下，自动启用AI抗干扰能力，保障画面始终锁定被跟踪对象，且跟踪效果不受影响。</w:t>
            </w:r>
          </w:p>
        </w:tc>
      </w:tr>
      <w:tr w14:paraId="119A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E8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4E24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55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24.PTZ自适应：需支持PTZ实时跟焦，AI跟踪的状态下能实现摄像机水平旋转、垂直旋转、变焦的实时同步变化，无需等待拍摄对象稳定后再变焦调整画面，移动过程不虚焦，实现拍摄画面的自适应稳定调整。</w:t>
            </w:r>
          </w:p>
        </w:tc>
      </w:tr>
      <w:tr w14:paraId="4DA0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15E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28C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12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25.电源支持：支持录播主机供电和DC12V电源适配器等供电方式。</w:t>
            </w:r>
          </w:p>
        </w:tc>
      </w:tr>
      <w:tr w14:paraId="35ED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4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FF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高清特写摄像机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4E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1.传感器：要求采用CMOS类型图像传感器，尺寸≥1/2.5英寸。</w:t>
            </w:r>
          </w:p>
        </w:tc>
      </w:tr>
      <w:tr w14:paraId="2954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4A7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210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2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2.像素：有效像素≥800万。</w:t>
            </w:r>
          </w:p>
        </w:tc>
      </w:tr>
      <w:tr w14:paraId="643F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0E9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5F3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BF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3.视频分辨率：最大可支持3840×2160并向下兼容。</w:t>
            </w:r>
          </w:p>
        </w:tc>
      </w:tr>
      <w:tr w14:paraId="1A0D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C17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32E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B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4.变焦：要求支持自动和手动变焦，综合变焦倍数≥28倍。</w:t>
            </w:r>
          </w:p>
        </w:tc>
      </w:tr>
      <w:tr w14:paraId="613B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28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3E2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EA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5.云台转动：要求具备机械云台可进行转动跟踪。水平转动速度最大不少于90°/s，垂直转动速度最大不少70°/s。</w:t>
            </w:r>
          </w:p>
        </w:tc>
      </w:tr>
      <w:tr w14:paraId="2CD6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48C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249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A1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6.快门速度：要求支持高速与慢速快门速度，最快不小于1/10000s，最慢不小于1/25s。</w:t>
            </w:r>
          </w:p>
        </w:tc>
      </w:tr>
      <w:tr w14:paraId="204D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CE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B7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2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7.视场角大小：支持水平视场角≥50°，垂直视场角≥30°。</w:t>
            </w:r>
          </w:p>
        </w:tc>
      </w:tr>
      <w:tr w14:paraId="73AE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175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0EB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5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8.视频编码：要求支持H.265、H.264高清视频编码协议。</w:t>
            </w:r>
          </w:p>
        </w:tc>
      </w:tr>
      <w:tr w14:paraId="539A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AEE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A33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A7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9.视频输出：要求具备数字视频输出口（RJ45）≥1个，HDMI视频输出口≥1个。</w:t>
            </w:r>
          </w:p>
        </w:tc>
      </w:tr>
      <w:tr w14:paraId="67BC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D6E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F28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83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10.通讯接口：要求具备RS232/RS422≥1个。</w:t>
            </w:r>
          </w:p>
        </w:tc>
      </w:tr>
      <w:tr w14:paraId="032C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A90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D93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9B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11.网络接入：RJ45网络接口≥1个，并支持100M/1000M自适应以太网接入与RTSP协议网络视频输出。</w:t>
            </w:r>
          </w:p>
        </w:tc>
      </w:tr>
      <w:tr w14:paraId="0D47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C40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C57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B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12.音频接口：Linein输入口≥1个。</w:t>
            </w:r>
          </w:p>
        </w:tc>
      </w:tr>
      <w:tr w14:paraId="1DAA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C34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406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C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13.音频编码：要求支持常用音频编码协议。</w:t>
            </w:r>
          </w:p>
        </w:tc>
      </w:tr>
      <w:tr w14:paraId="51AE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1B7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29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27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14.USB接口：要求具备USBType-A≥1个。</w:t>
            </w:r>
          </w:p>
        </w:tc>
      </w:tr>
      <w:tr w14:paraId="67AC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AD6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209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50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15.协议支持：要求支持VISCA/ONVIF协议满足多种场景控制要求。</w:t>
            </w:r>
          </w:p>
        </w:tc>
      </w:tr>
      <w:tr w14:paraId="6A59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25E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D5B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6E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16.背光补偿：要求具备背光补偿功能。</w:t>
            </w:r>
          </w:p>
        </w:tc>
      </w:tr>
      <w:tr w14:paraId="6111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AA7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BBE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B9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17.数字降噪：支持2D/3D数字降噪，信噪比≥55dB。</w:t>
            </w:r>
          </w:p>
        </w:tc>
      </w:tr>
      <w:tr w14:paraId="6934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3E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5E7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18.一线通：要求与搭配的录播主机实现基于RJ45双绞线的一线通连接，完成摄像机供电、控制以及视频信号传输。</w:t>
            </w:r>
          </w:p>
        </w:tc>
      </w:tr>
      <w:tr w14:paraId="7191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ECB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8DA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A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19.高效数据传输：支持对同品牌录播主机实现基于数据链路层的数字视频数据传输技术，能实现≤100ms的声画同步，在拍摄运动画面和复杂画面时不存在镜头呼吸效应带来的周期性画面焦距抖动。</w:t>
            </w:r>
          </w:p>
        </w:tc>
      </w:tr>
      <w:tr w14:paraId="516A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306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055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5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20.AI跟踪：要求内置跟踪算法，摄像机内无额外辅助摄像头也无需增加任何设备即可实现人像自动跟踪，包括水平运动、俯仰运动、变焦、聚焦四维实时跟踪。</w:t>
            </w:r>
          </w:p>
        </w:tc>
      </w:tr>
      <w:tr w14:paraId="667D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72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423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E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21.跟踪逻辑自选：要求支持根据AI智能算法，同一摄像机可根据部署使用场景智能应用为教师、学生跟踪模式，无需手动设置。</w:t>
            </w:r>
          </w:p>
        </w:tc>
      </w:tr>
      <w:tr w14:paraId="38D7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AE9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A02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65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22.交叉识别：需支持对锁定跟拍对象进行人脸特征与肢体双重认证识别，在多人同时进入拍摄画面的情况下，持续锁定跟踪对象，不出现跟丢和误跟的情况。</w:t>
            </w:r>
          </w:p>
        </w:tc>
      </w:tr>
      <w:tr w14:paraId="18D8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BA2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E64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DB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23.AI抗干扰：支持在拍摄画面有显示设备或其他动态视频播放的情况下，自动启用AI抗干扰能力，保障画面始终锁定被跟踪对象，且跟踪效果不受影响。</w:t>
            </w:r>
          </w:p>
        </w:tc>
      </w:tr>
      <w:tr w14:paraId="5431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FF5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FCE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4503">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24.PTZ自适应：需支持PTZ实时跟焦，AI跟踪的状态下能实现摄像机水平旋转、垂直旋转、变焦的实时同步变化，无需等待拍摄对象稳定后再变焦调整画面，移动过程不虚焦，实现拍摄画面的自适应稳定调整。（提供第三方检测机构出具的带有CMA标识合格的检验检测报告，报告内容能体现满足上述参数要求。）</w:t>
            </w:r>
          </w:p>
        </w:tc>
      </w:tr>
      <w:tr w14:paraId="5D1E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A1F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5F3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AF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25.电源支持：支持录播主机供电和DC12V电源适配器等供电方式。</w:t>
            </w:r>
          </w:p>
        </w:tc>
      </w:tr>
      <w:tr w14:paraId="599C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F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1D0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35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26.要求摄像机与录播主机为同一品牌。</w:t>
            </w:r>
          </w:p>
        </w:tc>
      </w:tr>
      <w:tr w14:paraId="4583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right w:val="single" w:color="000000" w:sz="4" w:space="0"/>
            </w:tcBorders>
            <w:shd w:val="clear" w:color="auto" w:fill="auto"/>
            <w:noWrap/>
            <w:vAlign w:val="center"/>
          </w:tcPr>
          <w:p w14:paraId="4FDD5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58" w:type="pct"/>
            <w:vMerge w:val="restart"/>
            <w:tcBorders>
              <w:top w:val="single" w:color="000000" w:sz="4" w:space="0"/>
              <w:left w:val="single" w:color="000000" w:sz="4" w:space="0"/>
              <w:right w:val="single" w:color="000000" w:sz="4" w:space="0"/>
            </w:tcBorders>
            <w:shd w:val="clear" w:color="auto" w:fill="auto"/>
            <w:vAlign w:val="center"/>
          </w:tcPr>
          <w:p w14:paraId="4D8A8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摄像机跟踪拍摄软件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5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1.摄像机传输处理软件需采用B/S架构，支持通用浏览器直接访问进行管理。</w:t>
            </w:r>
          </w:p>
        </w:tc>
      </w:tr>
      <w:tr w14:paraId="7BFA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39D1BA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E74B28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38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2.需支持曝光模式设置功能，包括自动、手动。</w:t>
            </w:r>
          </w:p>
        </w:tc>
      </w:tr>
      <w:tr w14:paraId="5FA6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5B929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1F08E2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00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3.需支持抗闪烁频率、动态范围、光圈、快门参数设置。</w:t>
            </w:r>
          </w:p>
        </w:tc>
      </w:tr>
      <w:tr w14:paraId="7FB5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702D3D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7439E7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4.需支持设置自动/手动/一键锁定/室内/室外多场景白平衡设置，红、蓝增益可调以满足不同环境取景需要。</w:t>
            </w:r>
          </w:p>
        </w:tc>
      </w:tr>
      <w:tr w14:paraId="039A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1AB952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571DAF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51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5.需支持噪声抑制设置功能，支持2D、3D降噪。</w:t>
            </w:r>
          </w:p>
        </w:tc>
      </w:tr>
      <w:tr w14:paraId="4676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D08899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EBF19C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84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6.需支持摄像机图像质量调节功能，包括亮度、对比度、色调、饱和度。</w:t>
            </w:r>
          </w:p>
        </w:tc>
      </w:tr>
      <w:tr w14:paraId="376A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FE6276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EE612C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8C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7.需支持图像水平、垂直翻转，适应摄像机不同的安装方式要求。</w:t>
            </w:r>
          </w:p>
        </w:tc>
      </w:tr>
      <w:tr w14:paraId="69AA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71E9CA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990633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D9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8.需支持摄像机控制功能，包括云台控制、预置位设置与调用、焦距调节等。</w:t>
            </w:r>
          </w:p>
        </w:tc>
      </w:tr>
      <w:tr w14:paraId="1899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044C35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672CE6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36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9.需支持自动/手动两种聚焦锁定模式。</w:t>
            </w:r>
          </w:p>
        </w:tc>
      </w:tr>
      <w:tr w14:paraId="67DA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BC963C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2E1155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10.支持设置预置位数量≥255，预置位设置精度≤0.1°。</w:t>
            </w:r>
          </w:p>
        </w:tc>
      </w:tr>
      <w:tr w14:paraId="081E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FC768D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9DF3DA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F0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11.需支持跟踪人物丢失寻回机制，在智能跟踪的场景下跟拍对象出画后重新回到拍摄画面将再次锁定跟踪。</w:t>
            </w:r>
          </w:p>
        </w:tc>
      </w:tr>
      <w:tr w14:paraId="66A4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9DF248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55CE66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4D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12.支持配合录播主机设置五分像、七分像、全身像等多种教师图像跟踪画面模式，根据实际需要设置选用教师跟踪画面的大小。</w:t>
            </w:r>
          </w:p>
        </w:tc>
      </w:tr>
      <w:tr w14:paraId="5368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1843A1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7A30CB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5F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13.支持配合录播主机划分的自动跟踪区域，当锁定跟踪人物走出自动跟踪区域时即停止跟踪，直到重新回到区域出现在画面中为止。</w:t>
            </w:r>
          </w:p>
        </w:tc>
      </w:tr>
      <w:tr w14:paraId="3550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5B72F8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A6E680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5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14.需支持依据录播主机设置的跟踪目标更新周期时间，被跟拍人员脱离跟踪拍摄区域后开始计时，到达更新周期时间后自动解除目标跟拍锁定，回归默认状态，待下一位人员进入画面中开始重新锁定跟踪。（提供第三方检测机构出具的带有CMA标识合格的检验检测报告，报告内容能体现满足上述参数要求。）</w:t>
            </w:r>
          </w:p>
        </w:tc>
      </w:tr>
      <w:tr w14:paraId="0014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0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63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采访话筒（指向性）</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8B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1.单体：背极式驻极体。</w:t>
            </w:r>
          </w:p>
        </w:tc>
      </w:tr>
      <w:tr w14:paraId="0F4F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8C1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309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69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2.指向性：超心型。</w:t>
            </w:r>
          </w:p>
        </w:tc>
      </w:tr>
      <w:tr w14:paraId="3DD9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6B6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66F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5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3.频率响应：40Hz—16kHz。</w:t>
            </w:r>
          </w:p>
        </w:tc>
      </w:tr>
      <w:tr w14:paraId="68DF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D7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EBA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58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4.低频衰减：内置。</w:t>
            </w:r>
          </w:p>
        </w:tc>
      </w:tr>
      <w:tr w14:paraId="4609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1B1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167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3F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5.灵敏度≥-29dB±3dB。</w:t>
            </w:r>
          </w:p>
        </w:tc>
      </w:tr>
      <w:tr w14:paraId="3658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right w:val="single" w:color="000000" w:sz="4" w:space="0"/>
            </w:tcBorders>
            <w:shd w:val="clear" w:color="auto" w:fill="auto"/>
            <w:noWrap/>
            <w:vAlign w:val="center"/>
          </w:tcPr>
          <w:p w14:paraId="2AEF6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58" w:type="pct"/>
            <w:vMerge w:val="restart"/>
            <w:tcBorders>
              <w:top w:val="single" w:color="000000" w:sz="4" w:space="0"/>
              <w:left w:val="single" w:color="000000" w:sz="4" w:space="0"/>
              <w:right w:val="single" w:color="000000" w:sz="4" w:space="0"/>
            </w:tcBorders>
            <w:shd w:val="clear" w:color="auto" w:fill="auto"/>
            <w:vAlign w:val="center"/>
          </w:tcPr>
          <w:p w14:paraId="09D07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教学视频资源管理系统</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E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一、信息管理系统</w:t>
            </w:r>
          </w:p>
        </w:tc>
      </w:tr>
      <w:tr w14:paraId="4FF4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37B581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47E7A4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47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1.录播管理：支持把录播设备接入平台，实现自动转码、无缝直播点播，并具备直播和点播功能。支持对录播进行远程关机、休眠唤醒、启动录制等操作。</w:t>
            </w:r>
          </w:p>
        </w:tc>
      </w:tr>
      <w:tr w14:paraId="5CC0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D91688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ACC9B6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86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2.公告发布：公告发布：平台首页提供公告模块，支持通过平台发布校务公告、活动通知、时势新闻等多种类型公告。公告支持按定义的类型进行归类查询，支持用户自定义公告类型。</w:t>
            </w:r>
          </w:p>
        </w:tc>
      </w:tr>
      <w:tr w14:paraId="01EA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8A4B6F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2C7F79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A7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3.自动转码功能：支持视频下载、上传、编辑、管理。可实现所有主流视频文件格式自动转码，包括asf、mpg、rmvb、mov、rm、avi、3gp、wmv、flv、mp4等，可设置下载及观看权限。可设置高标清转码清晰度码流。</w:t>
            </w:r>
          </w:p>
        </w:tc>
      </w:tr>
      <w:tr w14:paraId="372A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5F304B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AFA205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02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虚拟切片：支持视频自动划分知识点和教学环节片段，且不破坏视频原来的完整性。支持快速点击知识点、教学环节跳转到相应节点播放，支持片段循环播放。支持对上传的视频添加和修改“知识点”和“教学环节”。</w:t>
            </w:r>
          </w:p>
        </w:tc>
      </w:tr>
      <w:tr w14:paraId="7B81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856B42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5C5BB3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B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5.教学行为分析：支持弗兰德斯教学行为分析法（S-T），平台根据跟踪数据生成S-T曲线图，帮助用户进行教学技能提升和评估。S-T行为数据支持后期在线编辑修改，便于教师进行错误修正。</w:t>
            </w:r>
          </w:p>
        </w:tc>
      </w:tr>
      <w:tr w14:paraId="47DE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35EA09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536F24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D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6.快捷置灰：支持平台肤色快捷置灰功能，切合特殊纪念日氛围。</w:t>
            </w:r>
          </w:p>
        </w:tc>
      </w:tr>
      <w:tr w14:paraId="7951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08E1CF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D2A10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E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7.强制播放：支持强制设置播放源，用户点击任意视频均强制播放指定视频源，便于学校进行统一播放和管理。</w:t>
            </w:r>
          </w:p>
        </w:tc>
      </w:tr>
      <w:tr w14:paraId="4CED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1C14B3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1F7816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DC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8.流量统计：支持平台对用户访问数、页面访问数进行数量统计，用户流量可按日、周、月、年、总浏览数进行分类统计。支持对视频直播流量、点播流量统计，并以曲线图形式展现10天内的访问流量变化趋势。</w:t>
            </w:r>
          </w:p>
        </w:tc>
      </w:tr>
      <w:tr w14:paraId="0DA4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81AF5F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7BE232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A7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tc>
      </w:tr>
      <w:tr w14:paraId="1521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5B33AB6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9DE85E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47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二、微课管理系统</w:t>
            </w:r>
          </w:p>
        </w:tc>
      </w:tr>
      <w:tr w14:paraId="5AB8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7328AC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5CD21F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D9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1.提供微课管理模块，支持自定义微课时长限制，在规定时长内的视频上传平台后自动归类到微课模块当中，并支持按学段、学科进行自动归类整理。</w:t>
            </w:r>
          </w:p>
        </w:tc>
      </w:tr>
      <w:tr w14:paraId="352C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BF253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1F8024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6F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2.提供专业微课录制软件，支持直接从平台下载微课录制软件并安装于笔记本电脑中。微课视频录制完毕后支持一键上传到平台，或下载到本地电脑保存。</w:t>
            </w:r>
          </w:p>
        </w:tc>
      </w:tr>
      <w:tr w14:paraId="7A32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F824F9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8C62A8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80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3.微课录制软件需满足包括教师头像、实物展台、课件PPT在内的三路视频源切换及组合布局录制，支持课件与老师画中画模式。</w:t>
            </w:r>
          </w:p>
        </w:tc>
      </w:tr>
      <w:tr w14:paraId="44D8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14E5EC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22D9C5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0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4.支持PPT课件导入、课件批注，在微课录制的同时支持PPT分页预览，并进行切换录制。</w:t>
            </w:r>
          </w:p>
        </w:tc>
      </w:tr>
      <w:tr w14:paraId="0E7C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3582C7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240DA1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D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三、移动APP应用服务</w:t>
            </w:r>
          </w:p>
        </w:tc>
      </w:tr>
      <w:tr w14:paraId="7A0C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9C97E5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3FF245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BC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1.提供自主研发的平台移动端APP，支持Android系统，可与视频资源管理平台对接。</w:t>
            </w:r>
          </w:p>
        </w:tc>
      </w:tr>
      <w:tr w14:paraId="649F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DD5A96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CE0BD6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1C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2.移动端APP应提供视频在线直播、视频点播、专辑点播等功能。</w:t>
            </w:r>
          </w:p>
        </w:tc>
      </w:tr>
      <w:tr w14:paraId="2AE9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ADECAE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2EA6D3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CC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3.移动端同步支持虚拟切片功能，实现知识点的快速跳转观看、学习，提高学生的学习效率。</w:t>
            </w:r>
          </w:p>
        </w:tc>
      </w:tr>
      <w:tr w14:paraId="24BA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45E3F7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D43790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40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4.支持移动端APP点播视频时查看视频信息、视频附件。</w:t>
            </w:r>
          </w:p>
        </w:tc>
      </w:tr>
      <w:tr w14:paraId="58B4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53E4A59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BA359D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00C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themeColor="text1"/>
                <w:kern w:val="0"/>
                <w:sz w:val="21"/>
                <w:szCs w:val="21"/>
                <w:u w:val="none"/>
                <w:lang w:val="en-US" w:eastAsia="zh-CN" w:bidi="ar"/>
                <w14:textFill>
                  <w14:solidFill>
                    <w14:schemeClr w14:val="tx1"/>
                  </w14:solidFill>
                </w14:textFill>
              </w:rPr>
              <w:t>四、其他</w:t>
            </w:r>
          </w:p>
        </w:tc>
      </w:tr>
      <w:tr w14:paraId="6954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bottom w:val="single" w:color="000000" w:sz="4" w:space="0"/>
              <w:right w:val="single" w:color="000000" w:sz="4" w:space="0"/>
            </w:tcBorders>
            <w:shd w:val="clear" w:color="auto" w:fill="auto"/>
            <w:noWrap/>
            <w:vAlign w:val="center"/>
          </w:tcPr>
          <w:p w14:paraId="4A3200F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bottom w:val="single" w:color="000000" w:sz="4" w:space="0"/>
              <w:right w:val="single" w:color="000000" w:sz="4" w:space="0"/>
            </w:tcBorders>
            <w:shd w:val="clear" w:color="auto" w:fill="auto"/>
            <w:vAlign w:val="center"/>
          </w:tcPr>
          <w:p w14:paraId="60314B0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294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asciiTheme="minorEastAsia" w:hAnsiTheme="minorEastAsia" w:eastAsiaTheme="minorEastAsia" w:cstheme="minorEastAsia"/>
                <w:b/>
                <w:bCs/>
                <w:i w:val="0"/>
                <w:iCs w:val="0"/>
                <w:color w:val="FF0000"/>
                <w:kern w:val="0"/>
                <w:sz w:val="21"/>
                <w:szCs w:val="21"/>
                <w:u w:val="none"/>
                <w:lang w:val="en-US" w:eastAsia="zh-CN" w:bidi="ar"/>
              </w:rPr>
              <w:t>★1.为保证优质视频资源的共建共享，本套系统需与学校现有的移动录播系统实现无缝对接，实现包含但不限于多教室双师课堂互动、录播后台管理等功能，如需进行接口开发、功能开发、功能测试等从而产生的所有额外费用，均包含在本项目分项报价中。</w:t>
            </w:r>
          </w:p>
        </w:tc>
      </w:tr>
      <w:tr w14:paraId="131D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2F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三、微课系统</w:t>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8" name="图片_31"/>
                  <wp:cNvGraphicFramePr/>
                  <a:graphic xmlns:a="http://schemas.openxmlformats.org/drawingml/2006/main">
                    <a:graphicData uri="http://schemas.openxmlformats.org/drawingml/2006/picture">
                      <pic:pic xmlns:pic="http://schemas.openxmlformats.org/drawingml/2006/picture">
                        <pic:nvPicPr>
                          <pic:cNvPr id="48" name="图片_3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9" name="图片_89"/>
                  <wp:cNvGraphicFramePr/>
                  <a:graphic xmlns:a="http://schemas.openxmlformats.org/drawingml/2006/main">
                    <a:graphicData uri="http://schemas.openxmlformats.org/drawingml/2006/picture">
                      <pic:pic xmlns:pic="http://schemas.openxmlformats.org/drawingml/2006/picture">
                        <pic:nvPicPr>
                          <pic:cNvPr id="49" name="图片_8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0" name="图片_87"/>
                  <wp:cNvGraphicFramePr/>
                  <a:graphic xmlns:a="http://schemas.openxmlformats.org/drawingml/2006/main">
                    <a:graphicData uri="http://schemas.openxmlformats.org/drawingml/2006/picture">
                      <pic:pic xmlns:pic="http://schemas.openxmlformats.org/drawingml/2006/picture">
                        <pic:nvPicPr>
                          <pic:cNvPr id="50" name="图片_8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37" name="图片_42"/>
                  <wp:cNvGraphicFramePr/>
                  <a:graphic xmlns:a="http://schemas.openxmlformats.org/drawingml/2006/main">
                    <a:graphicData uri="http://schemas.openxmlformats.org/drawingml/2006/picture">
                      <pic:pic xmlns:pic="http://schemas.openxmlformats.org/drawingml/2006/picture">
                        <pic:nvPicPr>
                          <pic:cNvPr id="37" name="图片_42"/>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4" name="图片_24"/>
                  <wp:cNvGraphicFramePr/>
                  <a:graphic xmlns:a="http://schemas.openxmlformats.org/drawingml/2006/main">
                    <a:graphicData uri="http://schemas.openxmlformats.org/drawingml/2006/picture">
                      <pic:pic xmlns:pic="http://schemas.openxmlformats.org/drawingml/2006/picture">
                        <pic:nvPicPr>
                          <pic:cNvPr id="44" name="图片_2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2" name="图片_91"/>
                  <wp:cNvGraphicFramePr/>
                  <a:graphic xmlns:a="http://schemas.openxmlformats.org/drawingml/2006/main">
                    <a:graphicData uri="http://schemas.openxmlformats.org/drawingml/2006/picture">
                      <pic:pic xmlns:pic="http://schemas.openxmlformats.org/drawingml/2006/picture">
                        <pic:nvPicPr>
                          <pic:cNvPr id="42" name="图片_9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38" name="图片_44"/>
                  <wp:cNvGraphicFramePr/>
                  <a:graphic xmlns:a="http://schemas.openxmlformats.org/drawingml/2006/main">
                    <a:graphicData uri="http://schemas.openxmlformats.org/drawingml/2006/picture">
                      <pic:pic xmlns:pic="http://schemas.openxmlformats.org/drawingml/2006/picture">
                        <pic:nvPicPr>
                          <pic:cNvPr id="38" name="图片_4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39" name="图片_71"/>
                  <wp:cNvGraphicFramePr/>
                  <a:graphic xmlns:a="http://schemas.openxmlformats.org/drawingml/2006/main">
                    <a:graphicData uri="http://schemas.openxmlformats.org/drawingml/2006/picture">
                      <pic:pic xmlns:pic="http://schemas.openxmlformats.org/drawingml/2006/picture">
                        <pic:nvPicPr>
                          <pic:cNvPr id="39" name="图片_7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0" name="图片_78"/>
                  <wp:cNvGraphicFramePr/>
                  <a:graphic xmlns:a="http://schemas.openxmlformats.org/drawingml/2006/main">
                    <a:graphicData uri="http://schemas.openxmlformats.org/drawingml/2006/picture">
                      <pic:pic xmlns:pic="http://schemas.openxmlformats.org/drawingml/2006/picture">
                        <pic:nvPicPr>
                          <pic:cNvPr id="40" name="图片_7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1" name="图片_23"/>
                  <wp:cNvGraphicFramePr/>
                  <a:graphic xmlns:a="http://schemas.openxmlformats.org/drawingml/2006/main">
                    <a:graphicData uri="http://schemas.openxmlformats.org/drawingml/2006/picture">
                      <pic:pic xmlns:pic="http://schemas.openxmlformats.org/drawingml/2006/picture">
                        <pic:nvPicPr>
                          <pic:cNvPr id="41" name="图片_23"/>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45" name="图片_70"/>
                  <wp:cNvGraphicFramePr/>
                  <a:graphic xmlns:a="http://schemas.openxmlformats.org/drawingml/2006/main">
                    <a:graphicData uri="http://schemas.openxmlformats.org/drawingml/2006/picture">
                      <pic:pic xmlns:pic="http://schemas.openxmlformats.org/drawingml/2006/picture">
                        <pic:nvPicPr>
                          <pic:cNvPr id="45" name="图片_70"/>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1" name="图片_40"/>
                  <wp:cNvGraphicFramePr/>
                  <a:graphic xmlns:a="http://schemas.openxmlformats.org/drawingml/2006/main">
                    <a:graphicData uri="http://schemas.openxmlformats.org/drawingml/2006/picture">
                      <pic:pic xmlns:pic="http://schemas.openxmlformats.org/drawingml/2006/picture">
                        <pic:nvPicPr>
                          <pic:cNvPr id="71" name="图片_40"/>
                          <pic:cNvPicPr/>
                        </pic:nvPicPr>
                        <pic:blipFill>
                          <a:blip r:embed="rId12"/>
                          <a:stretch>
                            <a:fillRect/>
                          </a:stretch>
                        </pic:blipFill>
                        <pic:spPr>
                          <a:xfrm>
                            <a:off x="0" y="0"/>
                            <a:ext cx="190500" cy="283210"/>
                          </a:xfrm>
                          <a:prstGeom prst="rect">
                            <a:avLst/>
                          </a:prstGeom>
                          <a:noFill/>
                          <a:ln>
                            <a:noFill/>
                          </a:ln>
                        </pic:spPr>
                      </pic:pic>
                    </a:graphicData>
                  </a:graphic>
                </wp:anchor>
              </w:drawing>
            </w:r>
          </w:p>
        </w:tc>
      </w:tr>
      <w:tr w14:paraId="720A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D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2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微课录播主机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CB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一.整体设计</w:t>
            </w:r>
          </w:p>
        </w:tc>
      </w:tr>
      <w:tr w14:paraId="4C90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61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761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9C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1.主机架构：为保障系统运行稳定、安全，要求录播主机采用嵌入式架构设计，非PC、服务器架构。主机为标准1U机架式设备，便于安装部署。</w:t>
            </w:r>
          </w:p>
        </w:tc>
      </w:tr>
      <w:tr w14:paraId="2397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A34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5A8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D265">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高度集成：要求主机高度集成多种功能应用，包括虚拟蓝幕环出、视频抠像、虚拟背景实时渲染、电子白板批注、视频录制等功能，无需其他色键抠像主机配合，也无需蓝幕/绿幕装修即可完成精品抠像微课制作。</w:t>
            </w:r>
          </w:p>
        </w:tc>
      </w:tr>
      <w:tr w14:paraId="2F2C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383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627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AD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3.低噪声设计：要求所投录播主机运行状态下噪声最大值≤20dB(A)。</w:t>
            </w:r>
          </w:p>
        </w:tc>
      </w:tr>
      <w:tr w14:paraId="69D8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2E3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97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85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4.工作功率：整机正常工作状态下功耗不超过50W。</w:t>
            </w:r>
          </w:p>
        </w:tc>
      </w:tr>
      <w:tr w14:paraId="7613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117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3AA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A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5.视频输入输出：具备高清视频输入接口D-Video≥4个、HDMIin≥2个、高清输出接口HDMIout≥2个、预览和输出分辨率均支持1080P。</w:t>
            </w:r>
          </w:p>
        </w:tc>
      </w:tr>
      <w:tr w14:paraId="0D4D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8A7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CE9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6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6.视频编解码：支持标准H.264视频编解码协议，要求支持1080P30fps、720P30fps分辨率格式编解码。</w:t>
            </w:r>
          </w:p>
        </w:tc>
      </w:tr>
      <w:tr w14:paraId="5AA6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A9F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85A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4F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7.视频一线通：数字视频接口（RJ45）支持摄像机与主机之间仅通过一根双绞线即可同时实现供电、控制和视频信号的同步传输，不接受使用转接器的方式。</w:t>
            </w:r>
          </w:p>
        </w:tc>
      </w:tr>
      <w:tr w14:paraId="04A8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069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041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95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8.音频输入输出：具备数字音频输入接口Digitalmic≥6个、线性音频输入接口Linein≥2个、线性音频输出接口Lineout≥2个。</w:t>
            </w:r>
          </w:p>
        </w:tc>
      </w:tr>
      <w:tr w14:paraId="23E2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421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892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10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9.音频一线通：数字音频接口（RJ45）支持麦克风与主机之间仅通过一根双绞线即可同时实现供电和音频信号的采集，实现音频信号的高品质、抗干扰稳定传输。</w:t>
            </w:r>
          </w:p>
        </w:tc>
      </w:tr>
      <w:tr w14:paraId="289C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316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005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EC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10.音频处理：内置音频处理功能，支持EQ均衡、AGC自动增益等音频处理功能。</w:t>
            </w:r>
          </w:p>
        </w:tc>
      </w:tr>
      <w:tr w14:paraId="0307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97A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CC0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B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11.音频编解码：采用AAC音频编解码协议标准，并支持音频处理功能。</w:t>
            </w:r>
          </w:p>
        </w:tc>
      </w:tr>
      <w:tr w14:paraId="1222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5B7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2B3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5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12.网络接入：具备标准RJ45网络接口，支持100/1000M网络自适应。并要求支持IPv4、IPv6双协议栈。</w:t>
            </w:r>
          </w:p>
        </w:tc>
      </w:tr>
      <w:tr w14:paraId="2F18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AF5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9E2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0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13.存储容量：内置不少于1T存储空间，用于录制视频文件的本地存储。</w:t>
            </w:r>
          </w:p>
        </w:tc>
      </w:tr>
      <w:tr w14:paraId="7585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925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F6F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4E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14.主机控制：具备Console控制接口≥2个，支持RS232/422协议。</w:t>
            </w:r>
          </w:p>
        </w:tc>
      </w:tr>
      <w:tr w14:paraId="08E3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944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A3E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9E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15.外设连接：具备USB2.0接口≥2个，可用于连接U盘等外设。</w:t>
            </w:r>
          </w:p>
        </w:tc>
      </w:tr>
      <w:tr w14:paraId="3668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30D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82B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D9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16.数字视频传输：支持对同品牌高清摄像机实现基于RJ45双绞线的视频裸数据传输技术，支持摄像机到录播主机端的视频采集和传输过程无需编解码、无画质损耗并实现≤100ms的声画同步，保障录制视频效果。</w:t>
            </w:r>
          </w:p>
        </w:tc>
      </w:tr>
      <w:tr w14:paraId="15A8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A5F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6BF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22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17.边缘计算：主机采用嵌入式异构计算架构的硬件设计，具备边缘AI智能算法，实现快速、实时地AI抠像处理。</w:t>
            </w:r>
          </w:p>
        </w:tc>
      </w:tr>
      <w:tr w14:paraId="070A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CDB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833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3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二.功能设计</w:t>
            </w:r>
          </w:p>
        </w:tc>
      </w:tr>
      <w:tr w14:paraId="4A67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9B1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100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F8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1.抠像录制：要求支持至少1路RJ45摄像机拍摄画面进行抠像录制，可选择开启“一键式”底色背景抠像功能对摄像机拍摄画面进行人物抠像，并叠加至动态背景进行叠加渲染，录制输出。</w:t>
            </w:r>
          </w:p>
        </w:tc>
      </w:tr>
      <w:tr w14:paraId="5AE5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881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D60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4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2.AI抠像：要求支持人工智能抠像算法和图像处理技术，通过大量训练以及学习的AI系统，再各类灯光条件下均可准确识别和抠取透明物体、发丝等复杂抠像元素，过程高度自动化，提高抠像效率与精度。</w:t>
            </w:r>
          </w:p>
        </w:tc>
      </w:tr>
      <w:tr w14:paraId="653E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83E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B6F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EC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3.效果预览：要求可提供实时的人物抠像与虚拟背景叠加渲染效果画面，并能输出至大屏上进行显示预览。</w:t>
            </w:r>
          </w:p>
        </w:tc>
      </w:tr>
      <w:tr w14:paraId="0706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CD5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3BC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B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4.虚拟蓝箱：要求具备虚拟蓝箱功能，软件模拟虚拟蓝/绿箱信号通过配套的录播主机输出生成蓝/绿箱环境进行抠像，无需部署装修抠像蓝/绿箱环境。</w:t>
            </w:r>
          </w:p>
        </w:tc>
      </w:tr>
      <w:tr w14:paraId="3026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40C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9E5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5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5.虚拟白板：支持在虚拟蓝/绿箱屏幕上进行画笔、擦除、翻页等应用，画笔痕迹可叠加到录制效果画面中。</w:t>
            </w:r>
          </w:p>
        </w:tc>
      </w:tr>
      <w:tr w14:paraId="3FA9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3F9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B82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86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6.虚实同步：要求支持抠像拍摄和实景拍摄同步进行，并可实时进行虚拟场景和实景拍摄画面的切换录制。</w:t>
            </w:r>
          </w:p>
        </w:tc>
      </w:tr>
      <w:tr w14:paraId="66AD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353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EDB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E6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7.平台对接：支持FTP文件传输协议，主机录制生成的视频文件与应用平台实现自动归档上传。</w:t>
            </w:r>
          </w:p>
        </w:tc>
      </w:tr>
      <w:tr w14:paraId="4FF3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C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E5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微课录制软件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F9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1.面板管控：支持接入控制面板，对录播设备进行唤醒、录制管理。</w:t>
            </w:r>
          </w:p>
        </w:tc>
      </w:tr>
      <w:tr w14:paraId="484F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DCA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4B8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6A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2.软件架构：软件需采用B/S架构设计，使用主流浏览器通过网络即可访问软件后台进行管理应用。</w:t>
            </w:r>
          </w:p>
        </w:tc>
      </w:tr>
      <w:tr w14:paraId="714E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ECC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61B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2B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3.启动设置：支持多种上电模式选择切换，至少包括关机模式、休眠模式。</w:t>
            </w:r>
          </w:p>
        </w:tc>
      </w:tr>
      <w:tr w14:paraId="4E02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1A3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BE8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0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4.本地录制：要求支持本地录制，在断网情况下也可以对本地教室进行视频录制，并将录制文件保存在录播主机的内置硬盘中。</w:t>
            </w:r>
          </w:p>
        </w:tc>
      </w:tr>
      <w:tr w14:paraId="4A10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947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0D9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35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p>
        </w:tc>
      </w:tr>
      <w:tr w14:paraId="578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D4E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A45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E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6.录制导播：要求支持网络导播界面，界面可支持对摄像机画面、电脑画面、片头/片尾画面预览窗口进行实时预览，并支持视频画面任意切换控制。</w:t>
            </w:r>
          </w:p>
        </w:tc>
      </w:tr>
      <w:tr w14:paraId="5944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02C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4CAC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05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7.双码流录制：要求支持高、低双码流录制功能，可自定义录制分辨率、帧率和码流。</w:t>
            </w:r>
          </w:p>
        </w:tc>
      </w:tr>
      <w:tr w14:paraId="441B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2F8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B7B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18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8.快捷导播：要求录播导播预览页面支持不少于9种布局选择，并支持logo设置、字幕设置、摄像机变焦设置、音量调节、抠像阈值设置，方便导播人员快速操作。</w:t>
            </w:r>
          </w:p>
        </w:tc>
      </w:tr>
      <w:tr w14:paraId="798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B13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D6B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9.抠像方式：要求支持蓝箱和绿箱两种抠像方式，并支持自定义设置抠像阈值。支持HDMI作为动态背景叠加，便于教师录制虚拟微课等应用。</w:t>
            </w:r>
          </w:p>
        </w:tc>
      </w:tr>
      <w:tr w14:paraId="49A8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D57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D5E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63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10.抠像底色：要求支持在导播页显示当前RGB值对应底色图，并支持通过取色器功能完成取色后更新抠像底色图与RGB值，辅助主机设置底色与实际拍摄底色尽量接近保证抠像效果。</w:t>
            </w:r>
          </w:p>
        </w:tc>
      </w:tr>
      <w:tr w14:paraId="3A97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D87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83E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11.课件背景：要求虚拟蓝箱信号叠加在大屏课件背景上，主讲人透过虚拟蓝箱亦可以清晰看见课件背景内容，方便录制虚拟微课时避免出现“盲指”现象，微课制作更直观精美。</w:t>
            </w:r>
          </w:p>
        </w:tc>
      </w:tr>
      <w:tr w14:paraId="5576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69A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A80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B7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12.直播码流：支持自定义直播分辨率和码率，支持1080P高清/720P高清等选择，以适应不同网络环境下保持直播的流畅性。</w:t>
            </w:r>
          </w:p>
        </w:tc>
      </w:tr>
      <w:tr w14:paraId="5D47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C87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A0F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48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13.直播协议：要求支持HTTP、RTMP、RTSP多种直播视频流协议，支持TCP和UDP传输协议。</w:t>
            </w:r>
          </w:p>
        </w:tc>
      </w:tr>
      <w:tr w14:paraId="5A30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049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35A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30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14.VLC缓冲：要求支持VLC缓冲设置功能，可精确到毫秒，缓冲时间阈值可设。</w:t>
            </w:r>
          </w:p>
        </w:tc>
      </w:tr>
      <w:tr w14:paraId="760E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870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EBD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AF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15.录像管理：支持对录制视频按时间进行排序，便于快速检索所需视频。支持对录像文件进行回放和下载。</w:t>
            </w:r>
          </w:p>
        </w:tc>
      </w:tr>
      <w:tr w14:paraId="4CFA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D5B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2C3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FD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16.视频修复：支持硬盘格式化功能，支持对设备异常断电、宕机造成的损坏视频文件进行修复。</w:t>
            </w:r>
          </w:p>
        </w:tc>
      </w:tr>
      <w:tr w14:paraId="2959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084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868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B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17.中英双语：支持中英双语版本切换，适合不同用户的应用需求。要求通过网络导播界面即可便捷切换，无需进行更改授权、系统升级等复杂操作。</w:t>
            </w:r>
          </w:p>
        </w:tc>
      </w:tr>
      <w:tr w14:paraId="236A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F01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5AE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94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18.系统管理：支持系统软件版本管理，包括软件版本查询，在线升级与系统授权。支持查询录播主机的设备型号、版本信息、机身号。</w:t>
            </w:r>
          </w:p>
        </w:tc>
      </w:tr>
      <w:tr w14:paraId="58D0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4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DC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高清摄像机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9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1.传感器：要求采用CMOS类型图像传感器，尺寸≥1/2.5英寸。</w:t>
            </w:r>
          </w:p>
        </w:tc>
      </w:tr>
      <w:tr w14:paraId="76BF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452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CE5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4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2.像素：有效像素不低于800万。</w:t>
            </w:r>
          </w:p>
        </w:tc>
      </w:tr>
      <w:tr w14:paraId="1A65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101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9B1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3.变焦：要求支持自动和手动变焦，综合变焦倍数最大可达32倍。</w:t>
            </w:r>
          </w:p>
        </w:tc>
      </w:tr>
      <w:tr w14:paraId="1F37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576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323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AC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4.云台转动：要求具备机械云台可进行转动跟踪。水平转动速度最大不少于90°/s，垂直转动速度最大不少70°/s。</w:t>
            </w:r>
          </w:p>
        </w:tc>
      </w:tr>
      <w:tr w14:paraId="0BBA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799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8DA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3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5.拍摄视场角：支持水平视场角≥70°，垂直视场角≥40°。</w:t>
            </w:r>
          </w:p>
        </w:tc>
      </w:tr>
      <w:tr w14:paraId="2F5A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513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633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F5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6.数字降噪：支持2D/3D数字降噪，信噪比≥55dB。</w:t>
            </w:r>
          </w:p>
        </w:tc>
      </w:tr>
      <w:tr w14:paraId="319E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6AD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B21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0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7.视频编码：要求支持H.265、H.264高清视频编码协议。</w:t>
            </w:r>
          </w:p>
        </w:tc>
      </w:tr>
      <w:tr w14:paraId="7046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9F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887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8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8.音频编码：支持OPUS、G.711A、AAC音频编码协议。</w:t>
            </w:r>
          </w:p>
        </w:tc>
      </w:tr>
      <w:tr w14:paraId="2419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216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3CF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B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9.视频输出：要求具备HDMI视频输出口≥1个。</w:t>
            </w:r>
          </w:p>
        </w:tc>
      </w:tr>
      <w:tr w14:paraId="1541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12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37A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2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10.背光补偿：要求具备背光补偿功能。</w:t>
            </w:r>
          </w:p>
        </w:tc>
      </w:tr>
      <w:tr w14:paraId="65B1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D88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537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8C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11.协议支持：要求支持VISCA标准摄像机控制协议、RTP/RTCP/RTSP/RTMP网络流传输协议。</w:t>
            </w:r>
          </w:p>
        </w:tc>
      </w:tr>
      <w:tr w14:paraId="7EB1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D07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90F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87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12.通讯接口：要求具备RS232/RS422≥1个。</w:t>
            </w:r>
          </w:p>
        </w:tc>
      </w:tr>
      <w:tr w14:paraId="0E42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5BB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7B2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2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13.网络接入：要求具备标准RJ45网络接口，并支持1000M自适应以太网接入与RTSP协议网络视频输出。</w:t>
            </w:r>
          </w:p>
        </w:tc>
      </w:tr>
      <w:tr w14:paraId="711B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A78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C78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F2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14.音频接口：要求具备不少于1路Linein输入口。</w:t>
            </w:r>
          </w:p>
        </w:tc>
      </w:tr>
      <w:tr w14:paraId="7782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656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1D3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0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15.USB接口：要求具备USBType-A≥1个。</w:t>
            </w:r>
          </w:p>
        </w:tc>
      </w:tr>
      <w:tr w14:paraId="685A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1A3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D35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71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16.预置位：要求支持设置摄像机预置位，预置位数量≥255个。</w:t>
            </w:r>
          </w:p>
        </w:tc>
      </w:tr>
      <w:tr w14:paraId="4903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F32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12A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17.图像翻转：要求支持图像水平、垂直翻转，适应摄像机不同的安装方式要求。</w:t>
            </w:r>
          </w:p>
        </w:tc>
      </w:tr>
      <w:tr w14:paraId="7E6C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9B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9C0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5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18.一线通：要求与搭配的录播主机连接，可实现摄像机供电、控制以及视频信号传输。</w:t>
            </w:r>
          </w:p>
        </w:tc>
      </w:tr>
      <w:tr w14:paraId="35CF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10E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075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D5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19.高效数据传输：支持对同品牌录播主机实现基于数据链路层的数字视频数据传输技术，能实现≤100ms的声画同步，在拍摄运动画面和复杂画面时不存在镜头呼吸效应带来的周期性画面焦距抖动。</w:t>
            </w:r>
          </w:p>
        </w:tc>
      </w:tr>
      <w:tr w14:paraId="2EED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A1E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4B5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63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20.电源支持：支持录播主机供电和DC12V电源适配器等供电方式。</w:t>
            </w:r>
          </w:p>
        </w:tc>
      </w:tr>
      <w:tr w14:paraId="27CA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8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C2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高清摄像机管理软件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BE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1.摄像机管理软件采用B/S架构，支持通用浏览器直接访问进行管理。</w:t>
            </w:r>
          </w:p>
        </w:tc>
      </w:tr>
      <w:tr w14:paraId="4EDB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239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177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72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2.支持曝光模式设置功能，包括自动、手动。</w:t>
            </w:r>
          </w:p>
        </w:tc>
      </w:tr>
      <w:tr w14:paraId="2DF0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A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0D6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0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3.支持抗闪烁频率、动态范围、光圈、快门参数设置。</w:t>
            </w:r>
          </w:p>
        </w:tc>
      </w:tr>
      <w:tr w14:paraId="4F91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79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012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52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4.支持自动白平衡设置功能，红、蓝增益可调。</w:t>
            </w:r>
          </w:p>
        </w:tc>
      </w:tr>
      <w:tr w14:paraId="4CF6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D32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426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20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5.支持噪声抑制设置功能，支持2D、3D降噪。</w:t>
            </w:r>
          </w:p>
        </w:tc>
      </w:tr>
      <w:tr w14:paraId="1A15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EA9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E97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5E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6.支持摄像机图像质量调节功能，包括亮度、对比度、色调、饱和度。</w:t>
            </w:r>
          </w:p>
        </w:tc>
      </w:tr>
      <w:tr w14:paraId="1E14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E4C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D1C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FA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7.支持摄像机控制功能，包括云台控制、预置位设置与调用、焦距调节等。</w:t>
            </w:r>
          </w:p>
        </w:tc>
      </w:tr>
      <w:tr w14:paraId="1891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1C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无线话筒</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7B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1.一拖二领夹麦克风，内置电池。</w:t>
            </w:r>
          </w:p>
        </w:tc>
      </w:tr>
      <w:tr w14:paraId="00F2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40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691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E9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2.支持有线/无线传输。</w:t>
            </w:r>
          </w:p>
        </w:tc>
      </w:tr>
      <w:tr w14:paraId="776A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3F1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366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A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3.连接方式：直插式，蓝牙。</w:t>
            </w:r>
          </w:p>
        </w:tc>
      </w:tr>
      <w:tr w14:paraId="42EC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7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B4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录制面板</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D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1.镶嵌式安装方式。</w:t>
            </w:r>
          </w:p>
        </w:tc>
      </w:tr>
      <w:tr w14:paraId="4610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188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95A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A4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2.一键式录播控制：录制、停止等功能。</w:t>
            </w:r>
          </w:p>
        </w:tc>
      </w:tr>
      <w:tr w14:paraId="0C65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43E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379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8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3.可锁定电脑信号进行录制和直播。</w:t>
            </w:r>
          </w:p>
        </w:tc>
      </w:tr>
      <w:tr w14:paraId="2FC4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BEC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FF1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16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4.支持一键式系统电源开关控制。</w:t>
            </w:r>
          </w:p>
        </w:tc>
      </w:tr>
      <w:tr w14:paraId="2887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4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D7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编辑设备</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3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6" name="图片_77"/>
                  <wp:cNvGraphicFramePr/>
                  <a:graphic xmlns:a="http://schemas.openxmlformats.org/drawingml/2006/main">
                    <a:graphicData uri="http://schemas.openxmlformats.org/drawingml/2006/picture">
                      <pic:pic xmlns:pic="http://schemas.openxmlformats.org/drawingml/2006/picture">
                        <pic:nvPicPr>
                          <pic:cNvPr id="56" name="图片_7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0" name="图片_11"/>
                  <wp:cNvGraphicFramePr/>
                  <a:graphic xmlns:a="http://schemas.openxmlformats.org/drawingml/2006/main">
                    <a:graphicData uri="http://schemas.openxmlformats.org/drawingml/2006/picture">
                      <pic:pic xmlns:pic="http://schemas.openxmlformats.org/drawingml/2006/picture">
                        <pic:nvPicPr>
                          <pic:cNvPr id="60" name="图片_1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9" name="图片_39"/>
                  <wp:cNvGraphicFramePr/>
                  <a:graphic xmlns:a="http://schemas.openxmlformats.org/drawingml/2006/main">
                    <a:graphicData uri="http://schemas.openxmlformats.org/drawingml/2006/picture">
                      <pic:pic xmlns:pic="http://schemas.openxmlformats.org/drawingml/2006/picture">
                        <pic:nvPicPr>
                          <pic:cNvPr id="59" name="图片_3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5" name="图片_30"/>
                  <wp:cNvGraphicFramePr/>
                  <a:graphic xmlns:a="http://schemas.openxmlformats.org/drawingml/2006/main">
                    <a:graphicData uri="http://schemas.openxmlformats.org/drawingml/2006/picture">
                      <pic:pic xmlns:pic="http://schemas.openxmlformats.org/drawingml/2006/picture">
                        <pic:nvPicPr>
                          <pic:cNvPr id="55" name="图片_30"/>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3" name="图片_59"/>
                  <wp:cNvGraphicFramePr/>
                  <a:graphic xmlns:a="http://schemas.openxmlformats.org/drawingml/2006/main">
                    <a:graphicData uri="http://schemas.openxmlformats.org/drawingml/2006/picture">
                      <pic:pic xmlns:pic="http://schemas.openxmlformats.org/drawingml/2006/picture">
                        <pic:nvPicPr>
                          <pic:cNvPr id="63" name="图片_5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7" name="图片_88"/>
                  <wp:cNvGraphicFramePr/>
                  <a:graphic xmlns:a="http://schemas.openxmlformats.org/drawingml/2006/main">
                    <a:graphicData uri="http://schemas.openxmlformats.org/drawingml/2006/picture">
                      <pic:pic xmlns:pic="http://schemas.openxmlformats.org/drawingml/2006/picture">
                        <pic:nvPicPr>
                          <pic:cNvPr id="57" name="图片_8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2" name="图片_86"/>
                  <wp:cNvGraphicFramePr/>
                  <a:graphic xmlns:a="http://schemas.openxmlformats.org/drawingml/2006/main">
                    <a:graphicData uri="http://schemas.openxmlformats.org/drawingml/2006/picture">
                      <pic:pic xmlns:pic="http://schemas.openxmlformats.org/drawingml/2006/picture">
                        <pic:nvPicPr>
                          <pic:cNvPr id="62" name="图片_8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4" name="图片_41"/>
                  <wp:cNvGraphicFramePr/>
                  <a:graphic xmlns:a="http://schemas.openxmlformats.org/drawingml/2006/main">
                    <a:graphicData uri="http://schemas.openxmlformats.org/drawingml/2006/picture">
                      <pic:pic xmlns:pic="http://schemas.openxmlformats.org/drawingml/2006/picture">
                        <pic:nvPicPr>
                          <pic:cNvPr id="64" name="图片_41"/>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9" name="图片_58"/>
                  <wp:cNvGraphicFramePr/>
                  <a:graphic xmlns:a="http://schemas.openxmlformats.org/drawingml/2006/main">
                    <a:graphicData uri="http://schemas.openxmlformats.org/drawingml/2006/picture">
                      <pic:pic xmlns:pic="http://schemas.openxmlformats.org/drawingml/2006/picture">
                        <pic:nvPicPr>
                          <pic:cNvPr id="69" name="图片_58"/>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1.处理器核心不低于16核，单核频率不低于2.1GHz。</w:t>
            </w:r>
          </w:p>
        </w:tc>
      </w:tr>
      <w:tr w14:paraId="3364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6A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8C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F4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2.内存：≥16G内存，≥4个内存插槽，最大内存支持128G。</w:t>
            </w:r>
          </w:p>
        </w:tc>
      </w:tr>
      <w:tr w14:paraId="145B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A19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C0A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C9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3.硬盘：≥1TM.2SSD固态硬盘，机箱可扩展2个3.5"硬盘槽位。</w:t>
            </w:r>
          </w:p>
        </w:tc>
      </w:tr>
      <w:tr w14:paraId="2CEF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D73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842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FB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4.显卡：≥8GB独显。</w:t>
            </w:r>
          </w:p>
        </w:tc>
      </w:tr>
      <w:tr w14:paraId="5543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C45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C25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A1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5.接口：前置：≥1个USB-C、≥2个USB3.2G2、≥2个USB3.2G1，≥2个音频接口（其中1个二合一音频接口）；后置：≥4个USB接口，≥1个VGA、≥1个HDMI、≥1个DP接口。</w:t>
            </w:r>
          </w:p>
        </w:tc>
      </w:tr>
      <w:tr w14:paraId="7C87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9EE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8B8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DF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6.内置扩展槽：≥1个PCIEx16，≥2个PCIEx4，≥1个串口，≥1个并口。</w:t>
            </w:r>
          </w:p>
        </w:tc>
      </w:tr>
      <w:tr w14:paraId="0D55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61E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34F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E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7.键盘、鼠标：标配原厂USB光电鼠标，支持键盘开机。</w:t>
            </w:r>
          </w:p>
        </w:tc>
      </w:tr>
      <w:tr w14:paraId="3BC6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4E7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7F1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1C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8.含不低于23.8英寸高清显示器。</w:t>
            </w:r>
          </w:p>
        </w:tc>
      </w:tr>
      <w:tr w14:paraId="5143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0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0E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演播补光灯</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39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1.额定功率：≥120W。</w:t>
            </w:r>
          </w:p>
        </w:tc>
      </w:tr>
      <w:tr w14:paraId="416E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56E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933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0F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2.灯珠数量：≥600颗。</w:t>
            </w:r>
          </w:p>
        </w:tc>
      </w:tr>
      <w:tr w14:paraId="6527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020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71C3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B5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3.出光角度：≥120度。</w:t>
            </w:r>
          </w:p>
        </w:tc>
      </w:tr>
      <w:tr w14:paraId="2CED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81C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9A6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6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4.显色指数：Ra≥95R9=88。</w:t>
            </w:r>
          </w:p>
        </w:tc>
      </w:tr>
      <w:tr w14:paraId="45A2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091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10D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B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5.色温：3200K/5600K(±150K)。</w:t>
            </w:r>
          </w:p>
        </w:tc>
      </w:tr>
      <w:tr w14:paraId="2724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right w:val="single" w:color="000000" w:sz="4" w:space="0"/>
            </w:tcBorders>
            <w:shd w:val="clear" w:color="auto" w:fill="auto"/>
            <w:noWrap/>
            <w:vAlign w:val="center"/>
          </w:tcPr>
          <w:p w14:paraId="6FDD8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58" w:type="pct"/>
            <w:vMerge w:val="restart"/>
            <w:tcBorders>
              <w:top w:val="single" w:color="000000" w:sz="4" w:space="0"/>
              <w:left w:val="single" w:color="000000" w:sz="4" w:space="0"/>
              <w:right w:val="single" w:color="000000" w:sz="4" w:space="0"/>
            </w:tcBorders>
            <w:shd w:val="clear" w:color="auto" w:fill="auto"/>
            <w:vAlign w:val="center"/>
          </w:tcPr>
          <w:p w14:paraId="60B53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86寸背景一体机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89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1.液晶屏显示尺寸≥86英寸，采用A+规屏。显示比例16:9。分辨率≥3840*2160，可视角度≥178°，采用红外感应技术，在双系统下均支持不少于20点触控，触摸分辨率≥32768（W）*32768（D）。</w:t>
            </w:r>
          </w:p>
        </w:tc>
      </w:tr>
      <w:tr w14:paraId="20FC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5150231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D6AF63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92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2.内置硬件ROM≥32GB，RAM≥4GB。</w:t>
            </w:r>
          </w:p>
        </w:tc>
      </w:tr>
      <w:tr w14:paraId="2E07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D8CB34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6F975A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7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3.采用国产化的主要元器件，包括但不限于CPU处理单元、可编程逻辑芯片、时钟芯片等。</w:t>
            </w:r>
          </w:p>
        </w:tc>
      </w:tr>
      <w:tr w14:paraId="2645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9B179C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D5C18A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73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4.设备采用多声道组合音响，提供不低于4个喇叭单元，包含至少2个高音喇叭单元及2个全频喇叭单元，且喇叭模组总功率不低于30W，频响范围100-20KHz。</w:t>
            </w:r>
          </w:p>
        </w:tc>
      </w:tr>
      <w:tr w14:paraId="36BF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F48148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46B58B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86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5.支持在无外接OPS电脑状态下，可在双系统中安装常用的教学应用功能，如白板书写、WPS软件使用、网页浏览、图片浏览、视频播放，提供设备同品牌APP应用市场。</w:t>
            </w:r>
          </w:p>
        </w:tc>
      </w:tr>
      <w:tr w14:paraId="62DF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50FC255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A9A8E1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AB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6.为方便日常教学投屏使用，须支持多种投屏方式，须包括但不限于APP投屏、智慧投屏器、NFC一碰投屏、手机下拉菜单软投屏等方式。</w:t>
            </w:r>
          </w:p>
        </w:tc>
      </w:tr>
      <w:tr w14:paraId="24BE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5ADB6F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70612D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C4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83210"/>
                  <wp:effectExtent l="0" t="0" r="0" b="0"/>
                  <wp:wrapNone/>
                  <wp:docPr id="109" name="图片_121"/>
                  <wp:cNvGraphicFramePr/>
                  <a:graphic xmlns:a="http://schemas.openxmlformats.org/drawingml/2006/main">
                    <a:graphicData uri="http://schemas.openxmlformats.org/drawingml/2006/picture">
                      <pic:pic xmlns:pic="http://schemas.openxmlformats.org/drawingml/2006/picture">
                        <pic:nvPicPr>
                          <pic:cNvPr id="109" name="图片_121"/>
                          <pic:cNvPicPr/>
                        </pic:nvPicPr>
                        <pic:blipFill>
                          <a:blip r:embed="rId14"/>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83210"/>
                  <wp:effectExtent l="0" t="0" r="0" b="0"/>
                  <wp:wrapNone/>
                  <wp:docPr id="110" name="图片_125"/>
                  <wp:cNvGraphicFramePr/>
                  <a:graphic xmlns:a="http://schemas.openxmlformats.org/drawingml/2006/main">
                    <a:graphicData uri="http://schemas.openxmlformats.org/drawingml/2006/picture">
                      <pic:pic xmlns:pic="http://schemas.openxmlformats.org/drawingml/2006/picture">
                        <pic:nvPicPr>
                          <pic:cNvPr id="110" name="图片_125"/>
                          <pic:cNvPicPr/>
                        </pic:nvPicPr>
                        <pic:blipFill>
                          <a:blip r:embed="rId14"/>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83210"/>
                  <wp:effectExtent l="0" t="0" r="0" b="0"/>
                  <wp:wrapNone/>
                  <wp:docPr id="111" name="图片_141"/>
                  <wp:cNvGraphicFramePr/>
                  <a:graphic xmlns:a="http://schemas.openxmlformats.org/drawingml/2006/main">
                    <a:graphicData uri="http://schemas.openxmlformats.org/drawingml/2006/picture">
                      <pic:pic xmlns:pic="http://schemas.openxmlformats.org/drawingml/2006/picture">
                        <pic:nvPicPr>
                          <pic:cNvPr id="111" name="图片_141"/>
                          <pic:cNvPicPr/>
                        </pic:nvPicPr>
                        <pic:blipFill>
                          <a:blip r:embed="rId14"/>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83210"/>
                  <wp:effectExtent l="0" t="0" r="0" b="0"/>
                  <wp:wrapNone/>
                  <wp:docPr id="112" name="图片_143"/>
                  <wp:cNvGraphicFramePr/>
                  <a:graphic xmlns:a="http://schemas.openxmlformats.org/drawingml/2006/main">
                    <a:graphicData uri="http://schemas.openxmlformats.org/drawingml/2006/picture">
                      <pic:pic xmlns:pic="http://schemas.openxmlformats.org/drawingml/2006/picture">
                        <pic:nvPicPr>
                          <pic:cNvPr id="112" name="图片_143"/>
                          <pic:cNvPicPr/>
                        </pic:nvPicPr>
                        <pic:blipFill>
                          <a:blip r:embed="rId14"/>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83210"/>
                  <wp:effectExtent l="0" t="0" r="0" b="0"/>
                  <wp:wrapNone/>
                  <wp:docPr id="113" name="图片_142"/>
                  <wp:cNvGraphicFramePr/>
                  <a:graphic xmlns:a="http://schemas.openxmlformats.org/drawingml/2006/main">
                    <a:graphicData uri="http://schemas.openxmlformats.org/drawingml/2006/picture">
                      <pic:pic xmlns:pic="http://schemas.openxmlformats.org/drawingml/2006/picture">
                        <pic:nvPicPr>
                          <pic:cNvPr id="113" name="图片_142"/>
                          <pic:cNvPicPr/>
                        </pic:nvPicPr>
                        <pic:blipFill>
                          <a:blip r:embed="rId14"/>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283210"/>
                  <wp:effectExtent l="0" t="0" r="0" b="0"/>
                  <wp:wrapNone/>
                  <wp:docPr id="114" name="图片_128"/>
                  <wp:cNvGraphicFramePr/>
                  <a:graphic xmlns:a="http://schemas.openxmlformats.org/drawingml/2006/main">
                    <a:graphicData uri="http://schemas.openxmlformats.org/drawingml/2006/picture">
                      <pic:pic xmlns:pic="http://schemas.openxmlformats.org/drawingml/2006/picture">
                        <pic:nvPicPr>
                          <pic:cNvPr id="114" name="图片_128"/>
                          <pic:cNvPicPr/>
                        </pic:nvPicPr>
                        <pic:blipFill>
                          <a:blip r:embed="rId14"/>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lang w:val="en-US" w:eastAsia="zh-CN" w:bidi="ar"/>
              </w:rPr>
              <w:t>7.内置互动白板须支持2种以上书写笔头，书写延时≤35ms，支持8种以上书写颜色，使用者可对书写内容进行选择，移动，缩放，删除。</w:t>
            </w:r>
          </w:p>
        </w:tc>
      </w:tr>
      <w:tr w14:paraId="0A76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8EE1A4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6CBEF8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AD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8.内置互动白板书写完成后须支持本地保存、邮件分享、浏览器等主流应用扫码带走功能，方便实时保存书写内容。</w:t>
            </w:r>
          </w:p>
        </w:tc>
      </w:tr>
      <w:tr w14:paraId="59CE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A5B620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AB3FE0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91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9.设备前置面板需具有以下无转接接口：≥1*Type-C、≥2*USBType-A。侧置需具有以下无转接接口：≥2*HDMIIN、≥1*HDMIOUT、≥1*MICIN、≥1路MICOUT、≥1*RJ45、≥1*COM、≥1*USBType-A、≥1*USBType-B。</w:t>
            </w:r>
          </w:p>
        </w:tc>
      </w:tr>
      <w:tr w14:paraId="2C7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BC0D8F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B305E1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5C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10.整机须支持双系统，可实现有线和无线上网。</w:t>
            </w:r>
          </w:p>
        </w:tc>
      </w:tr>
      <w:tr w14:paraId="0E30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A11523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B1AB5F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4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11.支持显示调节功能，可根据播放素材或实际使用需要设置视频模式、文本模式、柔和模式、自动模式等，兼顾视力保护与使用习惯。</w:t>
            </w:r>
          </w:p>
        </w:tc>
      </w:tr>
      <w:tr w14:paraId="66C8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10105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446B63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D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12.内置OPS模块，内存≥8GB，容量≥256GB。</w:t>
            </w:r>
          </w:p>
        </w:tc>
      </w:tr>
      <w:tr w14:paraId="37F9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75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0</wp:posOffset>
                  </wp:positionV>
                  <wp:extent cx="190500" cy="283210"/>
                  <wp:effectExtent l="0" t="0" r="0" b="0"/>
                  <wp:wrapNone/>
                  <wp:docPr id="93" name="图片_45"/>
                  <wp:cNvGraphicFramePr/>
                  <a:graphic xmlns:a="http://schemas.openxmlformats.org/drawingml/2006/main">
                    <a:graphicData uri="http://schemas.openxmlformats.org/drawingml/2006/picture">
                      <pic:pic xmlns:pic="http://schemas.openxmlformats.org/drawingml/2006/picture">
                        <pic:nvPicPr>
                          <pic:cNvPr id="93" name="图片_45"/>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b/>
                <w:bCs/>
                <w:i w:val="0"/>
                <w:iCs w:val="0"/>
                <w:color w:val="000000"/>
                <w:kern w:val="0"/>
                <w:sz w:val="21"/>
                <w:szCs w:val="21"/>
                <w:u w:val="none"/>
                <w:lang w:val="en-US" w:eastAsia="zh-CN" w:bidi="ar"/>
              </w:rPr>
              <w:t>四、物联管控系统</w:t>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8" name="图片_25"/>
                  <wp:cNvGraphicFramePr/>
                  <a:graphic xmlns:a="http://schemas.openxmlformats.org/drawingml/2006/main">
                    <a:graphicData uri="http://schemas.openxmlformats.org/drawingml/2006/picture">
                      <pic:pic xmlns:pic="http://schemas.openxmlformats.org/drawingml/2006/picture">
                        <pic:nvPicPr>
                          <pic:cNvPr id="68" name="图片_25"/>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70" name="图片_76"/>
                  <wp:cNvGraphicFramePr/>
                  <a:graphic xmlns:a="http://schemas.openxmlformats.org/drawingml/2006/main">
                    <a:graphicData uri="http://schemas.openxmlformats.org/drawingml/2006/picture">
                      <pic:pic xmlns:pic="http://schemas.openxmlformats.org/drawingml/2006/picture">
                        <pic:nvPicPr>
                          <pic:cNvPr id="70" name="图片_7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4" name="图片_92"/>
                  <wp:cNvGraphicFramePr/>
                  <a:graphic xmlns:a="http://schemas.openxmlformats.org/drawingml/2006/main">
                    <a:graphicData uri="http://schemas.openxmlformats.org/drawingml/2006/picture">
                      <pic:pic xmlns:pic="http://schemas.openxmlformats.org/drawingml/2006/picture">
                        <pic:nvPicPr>
                          <pic:cNvPr id="54" name="图片_92"/>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61" name="图片_46"/>
                  <wp:cNvGraphicFramePr/>
                  <a:graphic xmlns:a="http://schemas.openxmlformats.org/drawingml/2006/main">
                    <a:graphicData uri="http://schemas.openxmlformats.org/drawingml/2006/picture">
                      <pic:pic xmlns:pic="http://schemas.openxmlformats.org/drawingml/2006/picture">
                        <pic:nvPicPr>
                          <pic:cNvPr id="61" name="图片_46"/>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58" name="图片_47"/>
                  <wp:cNvGraphicFramePr/>
                  <a:graphic xmlns:a="http://schemas.openxmlformats.org/drawingml/2006/main">
                    <a:graphicData uri="http://schemas.openxmlformats.org/drawingml/2006/picture">
                      <pic:pic xmlns:pic="http://schemas.openxmlformats.org/drawingml/2006/picture">
                        <pic:nvPicPr>
                          <pic:cNvPr id="58" name="图片_47"/>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94" name="图片_94"/>
                  <wp:cNvGraphicFramePr/>
                  <a:graphic xmlns:a="http://schemas.openxmlformats.org/drawingml/2006/main">
                    <a:graphicData uri="http://schemas.openxmlformats.org/drawingml/2006/picture">
                      <pic:pic xmlns:pic="http://schemas.openxmlformats.org/drawingml/2006/picture">
                        <pic:nvPicPr>
                          <pic:cNvPr id="94" name="图片_94"/>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91" name="图片_32"/>
                  <wp:cNvGraphicFramePr/>
                  <a:graphic xmlns:a="http://schemas.openxmlformats.org/drawingml/2006/main">
                    <a:graphicData uri="http://schemas.openxmlformats.org/drawingml/2006/picture">
                      <pic:pic xmlns:pic="http://schemas.openxmlformats.org/drawingml/2006/picture">
                        <pic:nvPicPr>
                          <pic:cNvPr id="91" name="图片_32"/>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92" name="图片_93"/>
                  <wp:cNvGraphicFramePr/>
                  <a:graphic xmlns:a="http://schemas.openxmlformats.org/drawingml/2006/main">
                    <a:graphicData uri="http://schemas.openxmlformats.org/drawingml/2006/picture">
                      <pic:pic xmlns:pic="http://schemas.openxmlformats.org/drawingml/2006/picture">
                        <pic:nvPicPr>
                          <pic:cNvPr id="92" name="图片_93"/>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96" name="图片_79"/>
                  <wp:cNvGraphicFramePr/>
                  <a:graphic xmlns:a="http://schemas.openxmlformats.org/drawingml/2006/main">
                    <a:graphicData uri="http://schemas.openxmlformats.org/drawingml/2006/picture">
                      <pic:pic xmlns:pic="http://schemas.openxmlformats.org/drawingml/2006/picture">
                        <pic:nvPicPr>
                          <pic:cNvPr id="96" name="图片_7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95" name="图片_29"/>
                  <wp:cNvGraphicFramePr/>
                  <a:graphic xmlns:a="http://schemas.openxmlformats.org/drawingml/2006/main">
                    <a:graphicData uri="http://schemas.openxmlformats.org/drawingml/2006/picture">
                      <pic:pic xmlns:pic="http://schemas.openxmlformats.org/drawingml/2006/picture">
                        <pic:nvPicPr>
                          <pic:cNvPr id="95" name="图片_29"/>
                          <pic:cNvPicPr/>
                        </pic:nvPicPr>
                        <pic:blipFill>
                          <a:blip r:embed="rId12"/>
                          <a:stretch>
                            <a:fillRect/>
                          </a:stretch>
                        </pic:blipFill>
                        <pic:spPr>
                          <a:xfrm>
                            <a:off x="0" y="0"/>
                            <a:ext cx="190500" cy="2832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283210"/>
                  <wp:effectExtent l="0" t="0" r="0" b="0"/>
                  <wp:wrapNone/>
                  <wp:docPr id="90" name="图片_72"/>
                  <wp:cNvGraphicFramePr/>
                  <a:graphic xmlns:a="http://schemas.openxmlformats.org/drawingml/2006/main">
                    <a:graphicData uri="http://schemas.openxmlformats.org/drawingml/2006/picture">
                      <pic:pic xmlns:pic="http://schemas.openxmlformats.org/drawingml/2006/picture">
                        <pic:nvPicPr>
                          <pic:cNvPr id="90" name="图片_72"/>
                          <pic:cNvPicPr/>
                        </pic:nvPicPr>
                        <pic:blipFill>
                          <a:blip r:embed="rId12"/>
                          <a:stretch>
                            <a:fillRect/>
                          </a:stretch>
                        </pic:blipFill>
                        <pic:spPr>
                          <a:xfrm>
                            <a:off x="0" y="0"/>
                            <a:ext cx="190500" cy="283210"/>
                          </a:xfrm>
                          <a:prstGeom prst="rect">
                            <a:avLst/>
                          </a:prstGeom>
                          <a:noFill/>
                          <a:ln>
                            <a:noFill/>
                          </a:ln>
                        </pic:spPr>
                      </pic:pic>
                    </a:graphicData>
                  </a:graphic>
                </wp:anchor>
              </w:drawing>
            </w:r>
          </w:p>
        </w:tc>
      </w:tr>
      <w:tr w14:paraId="3492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8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8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物联网边缘高聚合网关</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2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1.支持物联网主流协议MQTT、MQTT-SN、CoAP、LwM2M、HTTP、HTTPS、WebSocket、LiteOS、LinkKit等物联网协议接入，同时支持接入JT-808、GB/T32960等行业协议。</w:t>
            </w:r>
          </w:p>
        </w:tc>
      </w:tr>
      <w:tr w14:paraId="1E2E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7B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7C8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C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2.采用国产主芯片，CPU频率：≥580MHz。RAM：DDR2≥512MB。</w:t>
            </w:r>
          </w:p>
        </w:tc>
      </w:tr>
      <w:tr w14:paraId="1049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D7C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2A3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C9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3.发射功率：+18dBm(Zigbee)。</w:t>
            </w:r>
          </w:p>
        </w:tc>
      </w:tr>
      <w:tr w14:paraId="4B90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43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546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FF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4.内置天线：Zigbee天线≥1个、WIFI天线≥1个、天线≥1个，支持扩展4G/5G通讯模块。</w:t>
            </w:r>
          </w:p>
        </w:tc>
      </w:tr>
      <w:tr w14:paraId="0952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C97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0E1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13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5.接口：RS485≥1路、WAN口≥1个、TF卡槽≥1个。</w:t>
            </w:r>
          </w:p>
        </w:tc>
      </w:tr>
      <w:tr w14:paraId="3A65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3AE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1EF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AB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6.固件升级：支持OTA云端固件升级。</w:t>
            </w:r>
          </w:p>
        </w:tc>
      </w:tr>
      <w:tr w14:paraId="629D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641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AE2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2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7.操作系统：支持国产化操作系统。</w:t>
            </w:r>
          </w:p>
        </w:tc>
      </w:tr>
      <w:tr w14:paraId="5618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47F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3BCE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0A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8.多网形态：上行支持5G、WAN、WIFI等方式接入平台，下行支持Zigbee、RS485、RS232、蓝牙、Wifi等多种组网方式。</w:t>
            </w:r>
          </w:p>
        </w:tc>
      </w:tr>
      <w:tr w14:paraId="3726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A42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62A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92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9.协议兼容：支持TCP/IP、Http、Https、WebSocket、MQTT。</w:t>
            </w:r>
          </w:p>
        </w:tc>
      </w:tr>
      <w:tr w14:paraId="0979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52B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C58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CB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10.多网切换：多网智能切换，有线网络，WIFI、4G/5G可实现优先级自动切换。</w:t>
            </w:r>
          </w:p>
        </w:tc>
      </w:tr>
      <w:tr w14:paraId="5A00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AA4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BF6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E9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11.网关管理：可通过网页轻易管理，实现网络配置、物联设备注册、网络和服务状态查看。</w:t>
            </w:r>
          </w:p>
        </w:tc>
      </w:tr>
      <w:tr w14:paraId="5870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956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B54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29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12.网关管理首页可以查看网关实时运行的温度、湿度、CPU、内存和存储等运行参数信息。</w:t>
            </w:r>
          </w:p>
        </w:tc>
      </w:tr>
      <w:tr w14:paraId="2741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CE4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C20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30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13.网关设备支持通过ZigBee通讯、485通讯、TCP/IP设备组网和智能锁连接组网，可以查看网络、服务状态、设备状态在线设备情况、离线设备情况和网关资源使用情况等。</w:t>
            </w:r>
          </w:p>
        </w:tc>
      </w:tr>
      <w:tr w14:paraId="6801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336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832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BA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14.Zigbee设备支持通过网关开启加网，自动扫描Zigbee终端设备，实现自动加网配置。</w:t>
            </w:r>
          </w:p>
        </w:tc>
      </w:tr>
      <w:tr w14:paraId="441A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DFE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4F8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B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15.通过RS485通讯与网关连接的设备，可以通过网关管理页面的扫描设备，实现设备自动扫描注册。</w:t>
            </w:r>
          </w:p>
        </w:tc>
      </w:tr>
      <w:tr w14:paraId="7DCE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58D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0FCB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C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16.安全保障：CRC、SSL多重加密，保障通讯和数据安全。</w:t>
            </w:r>
          </w:p>
        </w:tc>
      </w:tr>
      <w:tr w14:paraId="3FA8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C6B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CC5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D4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17.故障自愈：通讯异常记录和防护机制，通讯历史、记录上报、看门狗、复位，确保网关正常工作。</w:t>
            </w:r>
          </w:p>
        </w:tc>
      </w:tr>
      <w:tr w14:paraId="0A8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FCF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9D1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C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18.具备设备运行状态数据采集自动过滤机制，不重复上报，减少网络通讯压力，提升系统运行性能。</w:t>
            </w:r>
          </w:p>
        </w:tc>
      </w:tr>
      <w:tr w14:paraId="7F3B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B74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CF4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3480">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19.智能策略：系统支持对网关设置重启时间、AP开关、电源重启和休眠。支持OTA更新离线策略，将平台设置的策略下发到网关，并在网关存储，满足网关断网的情况下依然能执行物联指令。实现策略配置，本地同步策略，可实现脱机离线运行，设备运行数据采集、上报。</w:t>
            </w:r>
          </w:p>
        </w:tc>
      </w:tr>
      <w:tr w14:paraId="0B54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337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8C2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BC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20.支持在网关后台设置向导，引导新手配置操作，提高实施配置效率。</w:t>
            </w:r>
          </w:p>
        </w:tc>
      </w:tr>
      <w:tr w14:paraId="4826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C58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62E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1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21.Zigbee通讯信道具备空闲自动评估能力，通过监测信号强度和信号特征，实现动态信道选择，增强网络共存性能，避开干扰，提供物联通讯的稳定性。</w:t>
            </w:r>
          </w:p>
        </w:tc>
      </w:tr>
      <w:tr w14:paraId="3C8C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01C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351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2E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网关内置管理应用功能：支持拓展子网关，可配置子母模式、物联平台地址、EMQX地址等，配置可以支持导入导出，子网关下挂设备统一在母网关管理页面进行查看和管理。具有定位功能，支持空间内多设备的情况下快速准确查找某一设备的物理位置，实现快速加网联调，实时查看每个物联通讯节点的通讯发送数据包数、接收数据包数，计算数据通讯丢包率，以判断物联通讯稳定性，提供系统运维服务能力。</w:t>
            </w:r>
          </w:p>
        </w:tc>
      </w:tr>
      <w:tr w14:paraId="26A5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98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6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物联网控制终端</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07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1.系统配置：采用微控制器，主频：≥550MHz；DDR3：≥128MB；Flash：≥16MB。</w:t>
            </w:r>
          </w:p>
        </w:tc>
      </w:tr>
      <w:tr w14:paraId="79FE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668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F05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C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2.液晶屏幕：≥7英寸或以上十点电容触摸液晶屏、分辨率≥1024*600、亮度：≥400nit。</w:t>
            </w:r>
          </w:p>
        </w:tc>
      </w:tr>
      <w:tr w14:paraId="3D54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F43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EFC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4A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3.启动时间：≤2.5秒；下载调试时间：≤3秒。</w:t>
            </w:r>
          </w:p>
        </w:tc>
      </w:tr>
      <w:tr w14:paraId="6DE3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19C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C9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F6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4.供电：POE供电；功耗：≥4.0W。</w:t>
            </w:r>
          </w:p>
        </w:tc>
      </w:tr>
      <w:tr w14:paraId="1D51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71B1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6B0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4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5.固件升级：可以通过OTA设备进行固件在线升级，可以根据终端类型自动推送版本升级、系统更新、功能迭代和漏洞修复消息；</w:t>
            </w:r>
          </w:p>
        </w:tc>
      </w:tr>
      <w:tr w14:paraId="692D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BF0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482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0E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6.存储温度：至少覆盖-30~80℃。</w:t>
            </w:r>
          </w:p>
        </w:tc>
      </w:tr>
      <w:tr w14:paraId="7236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3C0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B94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3B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7.工作温度：至少覆盖-20~70℃。</w:t>
            </w:r>
          </w:p>
        </w:tc>
      </w:tr>
      <w:tr w14:paraId="4FFA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E3D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3F3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6E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8.通信方式：WIFI、RJ45网口。</w:t>
            </w:r>
          </w:p>
        </w:tc>
      </w:tr>
      <w:tr w14:paraId="05D2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1D3C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36C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9B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9.内置麦和喇叭，满足语音呼叫对讲或广播服务。</w:t>
            </w:r>
          </w:p>
        </w:tc>
      </w:tr>
      <w:tr w14:paraId="0980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20D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BBC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95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物联网控制终端支持定时或根据所在课室课表实现空闲时自动锁定，可通过动态密码和二维码扫码功能解锁，二维码通过微信绑定，实现身份认证，管理员、上课老师或者空间预约授权通过者才可解锁，实现设备的安全管理。</w:t>
            </w:r>
          </w:p>
        </w:tc>
      </w:tr>
      <w:tr w14:paraId="2CA9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E2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043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E4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11.支持上下滑动切换设备控制页面，满足多设备控制的前端UI操作体验。</w:t>
            </w:r>
          </w:p>
        </w:tc>
      </w:tr>
      <w:tr w14:paraId="0CDA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ECE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A42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6A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12.集成IP对讲功能：内置IP对讲模块，配合软件融合平台可实现远程IP对讲。</w:t>
            </w:r>
          </w:p>
        </w:tc>
      </w:tr>
      <w:tr w14:paraId="2CE0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7EA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FC5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F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13.设备故障报修功能，如中控故障、投影故障、电脑故障、扩音故障，可通过手机扫码进行报障、一键语音求助，保障系统设备的正常运行，减少设备运维人力成本。</w:t>
            </w:r>
          </w:p>
        </w:tc>
      </w:tr>
      <w:tr w14:paraId="1690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531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6A42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2B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14.支持通过有线或WIFI网络与物联网网关实现配网连接，自动获取网关管理设备，通过平台定义并批量设置策略下发。</w:t>
            </w:r>
          </w:p>
        </w:tc>
      </w:tr>
      <w:tr w14:paraId="0E90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4ABF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58F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32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15.内置应用上创建新空间并关联设备，前端支持多空间切换，满足空间使用灵活多变的需要。配置休眠时间和节能模式。</w:t>
            </w:r>
          </w:p>
        </w:tc>
      </w:tr>
      <w:tr w14:paraId="36CC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6F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83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智能照明面板</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B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1.支持1-3路负载控制，满足多种安装场合需要，可以设置零火/单火模式，用户可自主选择接入方式，方便灵活部署安装。</w:t>
            </w:r>
          </w:p>
        </w:tc>
      </w:tr>
      <w:tr w14:paraId="24EC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64F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519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CF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2.支持小负载：≤2.5W。</w:t>
            </w:r>
          </w:p>
        </w:tc>
      </w:tr>
      <w:tr w14:paraId="1EF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92E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C4B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B0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3.支持总负载：≥2400W(总功率，阻性负载)。</w:t>
            </w:r>
          </w:p>
        </w:tc>
      </w:tr>
      <w:tr w14:paraId="18FD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2470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A4F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45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4.组网协议：ZigBee3.0协议标准，支持自我修复、自我组织的网状网络，优化了网络流量并降低了功耗，输出功率：≥18dBm，接受灵敏度：≤-95dBm。存储资源：≥1000K</w:t>
            </w:r>
          </w:p>
        </w:tc>
      </w:tr>
      <w:tr w14:paraId="36DC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8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F6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红外控制终端</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AB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1.输出接口：ZigbeeHA1.2、Zigbee3.0无线标准讯协议接口。</w:t>
            </w:r>
          </w:p>
        </w:tc>
      </w:tr>
      <w:tr w14:paraId="346A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7D6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BE7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8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2.工作频段：2405M~2480MHz。</w:t>
            </w:r>
          </w:p>
        </w:tc>
      </w:tr>
      <w:tr w14:paraId="7BD8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49F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AED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46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3.无障碍通讯距离：≤200M；无障碍组网距离：≤100M。</w:t>
            </w:r>
          </w:p>
        </w:tc>
      </w:tr>
      <w:tr w14:paraId="3B89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0F78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DE6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0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4.接收灵敏度：≥-97dBm；最大发射功率：≥4dBm。</w:t>
            </w:r>
          </w:p>
        </w:tc>
      </w:tr>
      <w:tr w14:paraId="0B12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C5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F5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物联网聚合管理终端</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2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1.支持9路RS-232连接组网，每路RS-232可单独定义收发功能，每路传输的波特率可自适应匹配，实现即插即用。</w:t>
            </w:r>
          </w:p>
        </w:tc>
      </w:tr>
      <w:tr w14:paraId="4B72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9F1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C09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C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2.RS-232线路长度≤15米。</w:t>
            </w:r>
          </w:p>
        </w:tc>
      </w:tr>
      <w:tr w14:paraId="555A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FBA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6AE3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58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3.支持9路RS-485连接（其中9路RS-232和RS-485的接口共用，每路接口可同时接入1个RS-232接口设备和1个485。</w:t>
            </w:r>
          </w:p>
        </w:tc>
      </w:tr>
      <w:tr w14:paraId="6EEF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54C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800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DC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4.接口设备，最多支持18个设备同时接入，每路接口可单独开放自定义接口协议），RS-485线路长度≤200米。</w:t>
            </w:r>
          </w:p>
        </w:tc>
      </w:tr>
      <w:tr w14:paraId="6C01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636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FCA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29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5.支持485并接或串接；支持DC24V直流供电，实现一线通功能。</w:t>
            </w:r>
          </w:p>
        </w:tc>
      </w:tr>
      <w:tr w14:paraId="04EB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A78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85C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6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6.支持有线485、ZigBee3.0和有线+无线合组式组网的方式。</w:t>
            </w:r>
          </w:p>
        </w:tc>
      </w:tr>
      <w:tr w14:paraId="59BC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720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D8DD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65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7.支持端口安全、端口监控、端口隔离，内置环路保护、线缆检测、通讯实时预警信息推送等。</w:t>
            </w:r>
          </w:p>
        </w:tc>
      </w:tr>
      <w:tr w14:paraId="1704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ECD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278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5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8.支持脱机、断网、离线的情况，本地管控不受任何影响，实现长期不断电的情况零故障运行。</w:t>
            </w:r>
          </w:p>
        </w:tc>
      </w:tr>
      <w:tr w14:paraId="7B51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A7A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05D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1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9.支持静态、动态链路汇聚，有效增加链路带宽和抗干扰性，实现负载均衡、链路备份，提高链路可靠性。</w:t>
            </w:r>
          </w:p>
        </w:tc>
      </w:tr>
      <w:tr w14:paraId="329F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77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DE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8路HDMI 视频矩阵</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E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1.≥8路HDMI信号输入。≥8路HDMI信号输出。</w:t>
            </w:r>
          </w:p>
        </w:tc>
      </w:tr>
      <w:tr w14:paraId="5D54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FAF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242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23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2.采用专业处理器，FPGA可编程逻辑阵列电路，性能更稳定，运行速度更快，系统更稳定。</w:t>
            </w:r>
          </w:p>
        </w:tc>
      </w:tr>
      <w:tr w14:paraId="7491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C85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27C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2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3.采用6.5GHz高带宽芯片，高速数字交换技术，图像清晰，解决串扰、重影与拖尾现象。</w:t>
            </w:r>
          </w:p>
        </w:tc>
      </w:tr>
      <w:tr w14:paraId="4EAE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6F6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B68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1A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4.兼容HDMI1.3版本、1.4版本，符合HDCP标准，支持信号时序重整，CEC，36位真彩技术。</w:t>
            </w:r>
          </w:p>
        </w:tc>
      </w:tr>
      <w:tr w14:paraId="1D3A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AA2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889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4D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5.支持数字高清，支持3D视频信号显示，支持高清分辨800*600--2560*1600，支持1080P，支持3D。</w:t>
            </w:r>
          </w:p>
        </w:tc>
      </w:tr>
      <w:tr w14:paraId="404C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10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E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设备物联集控管理系统</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61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一、物联网中台服务：</w:t>
            </w:r>
          </w:p>
        </w:tc>
      </w:tr>
      <w:tr w14:paraId="7E2D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80E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52E8">
            <w:pPr>
              <w:jc w:val="center"/>
              <w:rPr>
                <w:rFonts w:hint="eastAsia" w:asciiTheme="minorEastAsia" w:hAnsiTheme="minorEastAsia" w:eastAsiaTheme="minorEastAsia" w:cstheme="minorEastAsia"/>
                <w:i w:val="0"/>
                <w:iCs w:val="0"/>
                <w:color w:val="auto"/>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34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平台提供基础设备管理功能以连接，支持百万级设备并发连接、支持网关模式、网络直连模式、第三方管理平台API接口对接模式以及中间库对接模式等多种方式融合。管理海量设备，实现设备的消息通信与数据采集持久化。集成规则引擎与数据可视化管理，灵活开放多种权限级别的管理、控制API，通过API可快速开发上层应用。实现多协议接入、通讯协议转换、数据边缘计算、设备远程控制、物联数据采集、通讯协议加密和连接设备的空间授权许可，设备安全接入鉴权认证等。</w:t>
            </w:r>
          </w:p>
        </w:tc>
      </w:tr>
      <w:tr w14:paraId="4619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F05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A99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4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2.面向低功耗IoT网络，提供一站式的物联网管理终端，在安全可靠的基础上，为设备提供多种协议接入、消息流管理、数据解析及数据处理。</w:t>
            </w:r>
          </w:p>
        </w:tc>
      </w:tr>
      <w:tr w14:paraId="5FBC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B57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9FC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7A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3.集成规则引擎与数据可视化管理，灵活开放多种权限级别的管理、控制API，通过API可快速开发上层应用，实现多端接入、设备远程控制：</w:t>
            </w:r>
          </w:p>
        </w:tc>
      </w:tr>
      <w:tr w14:paraId="093E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B45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3AA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E6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1）多协议接入：支持MQTT、CoAP和Websocket等标准协议；</w:t>
            </w:r>
          </w:p>
        </w:tc>
      </w:tr>
      <w:tr w14:paraId="3D59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2FC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EE5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98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2）设备管理：终端注册开通与生命周期管理，提供状态、故障、上报数据的不间断监控；</w:t>
            </w:r>
          </w:p>
        </w:tc>
      </w:tr>
      <w:tr w14:paraId="7788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B44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4F3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0A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3）数据解析：无需变更设备端数据上报格式，支持在云端编写解码插件进行解析；</w:t>
            </w:r>
          </w:p>
        </w:tc>
      </w:tr>
      <w:tr w14:paraId="5E64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AAD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6D7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61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4）规则引擎：基于Pulsar，内置灵活的SQL表达式及丰富的处理函数，实现终端消息实时解析、高速持久化、规则处理及不同类型的动作触发；</w:t>
            </w:r>
          </w:p>
        </w:tc>
      </w:tr>
      <w:tr w14:paraId="5E62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F6C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F52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3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5）应用使能：开放丰富的RESTAPI接口，灵活可配置的应用权限，快速构建各种上层应用；</w:t>
            </w:r>
          </w:p>
        </w:tc>
      </w:tr>
      <w:tr w14:paraId="69B7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C76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C03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4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4.实现对消息的存储和流式处理，对上层暴露的物联网SQL处理引擎来实现对物联网数据的分析与处理。</w:t>
            </w:r>
          </w:p>
        </w:tc>
      </w:tr>
      <w:tr w14:paraId="5E76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5AB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48C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38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5.支持Docker容器部署方式，集成TimescaleDB、NOSQL、Mysql等结构化和非结构化数据库，支持高并发消息服务，单点支持并发100万级别。</w:t>
            </w:r>
          </w:p>
        </w:tc>
      </w:tr>
      <w:tr w14:paraId="5FF0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9B4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810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F3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支持安全接入授权认证，接入安全等级较低时，兼顾设备接入性能可以使用Token认证。接入安全等级较高时，在Token的基础上可以使用SSL/TLS加密通信，保障数据传输阶段中的安全。使用证书双向认证可以提供高级别的安全保障，支持普通TCP或者SSL/TLS单向认证，也可以支持设备绑定证书并使用双向认证进行连接。</w:t>
            </w:r>
          </w:p>
        </w:tc>
      </w:tr>
      <w:tr w14:paraId="339B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A8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71C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BC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支持自定义智能设备产品类型，定义标准物联网通信协议，如：MQTT、COAP、Websocket等。可以定义产品类型的数据模型，实现以后物联生态接入的可扩展性和兼容性。可以实现平台的OTA升级物联网关和终端设备的固件，满足硬件功能的持续迭代改进，查看升级历史和已升级设备。</w:t>
            </w:r>
          </w:p>
        </w:tc>
      </w:tr>
      <w:tr w14:paraId="0110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87A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62B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49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8.提供完善的系统管理功能，可以进行用户管理、用户权限控制、用户角色管理等操作。</w:t>
            </w:r>
          </w:p>
        </w:tc>
      </w:tr>
      <w:tr w14:paraId="3549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16A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C80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1C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9.具有设备管理功能，实现设备、网关和分组功能展示，可查看网关连接的设备管理，连接日志、网关事件（实时数据）和设备数据（实时数据）。</w:t>
            </w:r>
          </w:p>
        </w:tc>
      </w:tr>
      <w:tr w14:paraId="3AB2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4F8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2A92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96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10.可支持跨校区就近应用节点的分布式部署，满足就近管理原则，快速实现业务响应，提升系统性能，支持统一数据中心、分布式数据库方式存储数据，实现数据的融合共享，打破应用和数据孤岛。</w:t>
            </w:r>
          </w:p>
        </w:tc>
      </w:tr>
      <w:tr w14:paraId="6165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04F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FAD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FF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11.软件平台与设备的通讯支持HTTP、HTTPS、MQTT、WEBSOCKET通讯协议，传输指令通过动态CRC算法和AES128位字符加密，确保访问、控制安全。</w:t>
            </w:r>
          </w:p>
        </w:tc>
      </w:tr>
      <w:tr w14:paraId="2FB6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E9D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8B1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B1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二、云智管控系统</w:t>
            </w:r>
          </w:p>
        </w:tc>
      </w:tr>
      <w:tr w14:paraId="04B8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613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EAA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B2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1.平台支持对物联网边缘高聚合网关设置重启时间、AP开关、电源重启和休眠；平台设置的策略下发到网关，并在网关存储，离线托管策略执行，满足网关断网的情况下依然能执行物联指令。</w:t>
            </w:r>
          </w:p>
        </w:tc>
      </w:tr>
      <w:tr w14:paraId="418E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D19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D30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6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2.支持对校园分区域管理，对校园内各校区、楼栋、教学场所等进行区分和管理，细分各区域的管控权限。</w:t>
            </w:r>
          </w:p>
        </w:tc>
      </w:tr>
      <w:tr w14:paraId="0485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553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996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97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3.支持对校园组织机构的管理，对平台用户的部门机构进行数据登记和维护，区分组织机构管控权限。</w:t>
            </w:r>
          </w:p>
        </w:tc>
      </w:tr>
      <w:tr w14:paraId="2F50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57D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2EF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43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4.支持细分教室空间管理权限，可以细分到角色，设定每个角色可以管理的空间，做到精细化的空间权限管理。</w:t>
            </w:r>
          </w:p>
        </w:tc>
      </w:tr>
      <w:tr w14:paraId="2B4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9D5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A42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6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5.支持对用户、角色、权限的管理，进行平台用户数据初始化、为用户分配角色、为角色分派不同的权限。</w:t>
            </w:r>
          </w:p>
        </w:tc>
      </w:tr>
      <w:tr w14:paraId="6A46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3F7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BEB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B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6.系统记录下每个用户通过不同的终端对系统进行操作的记录，以便进行操作历史的追溯，支持物联管控的安全管理，包括空间、设备、操作方式、操作者、操作时间、动作、执行结果等。</w:t>
            </w:r>
          </w:p>
        </w:tc>
      </w:tr>
      <w:tr w14:paraId="56C3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D79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95D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8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7.系统安全审计日志，系统对每个用户的登录、退出、数据库增删查改都提供了完善的日志记录。</w:t>
            </w:r>
          </w:p>
        </w:tc>
      </w:tr>
      <w:tr w14:paraId="058B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A0C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E84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1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8.黑名单设置，对于异常的访问，系统可以设置黑名单，限制其进行平台的登录操作，保障系统安全；</w:t>
            </w:r>
          </w:p>
        </w:tc>
      </w:tr>
      <w:tr w14:paraId="4ECA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2E4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E7F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A0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9.教室基础信息维护，用户根据纳入物联网空间数据进行维护，维护教室名称、教室类别、所属院系已经生成教室二维码信息，并可以绑定教室和物联设备的对应关系，实现空间设备的动态管理。</w:t>
            </w:r>
          </w:p>
        </w:tc>
      </w:tr>
      <w:tr w14:paraId="2E93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856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9D3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86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设备基础信息维护，支持设备半自动注册，连接配置到网关的设备自动报上平台，在平台端实现对设备信息的完善，包括设备基础信息（设备类型、设备名称、设备编号、安装位置、设备状态、所属教室、设备序号等等）、设备资产信息（设备资产信息字段支持自定义扩充）。</w:t>
            </w:r>
          </w:p>
        </w:tc>
      </w:tr>
      <w:tr w14:paraId="3C1C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55A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6FE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1B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11.设备类型维护，维护设备类型字典，并可设置每种类型设备的自定义字段，满足不同设备的差异化信息记录结构。</w:t>
            </w:r>
          </w:p>
        </w:tc>
      </w:tr>
      <w:tr w14:paraId="3388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143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970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E4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12.教务信息维护：</w:t>
            </w:r>
          </w:p>
        </w:tc>
      </w:tr>
      <w:tr w14:paraId="6F24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3F6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01A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4B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1）上课时间配置：设置每个学年、学期的上课周次，以及每天的上课节次时间划分和节假日管理信息；可以设置不同上课时间分类，如全日制、非全日制等等；</w:t>
            </w:r>
          </w:p>
        </w:tc>
      </w:tr>
      <w:tr w14:paraId="6B3F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BE1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913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C2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2）老师信息维护：可以导入或新增、修改、删除老师信息；</w:t>
            </w:r>
          </w:p>
        </w:tc>
      </w:tr>
      <w:tr w14:paraId="35EF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2B5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299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7D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3）学生信息维护：可以导入或者新增、修改、删除学生信息；</w:t>
            </w:r>
          </w:p>
        </w:tc>
      </w:tr>
      <w:tr w14:paraId="415E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6E7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7C7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4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4）课程信息维护：可以导入或者新增、修改、删除课程信息；</w:t>
            </w:r>
          </w:p>
        </w:tc>
      </w:tr>
      <w:tr w14:paraId="0D2C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95D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C9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C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5）专业信息维护：可以导入或者新增、修改、删除专业信息；</w:t>
            </w:r>
          </w:p>
        </w:tc>
      </w:tr>
      <w:tr w14:paraId="5742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8DB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F68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D0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6）班级信息维护：可以导入或者新增、修改、删除班级信息；</w:t>
            </w:r>
          </w:p>
        </w:tc>
      </w:tr>
      <w:tr w14:paraId="0D0B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D40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4AA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D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7）人脸库信息维护：入库的老师、学生可以通过批量导入或者单个新增维护；</w:t>
            </w:r>
          </w:p>
        </w:tc>
      </w:tr>
      <w:tr w14:paraId="1DF7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004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A59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3C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8）账号审核记录：老师或者学生通过公众号申请账户认证，管理员通过app审核后的历史记录查询；</w:t>
            </w:r>
          </w:p>
        </w:tc>
      </w:tr>
      <w:tr w14:paraId="3D09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A24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023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0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13.多数据源管理：系统基于分布式服务架构，业务的数据库独立划分，可通过此功能实现数据源的统一管理。</w:t>
            </w:r>
          </w:p>
        </w:tc>
      </w:tr>
      <w:tr w14:paraId="114E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BA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2F5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9E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14.系统可实现统一打开或统一关闭所有系统所受控的照明、空调和窗帘，也可以单个打开或关闭，可以设定时段或跟学校的课表联动，实现自动化无入值守。</w:t>
            </w:r>
          </w:p>
        </w:tc>
      </w:tr>
      <w:tr w14:paraId="52F4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5EB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CC1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15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15.定时任务管理：管理系统定时任务计划，可配置任务名称、任务执行时间策略、开启或者停止定时任务。</w:t>
            </w:r>
          </w:p>
        </w:tc>
      </w:tr>
      <w:tr w14:paraId="4BEB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135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DF0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0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三、设备远程控制服务</w:t>
            </w:r>
          </w:p>
        </w:tc>
      </w:tr>
      <w:tr w14:paraId="05D6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95A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CF8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9C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1.支持通过前端快捷操作，筛选课室类型或设备类型，含投影仪/投影幕布/一体机/门禁/灯光/空调等教学多媒体及教学环境设备，对单个设备/批量开启/关闭。</w:t>
            </w:r>
          </w:p>
        </w:tc>
      </w:tr>
      <w:tr w14:paraId="2ABB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989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F73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F2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2.支持设备操作记录查看如：执行方式、执行者、操作时间、执行详情、执行结果查看。</w:t>
            </w:r>
          </w:p>
        </w:tc>
      </w:tr>
      <w:tr w14:paraId="6859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CE4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DAD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60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3.支持左右滑动切换设备控制页面，满足多设备控制的前端UI操作体验。支持本地设置策略，支持设备按空间进行拆分和组合，满足空间使用灵活多变的需要。</w:t>
            </w:r>
          </w:p>
        </w:tc>
      </w:tr>
      <w:tr w14:paraId="1E01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674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08C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B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4.支持对课室的多媒体设备进行集中控制，包括但不限于一体机、投影、幕布、智慧黑板、电视、教师机、音视频相关设备。</w:t>
            </w:r>
          </w:p>
        </w:tc>
      </w:tr>
      <w:tr w14:paraId="371B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9D9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A08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1D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5.授权用户可通过平台随时随地对课室的电教设备进行远程控制和状态监控。</w:t>
            </w:r>
          </w:p>
        </w:tc>
      </w:tr>
      <w:tr w14:paraId="34B4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F0E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BB1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F1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6.通过软件可以了解到的教室的名称、位置、所属组别以及室内的设备在线、离线等信息。</w:t>
            </w:r>
          </w:p>
        </w:tc>
      </w:tr>
      <w:tr w14:paraId="70B7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A70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972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6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7.软件可实时监控教室的设备电源状态信息，实时显示每台设备的电流、电压及功率损耗等，同时可根据用户的业务需求生成统计分析报表，并向目标用户推送分析结果。</w:t>
            </w:r>
          </w:p>
        </w:tc>
      </w:tr>
      <w:tr w14:paraId="5384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B680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337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97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8.软件平台支持场景的自定义配置，设备可根据场景规则与教务系统所排课程联动运行。</w:t>
            </w:r>
          </w:p>
        </w:tc>
      </w:tr>
      <w:tr w14:paraId="5BFB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650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022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97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9.当设备出现故障或异常时，系统将自动向管理人员发送提醒信息。</w:t>
            </w:r>
          </w:p>
        </w:tc>
      </w:tr>
      <w:tr w14:paraId="33D5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8E4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A80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5C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10.当使用者发现设备故障或需要帮助时，可以通过系统向管理人员发送求助信息。</w:t>
            </w:r>
          </w:p>
        </w:tc>
      </w:tr>
      <w:tr w14:paraId="4CAD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FCC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AB3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8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11.软件平台自动记录多媒体教室的所有操作日志信息、设备状态信息和出错求助信息，并导出日志。同时还支持高级的统计分析功能，将日志信息存储到数据库。</w:t>
            </w:r>
          </w:p>
        </w:tc>
      </w:tr>
      <w:tr w14:paraId="17F2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DDF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961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1F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12.平台支持配置人工、智能托管策略，本地同步策略，可实现脱机离线运行，设备运行数据采集、上报。</w:t>
            </w:r>
          </w:p>
        </w:tc>
      </w:tr>
      <w:tr w14:paraId="592C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69AE">
            <w:pP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五、音频系统</w:t>
            </w:r>
          </w:p>
        </w:tc>
      </w:tr>
      <w:tr w14:paraId="544D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D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BC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智能红外无线功放</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E2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1.集成：D类数字功放，红外线无线接收模块，反馈抑制模块于一体。</w:t>
            </w:r>
          </w:p>
        </w:tc>
      </w:tr>
      <w:tr w14:paraId="63BF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0B5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DDC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50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2.采用红外光线进行音频传输，可在室外阳光环境下工作，不串频，无干扰。</w:t>
            </w:r>
          </w:p>
        </w:tc>
      </w:tr>
      <w:tr w14:paraId="7568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29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8751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52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3.频道组数≥3通道，支持两支红外无线话筒和一支红外翻页笔同时使用。</w:t>
            </w:r>
          </w:p>
        </w:tc>
      </w:tr>
      <w:tr w14:paraId="117C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DB6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C20C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CF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4.红外传输接口≥RJ45网口×2，可支持4个红外传感器，最长传输距离≥70米。</w:t>
            </w:r>
          </w:p>
        </w:tc>
      </w:tr>
      <w:tr w14:paraId="4419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24E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9E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82F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线路输入接口≥2组；有线话筒输入接口≥2个（其中1个自带48V幻象供电）；USB数字声卡接口≥1个；USB接口≥2个（可连接多媒体设备以及具备充电功能可以连接充电座使用）；混音输出接口≥2个；话筒独立输出接口≥1个；音箱接线端口≥4组。</w:t>
            </w:r>
          </w:p>
        </w:tc>
      </w:tr>
      <w:tr w14:paraId="22C1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F22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DD8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30D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6.前面板配备每个红外通道音量物理旋钮、每个线路输入音量物理旋钮、数字声卡输入音量物理旋钮、有线话筒输入音量物理旋钮、高低音调节物理旋钮，具备参数存储按钮，恢复出厂值按钮。</w:t>
            </w:r>
          </w:p>
        </w:tc>
      </w:tr>
      <w:tr w14:paraId="0255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C0A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127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9E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7.支持RS232中控，实现每路音量调节，高低音调节，参数储存/恢复，电源开关，通过第三方中控实现摄像机联动等控制。</w:t>
            </w:r>
          </w:p>
        </w:tc>
      </w:tr>
      <w:tr w14:paraId="762B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D2A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BC4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9B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8.前面板配置中文液晶屏，及时反馈设备状态。</w:t>
            </w:r>
          </w:p>
        </w:tc>
      </w:tr>
      <w:tr w14:paraId="1BC9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BE3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C4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9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9.频率响应：50Hz~20KHz±3dB。</w:t>
            </w:r>
          </w:p>
        </w:tc>
      </w:tr>
      <w:tr w14:paraId="08E9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3A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FB9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4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10.失真：≤0.05%。</w:t>
            </w:r>
          </w:p>
        </w:tc>
      </w:tr>
      <w:tr w14:paraId="3497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6F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1C4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03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11.信噪比≥78dB(MIC)，≥80dB(LINE)，≥100dB(IRMIC)（A计权）。</w:t>
            </w:r>
          </w:p>
        </w:tc>
      </w:tr>
      <w:tr w14:paraId="369F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C29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607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D9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12.动态范围≥100dB。</w:t>
            </w:r>
          </w:p>
        </w:tc>
      </w:tr>
      <w:tr w14:paraId="451D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786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408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13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13.RF载波稳定性:±0.005%(-10℃-40℃)。</w:t>
            </w:r>
          </w:p>
        </w:tc>
      </w:tr>
      <w:tr w14:paraId="2680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D68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730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7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14.额定输出功率:（8Ω）2x70W；（4Ω）2×130W。</w:t>
            </w:r>
          </w:p>
        </w:tc>
      </w:tr>
      <w:tr w14:paraId="74DD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63F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DBA0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9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15.输入灵敏度:≥20mV(MIC)，≥700mV(LINE)。</w:t>
            </w:r>
          </w:p>
        </w:tc>
      </w:tr>
      <w:tr w14:paraId="4B8E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961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BF2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E1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16.输入阻抗:≤22KΩ(MIC)，≤390Ω(LINE)。</w:t>
            </w:r>
          </w:p>
        </w:tc>
      </w:tr>
      <w:tr w14:paraId="6D22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0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2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一、手持话筒</w:t>
            </w:r>
          </w:p>
        </w:tc>
      </w:tr>
      <w:tr w14:paraId="598F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right w:val="single" w:color="000000" w:sz="4" w:space="0"/>
            </w:tcBorders>
            <w:shd w:val="clear" w:color="auto" w:fill="auto"/>
            <w:noWrap/>
            <w:vAlign w:val="center"/>
          </w:tcPr>
          <w:p w14:paraId="218AF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58" w:type="pct"/>
            <w:vMerge w:val="restart"/>
            <w:tcBorders>
              <w:top w:val="single" w:color="000000" w:sz="4" w:space="0"/>
              <w:left w:val="single" w:color="000000" w:sz="4" w:space="0"/>
              <w:right w:val="single" w:color="000000" w:sz="4" w:space="0"/>
            </w:tcBorders>
            <w:shd w:val="clear" w:color="auto" w:fill="auto"/>
            <w:vAlign w:val="center"/>
          </w:tcPr>
          <w:p w14:paraId="378E7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红外线手持话筒（含充电座）</w:t>
            </w:r>
          </w:p>
          <w:p w14:paraId="24FC3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0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1.无线传输制式：红外线(波长850nm)，高灵敏度红外线发射管≥6颗。</w:t>
            </w:r>
          </w:p>
        </w:tc>
      </w:tr>
      <w:tr w14:paraId="12E2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FC2A4F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FE6A76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29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2.拾音传感器：电容式驻极体音头ECM。</w:t>
            </w:r>
          </w:p>
        </w:tc>
      </w:tr>
      <w:tr w14:paraId="54E2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6BC681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E3269F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7A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3.通道调节：双通道设计，可自由调节通道。</w:t>
            </w:r>
          </w:p>
        </w:tc>
      </w:tr>
      <w:tr w14:paraId="57A5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CA6CA9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156334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23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4.电池工作时间≥6小时。</w:t>
            </w:r>
          </w:p>
        </w:tc>
      </w:tr>
      <w:tr w14:paraId="2BAF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8C839C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E321F2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1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5.电池：1节AA（3.7V）可充电可拆卸可自行更换锂电池。</w:t>
            </w:r>
          </w:p>
        </w:tc>
      </w:tr>
      <w:tr w14:paraId="1BF7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BB2EFE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B4AB10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0A92">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6.充电方式：支持直插式磁吸充电器充电(即话筒尾部安装环形磁吸充电金属片，话筒旋转360°，任意角度都可充电)和磁吸线充。</w:t>
            </w:r>
          </w:p>
        </w:tc>
      </w:tr>
      <w:tr w14:paraId="3F60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0AEE05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800735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F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7.话筒具备防止电池短路设计，即：无法将电池反装入话筒内，且在任何电池短路的情况下都不会对设备造成损坏。</w:t>
            </w:r>
          </w:p>
        </w:tc>
      </w:tr>
      <w:tr w14:paraId="41A2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838838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6AB9AE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85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8.采用手持式圆柱体形状设计，管体管身全部采用铝合金材质，并具备防滚跌落设计。</w:t>
            </w:r>
          </w:p>
        </w:tc>
      </w:tr>
      <w:tr w14:paraId="5DFD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7A5AC7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F0C405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70DA">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9.话筒静置1秒后自动断开红外发射和声音采集，拿取时自动打开红外发射并正常工作。</w:t>
            </w:r>
          </w:p>
        </w:tc>
      </w:tr>
      <w:tr w14:paraId="7980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E35E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58" w:type="pct"/>
            <w:vMerge w:val="continue"/>
            <w:tcBorders>
              <w:left w:val="single" w:color="000000" w:sz="4" w:space="0"/>
              <w:right w:val="single" w:color="000000" w:sz="4" w:space="0"/>
            </w:tcBorders>
            <w:shd w:val="clear" w:color="auto" w:fill="auto"/>
            <w:vAlign w:val="center"/>
          </w:tcPr>
          <w:p w14:paraId="30AC1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87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二、充电座</w:t>
            </w:r>
          </w:p>
        </w:tc>
      </w:tr>
      <w:tr w14:paraId="2522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7438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1501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B1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1.标配两个充电位，支持不同形状话筒（颈挂式、手持式）。同时支持桌面放置、嵌入式安装方式，且所有设备可以互换充电位充电。</w:t>
            </w:r>
          </w:p>
        </w:tc>
      </w:tr>
      <w:tr w14:paraId="2E5F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C413D0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54E5AB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D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2.充电保护：对不关话筒的情况下可以自动断开内部电路并进行充电。</w:t>
            </w:r>
          </w:p>
        </w:tc>
      </w:tr>
      <w:tr w14:paraId="39F4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F0DD59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52A25C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09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3.充电指示：可根据充电指示灯判断充电情况。</w:t>
            </w:r>
          </w:p>
        </w:tc>
      </w:tr>
      <w:tr w14:paraId="2497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A28B33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DBF1ED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0C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4.电池识别保护：能自动识别是否是充电电池，检测到非充电电池会自动断电保护。</w:t>
            </w:r>
          </w:p>
        </w:tc>
      </w:tr>
      <w:tr w14:paraId="1A9A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AFB56C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A2411F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B39">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5.同时具备Type-C接口和4P凤凰插口，且都支持供电和RS-232控制协议，通过中控接口反馈充电状态，发送控制指令。</w:t>
            </w:r>
          </w:p>
        </w:tc>
      </w:tr>
      <w:tr w14:paraId="1D93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9A5FC5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67D263B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2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6.充电电压电流：DC5V，500mA。</w:t>
            </w:r>
          </w:p>
        </w:tc>
      </w:tr>
      <w:tr w14:paraId="0332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5B7FCC1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5D200A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D0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三、其他</w:t>
            </w:r>
          </w:p>
        </w:tc>
      </w:tr>
      <w:tr w14:paraId="307D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bottom w:val="single" w:color="000000" w:sz="4" w:space="0"/>
              <w:right w:val="single" w:color="000000" w:sz="4" w:space="0"/>
            </w:tcBorders>
            <w:shd w:val="clear" w:color="auto" w:fill="auto"/>
            <w:noWrap/>
            <w:vAlign w:val="center"/>
          </w:tcPr>
          <w:p w14:paraId="304F0EE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bottom w:val="single" w:color="000000" w:sz="4" w:space="0"/>
              <w:right w:val="single" w:color="000000" w:sz="4" w:space="0"/>
            </w:tcBorders>
            <w:shd w:val="clear" w:color="auto" w:fill="auto"/>
            <w:vAlign w:val="center"/>
          </w:tcPr>
          <w:p w14:paraId="392424E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27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1.套装另含一支鹅颈话筒。</w:t>
            </w:r>
          </w:p>
        </w:tc>
      </w:tr>
      <w:tr w14:paraId="756B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nil"/>
              <w:right w:val="single" w:color="000000" w:sz="4" w:space="0"/>
            </w:tcBorders>
            <w:shd w:val="clear" w:color="auto" w:fill="auto"/>
            <w:noWrap/>
            <w:vAlign w:val="center"/>
          </w:tcPr>
          <w:p w14:paraId="6F4F0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58" w:type="pct"/>
            <w:vMerge w:val="restart"/>
            <w:tcBorders>
              <w:top w:val="single" w:color="000000" w:sz="4" w:space="0"/>
              <w:left w:val="single" w:color="000000" w:sz="4" w:space="0"/>
              <w:bottom w:val="nil"/>
              <w:right w:val="single" w:color="000000" w:sz="4" w:space="0"/>
            </w:tcBorders>
            <w:shd w:val="clear" w:color="auto" w:fill="auto"/>
            <w:vAlign w:val="center"/>
          </w:tcPr>
          <w:p w14:paraId="3C7CA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扩声音柱</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6D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1、箱体内嵌超广角多阵列式红外线接收管≥24颗，与音箱融为一体。</w:t>
            </w:r>
          </w:p>
        </w:tc>
      </w:tr>
      <w:tr w14:paraId="0296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FC2ADF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3FC2A9F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F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2、采用RJ45网口进行红外信号传输，并具备输入输出接口。</w:t>
            </w:r>
          </w:p>
        </w:tc>
      </w:tr>
      <w:tr w14:paraId="1D90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A5CFA1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33233B2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EA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3、单元组成2个≥4英寸高性能铁氧体驱动单元。</w:t>
            </w:r>
          </w:p>
        </w:tc>
      </w:tr>
      <w:tr w14:paraId="3549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B67645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0E94219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1A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4、频率响应：100Hz~18kHz（±3dB）</w:t>
            </w:r>
          </w:p>
        </w:tc>
      </w:tr>
      <w:tr w14:paraId="1043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28FFA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506553A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F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5、额定/峰值功率≥80W/160W</w:t>
            </w:r>
          </w:p>
        </w:tc>
      </w:tr>
      <w:tr w14:paraId="41B5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DAAA6D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6C4BFF9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8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6、灵敏度：≥90dB（1W/1M）</w:t>
            </w:r>
          </w:p>
        </w:tc>
      </w:tr>
      <w:tr w14:paraId="2D63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3F86B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1E76DBD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B7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7、最大声压级≥110dB（1W/1M）</w:t>
            </w:r>
          </w:p>
        </w:tc>
      </w:tr>
      <w:tr w14:paraId="4B86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7404B9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092D229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F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 阻抗：≤8Ω；</w:t>
            </w:r>
          </w:p>
        </w:tc>
      </w:tr>
      <w:tr w14:paraId="036C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FE462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1C453C4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8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lang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 箱体材料： 铝合金一次成型，坚固耐用。</w:t>
            </w:r>
          </w:p>
        </w:tc>
      </w:tr>
      <w:tr w14:paraId="1183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4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50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颈挂红外线话筒</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0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▲1.无线传输制式：红外线(波长850nm)，高灵敏度红外线发射管≥6颗，分布在前后左右四面，不易遮挡。（提供第三方检测机构出具的带有CMA标识合格的检验检测报告，报告内容能体现满足上述参数要求。）</w:t>
            </w:r>
          </w:p>
        </w:tc>
      </w:tr>
      <w:tr w14:paraId="09B0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E8D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944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55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2.拾音传感器：电容式驻极体音头ECM。</w:t>
            </w:r>
          </w:p>
        </w:tc>
      </w:tr>
      <w:tr w14:paraId="1D97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9F2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16C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4A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3.有效传输距离：与配套主机至少实现26米（室内直线无遮挡）稳定传输。</w:t>
            </w:r>
          </w:p>
        </w:tc>
      </w:tr>
      <w:tr w14:paraId="28D2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460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DBC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15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4.通道调节：双通道设计，可自主调节红外通道。</w:t>
            </w:r>
          </w:p>
        </w:tc>
      </w:tr>
      <w:tr w14:paraId="56E2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2BA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E0E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28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5.功率调节：可自主设定高低两档发射功率。</w:t>
            </w:r>
          </w:p>
        </w:tc>
      </w:tr>
      <w:tr w14:paraId="532D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733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4DF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F7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6.电池：内置1300mAh锂电池，工作时间≥8小时。</w:t>
            </w:r>
          </w:p>
        </w:tc>
      </w:tr>
      <w:tr w14:paraId="6A99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057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F34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7.充电方式：支持磁吸座充(即话筒尾部安装环形充电磁铁，正反方向都能充电)和磁吸线充。</w:t>
            </w:r>
          </w:p>
        </w:tc>
      </w:tr>
      <w:tr w14:paraId="1D59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30D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137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B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8.话筒具备PPT翻页功能。</w:t>
            </w:r>
          </w:p>
        </w:tc>
      </w:tr>
      <w:tr w14:paraId="24ED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CEE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B40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3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9.话筒具备绿色激光教鞭功能。</w:t>
            </w:r>
          </w:p>
        </w:tc>
      </w:tr>
      <w:tr w14:paraId="666A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AD3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8C6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C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10.智能电源管理：话筒静置1秒后自动休眠，拿取时瞬间自动正常工作。</w:t>
            </w:r>
          </w:p>
        </w:tc>
      </w:tr>
      <w:tr w14:paraId="6757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7A1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9A2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9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11.可手持可颈挂，标配可轻松调节高度的硅胶挂绳。</w:t>
            </w:r>
          </w:p>
        </w:tc>
      </w:tr>
      <w:tr w14:paraId="7D91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53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101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2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12.可通过4颗双色指示灯反馈设备电量、音量及使用状态。</w:t>
            </w:r>
          </w:p>
        </w:tc>
      </w:tr>
      <w:tr w14:paraId="6AED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B6D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7A2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29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 外部音源接入：能支持头戴咪和外部音源输入，可连接手机等移动设备。</w:t>
            </w:r>
          </w:p>
        </w:tc>
      </w:tr>
      <w:tr w14:paraId="580A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2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电源时序器</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74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1.≥8路受控独立时序电源通道和1路直通电源通道。</w:t>
            </w:r>
          </w:p>
        </w:tc>
      </w:tr>
      <w:tr w14:paraId="21BF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E08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74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D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2.前面板配置63A国标空气开关，确保安全。</w:t>
            </w:r>
          </w:p>
        </w:tc>
      </w:tr>
      <w:tr w14:paraId="0A7A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95B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673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2D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3.单路最大承受电流：13A。</w:t>
            </w:r>
          </w:p>
        </w:tc>
      </w:tr>
      <w:tr w14:paraId="0ECB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D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7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音频处理器</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0A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1.≥8路平衡式话筒／线路输入，具有48V幻象供电软开关，多级增益调节。</w:t>
            </w:r>
          </w:p>
        </w:tc>
      </w:tr>
      <w:tr w14:paraId="3E58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3F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6E9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9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2.≥8路平衡式线路输出。</w:t>
            </w:r>
          </w:p>
        </w:tc>
      </w:tr>
      <w:tr w14:paraId="3E14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A80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DFE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CD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3.48kHzA/D、D/A转换。</w:t>
            </w:r>
          </w:p>
        </w:tc>
      </w:tr>
      <w:tr w14:paraId="6313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D6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73A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4.编组控制功能。</w:t>
            </w:r>
          </w:p>
        </w:tc>
      </w:tr>
      <w:tr w14:paraId="2511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A78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310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F9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5.通道拷贝、粘贴、联控功能。</w:t>
            </w:r>
          </w:p>
        </w:tc>
      </w:tr>
      <w:tr w14:paraId="5A67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4AC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087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5C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6.支持面板远程控制。</w:t>
            </w:r>
          </w:p>
        </w:tc>
      </w:tr>
      <w:tr w14:paraId="6F11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085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6D5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FC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7.输入每通道不少于以下功能：前级放大、自动增益控制、自动噪声消除、自动回声消除、自动反馈抑制、信号发生器、扩展器、压缩器、8段参量均衡、高通和低通。</w:t>
            </w:r>
          </w:p>
        </w:tc>
      </w:tr>
      <w:tr w14:paraId="52F2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8876">
            <w:pP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六、智慧课堂教学系统</w:t>
            </w:r>
          </w:p>
        </w:tc>
      </w:tr>
      <w:tr w14:paraId="199F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B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A1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课堂主机</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3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1.系统架构：需采用嵌入式架构设计，且为了便于设备的远程管理、维护和升级，需内置操作系统和智慧管理软件。</w:t>
            </w:r>
          </w:p>
        </w:tc>
      </w:tr>
      <w:tr w14:paraId="090C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FD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71F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2.设备接口：HDMI视频接口≥1个，网络接口≥1个，USB≥2个。</w:t>
            </w:r>
          </w:p>
        </w:tc>
      </w:tr>
      <w:tr w14:paraId="024D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706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F02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9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3.节能环保：设备功耗不超过24W，且采用无风扇散热设计，低噪音不影响正常授课。</w:t>
            </w:r>
          </w:p>
        </w:tc>
      </w:tr>
      <w:tr w14:paraId="7B5C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A46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E60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F4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4.考虑到学校临时断网的情况，设备需支持离线课堂互动，教学过程中的行为数据待连网后自动上传。</w:t>
            </w:r>
          </w:p>
        </w:tc>
      </w:tr>
      <w:tr w14:paraId="784A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412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54A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05C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5.通过蓝牙AP，可接入智能笔，并可将智能笔在点阵纸上的书写内容实时显示到电脑上，且屏显与实际书写延时不超过1.0秒。</w:t>
            </w:r>
          </w:p>
        </w:tc>
      </w:tr>
      <w:tr w14:paraId="6BC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262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C83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7F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6.要求设备兼容不同网段或IP子网，并支持不少于60台终端的画面广播同屏，且平均同屏延时应在1.0秒内。</w:t>
            </w:r>
          </w:p>
        </w:tc>
      </w:tr>
      <w:tr w14:paraId="243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1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2FB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2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7.为保证设备运行的稳定性，整机使用平均无故障运行时间(MTBF)应≥200000小时。</w:t>
            </w:r>
          </w:p>
        </w:tc>
      </w:tr>
      <w:tr w14:paraId="71C2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8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58" w:type="pct"/>
            <w:vMerge w:val="restart"/>
            <w:tcBorders>
              <w:top w:val="single" w:color="000000" w:sz="4" w:space="0"/>
              <w:left w:val="single" w:color="000000" w:sz="4" w:space="0"/>
              <w:bottom w:val="nil"/>
              <w:right w:val="single" w:color="000000" w:sz="4" w:space="0"/>
            </w:tcBorders>
            <w:shd w:val="clear" w:color="auto" w:fill="auto"/>
            <w:vAlign w:val="center"/>
          </w:tcPr>
          <w:p w14:paraId="4EDD2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智慧管理软件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BB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1.软件应采用业界流行的B/S架构，通过浏览器直接输入IP地址即可访问和使用。</w:t>
            </w:r>
          </w:p>
        </w:tc>
      </w:tr>
      <w:tr w14:paraId="103F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98B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540A924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C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2.为满足物联管控和统一管理，应支持根据不同网络架构配置网络参数，还可通过网络进行远程重启或定时重启等。</w:t>
            </w:r>
          </w:p>
        </w:tc>
      </w:tr>
      <w:tr w14:paraId="04A4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B45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217F96F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3.为保证安全性，应提供对教室的绑定认证功能，通过认证后可进行使用。</w:t>
            </w:r>
          </w:p>
        </w:tc>
      </w:tr>
      <w:tr w14:paraId="0E2C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69F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048CCD6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7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4.提供版本控制功能，可查看软件版本信息，并应提供OTA升级和本地离线升级两种方式，便于系统的维护和升级。</w:t>
            </w:r>
          </w:p>
        </w:tc>
      </w:tr>
      <w:tr w14:paraId="5D5F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85F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7267B66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7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5.提供模式配置管理，可根据使用终端类型，自由选择采用智能笔或平板终端模式。</w:t>
            </w:r>
          </w:p>
        </w:tc>
      </w:tr>
      <w:tr w14:paraId="3507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5A2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05565B0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F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6.提供智能笔的管理，可查看智能笔的连接状态、电量状态和固件版本信息，也可手动添加、批量导入和导出智能笔信息。</w:t>
            </w:r>
          </w:p>
        </w:tc>
      </w:tr>
      <w:tr w14:paraId="40A8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E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79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智慧课堂软件</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5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一、课前备课</w:t>
            </w:r>
          </w:p>
        </w:tc>
      </w:tr>
      <w:tr w14:paraId="28C8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B3A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D0E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7D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1.分组管理：支持教师创建分组教学方案，并分配小组成员，应用于分组教学活动中。</w:t>
            </w:r>
          </w:p>
        </w:tc>
      </w:tr>
      <w:tr w14:paraId="3420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3A8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A4A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2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2.课本管理：教师可根据学段、学科、版本信息从教材库中直接引用已有课本，也可自编课本。</w:t>
            </w:r>
          </w:p>
        </w:tc>
      </w:tr>
      <w:tr w14:paraId="0D89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411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06D7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C2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3.课前备课：支持教师基于教材、学科、知识点进行课前备课，备课时可引用资源库，备课内容包括课堂课件和随堂测试两种。</w:t>
            </w:r>
          </w:p>
        </w:tc>
      </w:tr>
      <w:tr w14:paraId="318D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382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F01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F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4.课件备课：支持教师上传课件资料或直接引用资源库进行备课。</w:t>
            </w:r>
          </w:p>
        </w:tc>
      </w:tr>
      <w:tr w14:paraId="444D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FF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403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63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5.测试备课：支持教师上传测试文件或直接引用题库进行备课。</w:t>
            </w:r>
          </w:p>
        </w:tc>
      </w:tr>
      <w:tr w14:paraId="1DC9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B10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6F9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86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6.备课同步：支持教师课前的所有备课资料备份至主机当中，教师在课堂上可直接调用进行授课，防止因网络问题无法访问平台而影响正常上课。</w:t>
            </w:r>
          </w:p>
        </w:tc>
      </w:tr>
      <w:tr w14:paraId="2996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84E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F3D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16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二、课堂教学</w:t>
            </w:r>
          </w:p>
        </w:tc>
      </w:tr>
      <w:tr w14:paraId="3FD5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DB8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954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2A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1.信息关联：教师上课时可自动关联学科、班级和学生信息，且支持实时监看学生状态。</w:t>
            </w:r>
          </w:p>
        </w:tc>
      </w:tr>
      <w:tr w14:paraId="784F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161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1D5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88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2.课件演示：教师可直接打开课前备课或现场自带的课件进行授课。</w:t>
            </w:r>
          </w:p>
        </w:tc>
      </w:tr>
      <w:tr w14:paraId="65B2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5C9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0600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45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3.画笔批注：教师可在教学过程中进行书写批注，提供多种可选笔迹大小和颜色。</w:t>
            </w:r>
          </w:p>
        </w:tc>
      </w:tr>
      <w:tr w14:paraId="5907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36B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4A1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73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4.板书教学：教师可使用板书功能进行书写及讲解，板书背景需支持多种样式和颜色可选；且支持多个白板同时并存，在授课过程中，可以随时的查看和调取白板的记录。</w:t>
            </w:r>
          </w:p>
        </w:tc>
      </w:tr>
      <w:tr w14:paraId="5CB4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EF1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FA4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46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5.微课录制：支持录制教师电脑画面和采集电脑麦克风声音形成微课视频，录制完成后可同步上传至教学平台，也可下载到本地和分享给学生进行观看学习。</w:t>
            </w:r>
          </w:p>
        </w:tc>
      </w:tr>
      <w:tr w14:paraId="2B17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476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543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3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6.课堂互动：支持抢答、投票、随机挑人等功能，教师可从全班范围内随机挑选学生，也可根据某次答题或投票结果，从任意选项中随机挑选学生。</w:t>
            </w:r>
          </w:p>
        </w:tc>
      </w:tr>
      <w:tr w14:paraId="1B69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958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113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61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7.测试互动：支持全班作答、分组作答等方式的课堂测试互动活动。支持单选、多选、判断、解答等四种常用题型，并支持设置答题时间，教师也可以根据学生的答题情况随时终止或者延长答题。</w:t>
            </w:r>
          </w:p>
        </w:tc>
      </w:tr>
      <w:tr w14:paraId="21FC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05C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93C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CA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8.随堂测试：提供利用课前备课已生成的测试或现场从自带试题中生成测试，教师选择后进行课堂测试。</w:t>
            </w:r>
          </w:p>
        </w:tc>
      </w:tr>
      <w:tr w14:paraId="1219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3F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B2F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0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9.截屏测试：支持教师截取课件、画笔和板书的内容作为题目进行课堂测试。</w:t>
            </w:r>
          </w:p>
        </w:tc>
      </w:tr>
      <w:tr w14:paraId="7B91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836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F3C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BC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10.移动教学：提供教师移动端APP，支持对课件进行多页预览、翻页、批注和板书，发起随机挑人、抢答和点赞，拍摄图片和实时视频并进行讲评分享等功能。</w:t>
            </w:r>
          </w:p>
        </w:tc>
      </w:tr>
      <w:tr w14:paraId="208A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988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B5D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F5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11.同屏教学：支持移动终端与班级多媒体设备同屏教学，支持移动终端进行无线投屏，并支持广播至学生移动终端。</w:t>
            </w:r>
          </w:p>
        </w:tc>
      </w:tr>
      <w:tr w14:paraId="7752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9B6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D40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00ED">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12.分组教学：教师可进行自由分组、布置主题和设置倒计时，学生可进行分角色讨论学习；支持不少于12个小组，每个小组支持提交不少于6个讨论成果，教师可查看所有小组的讨论成果、进行二分屏或四分屏对比展示。</w:t>
            </w:r>
          </w:p>
        </w:tc>
      </w:tr>
      <w:tr w14:paraId="0A12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098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54F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80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13.分组协作：支持在分组教学中，同一小组的不同学生可在同一纸上进行协作书写，且书写内容需自动关联学生身份并可进行笔迹回放。</w:t>
            </w:r>
          </w:p>
        </w:tc>
      </w:tr>
      <w:tr w14:paraId="6876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903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3A7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0EC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14.书写答题：支持在不改变学生书写方式的情况下自动记录学生书写笔迹、统计客观题正确率，并支持不少于4个学生答案对比和笔迹回放。</w:t>
            </w:r>
          </w:p>
        </w:tc>
      </w:tr>
      <w:tr w14:paraId="3EFA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26A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82E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F2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15.书写演示：支持教师授权学生进行书写演示，书写笔迹可在教师PC端实现同步显示，且支持不少于4个学生同时进行对比演示。</w:t>
            </w:r>
          </w:p>
        </w:tc>
      </w:tr>
      <w:tr w14:paraId="2850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277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76C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6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16.课堂点赞：支持教师根据学生课堂表现对学生个人或小组进行点赞激励。</w:t>
            </w:r>
          </w:p>
        </w:tc>
      </w:tr>
      <w:tr w14:paraId="1281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2F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88B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E4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17.课堂分享：支持教师将课堂的备课课件、本地文件、画笔批注内容、板书书写内容等分享给学生。</w:t>
            </w:r>
          </w:p>
        </w:tc>
      </w:tr>
      <w:tr w14:paraId="6B2C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C1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D6A3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3A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三、课外任务</w:t>
            </w:r>
          </w:p>
        </w:tc>
      </w:tr>
      <w:tr w14:paraId="308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258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C8E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1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1.任务类型：需至少支持预习、作业、辅导等类型，任务对象支持全班、小组和个人，教师可根据不同教学阶段和场景选择合适的类型。</w:t>
            </w:r>
          </w:p>
        </w:tc>
      </w:tr>
      <w:tr w14:paraId="086C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7B5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336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8D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任务布置：支持以章节、知识点为大纲布置任务，设定任务起止时间；任务支持添加文字、图片、文件、网站等作为内容，教师还可根据需要设定是否需要学生进行回答；也支持按教材、知识点、题型、难易程度从题库中选取题目，推送给学生；还支持上传本地试题文件，并设置答题卡（如题型、答案、分值等）。</w:t>
            </w:r>
          </w:p>
        </w:tc>
      </w:tr>
      <w:tr w14:paraId="64AB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BB2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670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D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3.任务批改：教师可对主观题进行批改，除了判定对错之外，教师还可对答案进行圈写批注、文字批注、填写评语等；支持教师指定学生重做某题或全部重做。</w:t>
            </w:r>
          </w:p>
        </w:tc>
      </w:tr>
      <w:tr w14:paraId="3EFF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805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67F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EADE">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任务讲评：教师在课堂可调取课外任务进行讲评，支持查看每题的答题情况，客观题以图表方式展示统计结果，主观题以缩略图方式展示答案。支持学生答案的批注、对比讲评，也支持对典型答题进行展示、推送。</w:t>
            </w:r>
          </w:p>
        </w:tc>
      </w:tr>
      <w:tr w14:paraId="2CA3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86C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52B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BF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5.任务报告：包含但不限于每个班级的任务进度详情、与年级的平均得分率对比、学生的得分率等级分布，以及每道题与每个知识点的班级得分率和预警等。</w:t>
            </w:r>
          </w:p>
        </w:tc>
      </w:tr>
      <w:tr w14:paraId="39AF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0FF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75E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D6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四、学生学习</w:t>
            </w:r>
          </w:p>
        </w:tc>
      </w:tr>
      <w:tr w14:paraId="2BD5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C17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7B76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F0A9">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课外任务：需支持查看教师推送的课外任务并进行在线学习和标注已学，也支持采用勾选、手写、拍照、录音、拍视频等方式提交答案；支持查看任务完成的整体情况，包含但不限于正确答案、题目解析、教师批注、评语、优秀答案等。</w:t>
            </w:r>
          </w:p>
        </w:tc>
      </w:tr>
      <w:tr w14:paraId="5884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68F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44A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0E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2.自主学习：学生可按照教材、学科、知识点自行选择微课资源进行学习。</w:t>
            </w:r>
          </w:p>
        </w:tc>
      </w:tr>
      <w:tr w14:paraId="68D9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00F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D6D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C2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3.学情分析：学生可按照学科、月份查看作业的分数走势图。</w:t>
            </w:r>
          </w:p>
        </w:tc>
      </w:tr>
      <w:tr w14:paraId="54BA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CF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D3F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86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4.错题本：对于答错的所有题目，支持自动分学科归纳至学生个人错题本，学生可查看错题题面、我的答案、正确答案、题目解析等；支持智能推送错题举一反三变式训练，且支持错题导出。</w:t>
            </w:r>
          </w:p>
        </w:tc>
      </w:tr>
      <w:tr w14:paraId="3AA3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D4D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57D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1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五、教学分析</w:t>
            </w:r>
          </w:p>
        </w:tc>
      </w:tr>
      <w:tr w14:paraId="7EC6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AEB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432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97E9">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课堂分析：支持对课堂教学进行全程记录和分析，内容按时序结构化进行呈现，便于教师课后快速定位查找，完成课后反思教研；并提供课堂的签到率、作答得分率、课堂活跃度、点赞、知识点得分率和学生做题分析等数据。</w:t>
            </w:r>
          </w:p>
        </w:tc>
      </w:tr>
      <w:tr w14:paraId="22F8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94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8D8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E2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2.错题分析：支持按时段、班级汇总所有错题，包括错题的得分率、所关联的知识点和错误的学生名单等数据；教师可通过得分率、错题来源进行筛选查找，也可根据需要导出错题集。</w:t>
            </w:r>
          </w:p>
        </w:tc>
      </w:tr>
      <w:tr w14:paraId="0A6C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4E7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658E8">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F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六、数据报告</w:t>
            </w:r>
          </w:p>
        </w:tc>
      </w:tr>
      <w:tr w14:paraId="5071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68E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AD9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3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1.智慧课堂：支持按时段生成全校的智慧课堂分析，包含但不限于智慧课堂开课与互动总次数、开课的日趋势与时间段分析、按年级/学科/班级/教师分类的开课和互动数据等。</w:t>
            </w:r>
          </w:p>
        </w:tc>
      </w:tr>
      <w:tr w14:paraId="59E0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A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95E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2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智慧作业：支持按时段生成全校的智慧作业分析，包含但不限于作业提交/布置/批阅/讲评的趋势分析、按年级/学科/班级/教师分类的作业应用分析等，分析指标包含但不限于布置次数、得分率、提交率、批阅率、讲评次数等，且支持对每个指标设置预警并高亮显示。</w:t>
            </w:r>
          </w:p>
        </w:tc>
      </w:tr>
      <w:tr w14:paraId="5A94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08C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A41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9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3.资源建设：支持统计和查看教师教学活动的生成性资源和校本资源总量，并可按资源类型、学科分别统计。</w:t>
            </w:r>
          </w:p>
        </w:tc>
      </w:tr>
      <w:tr w14:paraId="59BB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2B3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C60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C3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教师教情：支持按时段生成教师与学科的教学分析，包含但不限于作业布置数、作业讲评数、课堂开课数等，并提供每个教师的作业和课堂应用情况，作业包含但不限于布置次数、得分率、提交率、批阅率、讲评数、作业布置/批阅/讲评的日趋势、作业批阅的时间段分布等，课堂包含但不限于开课次数与日趋势、互动次数与互动类型占比等。</w:t>
            </w:r>
          </w:p>
        </w:tc>
      </w:tr>
      <w:tr w14:paraId="72B0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F49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9F1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EB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5.学科学情：支持按时段、学科生成班级与年级的学情对比分析，包含但不限于学业等级分布、各单元目标的平均得分率，以及各学业等级分层的学生与临界生名单等。</w:t>
            </w:r>
          </w:p>
        </w:tc>
      </w:tr>
      <w:tr w14:paraId="02B3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8393">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622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13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班级学情：支持按时段、学科生成班级学情分析，包含但不限于班级各学生作业平均的得分率、提交率、订正率、用时、每份作业的评价等级、各知识点与各单元目标的平均得分率、具有典型表现的学生名单等。</w:t>
            </w:r>
          </w:p>
        </w:tc>
      </w:tr>
      <w:tr w14:paraId="0FCD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4D9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8C7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22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学生学情：支持按时段生成学生个人学情分析，包含但不限于作业等级分布、作业等级与得分率趋势、作业时长、每份作业的个人与班级和年级的时长趋势对比、各个知识点与单元目标的个人与班级和年级的得分率对比等。</w:t>
            </w:r>
          </w:p>
        </w:tc>
      </w:tr>
      <w:tr w14:paraId="5836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E8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459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F5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8.课堂质量：支持按时段、学科生成各班级课堂质量分析，包含但不限于课堂开课与互动次数对比、课堂作答等级的占比与分布、课堂互动类型的占比与分布等。</w:t>
            </w:r>
          </w:p>
        </w:tc>
      </w:tr>
      <w:tr w14:paraId="58FE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698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91F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00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作业质量：支持按时段、学科生成各班级作业质量分析，包含但不限于作业等级/得分率/提交率/订正率/平均用时的数据对比、作业作答等级的占比与趋势、作业作答时长的占比与趋势、作业提交与批阅的时间段分布、作业类型的占比与分布、作业题量的占比与分布、作业试题难度的占比与分布等。</w:t>
            </w:r>
          </w:p>
        </w:tc>
      </w:tr>
      <w:tr w14:paraId="6980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E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77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教学平板</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92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1.尺寸：≥10.95英寸，90fps，400nits。</w:t>
            </w:r>
          </w:p>
        </w:tc>
      </w:tr>
      <w:tr w14:paraId="3855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45A0">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0FE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8E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2.分辨率：≥1920*1200。</w:t>
            </w:r>
          </w:p>
        </w:tc>
      </w:tr>
      <w:tr w14:paraId="0527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AEB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28E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8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3.亮度：≥400nits内存/存储。</w:t>
            </w:r>
          </w:p>
        </w:tc>
      </w:tr>
      <w:tr w14:paraId="7D73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81B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2C09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26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4.内存：≥8GB+128GB。</w:t>
            </w:r>
          </w:p>
        </w:tc>
      </w:tr>
      <w:tr w14:paraId="0F43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533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494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38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5.扩展：支持MicroSD卡exFAT至1TB。</w:t>
            </w:r>
          </w:p>
        </w:tc>
      </w:tr>
      <w:tr w14:paraId="5FC3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E16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316D">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64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6.Wi-Fi：802.11a/b/g/n/ac（2.4GHz&amp;5GHz）。</w:t>
            </w:r>
          </w:p>
        </w:tc>
      </w:tr>
      <w:tr w14:paraId="7384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2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14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平板充电柜</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8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1.充电协议：QC2.0/3.0。</w:t>
            </w:r>
          </w:p>
        </w:tc>
      </w:tr>
      <w:tr w14:paraId="72EB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25C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9E7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2.工位数量：≥60位。</w:t>
            </w:r>
          </w:p>
        </w:tc>
      </w:tr>
      <w:tr w14:paraId="3D40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1BBE">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69E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AC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3.板材厚度：≥1.0厚板。</w:t>
            </w:r>
          </w:p>
        </w:tc>
      </w:tr>
      <w:tr w14:paraId="3F4E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CD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2E37">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9E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4.工位尺寸：适配11英寸以下平板。</w:t>
            </w:r>
          </w:p>
        </w:tc>
      </w:tr>
      <w:tr w14:paraId="78C9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nil"/>
              <w:left w:val="single" w:color="000000" w:sz="4" w:space="0"/>
              <w:bottom w:val="nil"/>
              <w:right w:val="single" w:color="000000" w:sz="4" w:space="0"/>
            </w:tcBorders>
            <w:shd w:val="clear" w:color="auto" w:fill="auto"/>
            <w:noWrap/>
            <w:vAlign w:val="center"/>
          </w:tcPr>
          <w:p w14:paraId="5F64B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858" w:type="pct"/>
            <w:vMerge w:val="restart"/>
            <w:tcBorders>
              <w:top w:val="nil"/>
              <w:left w:val="single" w:color="000000" w:sz="4" w:space="0"/>
              <w:bottom w:val="nil"/>
              <w:right w:val="single" w:color="000000" w:sz="4" w:space="0"/>
            </w:tcBorders>
            <w:shd w:val="clear" w:color="auto" w:fill="auto"/>
            <w:vAlign w:val="center"/>
          </w:tcPr>
          <w:p w14:paraId="02E34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无线AP</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EC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1.LAN口类型：电口；</w:t>
            </w:r>
          </w:p>
        </w:tc>
      </w:tr>
      <w:tr w14:paraId="6251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nil"/>
              <w:left w:val="single" w:color="000000" w:sz="4" w:space="0"/>
              <w:bottom w:val="nil"/>
              <w:right w:val="single" w:color="000000" w:sz="4" w:space="0"/>
            </w:tcBorders>
            <w:shd w:val="clear" w:color="auto" w:fill="auto"/>
            <w:noWrap/>
            <w:vAlign w:val="center"/>
          </w:tcPr>
          <w:p w14:paraId="3213795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nil"/>
              <w:left w:val="single" w:color="000000" w:sz="4" w:space="0"/>
              <w:bottom w:val="nil"/>
              <w:right w:val="single" w:color="000000" w:sz="4" w:space="0"/>
            </w:tcBorders>
            <w:shd w:val="clear" w:color="auto" w:fill="auto"/>
            <w:vAlign w:val="center"/>
          </w:tcPr>
          <w:p w14:paraId="276D58D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F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2.频宽：≥160MHz；</w:t>
            </w:r>
          </w:p>
        </w:tc>
      </w:tr>
      <w:tr w14:paraId="3DB1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nil"/>
              <w:left w:val="single" w:color="000000" w:sz="4" w:space="0"/>
              <w:bottom w:val="nil"/>
              <w:right w:val="single" w:color="000000" w:sz="4" w:space="0"/>
            </w:tcBorders>
            <w:shd w:val="clear" w:color="auto" w:fill="auto"/>
            <w:noWrap/>
            <w:vAlign w:val="center"/>
          </w:tcPr>
          <w:p w14:paraId="06418B8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nil"/>
              <w:left w:val="single" w:color="000000" w:sz="4" w:space="0"/>
              <w:bottom w:val="nil"/>
              <w:right w:val="single" w:color="000000" w:sz="4" w:space="0"/>
            </w:tcBorders>
            <w:shd w:val="clear" w:color="auto" w:fill="auto"/>
            <w:vAlign w:val="center"/>
          </w:tcPr>
          <w:p w14:paraId="744C0D4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3D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3.无线协议：Wi-Fi6；</w:t>
            </w:r>
          </w:p>
        </w:tc>
      </w:tr>
      <w:tr w14:paraId="0C53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nil"/>
              <w:left w:val="single" w:color="000000" w:sz="4" w:space="0"/>
              <w:bottom w:val="nil"/>
              <w:right w:val="single" w:color="000000" w:sz="4" w:space="0"/>
            </w:tcBorders>
            <w:shd w:val="clear" w:color="auto" w:fill="auto"/>
            <w:noWrap/>
            <w:vAlign w:val="center"/>
          </w:tcPr>
          <w:p w14:paraId="3FFCAF7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nil"/>
              <w:left w:val="single" w:color="000000" w:sz="4" w:space="0"/>
              <w:bottom w:val="nil"/>
              <w:right w:val="single" w:color="000000" w:sz="4" w:space="0"/>
            </w:tcBorders>
            <w:shd w:val="clear" w:color="auto" w:fill="auto"/>
            <w:vAlign w:val="center"/>
          </w:tcPr>
          <w:p w14:paraId="241303F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13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4.总带机量：51-80终端；</w:t>
            </w:r>
          </w:p>
        </w:tc>
      </w:tr>
      <w:tr w14:paraId="5C5B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top w:val="nil"/>
              <w:left w:val="single" w:color="000000" w:sz="4" w:space="0"/>
              <w:bottom w:val="nil"/>
              <w:right w:val="single" w:color="000000" w:sz="4" w:space="0"/>
            </w:tcBorders>
            <w:shd w:val="clear" w:color="auto" w:fill="auto"/>
            <w:noWrap/>
            <w:vAlign w:val="center"/>
          </w:tcPr>
          <w:p w14:paraId="58ADACC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nil"/>
              <w:left w:val="single" w:color="000000" w:sz="4" w:space="0"/>
              <w:bottom w:val="nil"/>
              <w:right w:val="single" w:color="000000" w:sz="4" w:space="0"/>
            </w:tcBorders>
            <w:shd w:val="clear" w:color="auto" w:fill="auto"/>
            <w:vAlign w:val="center"/>
          </w:tcPr>
          <w:p w14:paraId="1758864B">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6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5.WAN接入口：千兆网口；</w:t>
            </w:r>
          </w:p>
        </w:tc>
      </w:tr>
      <w:tr w14:paraId="2CAE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nil"/>
              <w:left w:val="single" w:color="000000" w:sz="4" w:space="0"/>
              <w:bottom w:val="nil"/>
              <w:right w:val="single" w:color="000000" w:sz="4" w:space="0"/>
            </w:tcBorders>
            <w:shd w:val="clear" w:color="auto" w:fill="auto"/>
            <w:noWrap/>
            <w:vAlign w:val="center"/>
          </w:tcPr>
          <w:p w14:paraId="3B2B6CD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nil"/>
              <w:left w:val="single" w:color="000000" w:sz="4" w:space="0"/>
              <w:bottom w:val="nil"/>
              <w:right w:val="single" w:color="000000" w:sz="4" w:space="0"/>
            </w:tcBorders>
            <w:shd w:val="clear" w:color="auto" w:fill="auto"/>
            <w:vAlign w:val="center"/>
          </w:tcPr>
          <w:p w14:paraId="0547C33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F3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6.供电方式：POE/DC供电；</w:t>
            </w:r>
          </w:p>
        </w:tc>
      </w:tr>
      <w:tr w14:paraId="1870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nil"/>
              <w:left w:val="single" w:color="000000" w:sz="4" w:space="0"/>
              <w:bottom w:val="nil"/>
              <w:right w:val="single" w:color="000000" w:sz="4" w:space="0"/>
            </w:tcBorders>
            <w:shd w:val="clear" w:color="auto" w:fill="auto"/>
            <w:noWrap/>
            <w:vAlign w:val="center"/>
          </w:tcPr>
          <w:p w14:paraId="39CA039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nil"/>
              <w:left w:val="single" w:color="000000" w:sz="4" w:space="0"/>
              <w:bottom w:val="nil"/>
              <w:right w:val="single" w:color="000000" w:sz="4" w:space="0"/>
            </w:tcBorders>
            <w:shd w:val="clear" w:color="auto" w:fill="auto"/>
            <w:vAlign w:val="center"/>
          </w:tcPr>
          <w:p w14:paraId="33282B9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50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7.适用频段：2.4GHz。2.4GHz+5GHz。</w:t>
            </w:r>
          </w:p>
        </w:tc>
      </w:tr>
      <w:tr w14:paraId="7852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CC87">
            <w:pP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七、配套家具</w:t>
            </w:r>
          </w:p>
        </w:tc>
      </w:tr>
      <w:tr w14:paraId="356B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22" w:type="pct"/>
            <w:vMerge w:val="restart"/>
            <w:tcBorders>
              <w:top w:val="single" w:color="000000" w:sz="4" w:space="0"/>
              <w:left w:val="single" w:color="000000" w:sz="4" w:space="0"/>
              <w:right w:val="single" w:color="000000" w:sz="4" w:space="0"/>
            </w:tcBorders>
            <w:shd w:val="clear" w:color="auto" w:fill="auto"/>
            <w:noWrap/>
            <w:vAlign w:val="center"/>
          </w:tcPr>
          <w:p w14:paraId="72F29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858" w:type="pct"/>
            <w:vMerge w:val="restart"/>
            <w:tcBorders>
              <w:top w:val="single" w:color="000000" w:sz="4" w:space="0"/>
              <w:left w:val="single" w:color="000000" w:sz="4" w:space="0"/>
              <w:right w:val="single" w:color="000000" w:sz="4" w:space="0"/>
            </w:tcBorders>
            <w:shd w:val="clear" w:color="auto" w:fill="auto"/>
            <w:vAlign w:val="center"/>
          </w:tcPr>
          <w:p w14:paraId="0D3AD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教师讲台（含椅子）</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D2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1.套装含讲台1张，教师椅1张。</w:t>
            </w:r>
          </w:p>
        </w:tc>
      </w:tr>
      <w:tr w14:paraId="3CCA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22" w:type="pct"/>
            <w:vMerge w:val="continue"/>
            <w:tcBorders>
              <w:left w:val="single" w:color="000000" w:sz="4" w:space="0"/>
              <w:right w:val="single" w:color="000000" w:sz="4" w:space="0"/>
            </w:tcBorders>
            <w:shd w:val="clear" w:color="auto" w:fill="auto"/>
            <w:noWrap/>
            <w:vAlign w:val="center"/>
          </w:tcPr>
          <w:p w14:paraId="0DEAF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p>
        </w:tc>
        <w:tc>
          <w:tcPr>
            <w:tcW w:w="858" w:type="pct"/>
            <w:vMerge w:val="continue"/>
            <w:tcBorders>
              <w:left w:val="single" w:color="000000" w:sz="4" w:space="0"/>
              <w:right w:val="single" w:color="000000" w:sz="4" w:space="0"/>
            </w:tcBorders>
            <w:shd w:val="clear" w:color="auto" w:fill="auto"/>
            <w:vAlign w:val="center"/>
          </w:tcPr>
          <w:p w14:paraId="3407D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8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一、教师讲台</w:t>
            </w:r>
          </w:p>
        </w:tc>
      </w:tr>
      <w:tr w14:paraId="38A3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CC223E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EDD2D6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8F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1.钢木结合设计，采用冷轧钢板桌体，桌体金属板厚度0.8mm--1.5mm，老师接触位置为木质抗划桌面，硬度高耐磨、耐热性好、表面平滑光洁容、易维护清洗桌面防静电。</w:t>
            </w:r>
          </w:p>
        </w:tc>
      </w:tr>
      <w:tr w14:paraId="47F1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2700BA1">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5F075B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F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2.讲台尺寸设计为长x宽x高:1100mmx650mm*1000mm环抱老师式设计根据人体力学设计讲台卓面高度合适老师放置教学用品。</w:t>
            </w:r>
          </w:p>
        </w:tc>
      </w:tr>
      <w:tr w14:paraId="5034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1097459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2CA9709">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3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3.讲台产品外观桌面平整，全封闭设计，边缘光滑，无棱角处理，正面中部受到170N的冲击力时不会倾倒。</w:t>
            </w:r>
          </w:p>
        </w:tc>
      </w:tr>
      <w:tr w14:paraId="6402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38C6375">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C29071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65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讲台下柜门自然循环通风散热系统风孔样式可根据整体风格设计；可放置工控机，电源放大器，控制器，主机等设备；前门阻尼装置轻触开启轻触关闭并有减震设计，脱脂、磷化、静电喷塑、溜平固化，重点部位须采用一次冲压成型技术；所有钣金部分均采用激光切割加工，所有尖角倒圆角不小于R3，保证使用者和维护者不划伤。</w:t>
            </w:r>
          </w:p>
        </w:tc>
      </w:tr>
      <w:tr w14:paraId="0A06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0B20AF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C8FE1F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0C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二、教师椅</w:t>
            </w:r>
          </w:p>
        </w:tc>
      </w:tr>
      <w:tr w14:paraId="7540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8038B1F">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65C5F4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5D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1.椅座：椅座尺寸：约W460mm*D460mm,多层板+海绵+三防布，可根据实际现场环境需求调整。</w:t>
            </w:r>
          </w:p>
        </w:tc>
      </w:tr>
      <w:tr w14:paraId="5A08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bottom w:val="single" w:color="000000" w:sz="4" w:space="0"/>
              <w:right w:val="single" w:color="000000" w:sz="4" w:space="0"/>
            </w:tcBorders>
            <w:shd w:val="clear" w:color="auto" w:fill="auto"/>
            <w:noWrap/>
            <w:vAlign w:val="center"/>
          </w:tcPr>
          <w:p w14:paraId="2A9DAD3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bottom w:val="single" w:color="000000" w:sz="4" w:space="0"/>
              <w:right w:val="single" w:color="000000" w:sz="4" w:space="0"/>
            </w:tcBorders>
            <w:shd w:val="clear" w:color="auto" w:fill="auto"/>
            <w:vAlign w:val="center"/>
          </w:tcPr>
          <w:p w14:paraId="78696DBC">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0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2.扶手采用注压成型聚丙烯材质一次注塑成型，坐凳可以360度旋转；椅座支撑压铸件带气杆,上下调整手柄。</w:t>
            </w:r>
          </w:p>
        </w:tc>
      </w:tr>
      <w:tr w14:paraId="6B0E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right w:val="single" w:color="000000" w:sz="4" w:space="0"/>
            </w:tcBorders>
            <w:shd w:val="clear" w:color="auto" w:fill="auto"/>
            <w:noWrap/>
            <w:vAlign w:val="center"/>
          </w:tcPr>
          <w:p w14:paraId="1F9D1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858" w:type="pct"/>
            <w:vMerge w:val="restart"/>
            <w:tcBorders>
              <w:top w:val="single" w:color="000000" w:sz="4" w:space="0"/>
              <w:left w:val="single" w:color="000000" w:sz="4" w:space="0"/>
              <w:right w:val="single" w:color="000000" w:sz="4" w:space="0"/>
            </w:tcBorders>
            <w:shd w:val="clear" w:color="auto" w:fill="auto"/>
            <w:vAlign w:val="center"/>
          </w:tcPr>
          <w:p w14:paraId="1517C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操作台（含椅子）</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B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eastAsia="zh-CN" w:bidi="ar"/>
              </w:rPr>
            </w:pPr>
            <w:r>
              <w:rPr>
                <w:rFonts w:hint="eastAsia" w:asciiTheme="minorEastAsia" w:hAnsiTheme="minorEastAsia" w:eastAsiaTheme="minorEastAsia" w:cstheme="minorEastAsia"/>
                <w:b/>
                <w:bCs/>
                <w:i w:val="0"/>
                <w:iCs w:val="0"/>
                <w:color w:val="FF0000"/>
                <w:kern w:val="0"/>
                <w:sz w:val="21"/>
                <w:szCs w:val="21"/>
                <w:u w:val="none"/>
                <w:lang w:val="en-US" w:eastAsia="zh-CN" w:bidi="ar"/>
              </w:rPr>
              <w:t>★</w:t>
            </w:r>
            <w:r>
              <w:rPr>
                <w:rFonts w:hint="eastAsia" w:asciiTheme="minorEastAsia" w:hAnsiTheme="minorEastAsia" w:eastAsiaTheme="minorEastAsia" w:cstheme="minorEastAsia"/>
                <w:b/>
                <w:bCs/>
                <w:color w:val="FF0000"/>
                <w:sz w:val="21"/>
                <w:szCs w:val="21"/>
                <w:u w:val="none"/>
                <w:lang w:eastAsia="zh-CN" w:bidi="ar"/>
              </w:rPr>
              <w:t>套装含操作台1张，培训椅16张。</w:t>
            </w:r>
          </w:p>
        </w:tc>
      </w:tr>
      <w:tr w14:paraId="6809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C2753D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E12391F">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C2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eastAsia="zh-CN" w:bidi="ar"/>
              </w:rPr>
            </w:pPr>
            <w:r>
              <w:rPr>
                <w:rFonts w:hint="eastAsia" w:asciiTheme="minorEastAsia" w:hAnsiTheme="minorEastAsia" w:eastAsiaTheme="minorEastAsia" w:cstheme="minorEastAsia"/>
                <w:color w:val="000000"/>
                <w:sz w:val="21"/>
                <w:szCs w:val="21"/>
                <w:u w:val="none"/>
                <w:lang w:eastAsia="zh-CN" w:bidi="ar"/>
              </w:rPr>
              <w:t>一、操作台：</w:t>
            </w:r>
          </w:p>
        </w:tc>
      </w:tr>
      <w:tr w14:paraId="2785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0BACB617">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5662A101">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3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eastAsia="zh-CN" w:bidi="ar"/>
              </w:rPr>
            </w:pPr>
            <w:r>
              <w:rPr>
                <w:rFonts w:hint="eastAsia" w:asciiTheme="minorEastAsia" w:hAnsiTheme="minorEastAsia" w:eastAsiaTheme="minorEastAsia" w:cstheme="minorEastAsia"/>
                <w:color w:val="000000"/>
                <w:sz w:val="21"/>
                <w:szCs w:val="21"/>
                <w:u w:val="none"/>
                <w:lang w:eastAsia="zh-CN" w:bidi="ar"/>
              </w:rPr>
              <w:t>1.可按实际需求定制；</w:t>
            </w:r>
          </w:p>
        </w:tc>
      </w:tr>
      <w:tr w14:paraId="68F3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7F2A4BD">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6D0983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77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eastAsia="zh-CN" w:bidi="ar"/>
              </w:rPr>
            </w:pPr>
            <w:r>
              <w:rPr>
                <w:rFonts w:hint="eastAsia" w:asciiTheme="minorEastAsia" w:hAnsiTheme="minorEastAsia" w:eastAsiaTheme="minorEastAsia" w:cstheme="minorEastAsia"/>
                <w:color w:val="000000"/>
                <w:sz w:val="21"/>
                <w:szCs w:val="21"/>
                <w:u w:val="none"/>
                <w:lang w:eastAsia="zh-CN" w:bidi="ar"/>
              </w:rPr>
              <w:t>2.尺寸：长≥80cm、宽≥60cm、桌高≥75cm，含有一个主机柜，可存放电脑主机和相关线材，主机柜内挡板有通风处理；</w:t>
            </w:r>
          </w:p>
        </w:tc>
      </w:tr>
      <w:tr w14:paraId="05B6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552BC8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3ACF2720">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8C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3.构造：主机内置机箱，每个机箱可存放电脑主机和相关线材，主机顆前后挡板均有散热孔；</w:t>
            </w:r>
          </w:p>
        </w:tc>
      </w:tr>
      <w:tr w14:paraId="1A8C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A0E466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5B600E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7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4.主体材质：采取≥1-1.4mm忧优质冷轧钢板，表面经酸洗、磷化防腐防锈处理后静电喷塑；</w:t>
            </w:r>
          </w:p>
        </w:tc>
      </w:tr>
      <w:tr w14:paraId="23FF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7FB0C40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4765B5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37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二、培训椅：</w:t>
            </w:r>
          </w:p>
        </w:tc>
      </w:tr>
      <w:tr w14:paraId="37F2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6B899D6A">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79A9EE4">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B8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1.总体规格尺寸：≥859Wx810Dx873mm，含小桌板。</w:t>
            </w:r>
          </w:p>
        </w:tc>
      </w:tr>
      <w:tr w14:paraId="67BE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4361A9EB">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40AF5EB5">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E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2.桌板/写字板，≥591x327x30mm。</w:t>
            </w:r>
          </w:p>
        </w:tc>
      </w:tr>
      <w:tr w14:paraId="7B40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2B37668">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0930B6D2">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1A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 xml:space="preserve">3.椅背连座板， 整体外观尺寸：≥570Wx525Dx490mm。  </w:t>
            </w:r>
          </w:p>
        </w:tc>
      </w:tr>
      <w:tr w14:paraId="5572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7EDC864">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155D970A">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63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4.转轴塑料盖，≥D86x42mm，原生PP材料。</w:t>
            </w:r>
          </w:p>
        </w:tc>
      </w:tr>
      <w:tr w14:paraId="61D2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359B691C">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793E945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6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5.底座，≥580Wx580Dx290mm。</w:t>
            </w:r>
          </w:p>
        </w:tc>
      </w:tr>
      <w:tr w14:paraId="31AE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right w:val="single" w:color="000000" w:sz="4" w:space="0"/>
            </w:tcBorders>
            <w:shd w:val="clear" w:color="auto" w:fill="auto"/>
            <w:noWrap/>
            <w:vAlign w:val="center"/>
          </w:tcPr>
          <w:p w14:paraId="21CF56F6">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right w:val="single" w:color="000000" w:sz="4" w:space="0"/>
            </w:tcBorders>
            <w:shd w:val="clear" w:color="auto" w:fill="auto"/>
            <w:vAlign w:val="center"/>
          </w:tcPr>
          <w:p w14:paraId="20D62EBE">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23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u w:val="none"/>
                <w:lang w:eastAsia="zh-CN" w:bidi="ar"/>
              </w:rPr>
              <w:t>6.底座托盘，原生pp，起到支撑底座及储物功能。</w:t>
            </w:r>
          </w:p>
        </w:tc>
      </w:tr>
      <w:tr w14:paraId="58EF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left w:val="single" w:color="000000" w:sz="4" w:space="0"/>
              <w:bottom w:val="single" w:color="000000" w:sz="4" w:space="0"/>
              <w:right w:val="single" w:color="000000" w:sz="4" w:space="0"/>
            </w:tcBorders>
            <w:shd w:val="clear" w:color="auto" w:fill="auto"/>
            <w:noWrap/>
            <w:vAlign w:val="center"/>
          </w:tcPr>
          <w:p w14:paraId="17BB0D59">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left w:val="single" w:color="000000" w:sz="4" w:space="0"/>
              <w:bottom w:val="single" w:color="000000" w:sz="4" w:space="0"/>
              <w:right w:val="single" w:color="000000" w:sz="4" w:space="0"/>
            </w:tcBorders>
            <w:shd w:val="clear" w:color="auto" w:fill="auto"/>
            <w:vAlign w:val="center"/>
          </w:tcPr>
          <w:p w14:paraId="15375866">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5B37">
            <w:pPr>
              <w:keepNext w:val="0"/>
              <w:keepLines w:val="0"/>
              <w:widowControl/>
              <w:suppressLineNumbers w:val="0"/>
              <w:jc w:val="left"/>
              <w:textAlignment w:val="center"/>
              <w:rPr>
                <w:rFonts w:hint="eastAsia" w:asciiTheme="minorEastAsia" w:hAnsiTheme="minorEastAsia" w:eastAsiaTheme="minorEastAsia" w:cstheme="minorEastAsia"/>
                <w:color w:val="000000"/>
                <w:sz w:val="21"/>
                <w:szCs w:val="21"/>
                <w:u w:val="none"/>
                <w:lang w:eastAsia="zh-CN" w:bidi="ar"/>
              </w:rPr>
            </w:pPr>
            <w:r>
              <w:rPr>
                <w:rFonts w:hint="eastAsia" w:asciiTheme="minorEastAsia" w:hAnsiTheme="minorEastAsia" w:eastAsiaTheme="minorEastAsia" w:cstheme="minorEastAsia"/>
                <w:color w:val="000000"/>
                <w:sz w:val="21"/>
                <w:szCs w:val="21"/>
                <w:u w:val="none"/>
                <w:lang w:eastAsia="zh-CN" w:bidi="ar"/>
              </w:rPr>
              <w:t>7.桌板支撑连接件，≥230</w:t>
            </w:r>
            <w:r>
              <w:rPr>
                <w:rFonts w:hint="eastAsia" w:asciiTheme="minorEastAsia" w:hAnsiTheme="minorEastAsia" w:eastAsiaTheme="minorEastAsia" w:cstheme="minorEastAsia"/>
                <w:color w:val="000000"/>
                <w:sz w:val="21"/>
                <w:szCs w:val="21"/>
                <w:u w:val="none"/>
                <w:lang w:val="en-US" w:eastAsia="zh-CN" w:bidi="ar"/>
              </w:rPr>
              <w:t>W</w:t>
            </w:r>
            <w:r>
              <w:rPr>
                <w:rFonts w:hint="eastAsia" w:asciiTheme="minorEastAsia" w:hAnsiTheme="minorEastAsia" w:eastAsiaTheme="minorEastAsia" w:cstheme="minorEastAsia"/>
                <w:color w:val="000000"/>
                <w:sz w:val="21"/>
                <w:szCs w:val="21"/>
                <w:u w:val="none"/>
                <w:lang w:eastAsia="zh-CN" w:bidi="ar"/>
              </w:rPr>
              <w:t>x170</w:t>
            </w:r>
            <w:r>
              <w:rPr>
                <w:rFonts w:hint="eastAsia" w:asciiTheme="minorEastAsia" w:hAnsiTheme="minorEastAsia" w:eastAsiaTheme="minorEastAsia" w:cstheme="minorEastAsia"/>
                <w:color w:val="000000"/>
                <w:sz w:val="21"/>
                <w:szCs w:val="21"/>
                <w:u w:val="none"/>
                <w:lang w:val="en-US" w:eastAsia="zh-CN" w:bidi="ar"/>
              </w:rPr>
              <w:t>D</w:t>
            </w:r>
            <w:r>
              <w:rPr>
                <w:rFonts w:hint="eastAsia" w:asciiTheme="minorEastAsia" w:hAnsiTheme="minorEastAsia" w:eastAsiaTheme="minorEastAsia" w:cstheme="minorEastAsia"/>
                <w:color w:val="000000"/>
                <w:sz w:val="21"/>
                <w:szCs w:val="21"/>
                <w:u w:val="none"/>
                <w:lang w:eastAsia="zh-CN" w:bidi="ar"/>
              </w:rPr>
              <w:t>x15（</w:t>
            </w:r>
            <w:r>
              <w:rPr>
                <w:rFonts w:hint="eastAsia" w:asciiTheme="minorEastAsia" w:hAnsiTheme="minorEastAsia" w:eastAsiaTheme="minorEastAsia" w:cstheme="minorEastAsia"/>
                <w:color w:val="000000"/>
                <w:sz w:val="21"/>
                <w:szCs w:val="21"/>
                <w:u w:val="none"/>
                <w:lang w:val="en-US" w:eastAsia="zh-CN" w:bidi="ar"/>
              </w:rPr>
              <w:t>单位:</w:t>
            </w:r>
            <w:r>
              <w:rPr>
                <w:rFonts w:hint="eastAsia" w:asciiTheme="minorEastAsia" w:hAnsiTheme="minorEastAsia" w:eastAsiaTheme="minorEastAsia" w:cstheme="minorEastAsia"/>
                <w:color w:val="000000"/>
                <w:sz w:val="21"/>
                <w:szCs w:val="21"/>
                <w:u w:val="none"/>
                <w:lang w:eastAsia="zh-CN" w:bidi="ar"/>
              </w:rPr>
              <w:t>mm）。</w:t>
            </w:r>
          </w:p>
        </w:tc>
      </w:tr>
      <w:tr w14:paraId="1EDF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FF44">
            <w:pP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八、配套设备</w:t>
            </w:r>
          </w:p>
        </w:tc>
      </w:tr>
      <w:tr w14:paraId="142D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restart"/>
            <w:tcBorders>
              <w:top w:val="single" w:color="000000" w:sz="4" w:space="0"/>
              <w:left w:val="single" w:color="000000" w:sz="4" w:space="0"/>
              <w:bottom w:val="nil"/>
              <w:right w:val="single" w:color="000000" w:sz="4" w:space="0"/>
            </w:tcBorders>
            <w:shd w:val="clear" w:color="auto" w:fill="auto"/>
            <w:noWrap/>
            <w:vAlign w:val="center"/>
          </w:tcPr>
          <w:p w14:paraId="71BA7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858" w:type="pct"/>
            <w:vMerge w:val="restart"/>
            <w:tcBorders>
              <w:top w:val="single" w:color="000000" w:sz="4" w:space="0"/>
              <w:left w:val="single" w:color="000000" w:sz="4" w:space="0"/>
              <w:bottom w:val="nil"/>
              <w:right w:val="single" w:color="000000" w:sz="4" w:space="0"/>
            </w:tcBorders>
            <w:shd w:val="clear" w:color="auto" w:fill="auto"/>
            <w:vAlign w:val="center"/>
          </w:tcPr>
          <w:p w14:paraId="19E7E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24口POE接入交换设备</w:t>
            </w: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F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1.支持千兆电口≥24，支持POE供电。</w:t>
            </w:r>
          </w:p>
        </w:tc>
      </w:tr>
      <w:tr w14:paraId="0C21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97AB22">
            <w:pPr>
              <w:jc w:val="center"/>
              <w:rPr>
                <w:rFonts w:hint="eastAsia" w:asciiTheme="minorEastAsia" w:hAnsiTheme="minorEastAsia" w:eastAsiaTheme="minorEastAsia" w:cstheme="minorEastAsia"/>
                <w:i w:val="0"/>
                <w:iCs w:val="0"/>
                <w:color w:val="000000"/>
                <w:sz w:val="21"/>
                <w:szCs w:val="21"/>
                <w:u w:val="none"/>
              </w:rPr>
            </w:pPr>
          </w:p>
        </w:tc>
        <w:tc>
          <w:tcPr>
            <w:tcW w:w="858" w:type="pct"/>
            <w:vMerge w:val="continue"/>
            <w:tcBorders>
              <w:top w:val="single" w:color="000000" w:sz="4" w:space="0"/>
              <w:left w:val="single" w:color="000000" w:sz="4" w:space="0"/>
              <w:bottom w:val="nil"/>
              <w:right w:val="single" w:color="000000" w:sz="4" w:space="0"/>
            </w:tcBorders>
            <w:shd w:val="clear" w:color="auto" w:fill="auto"/>
            <w:vAlign w:val="center"/>
          </w:tcPr>
          <w:p w14:paraId="71A84543">
            <w:pPr>
              <w:jc w:val="center"/>
              <w:rPr>
                <w:rFonts w:hint="eastAsia" w:asciiTheme="minorEastAsia" w:hAnsiTheme="minorEastAsia" w:eastAsiaTheme="minorEastAsia" w:cstheme="minorEastAsia"/>
                <w:i w:val="0"/>
                <w:iCs w:val="0"/>
                <w:color w:val="000000"/>
                <w:sz w:val="21"/>
                <w:szCs w:val="21"/>
                <w:u w:val="none"/>
              </w:rPr>
            </w:pPr>
          </w:p>
        </w:tc>
        <w:tc>
          <w:tcPr>
            <w:tcW w:w="3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1D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2.实配：千兆模块≥2个。</w:t>
            </w:r>
          </w:p>
        </w:tc>
      </w:tr>
      <w:tr w14:paraId="4666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8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3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机柜</w:t>
            </w:r>
          </w:p>
        </w:tc>
        <w:tc>
          <w:tcPr>
            <w:tcW w:w="3719" w:type="pct"/>
            <w:tcBorders>
              <w:top w:val="single" w:color="000000" w:sz="4" w:space="0"/>
              <w:left w:val="single" w:color="000000" w:sz="4" w:space="0"/>
              <w:bottom w:val="single" w:color="000000" w:sz="4" w:space="0"/>
              <w:right w:val="single" w:color="000000" w:sz="4" w:space="0"/>
            </w:tcBorders>
            <w:shd w:val="clear" w:color="auto" w:fill="auto"/>
            <w:vAlign w:val="top"/>
          </w:tcPr>
          <w:p w14:paraId="4925E04C">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1.不小于24U机柜。</w:t>
            </w:r>
          </w:p>
        </w:tc>
      </w:tr>
    </w:tbl>
    <w:p w14:paraId="17A3BE33">
      <w:pPr>
        <w:pStyle w:val="2"/>
        <w:rPr>
          <w:lang w:eastAsia="zh-CN"/>
        </w:rPr>
      </w:pPr>
    </w:p>
    <w:bookmarkEnd w:id="44"/>
    <w:p w14:paraId="6700EF62">
      <w:p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br w:type="page"/>
      </w:r>
    </w:p>
    <w:p w14:paraId="7AC1BE17">
      <w:pPr>
        <w:keepNext/>
        <w:keepLines/>
        <w:widowControl w:val="0"/>
        <w:numPr>
          <w:ilvl w:val="0"/>
          <w:numId w:val="0"/>
        </w:numPr>
        <w:adjustRightInd w:val="0"/>
        <w:spacing w:before="120" w:beforeLines="50" w:after="120" w:afterLines="50"/>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val="en-US" w:eastAsia="zh-CN"/>
        </w:rPr>
        <w:t>六、</w:t>
      </w:r>
      <w:r>
        <w:rPr>
          <w:rFonts w:hint="eastAsia" w:ascii="宋体" w:hAnsi="宋体" w:eastAsia="宋体"/>
          <w:b/>
          <w:bCs/>
          <w:sz w:val="28"/>
          <w:szCs w:val="28"/>
          <w:lang w:eastAsia="zh-CN"/>
        </w:rPr>
        <w:t>商务要求</w:t>
      </w:r>
    </w:p>
    <w:p w14:paraId="2FCDCC9F">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kern w:val="2"/>
          <w:sz w:val="21"/>
          <w:lang w:eastAsia="zh-CN"/>
        </w:rPr>
      </w:pPr>
      <w:r>
        <w:rPr>
          <w:rFonts w:hint="eastAsia" w:asciiTheme="minorEastAsia" w:hAnsiTheme="minorEastAsia" w:eastAsiaTheme="minorEastAsia" w:cstheme="minorEastAsia"/>
          <w:b/>
          <w:kern w:val="2"/>
          <w:sz w:val="21"/>
          <w:szCs w:val="21"/>
          <w:lang w:eastAsia="zh-CN"/>
        </w:rPr>
        <w:t>说明：</w:t>
      </w:r>
      <w:r>
        <w:rPr>
          <w:rFonts w:hint="eastAsia" w:asciiTheme="minorEastAsia" w:hAnsiTheme="minorEastAsia" w:eastAsiaTheme="minorEastAsia" w:cstheme="minorEastAsia"/>
          <w:b/>
          <w:kern w:val="2"/>
          <w:sz w:val="21"/>
          <w:lang w:eastAsia="zh-CN"/>
        </w:rPr>
        <w:t>1、评分时，如对一项招标商务要求（以划分框为准）中的内容存在两处（或以上）负偏离的，在评分时只作一项负偏离扣分。</w:t>
      </w:r>
    </w:p>
    <w:p w14:paraId="1E25021B">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2、带★号条款为不可偏离条款，不作为评分准则中的评分内容，如未响应或出现负偏离的，将作投标无效处理；带“</w:t>
      </w:r>
      <w:r>
        <w:rPr>
          <w:rFonts w:hint="eastAsia" w:asciiTheme="minorEastAsia" w:hAnsiTheme="minorEastAsia" w:eastAsiaTheme="minorEastAsia" w:cstheme="minorEastAsia"/>
          <w:kern w:val="2"/>
          <w:sz w:val="21"/>
          <w:lang w:eastAsia="zh-CN"/>
        </w:rPr>
        <w:t>▲</w:t>
      </w:r>
      <w:r>
        <w:rPr>
          <w:rFonts w:hint="eastAsia" w:asciiTheme="minorEastAsia" w:hAnsiTheme="minorEastAsia" w:eastAsiaTheme="minorEastAsia" w:cstheme="minorEastAsia"/>
          <w:b/>
          <w:kern w:val="2"/>
          <w:sz w:val="21"/>
          <w:szCs w:val="21"/>
          <w:lang w:eastAsia="zh-CN"/>
        </w:rPr>
        <w:t>”指标项为重要参数，负偏离时依相关评分准则内容作重点扣分处理。</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13"/>
        <w:gridCol w:w="6297"/>
      </w:tblGrid>
      <w:tr w14:paraId="443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6E9B8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序号</w:t>
            </w:r>
          </w:p>
        </w:tc>
        <w:tc>
          <w:tcPr>
            <w:tcW w:w="1413" w:type="dxa"/>
            <w:vAlign w:val="center"/>
          </w:tcPr>
          <w:p w14:paraId="67D04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商务需求项</w:t>
            </w:r>
          </w:p>
        </w:tc>
        <w:tc>
          <w:tcPr>
            <w:tcW w:w="6297" w:type="dxa"/>
            <w:vAlign w:val="center"/>
          </w:tcPr>
          <w:p w14:paraId="171CC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招标商务要求</w:t>
            </w:r>
          </w:p>
        </w:tc>
      </w:tr>
      <w:tr w14:paraId="205F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9" w:type="dxa"/>
            <w:gridSpan w:val="3"/>
          </w:tcPr>
          <w:p w14:paraId="7EC0AC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（一）免费保修期内售后服务要求</w:t>
            </w:r>
          </w:p>
        </w:tc>
      </w:tr>
      <w:tr w14:paraId="710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9" w:type="dxa"/>
            <w:vAlign w:val="center"/>
          </w:tcPr>
          <w:p w14:paraId="30830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1</w:t>
            </w:r>
          </w:p>
        </w:tc>
        <w:tc>
          <w:tcPr>
            <w:tcW w:w="1413" w:type="dxa"/>
          </w:tcPr>
          <w:p w14:paraId="08E7C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维修响应及故障解决时间</w:t>
            </w:r>
          </w:p>
        </w:tc>
        <w:tc>
          <w:tcPr>
            <w:tcW w:w="6297" w:type="dxa"/>
          </w:tcPr>
          <w:p w14:paraId="16A1EB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Cs/>
                <w:kern w:val="2"/>
                <w:sz w:val="21"/>
                <w:szCs w:val="21"/>
                <w:lang w:eastAsia="zh-CN"/>
              </w:rPr>
              <w:t>在免费保修期内，一旦发生质量问题，中标人保证在工作日接到通知4小时内、非工作日接到通知为24小时内赶到现场进行修理或更换。</w:t>
            </w:r>
          </w:p>
        </w:tc>
      </w:tr>
      <w:tr w14:paraId="33B9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9" w:type="dxa"/>
            <w:vMerge w:val="restart"/>
            <w:vAlign w:val="center"/>
          </w:tcPr>
          <w:p w14:paraId="723658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2</w:t>
            </w:r>
          </w:p>
        </w:tc>
        <w:tc>
          <w:tcPr>
            <w:tcW w:w="1413" w:type="dxa"/>
            <w:vMerge w:val="restart"/>
            <w:vAlign w:val="center"/>
          </w:tcPr>
          <w:p w14:paraId="4281CD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免费保修期</w:t>
            </w:r>
          </w:p>
        </w:tc>
        <w:tc>
          <w:tcPr>
            <w:tcW w:w="6297" w:type="dxa"/>
          </w:tcPr>
          <w:p w14:paraId="3B9FC9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★1.货物免费保修期</w:t>
            </w:r>
            <w:r>
              <w:rPr>
                <w:rFonts w:hint="eastAsia" w:asciiTheme="minorEastAsia" w:hAnsiTheme="minorEastAsia" w:eastAsiaTheme="minorEastAsia" w:cstheme="minorEastAsia"/>
                <w:b/>
                <w:bCs w:val="0"/>
                <w:color w:val="FF0000"/>
                <w:kern w:val="2"/>
                <w:sz w:val="21"/>
                <w:szCs w:val="21"/>
                <w:u w:val="single"/>
                <w:lang w:eastAsia="zh-CN"/>
              </w:rPr>
              <w:t>3</w:t>
            </w:r>
            <w:r>
              <w:rPr>
                <w:rFonts w:hint="eastAsia" w:asciiTheme="minorEastAsia" w:hAnsiTheme="minorEastAsia" w:eastAsiaTheme="minorEastAsia" w:cstheme="minorEastAsia"/>
                <w:b/>
                <w:bCs w:val="0"/>
                <w:color w:val="FF0000"/>
                <w:kern w:val="2"/>
                <w:sz w:val="21"/>
                <w:szCs w:val="21"/>
                <w:lang w:eastAsia="zh-CN"/>
              </w:rPr>
              <w:t>年，时间自最终验收合格并交付使用之日起计算。</w:t>
            </w:r>
          </w:p>
        </w:tc>
      </w:tr>
      <w:tr w14:paraId="068C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9" w:type="dxa"/>
            <w:vMerge w:val="continue"/>
            <w:vAlign w:val="center"/>
          </w:tcPr>
          <w:p w14:paraId="535FB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2DBACA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2"/>
                <w:sz w:val="21"/>
                <w:szCs w:val="21"/>
                <w:lang w:eastAsia="zh-CN"/>
              </w:rPr>
            </w:pPr>
          </w:p>
        </w:tc>
        <w:tc>
          <w:tcPr>
            <w:tcW w:w="6297" w:type="dxa"/>
            <w:vAlign w:val="center"/>
          </w:tcPr>
          <w:p w14:paraId="61EAD7EC">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★2.免费保修期内，所有服务及</w:t>
            </w:r>
            <w:r>
              <w:rPr>
                <w:rFonts w:hint="eastAsia" w:asciiTheme="minorEastAsia" w:hAnsiTheme="minorEastAsia" w:eastAsiaTheme="minorEastAsia" w:cstheme="minorEastAsia"/>
                <w:b/>
                <w:bCs w:val="0"/>
                <w:color w:val="FF0000"/>
                <w:kern w:val="2"/>
                <w:sz w:val="21"/>
                <w:szCs w:val="21"/>
                <w:lang w:val="en-US" w:eastAsia="zh-CN"/>
              </w:rPr>
              <w:t>原厂</w:t>
            </w:r>
            <w:r>
              <w:rPr>
                <w:rFonts w:hint="eastAsia" w:asciiTheme="minorEastAsia" w:hAnsiTheme="minorEastAsia" w:eastAsiaTheme="minorEastAsia" w:cstheme="minorEastAsia"/>
                <w:b/>
                <w:bCs w:val="0"/>
                <w:color w:val="FF0000"/>
                <w:kern w:val="2"/>
                <w:sz w:val="21"/>
                <w:szCs w:val="21"/>
                <w:lang w:eastAsia="zh-CN"/>
              </w:rPr>
              <w:t>配件全部免费，</w:t>
            </w:r>
            <w:r>
              <w:rPr>
                <w:rFonts w:hint="eastAsia" w:asciiTheme="minorEastAsia" w:hAnsiTheme="minorEastAsia" w:eastAsiaTheme="minorEastAsia" w:cstheme="minorEastAsia"/>
                <w:b/>
                <w:bCs w:val="0"/>
                <w:color w:val="FF0000"/>
                <w:sz w:val="21"/>
                <w:szCs w:val="21"/>
                <w:highlight w:val="none"/>
              </w:rPr>
              <w:t>负责产品使用过程中的技术指导和软件更新升级维护</w:t>
            </w:r>
            <w:r>
              <w:rPr>
                <w:rFonts w:hint="eastAsia" w:asciiTheme="minorEastAsia" w:hAnsiTheme="minorEastAsia" w:eastAsiaTheme="minorEastAsia" w:cstheme="minorEastAsia"/>
                <w:b/>
                <w:bCs w:val="0"/>
                <w:color w:val="FF0000"/>
                <w:sz w:val="21"/>
                <w:szCs w:val="21"/>
                <w:highlight w:val="none"/>
                <w:lang w:eastAsia="zh-CN"/>
              </w:rPr>
              <w:t>。所有软硬件在运行中的故障排查，信息数据备份及恢复，硬件故障处理，软件系统适配调整、升级和维护等工作，从而保证系统正常运作</w:t>
            </w:r>
            <w:r>
              <w:rPr>
                <w:rFonts w:hint="eastAsia" w:asciiTheme="minorEastAsia" w:hAnsiTheme="minorEastAsia" w:eastAsiaTheme="minorEastAsia" w:cstheme="minorEastAsia"/>
                <w:b/>
                <w:bCs w:val="0"/>
                <w:color w:val="FF0000"/>
                <w:sz w:val="21"/>
                <w:szCs w:val="21"/>
                <w:highlight w:val="none"/>
              </w:rPr>
              <w:t>。</w:t>
            </w:r>
          </w:p>
        </w:tc>
      </w:tr>
      <w:tr w14:paraId="593C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19" w:type="dxa"/>
            <w:vAlign w:val="center"/>
          </w:tcPr>
          <w:p w14:paraId="209EE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kern w:val="2"/>
                <w:sz w:val="21"/>
                <w:szCs w:val="21"/>
                <w:lang w:val="en-US" w:eastAsia="zh-CN"/>
              </w:rPr>
              <w:t>3</w:t>
            </w:r>
          </w:p>
        </w:tc>
        <w:tc>
          <w:tcPr>
            <w:tcW w:w="1413" w:type="dxa"/>
            <w:vAlign w:val="center"/>
          </w:tcPr>
          <w:p w14:paraId="33C49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eastAsia="zh-CN"/>
              </w:rPr>
            </w:pPr>
          </w:p>
          <w:p w14:paraId="17540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kern w:val="2"/>
                <w:sz w:val="21"/>
                <w:szCs w:val="21"/>
                <w:lang w:val="en-US" w:eastAsia="zh-CN"/>
              </w:rPr>
              <w:t>交付及</w:t>
            </w:r>
            <w:r>
              <w:rPr>
                <w:rFonts w:hint="eastAsia" w:asciiTheme="minorEastAsia" w:hAnsiTheme="minorEastAsia" w:eastAsiaTheme="minorEastAsia" w:cstheme="minorEastAsia"/>
                <w:kern w:val="2"/>
                <w:sz w:val="21"/>
                <w:szCs w:val="21"/>
                <w:lang w:eastAsia="zh-CN"/>
              </w:rPr>
              <w:t>安装调试</w:t>
            </w:r>
          </w:p>
        </w:tc>
        <w:tc>
          <w:tcPr>
            <w:tcW w:w="6297" w:type="dxa"/>
            <w:vAlign w:val="center"/>
          </w:tcPr>
          <w:p w14:paraId="1558F9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供应商应提供全套、完整的书面技术资料，包括仪器说明书、操作手册、简单维修说明、图纸等。供应商应提供所有设备的安装调试服务。</w:t>
            </w:r>
          </w:p>
        </w:tc>
      </w:tr>
      <w:tr w14:paraId="6AF4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9" w:type="dxa"/>
            <w:gridSpan w:val="3"/>
            <w:vAlign w:val="center"/>
          </w:tcPr>
          <w:p w14:paraId="03A7D0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（二）免费保修期外售后服务要求</w:t>
            </w:r>
          </w:p>
        </w:tc>
      </w:tr>
      <w:tr w14:paraId="143A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restart"/>
            <w:vAlign w:val="center"/>
          </w:tcPr>
          <w:p w14:paraId="34F8B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1</w:t>
            </w:r>
          </w:p>
        </w:tc>
        <w:tc>
          <w:tcPr>
            <w:tcW w:w="1413" w:type="dxa"/>
            <w:vMerge w:val="restart"/>
            <w:vAlign w:val="center"/>
          </w:tcPr>
          <w:p w14:paraId="3CE10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kern w:val="2"/>
                <w:sz w:val="21"/>
                <w:szCs w:val="21"/>
                <w:lang w:eastAsia="zh-CN"/>
              </w:rPr>
            </w:pPr>
            <w:r>
              <w:rPr>
                <w:rFonts w:hint="eastAsia" w:asciiTheme="minorEastAsia" w:hAnsiTheme="minorEastAsia" w:eastAsiaTheme="minorEastAsia" w:cstheme="minorEastAsia"/>
                <w:b/>
                <w:bCs/>
                <w:color w:val="000000"/>
                <w:kern w:val="2"/>
                <w:sz w:val="21"/>
                <w:szCs w:val="21"/>
                <w:lang w:eastAsia="zh-CN"/>
              </w:rPr>
              <w:t>维修零配件、消耗品和延续保修合同的报价</w:t>
            </w:r>
          </w:p>
        </w:tc>
        <w:tc>
          <w:tcPr>
            <w:tcW w:w="6297" w:type="dxa"/>
            <w:vAlign w:val="center"/>
          </w:tcPr>
          <w:p w14:paraId="41D1A3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1.1由设备制造商提供</w:t>
            </w:r>
            <w:r>
              <w:rPr>
                <w:rFonts w:hint="eastAsia" w:asciiTheme="minorEastAsia" w:hAnsiTheme="minorEastAsia" w:eastAsiaTheme="minorEastAsia" w:cstheme="minorEastAsia"/>
                <w:color w:val="auto"/>
                <w:sz w:val="21"/>
                <w:szCs w:val="21"/>
                <w:highlight w:val="none"/>
                <w:lang w:eastAsia="zh-CN"/>
              </w:rPr>
              <w:t>提供7×24小时的专人应急服务</w:t>
            </w:r>
            <w:r>
              <w:rPr>
                <w:rFonts w:hint="eastAsia" w:asciiTheme="minorEastAsia" w:hAnsiTheme="minorEastAsia" w:eastAsiaTheme="minorEastAsia" w:cstheme="minorEastAsia"/>
                <w:color w:val="000000"/>
                <w:kern w:val="2"/>
                <w:sz w:val="21"/>
                <w:szCs w:val="21"/>
                <w:lang w:eastAsia="zh-CN"/>
              </w:rPr>
              <w:t>，</w:t>
            </w:r>
            <w:r>
              <w:rPr>
                <w:rFonts w:hint="eastAsia" w:asciiTheme="minorEastAsia" w:hAnsiTheme="minorEastAsia" w:eastAsiaTheme="minorEastAsia" w:cstheme="minorEastAsia"/>
                <w:color w:val="000000"/>
                <w:kern w:val="2"/>
                <w:sz w:val="21"/>
                <w:szCs w:val="21"/>
                <w:u w:val="single"/>
                <w:lang w:eastAsia="zh-CN"/>
              </w:rPr>
              <w:t xml:space="preserve"> 1 </w:t>
            </w:r>
            <w:r>
              <w:rPr>
                <w:rFonts w:hint="eastAsia" w:asciiTheme="minorEastAsia" w:hAnsiTheme="minorEastAsia" w:eastAsiaTheme="minorEastAsia" w:cstheme="minorEastAsia"/>
                <w:color w:val="000000"/>
                <w:kern w:val="2"/>
                <w:sz w:val="21"/>
                <w:szCs w:val="21"/>
                <w:lang w:eastAsia="zh-CN"/>
              </w:rPr>
              <w:t>小时内响应，</w:t>
            </w:r>
            <w:r>
              <w:rPr>
                <w:rFonts w:hint="eastAsia" w:asciiTheme="minorEastAsia" w:hAnsiTheme="minorEastAsia" w:eastAsiaTheme="minorEastAsia" w:cstheme="minorEastAsia"/>
                <w:color w:val="000000"/>
                <w:kern w:val="2"/>
                <w:sz w:val="21"/>
                <w:szCs w:val="21"/>
                <w:u w:val="single"/>
                <w:lang w:eastAsia="zh-CN"/>
              </w:rPr>
              <w:t xml:space="preserve"> 24 </w:t>
            </w:r>
            <w:r>
              <w:rPr>
                <w:rFonts w:hint="eastAsia" w:asciiTheme="minorEastAsia" w:hAnsiTheme="minorEastAsia" w:eastAsiaTheme="minorEastAsia" w:cstheme="minorEastAsia"/>
                <w:color w:val="000000"/>
                <w:kern w:val="2"/>
                <w:sz w:val="21"/>
                <w:szCs w:val="21"/>
                <w:lang w:eastAsia="zh-CN"/>
              </w:rPr>
              <w:t>小时维修到位，并在48小时内消除故障（不可抗力情况除外）。消耗品和零配件供应及时，特殊情况下可提供备用机。在境内有相对应的零配件保税库，于中标后出具证明文件。</w:t>
            </w:r>
          </w:p>
        </w:tc>
      </w:tr>
      <w:tr w14:paraId="2311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7E6E4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760DCC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000000"/>
                <w:kern w:val="2"/>
                <w:sz w:val="21"/>
                <w:szCs w:val="21"/>
                <w:lang w:eastAsia="zh-CN"/>
              </w:rPr>
            </w:pPr>
          </w:p>
        </w:tc>
        <w:tc>
          <w:tcPr>
            <w:tcW w:w="6297" w:type="dxa"/>
            <w:vAlign w:val="center"/>
          </w:tcPr>
          <w:p w14:paraId="0E0A91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1.2</w:t>
            </w:r>
            <w:r>
              <w:rPr>
                <w:rFonts w:hint="eastAsia" w:asciiTheme="minorEastAsia" w:hAnsiTheme="minorEastAsia" w:eastAsiaTheme="minorEastAsia" w:cstheme="minorEastAsia"/>
                <w:kern w:val="2"/>
                <w:sz w:val="21"/>
                <w:szCs w:val="21"/>
                <w:lang w:eastAsia="zh-CN"/>
              </w:rPr>
              <w:t>免费保修期满后，中标人应继续支持维修，并以优惠价供应维修零配件、消耗品和延续保修合同。</w:t>
            </w:r>
          </w:p>
        </w:tc>
      </w:tr>
      <w:tr w14:paraId="1C17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9" w:type="dxa"/>
            <w:gridSpan w:val="3"/>
            <w:vAlign w:val="center"/>
          </w:tcPr>
          <w:p w14:paraId="361C22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（三）其他商务要求</w:t>
            </w:r>
          </w:p>
        </w:tc>
      </w:tr>
      <w:tr w14:paraId="2E6F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restart"/>
            <w:vAlign w:val="center"/>
          </w:tcPr>
          <w:p w14:paraId="60BDC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1</w:t>
            </w:r>
          </w:p>
        </w:tc>
        <w:tc>
          <w:tcPr>
            <w:tcW w:w="1413" w:type="dxa"/>
            <w:vMerge w:val="restart"/>
            <w:vAlign w:val="center"/>
          </w:tcPr>
          <w:p w14:paraId="7BE01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违约责任</w:t>
            </w:r>
          </w:p>
        </w:tc>
        <w:tc>
          <w:tcPr>
            <w:tcW w:w="6297" w:type="dxa"/>
            <w:vAlign w:val="top"/>
          </w:tcPr>
          <w:p w14:paraId="76012A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1.1中标人不能交货的，需偿付不能交货部分货款的</w:t>
            </w:r>
            <w:r>
              <w:rPr>
                <w:rFonts w:hint="eastAsia" w:asciiTheme="minorEastAsia" w:hAnsiTheme="minorEastAsia" w:eastAsiaTheme="minorEastAsia" w:cstheme="minorEastAsia"/>
                <w:color w:val="000000"/>
                <w:kern w:val="2"/>
                <w:sz w:val="21"/>
                <w:szCs w:val="21"/>
                <w:u w:val="single"/>
                <w:lang w:eastAsia="zh-CN"/>
              </w:rPr>
              <w:t>5</w:t>
            </w:r>
            <w:r>
              <w:rPr>
                <w:rFonts w:hint="eastAsia" w:asciiTheme="minorEastAsia" w:hAnsiTheme="minorEastAsia" w:eastAsiaTheme="minorEastAsia" w:cstheme="minorEastAsia"/>
                <w:color w:val="000000"/>
                <w:kern w:val="2"/>
                <w:sz w:val="21"/>
                <w:szCs w:val="21"/>
                <w:lang w:eastAsia="zh-CN"/>
              </w:rPr>
              <w:t>%的违约金并按主管部门相关规定处理。</w:t>
            </w:r>
          </w:p>
        </w:tc>
      </w:tr>
      <w:tr w14:paraId="3B66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4301E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097D1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6297" w:type="dxa"/>
            <w:vAlign w:val="top"/>
          </w:tcPr>
          <w:p w14:paraId="5B36FA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1.2中标人逾期交货的，应当承担继续履行、采取补救措施或者赔偿损失等违约责任</w:t>
            </w:r>
          </w:p>
        </w:tc>
      </w:tr>
      <w:tr w14:paraId="4663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53A75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0C5DC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6297" w:type="dxa"/>
            <w:vAlign w:val="top"/>
          </w:tcPr>
          <w:p w14:paraId="3F5822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19A1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restart"/>
            <w:vAlign w:val="center"/>
          </w:tcPr>
          <w:p w14:paraId="28AE7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bookmarkStart w:id="45" w:name="_Hlk72260973"/>
            <w:r>
              <w:rPr>
                <w:rFonts w:hint="eastAsia" w:asciiTheme="minorEastAsia" w:hAnsiTheme="minorEastAsia" w:eastAsiaTheme="minorEastAsia" w:cstheme="minorEastAsia"/>
                <w:b/>
                <w:kern w:val="2"/>
                <w:sz w:val="21"/>
                <w:szCs w:val="21"/>
                <w:lang w:eastAsia="zh-CN"/>
              </w:rPr>
              <w:t>2</w:t>
            </w:r>
          </w:p>
        </w:tc>
        <w:tc>
          <w:tcPr>
            <w:tcW w:w="1413" w:type="dxa"/>
            <w:vMerge w:val="restart"/>
            <w:vAlign w:val="center"/>
          </w:tcPr>
          <w:p w14:paraId="65910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kern w:val="2"/>
                <w:sz w:val="21"/>
                <w:szCs w:val="21"/>
                <w:lang w:eastAsia="zh-CN"/>
              </w:rPr>
              <w:t>交货及付款要求</w:t>
            </w:r>
          </w:p>
        </w:tc>
        <w:tc>
          <w:tcPr>
            <w:tcW w:w="6297" w:type="dxa"/>
            <w:vAlign w:val="center"/>
          </w:tcPr>
          <w:p w14:paraId="45E419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★2.1履约时间和地点：投标供应商在签订合同之日起45天内交货，交货地点为采购人指定地点。</w:t>
            </w:r>
          </w:p>
        </w:tc>
      </w:tr>
      <w:tr w14:paraId="2412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9" w:type="dxa"/>
            <w:vMerge w:val="continue"/>
            <w:vAlign w:val="center"/>
          </w:tcPr>
          <w:p w14:paraId="429B6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2A12F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6297" w:type="dxa"/>
            <w:vAlign w:val="center"/>
          </w:tcPr>
          <w:p w14:paraId="70C072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★2.2付款期限和方式：</w:t>
            </w:r>
          </w:p>
          <w:p w14:paraId="3B007E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合同签订后、货到指定地点、安装使用验收合格并提供全额发票后，采购人15 个日历日内向中标人支付合同总价</w:t>
            </w:r>
            <w:r>
              <w:rPr>
                <w:rFonts w:hint="eastAsia" w:asciiTheme="minorEastAsia" w:hAnsiTheme="minorEastAsia" w:eastAsiaTheme="minorEastAsia" w:cstheme="minorEastAsia"/>
                <w:b/>
                <w:bCs w:val="0"/>
                <w:color w:val="FF0000"/>
                <w:kern w:val="2"/>
                <w:sz w:val="21"/>
                <w:szCs w:val="21"/>
                <w:lang w:val="en-US" w:eastAsia="zh-CN"/>
              </w:rPr>
              <w:t>10</w:t>
            </w:r>
            <w:r>
              <w:rPr>
                <w:rFonts w:hint="eastAsia" w:asciiTheme="minorEastAsia" w:hAnsiTheme="minorEastAsia" w:eastAsiaTheme="minorEastAsia" w:cstheme="minorEastAsia"/>
                <w:b/>
                <w:bCs w:val="0"/>
                <w:color w:val="FF0000"/>
                <w:kern w:val="2"/>
                <w:sz w:val="21"/>
                <w:szCs w:val="21"/>
                <w:lang w:eastAsia="zh-CN"/>
              </w:rPr>
              <w:t>0%的款项。因政府资金计划未到位而导致支付进度延迟的，采购人不承担相关违约责任。</w:t>
            </w:r>
          </w:p>
          <w:p w14:paraId="0ECF57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注：根据《深圳市财政局关于进一步提高政府采购透明度提升采购效率的通知》（深财购〔2024〕32 号），对于满足合同约定支付条件的，采购人原则上应当自收到发票后10 个工作日内将资金支付到合同约定的供应商账户。</w:t>
            </w:r>
          </w:p>
        </w:tc>
      </w:tr>
      <w:tr w14:paraId="4A8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restart"/>
            <w:vAlign w:val="center"/>
          </w:tcPr>
          <w:p w14:paraId="659CF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3</w:t>
            </w:r>
          </w:p>
        </w:tc>
        <w:tc>
          <w:tcPr>
            <w:tcW w:w="1413" w:type="dxa"/>
            <w:vMerge w:val="restart"/>
            <w:vAlign w:val="center"/>
          </w:tcPr>
          <w:p w14:paraId="35979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kern w:val="2"/>
                <w:sz w:val="21"/>
                <w:szCs w:val="21"/>
                <w:lang w:eastAsia="zh-CN"/>
              </w:rPr>
            </w:pPr>
            <w:r>
              <w:rPr>
                <w:rFonts w:hint="eastAsia" w:asciiTheme="minorEastAsia" w:hAnsiTheme="minorEastAsia" w:eastAsiaTheme="minorEastAsia" w:cstheme="minorEastAsia"/>
                <w:b/>
                <w:color w:val="000000"/>
                <w:kern w:val="2"/>
                <w:sz w:val="21"/>
                <w:szCs w:val="21"/>
                <w:lang w:eastAsia="zh-CN"/>
              </w:rPr>
              <w:t>验收条件</w:t>
            </w:r>
          </w:p>
        </w:tc>
        <w:tc>
          <w:tcPr>
            <w:tcW w:w="6297" w:type="dxa"/>
            <w:vAlign w:val="top"/>
          </w:tcPr>
          <w:p w14:paraId="10A674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FF0000"/>
                <w:kern w:val="2"/>
                <w:sz w:val="21"/>
                <w:szCs w:val="21"/>
                <w:lang w:eastAsia="zh-CN"/>
              </w:rPr>
            </w:pPr>
            <w:r>
              <w:rPr>
                <w:rFonts w:hint="eastAsia" w:asciiTheme="minorEastAsia" w:hAnsiTheme="minorEastAsia" w:eastAsiaTheme="minorEastAsia" w:cstheme="minorEastAsia"/>
                <w:b/>
                <w:bCs w:val="0"/>
                <w:color w:val="FF0000"/>
                <w:kern w:val="2"/>
                <w:sz w:val="21"/>
                <w:szCs w:val="21"/>
                <w:lang w:eastAsia="zh-CN"/>
              </w:rPr>
              <w:t>★1.投标人货物经过双方检验认可后，签署验收报告，产品保修期自验收合格之日起算，由投标人提供产品保修文件。</w:t>
            </w:r>
          </w:p>
        </w:tc>
      </w:tr>
      <w:tr w14:paraId="30EA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450EF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7F1E4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000000"/>
                <w:kern w:val="2"/>
                <w:sz w:val="21"/>
                <w:szCs w:val="21"/>
                <w:lang w:eastAsia="zh-CN"/>
              </w:rPr>
            </w:pPr>
          </w:p>
        </w:tc>
        <w:tc>
          <w:tcPr>
            <w:tcW w:w="6297" w:type="dxa"/>
            <w:vAlign w:val="top"/>
          </w:tcPr>
          <w:p w14:paraId="4EF82A17">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2.当满足以下条件时，采购人才向中标人签发货物验收报告：</w:t>
            </w:r>
          </w:p>
          <w:p w14:paraId="34A3109F">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（1）设备全新,外观无伤痕变形或明显修饰痕迹。</w:t>
            </w:r>
          </w:p>
          <w:p w14:paraId="0B326328">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E94AEC5">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（3）技术文件资料、备件等已按规定数量移交完毕。</w:t>
            </w:r>
          </w:p>
          <w:p w14:paraId="53ED882E">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（4）按照招标书要求及投标文件提供的技术要求验收必须合格。</w:t>
            </w:r>
          </w:p>
          <w:p w14:paraId="3DC4A845">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5）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14:paraId="5F71C864">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（6）货物具备产品合格证。</w:t>
            </w:r>
          </w:p>
          <w:p w14:paraId="6675B778">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val="en-US" w:eastAsia="zh-CN"/>
              </w:rPr>
            </w:pPr>
            <w:r>
              <w:rPr>
                <w:rFonts w:hint="eastAsia" w:asciiTheme="minorEastAsia" w:hAnsiTheme="minorEastAsia" w:eastAsiaTheme="minorEastAsia" w:cstheme="minorEastAsia"/>
                <w:bCs/>
                <w:kern w:val="2"/>
                <w:sz w:val="21"/>
                <w:szCs w:val="21"/>
                <w:lang w:eastAsia="zh-CN"/>
              </w:rPr>
              <w:t>（7）在货物安装调试合格后，所有技术指标达到技术规范书要求，经验收合格后，双方共同签署验收报告。</w:t>
            </w:r>
          </w:p>
        </w:tc>
      </w:tr>
      <w:bookmarkEnd w:id="45"/>
      <w:tr w14:paraId="6CC9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19" w:type="dxa"/>
            <w:vMerge w:val="restart"/>
            <w:vAlign w:val="center"/>
          </w:tcPr>
          <w:p w14:paraId="0E998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4</w:t>
            </w:r>
          </w:p>
        </w:tc>
        <w:tc>
          <w:tcPr>
            <w:tcW w:w="1413" w:type="dxa"/>
            <w:vMerge w:val="restart"/>
            <w:vAlign w:val="center"/>
          </w:tcPr>
          <w:p w14:paraId="25991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b/>
                <w:bCs/>
                <w:color w:val="000000"/>
                <w:kern w:val="2"/>
                <w:sz w:val="21"/>
                <w:szCs w:val="21"/>
                <w:lang w:eastAsia="zh-CN"/>
              </w:rPr>
              <w:t>运输、安装条件</w:t>
            </w:r>
          </w:p>
        </w:tc>
        <w:tc>
          <w:tcPr>
            <w:tcW w:w="6297" w:type="dxa"/>
            <w:vAlign w:val="center"/>
          </w:tcPr>
          <w:p w14:paraId="3CD0AE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 投标供应商须在签订合同之日起 3天内向采购人提供设备的运行、安装、使用环境要求。</w:t>
            </w:r>
          </w:p>
        </w:tc>
      </w:tr>
      <w:tr w14:paraId="7D67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18EE9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1EB30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6297" w:type="dxa"/>
            <w:vAlign w:val="center"/>
          </w:tcPr>
          <w:p w14:paraId="4936A6BE">
            <w:pPr>
              <w:keepNext w:val="0"/>
              <w:keepLines w:val="0"/>
              <w:pageBreakBefore w:val="0"/>
              <w:widowControl w:val="0"/>
              <w:tabs>
                <w:tab w:val="left" w:pos="1260"/>
              </w:tabs>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kern w:val="2"/>
                <w:sz w:val="21"/>
                <w:szCs w:val="21"/>
                <w:lang w:val="en-US" w:eastAsia="zh-CN"/>
              </w:rPr>
            </w:pPr>
            <w:r>
              <w:rPr>
                <w:rFonts w:hint="eastAsia" w:asciiTheme="minorEastAsia" w:hAnsiTheme="minorEastAsia" w:eastAsiaTheme="minorEastAsia" w:cstheme="minorEastAsia"/>
                <w:color w:val="000000"/>
                <w:kern w:val="2"/>
                <w:sz w:val="21"/>
                <w:szCs w:val="21"/>
                <w:lang w:eastAsia="zh-CN"/>
              </w:rPr>
              <w:t>2.</w:t>
            </w:r>
            <w:r>
              <w:rPr>
                <w:rFonts w:hint="eastAsia" w:asciiTheme="minorEastAsia" w:hAnsiTheme="minorEastAsia" w:eastAsiaTheme="minorEastAsia" w:cstheme="minorEastAsia"/>
                <w:bCs/>
                <w:kern w:val="2"/>
                <w:sz w:val="21"/>
                <w:szCs w:val="21"/>
                <w:lang w:eastAsia="zh-CN"/>
              </w:rPr>
              <w:t>投标人应派有经验的技术人员到现场进行安装、调试，直到设备正常使用。</w:t>
            </w:r>
          </w:p>
        </w:tc>
      </w:tr>
      <w:tr w14:paraId="4F6B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restart"/>
            <w:vAlign w:val="center"/>
          </w:tcPr>
          <w:p w14:paraId="04371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5</w:t>
            </w:r>
          </w:p>
        </w:tc>
        <w:tc>
          <w:tcPr>
            <w:tcW w:w="1413" w:type="dxa"/>
            <w:vMerge w:val="restart"/>
            <w:vAlign w:val="center"/>
          </w:tcPr>
          <w:p w14:paraId="7CE25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培训</w:t>
            </w:r>
          </w:p>
        </w:tc>
        <w:tc>
          <w:tcPr>
            <w:tcW w:w="6297" w:type="dxa"/>
          </w:tcPr>
          <w:p w14:paraId="56083C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1.投标供应商应派专业技术人员免费对采购单位指定人员进行定期培训及指导，直至其完全掌握设备的基本故障处理技术。</w:t>
            </w:r>
          </w:p>
        </w:tc>
      </w:tr>
      <w:tr w14:paraId="6283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5F655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3DA617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kern w:val="2"/>
                <w:sz w:val="21"/>
                <w:szCs w:val="21"/>
                <w:lang w:eastAsia="zh-CN"/>
              </w:rPr>
            </w:pPr>
          </w:p>
        </w:tc>
        <w:tc>
          <w:tcPr>
            <w:tcW w:w="6297" w:type="dxa"/>
          </w:tcPr>
          <w:p w14:paraId="64E43C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2. 现场培训：投标供应商应提供现场技术培训，保证使用人员正常操作设备的各种功能。</w:t>
            </w:r>
          </w:p>
        </w:tc>
      </w:tr>
      <w:tr w14:paraId="273C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restart"/>
            <w:vAlign w:val="center"/>
          </w:tcPr>
          <w:p w14:paraId="4E9D8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6</w:t>
            </w:r>
          </w:p>
        </w:tc>
        <w:tc>
          <w:tcPr>
            <w:tcW w:w="1413" w:type="dxa"/>
            <w:vMerge w:val="restart"/>
            <w:vAlign w:val="center"/>
          </w:tcPr>
          <w:p w14:paraId="6F9E8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知识产权</w:t>
            </w:r>
          </w:p>
        </w:tc>
        <w:tc>
          <w:tcPr>
            <w:tcW w:w="6297" w:type="dxa"/>
          </w:tcPr>
          <w:p w14:paraId="523889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color w:val="000000"/>
                <w:kern w:val="2"/>
                <w:sz w:val="21"/>
                <w:szCs w:val="21"/>
                <w:lang w:eastAsia="zh-CN"/>
              </w:rPr>
              <w:t>1.涉及采购标的的知识产权归属、处理的，应约定知识产权的归属和处理方式。</w:t>
            </w:r>
          </w:p>
        </w:tc>
      </w:tr>
      <w:tr w14:paraId="4AB3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Merge w:val="continue"/>
            <w:vAlign w:val="center"/>
          </w:tcPr>
          <w:p w14:paraId="400D1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p>
        </w:tc>
        <w:tc>
          <w:tcPr>
            <w:tcW w:w="1413" w:type="dxa"/>
            <w:vMerge w:val="continue"/>
            <w:vAlign w:val="center"/>
          </w:tcPr>
          <w:p w14:paraId="70B5B5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kern w:val="2"/>
                <w:sz w:val="21"/>
                <w:szCs w:val="21"/>
                <w:lang w:eastAsia="zh-CN"/>
              </w:rPr>
            </w:pPr>
          </w:p>
        </w:tc>
        <w:tc>
          <w:tcPr>
            <w:tcW w:w="6297" w:type="dxa"/>
          </w:tcPr>
          <w:p w14:paraId="2EB669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2.采购人购买产品后，有权对该产品与其他设备进行配套、整合或适当改进，而免受侵犯专利权的起诉。</w:t>
            </w:r>
          </w:p>
        </w:tc>
      </w:tr>
      <w:tr w14:paraId="11A4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vAlign w:val="center"/>
          </w:tcPr>
          <w:p w14:paraId="46C5F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7</w:t>
            </w:r>
          </w:p>
        </w:tc>
        <w:tc>
          <w:tcPr>
            <w:tcW w:w="1413" w:type="dxa"/>
            <w:vAlign w:val="center"/>
          </w:tcPr>
          <w:p w14:paraId="5932D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color w:val="000000"/>
                <w:kern w:val="2"/>
                <w:sz w:val="21"/>
                <w:szCs w:val="21"/>
                <w:lang w:eastAsia="zh-CN"/>
              </w:rPr>
              <w:t>其他</w:t>
            </w:r>
          </w:p>
        </w:tc>
        <w:tc>
          <w:tcPr>
            <w:tcW w:w="6297" w:type="dxa"/>
          </w:tcPr>
          <w:p w14:paraId="1A5AB1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1.投标供应商应按其投标文件中的承诺，进行其他售后服务工作。</w:t>
            </w:r>
          </w:p>
        </w:tc>
      </w:tr>
    </w:tbl>
    <w:p w14:paraId="1A37AABB">
      <w:pPr>
        <w:widowControl w:val="0"/>
        <w:spacing w:after="160" w:line="278" w:lineRule="auto"/>
        <w:jc w:val="both"/>
        <w:rPr>
          <w:rFonts w:eastAsia="宋体"/>
          <w:b/>
          <w:kern w:val="2"/>
          <w:sz w:val="21"/>
          <w:lang w:eastAsia="zh-CN"/>
        </w:rPr>
      </w:pPr>
    </w:p>
    <w:p w14:paraId="4D9EBB2D">
      <w:pPr>
        <w:spacing w:after="160" w:line="278" w:lineRule="auto"/>
        <w:jc w:val="center"/>
        <w:rPr>
          <w:rFonts w:hint="eastAsia" w:eastAsia="宋体"/>
          <w:kern w:val="2"/>
          <w:sz w:val="28"/>
          <w:szCs w:val="28"/>
          <w:lang w:val="en-US" w:eastAsia="zh-CN"/>
        </w:rPr>
      </w:pPr>
    </w:p>
    <w:p w14:paraId="6E5D804C">
      <w:pPr>
        <w:spacing w:after="160" w:line="278" w:lineRule="auto"/>
        <w:jc w:val="center"/>
        <w:rPr>
          <w:rFonts w:hint="eastAsia" w:eastAsia="宋体"/>
          <w:kern w:val="2"/>
          <w:sz w:val="28"/>
          <w:szCs w:val="28"/>
          <w:lang w:val="en-US" w:eastAsia="zh-CN"/>
        </w:rPr>
      </w:pPr>
    </w:p>
    <w:p w14:paraId="023A974E">
      <w:pPr>
        <w:spacing w:after="160" w:line="278" w:lineRule="auto"/>
        <w:rPr>
          <w:rFonts w:hint="default" w:eastAsia="宋体"/>
          <w:kern w:val="2"/>
          <w:sz w:val="28"/>
          <w:szCs w:val="28"/>
          <w:lang w:val="en-US" w:eastAsia="zh-CN"/>
        </w:rPr>
      </w:pPr>
    </w:p>
    <w:p w14:paraId="597AFBB7">
      <w:p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br w:type="page"/>
      </w:r>
    </w:p>
    <w:p w14:paraId="60FFA88D">
      <w:pPr>
        <w:keepNext/>
        <w:keepLines/>
        <w:widowControl w:val="0"/>
        <w:adjustRightInd w:val="0"/>
        <w:spacing w:before="120" w:beforeLines="50" w:after="120" w:afterLines="5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val="en-US" w:eastAsia="zh-CN"/>
        </w:rPr>
        <w:t>七</w:t>
      </w:r>
      <w:r>
        <w:rPr>
          <w:rFonts w:hint="eastAsia" w:ascii="宋体" w:hAnsi="宋体" w:eastAsia="宋体"/>
          <w:b/>
          <w:bCs/>
          <w:sz w:val="28"/>
          <w:szCs w:val="28"/>
          <w:lang w:eastAsia="zh-CN"/>
        </w:rPr>
        <w:t>、其他重要条款</w:t>
      </w:r>
    </w:p>
    <w:p w14:paraId="2B98EC5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9251B8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bCs/>
          <w:kern w:val="2"/>
          <w:sz w:val="21"/>
          <w:szCs w:val="21"/>
          <w:lang w:eastAsia="zh-CN"/>
        </w:rPr>
        <w:t>2、投标人应充分了解项目的位置、情况、道路及任何其它足以影响投标报价的情况，任何因忽视或误解项目情况而导致的索赔或服务期限延长申请将不获批准。</w:t>
      </w:r>
    </w:p>
    <w:p w14:paraId="0F13502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6EB4B6C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4、除政府采购合同继续履行将损害国家利益和社会公共利益外，双方当事人不得擅自变更、中止或者终止合同。</w:t>
      </w:r>
    </w:p>
    <w:p w14:paraId="7343F8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Cs/>
          <w:kern w:val="2"/>
          <w:sz w:val="21"/>
          <w:szCs w:val="21"/>
          <w:lang w:eastAsia="zh-CN"/>
        </w:rPr>
      </w:pPr>
      <w:r>
        <w:rPr>
          <w:rFonts w:hint="eastAsia" w:asciiTheme="minorEastAsia" w:hAnsiTheme="minorEastAsia" w:eastAsiaTheme="minorEastAsia" w:cstheme="minor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65FBA566">
      <w:pPr>
        <w:widowControl w:val="0"/>
        <w:spacing w:after="160" w:line="278" w:lineRule="auto"/>
        <w:jc w:val="both"/>
        <w:rPr>
          <w:rFonts w:ascii="宋体" w:hAnsi="宋体" w:eastAsia="宋体"/>
          <w:kern w:val="2"/>
          <w:sz w:val="21"/>
          <w:lang w:eastAsia="zh-CN"/>
        </w:rPr>
      </w:pPr>
    </w:p>
    <w:p w14:paraId="1EF3BAFA">
      <w:pPr>
        <w:rPr>
          <w:rFonts w:hint="eastAsia"/>
          <w:sz w:val="28"/>
          <w:szCs w:val="28"/>
          <w:highlight w:val="yellow"/>
          <w:lang w:val="en-US" w:eastAsia="zh-CN"/>
        </w:rPr>
      </w:pPr>
      <w:r>
        <w:rPr>
          <w:rFonts w:hint="eastAsia"/>
          <w:sz w:val="28"/>
          <w:szCs w:val="28"/>
          <w:highlight w:val="yellow"/>
          <w:lang w:val="en-US" w:eastAsia="zh-CN"/>
        </w:rPr>
        <w:br w:type="page"/>
      </w:r>
    </w:p>
    <w:p w14:paraId="6523940C">
      <w:pPr>
        <w:pStyle w:val="7"/>
        <w:spacing w:before="120" w:beforeLines="50" w:after="120" w:afterLines="50"/>
        <w:ind w:firstLine="420"/>
        <w:rPr>
          <w:rFonts w:hint="eastAsia"/>
          <w:sz w:val="28"/>
          <w:szCs w:val="28"/>
          <w:highlight w:val="none"/>
        </w:rPr>
      </w:pPr>
      <w:r>
        <w:rPr>
          <w:rFonts w:hint="eastAsia"/>
          <w:sz w:val="28"/>
          <w:szCs w:val="28"/>
          <w:highlight w:val="none"/>
          <w:lang w:val="en-US" w:eastAsia="zh-CN"/>
        </w:rPr>
        <w:t>八</w:t>
      </w:r>
      <w:r>
        <w:rPr>
          <w:rFonts w:hint="eastAsia"/>
          <w:sz w:val="28"/>
          <w:szCs w:val="28"/>
          <w:highlight w:val="none"/>
        </w:rPr>
        <w:t>、</w:t>
      </w:r>
      <w:r>
        <w:rPr>
          <w:rFonts w:hint="eastAsia"/>
          <w:sz w:val="28"/>
          <w:szCs w:val="28"/>
          <w:highlight w:val="none"/>
          <w:lang w:val="en-US" w:eastAsia="zh-CN"/>
        </w:rPr>
        <w:t>演示</w:t>
      </w:r>
      <w:r>
        <w:rPr>
          <w:rFonts w:hint="eastAsia"/>
          <w:sz w:val="28"/>
          <w:szCs w:val="28"/>
          <w:highlight w:val="none"/>
        </w:rPr>
        <w:t>要求</w:t>
      </w:r>
    </w:p>
    <w:p w14:paraId="00C9EE6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（一）总体要求：</w:t>
      </w:r>
    </w:p>
    <w:p w14:paraId="5983EFF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供应商授权委托人应在</w:t>
      </w:r>
      <w:r>
        <w:rPr>
          <w:rFonts w:hint="eastAsia" w:asciiTheme="minorEastAsia" w:hAnsiTheme="minorEastAsia" w:eastAsiaTheme="minorEastAsia" w:cstheme="minorEastAsia"/>
          <w:b/>
          <w:bCs/>
          <w:color w:val="FF0000"/>
          <w:kern w:val="2"/>
          <w:sz w:val="21"/>
          <w:szCs w:val="21"/>
          <w:lang w:eastAsia="zh-CN"/>
        </w:rPr>
        <w:t>本项目开标当日9:15-9:30（投标截止时间为上午时适用）,14:15-14:30（投标截止时间为下午时适用）到签到地点（深圳市龙岗区黄阁路383号深圳交易集团有限公司龙岗分公司</w:t>
      </w:r>
      <w:r>
        <w:rPr>
          <w:rFonts w:hint="eastAsia" w:asciiTheme="minorEastAsia" w:hAnsiTheme="minorEastAsia" w:eastAsiaTheme="minorEastAsia" w:cstheme="minorEastAsia"/>
          <w:b/>
          <w:bCs/>
          <w:color w:val="auto"/>
          <w:kern w:val="2"/>
          <w:sz w:val="21"/>
          <w:szCs w:val="21"/>
          <w:lang w:eastAsia="zh-CN"/>
        </w:rPr>
        <w:t>）</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bCs/>
          <w:color w:val="auto"/>
          <w:kern w:val="2"/>
          <w:sz w:val="21"/>
          <w:szCs w:val="21"/>
          <w:lang w:eastAsia="zh-CN"/>
        </w:rPr>
        <w:t>按现场工作人员指引</w:t>
      </w:r>
      <w:r>
        <w:rPr>
          <w:rFonts w:hint="eastAsia" w:asciiTheme="minorEastAsia" w:hAnsiTheme="minorEastAsia" w:eastAsiaTheme="minorEastAsia" w:cstheme="minorEastAsia"/>
          <w:color w:val="auto"/>
          <w:kern w:val="2"/>
          <w:sz w:val="21"/>
          <w:szCs w:val="21"/>
          <w:lang w:eastAsia="zh-CN"/>
        </w:rPr>
        <w:t>填写《演示签到表》。</w:t>
      </w:r>
    </w:p>
    <w:p w14:paraId="6281975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现场演示地点提供</w:t>
      </w:r>
      <w:r>
        <w:rPr>
          <w:rFonts w:hint="eastAsia" w:asciiTheme="minorEastAsia" w:hAnsiTheme="minorEastAsia" w:eastAsiaTheme="minorEastAsia" w:cstheme="minorEastAsia"/>
          <w:bCs/>
          <w:color w:val="auto"/>
          <w:kern w:val="2"/>
          <w:sz w:val="21"/>
          <w:szCs w:val="21"/>
          <w:lang w:eastAsia="zh-CN"/>
        </w:rPr>
        <w:t>电源、带VGA接口的液晶显示器及宽带上网环境（无WIFI环境）</w:t>
      </w:r>
      <w:r>
        <w:rPr>
          <w:rFonts w:hint="eastAsia" w:asciiTheme="minorEastAsia" w:hAnsiTheme="minorEastAsia" w:eastAsiaTheme="minorEastAsia" w:cstheme="minorEastAsia"/>
          <w:color w:val="auto"/>
          <w:kern w:val="2"/>
          <w:sz w:val="21"/>
          <w:szCs w:val="21"/>
          <w:lang w:eastAsia="zh-CN"/>
        </w:rPr>
        <w:t>，由投标（谈判）供应商授权委托人自带</w:t>
      </w:r>
      <w:r>
        <w:rPr>
          <w:rFonts w:hint="eastAsia" w:asciiTheme="minorEastAsia" w:hAnsiTheme="minorEastAsia" w:eastAsiaTheme="minorEastAsia" w:cstheme="minorEastAsia"/>
          <w:bCs/>
          <w:color w:val="auto"/>
          <w:kern w:val="2"/>
          <w:sz w:val="21"/>
          <w:szCs w:val="21"/>
          <w:lang w:eastAsia="zh-CN"/>
        </w:rPr>
        <w:t>手提电脑、U盘等能完成方案讲解的便携设备（具体以自身实际需要为准）</w:t>
      </w:r>
      <w:r>
        <w:rPr>
          <w:rFonts w:hint="eastAsia" w:asciiTheme="minorEastAsia" w:hAnsiTheme="minorEastAsia" w:eastAsiaTheme="minorEastAsia" w:cstheme="minorEastAsia"/>
          <w:color w:val="auto"/>
          <w:kern w:val="2"/>
          <w:sz w:val="21"/>
          <w:szCs w:val="21"/>
          <w:lang w:eastAsia="zh-CN"/>
        </w:rPr>
        <w:t>进行现场演示。由于场地有限，建议不携带过大设备。</w:t>
      </w:r>
    </w:p>
    <w:p w14:paraId="0BAA040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每个投标（谈判）供应商演示时间不超过</w:t>
      </w:r>
      <w:r>
        <w:rPr>
          <w:rFonts w:hint="eastAsia" w:asciiTheme="minorEastAsia" w:hAnsiTheme="minorEastAsia" w:eastAsiaTheme="minorEastAsia" w:cstheme="minorEastAsia"/>
          <w:b/>
          <w:bCs w:val="0"/>
          <w:color w:val="auto"/>
          <w:kern w:val="2"/>
          <w:sz w:val="21"/>
          <w:szCs w:val="21"/>
          <w:highlight w:val="yellow"/>
          <w:lang w:val="en-US" w:eastAsia="zh-CN"/>
        </w:rPr>
        <w:t>15</w:t>
      </w:r>
      <w:r>
        <w:rPr>
          <w:rFonts w:hint="eastAsia" w:asciiTheme="minorEastAsia" w:hAnsiTheme="minorEastAsia" w:eastAsiaTheme="minorEastAsia" w:cstheme="minorEastAsia"/>
          <w:b/>
          <w:bCs w:val="0"/>
          <w:color w:val="auto"/>
          <w:kern w:val="2"/>
          <w:sz w:val="21"/>
          <w:szCs w:val="21"/>
          <w:highlight w:val="yellow"/>
          <w:lang w:eastAsia="zh-CN"/>
        </w:rPr>
        <w:t>分钟</w:t>
      </w:r>
      <w:r>
        <w:rPr>
          <w:rFonts w:hint="eastAsia" w:asciiTheme="minorEastAsia" w:hAnsiTheme="minorEastAsia" w:eastAsiaTheme="minorEastAsia" w:cstheme="minorEastAsia"/>
          <w:color w:val="auto"/>
          <w:kern w:val="2"/>
          <w:sz w:val="21"/>
          <w:szCs w:val="21"/>
          <w:lang w:eastAsia="zh-CN"/>
        </w:rPr>
        <w:t>（期间评委可能会进行提问，并有权酌情延长时间）。演示人员不得超过</w:t>
      </w:r>
      <w:r>
        <w:rPr>
          <w:rFonts w:hint="eastAsia" w:asciiTheme="minorEastAsia" w:hAnsiTheme="minorEastAsia" w:eastAsiaTheme="minorEastAsia" w:cstheme="minorEastAsia"/>
          <w:bCs/>
          <w:color w:val="auto"/>
          <w:kern w:val="2"/>
          <w:sz w:val="21"/>
          <w:szCs w:val="21"/>
          <w:lang w:eastAsia="zh-CN"/>
        </w:rPr>
        <w:t>2</w:t>
      </w:r>
      <w:r>
        <w:rPr>
          <w:rFonts w:hint="eastAsia" w:asciiTheme="minorEastAsia" w:hAnsiTheme="minorEastAsia" w:eastAsiaTheme="minorEastAsia" w:cstheme="minorEastAsia"/>
          <w:color w:val="auto"/>
          <w:kern w:val="2"/>
          <w:sz w:val="21"/>
          <w:szCs w:val="21"/>
          <w:lang w:eastAsia="zh-CN"/>
        </w:rPr>
        <w:t>人。</w:t>
      </w:r>
    </w:p>
    <w:p w14:paraId="60F1F9C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p>
    <w:p w14:paraId="2202F4C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（二）具体程序：</w:t>
      </w:r>
    </w:p>
    <w:p w14:paraId="63259F5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bCs/>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1、供应商授权委托人</w:t>
      </w:r>
      <w:r>
        <w:rPr>
          <w:rFonts w:hint="eastAsia" w:asciiTheme="minorEastAsia" w:hAnsiTheme="minorEastAsia" w:eastAsiaTheme="minorEastAsia" w:cstheme="minorEastAsia"/>
          <w:bCs/>
          <w:color w:val="auto"/>
          <w:kern w:val="2"/>
          <w:sz w:val="21"/>
          <w:szCs w:val="21"/>
          <w:lang w:eastAsia="zh-CN"/>
        </w:rPr>
        <w:t>需在演示签到截止时间前，提供法定代表人（负责人）演示授权委托书（加盖公章）、身份证明材料原件和复印件（中国国籍人员，请提供代理人身份证，港澳台居民可提供来往通行证；非中国国籍人员，可提供公安部门认可的身份证明材料），到</w:t>
      </w:r>
      <w:r>
        <w:rPr>
          <w:rFonts w:hint="eastAsia" w:asciiTheme="minorEastAsia" w:hAnsiTheme="minorEastAsia" w:eastAsiaTheme="minorEastAsia" w:cstheme="minorEastAsia"/>
          <w:color w:val="auto"/>
          <w:kern w:val="2"/>
          <w:sz w:val="21"/>
          <w:szCs w:val="21"/>
          <w:lang w:eastAsia="zh-CN"/>
        </w:rPr>
        <w:t>政府集中采购机构指定签到地点</w:t>
      </w:r>
      <w:r>
        <w:rPr>
          <w:rFonts w:hint="eastAsia" w:asciiTheme="minorEastAsia" w:hAnsiTheme="minorEastAsia" w:eastAsiaTheme="minorEastAsia" w:cstheme="minorEastAsia"/>
          <w:bCs/>
          <w:color w:val="auto"/>
          <w:kern w:val="2"/>
          <w:sz w:val="21"/>
          <w:szCs w:val="21"/>
          <w:lang w:eastAsia="zh-CN"/>
        </w:rPr>
        <w:t>按现场工作人员指引填写《演示签到表》。（演示授权委托书模板详见附件）</w:t>
      </w:r>
    </w:p>
    <w:p w14:paraId="61471D4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bCs/>
          <w:color w:val="auto"/>
          <w:kern w:val="2"/>
          <w:sz w:val="21"/>
          <w:szCs w:val="21"/>
          <w:lang w:eastAsia="zh-CN"/>
        </w:rPr>
      </w:pPr>
      <w:r>
        <w:rPr>
          <w:rFonts w:hint="eastAsia" w:asciiTheme="minorEastAsia" w:hAnsiTheme="minorEastAsia" w:eastAsiaTheme="minorEastAsia" w:cstheme="minorEastAsia"/>
          <w:bCs/>
          <w:color w:val="auto"/>
          <w:kern w:val="2"/>
          <w:sz w:val="21"/>
          <w:szCs w:val="21"/>
          <w:lang w:eastAsia="zh-CN"/>
        </w:rPr>
        <w:t>特别注意事项：（1）资料不符合要求，不予签到；（2）规定的截止时间后，不再受理签到；（3）未进行签到的人员，不能参与现场演示</w:t>
      </w:r>
    </w:p>
    <w:p w14:paraId="4DCEFC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2"/>
          <w:sz w:val="21"/>
          <w:szCs w:val="21"/>
          <w:lang w:eastAsia="zh-CN"/>
        </w:rPr>
        <w:t>2、初审合格的供应商应按评委要求进行演示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sz w:val="21"/>
          <w:szCs w:val="21"/>
          <w:lang w:eastAsia="zh-CN"/>
        </w:rPr>
        <w:t>正式开始前将进行身份核对；核对内容为</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sz w:val="21"/>
          <w:szCs w:val="21"/>
          <w:lang w:eastAsia="zh-CN"/>
        </w:rPr>
        <w:t>人员提供的“</w:t>
      </w:r>
      <w:r>
        <w:rPr>
          <w:rFonts w:hint="eastAsia" w:asciiTheme="minorEastAsia" w:hAnsiTheme="minorEastAsia" w:eastAsiaTheme="minorEastAsia" w:cstheme="minorEastAsia"/>
          <w:bCs/>
          <w:color w:val="auto"/>
          <w:kern w:val="2"/>
          <w:sz w:val="21"/>
          <w:szCs w:val="21"/>
          <w:lang w:eastAsia="zh-CN"/>
        </w:rPr>
        <w:t>法定代表人（负责人）授权委托书（加盖公章）、授权委托人身份证原件</w:t>
      </w:r>
      <w:r>
        <w:rPr>
          <w:rFonts w:hint="eastAsia" w:asciiTheme="minorEastAsia" w:hAnsiTheme="minorEastAsia" w:eastAsiaTheme="minorEastAsia" w:cstheme="minorEastAsia"/>
          <w:color w:val="auto"/>
          <w:kern w:val="2"/>
          <w:sz w:val="21"/>
          <w:szCs w:val="21"/>
          <w:lang w:eastAsia="zh-CN"/>
        </w:rPr>
        <w:t>和复印件</w:t>
      </w:r>
      <w:r>
        <w:rPr>
          <w:rFonts w:hint="eastAsia" w:asciiTheme="minorEastAsia" w:hAnsiTheme="minorEastAsia" w:eastAsiaTheme="minorEastAsia" w:cstheme="minorEastAsia"/>
          <w:color w:val="auto"/>
          <w:sz w:val="21"/>
          <w:szCs w:val="21"/>
          <w:lang w:eastAsia="zh-CN"/>
        </w:rPr>
        <w:t>”。资料不齐全的，不得参与</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sz w:val="21"/>
          <w:szCs w:val="21"/>
          <w:lang w:eastAsia="zh-CN"/>
        </w:rPr>
        <w:t>。</w:t>
      </w:r>
    </w:p>
    <w:p w14:paraId="5119F42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p>
    <w:p w14:paraId="6D6A424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（三）其它演示规则：</w:t>
      </w:r>
    </w:p>
    <w:p w14:paraId="0FA57014">
      <w:pPr>
        <w:keepNext w:val="0"/>
        <w:keepLines w:val="0"/>
        <w:pageBreakBefore w:val="0"/>
        <w:widowControl w:val="0"/>
        <w:kinsoku/>
        <w:wordWrap/>
        <w:overflowPunct/>
        <w:topLinePunct w:val="0"/>
        <w:autoSpaceDE/>
        <w:autoSpaceDN/>
        <w:bidi w:val="0"/>
        <w:adjustRightInd/>
        <w:snapToGrid/>
        <w:ind w:firstLine="392" w:firstLineChars="187"/>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A.参加本次</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的各投标（谈判）供应商，均认为本次</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的程序和环境能够满足</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基本条件，并对本</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方案要求内的各项规定不做事后异议，且能够严格遵守相关规定。</w:t>
      </w:r>
    </w:p>
    <w:p w14:paraId="7D596FFC">
      <w:pPr>
        <w:keepNext w:val="0"/>
        <w:keepLines w:val="0"/>
        <w:pageBreakBefore w:val="0"/>
        <w:widowControl w:val="0"/>
        <w:kinsoku/>
        <w:wordWrap/>
        <w:overflowPunct/>
        <w:topLinePunct w:val="0"/>
        <w:autoSpaceDE/>
        <w:autoSpaceDN/>
        <w:bidi w:val="0"/>
        <w:adjustRightInd/>
        <w:snapToGrid/>
        <w:ind w:firstLine="392" w:firstLineChars="187"/>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B.演示在评审环节进行。演示原则上</w:t>
      </w:r>
      <w:r>
        <w:rPr>
          <w:rFonts w:hint="eastAsia" w:asciiTheme="minorEastAsia" w:hAnsiTheme="minorEastAsia" w:eastAsiaTheme="minorEastAsia" w:cstheme="minorEastAsia"/>
          <w:bCs/>
          <w:color w:val="auto"/>
          <w:kern w:val="2"/>
          <w:sz w:val="21"/>
          <w:szCs w:val="21"/>
          <w:lang w:eastAsia="zh-CN"/>
        </w:rPr>
        <w:t>按签到顺序</w:t>
      </w:r>
      <w:r>
        <w:rPr>
          <w:rFonts w:hint="eastAsia" w:asciiTheme="minorEastAsia" w:hAnsiTheme="minorEastAsia" w:eastAsiaTheme="minorEastAsia" w:cstheme="minorEastAsia"/>
          <w:color w:val="auto"/>
          <w:kern w:val="2"/>
          <w:sz w:val="21"/>
          <w:szCs w:val="21"/>
          <w:lang w:eastAsia="zh-CN"/>
        </w:rPr>
        <w:t>依次进行（经评委同意，可以酌情进行调整）。一个供应商一次性</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完毕。一个供应商在进行</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时，其他供应商不得进入现场。</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期间，评委可视情况对讲解人员进行提问。</w:t>
      </w:r>
    </w:p>
    <w:p w14:paraId="3281C3FE">
      <w:pPr>
        <w:keepNext w:val="0"/>
        <w:keepLines w:val="0"/>
        <w:pageBreakBefore w:val="0"/>
        <w:widowControl w:val="0"/>
        <w:kinsoku/>
        <w:wordWrap/>
        <w:overflowPunct/>
        <w:topLinePunct w:val="0"/>
        <w:autoSpaceDE/>
        <w:autoSpaceDN/>
        <w:bidi w:val="0"/>
        <w:adjustRightInd/>
        <w:snapToGrid/>
        <w:ind w:firstLine="392" w:firstLineChars="187"/>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C.投标人对本次</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条件的不确定性疑虑应在开始前做书面表达，若所有疑虑不能完全消除，并认为</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结果仍会产生误判，则可以退出</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w:t>
      </w:r>
    </w:p>
    <w:p w14:paraId="0128642D">
      <w:pPr>
        <w:keepNext w:val="0"/>
        <w:keepLines w:val="0"/>
        <w:pageBreakBefore w:val="0"/>
        <w:widowControl w:val="0"/>
        <w:kinsoku/>
        <w:wordWrap/>
        <w:overflowPunct/>
        <w:topLinePunct w:val="0"/>
        <w:autoSpaceDE/>
        <w:autoSpaceDN/>
        <w:bidi w:val="0"/>
        <w:adjustRightInd/>
        <w:snapToGrid/>
        <w:ind w:firstLine="392" w:firstLineChars="187"/>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D.由于</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时间有限，投标人同意承担其演示结果不确定性的风险，即同意专家以方案讲解情况的判定结论。</w:t>
      </w:r>
    </w:p>
    <w:p w14:paraId="7F090297">
      <w:pPr>
        <w:keepNext w:val="0"/>
        <w:keepLines w:val="0"/>
        <w:pageBreakBefore w:val="0"/>
        <w:widowControl w:val="0"/>
        <w:kinsoku/>
        <w:wordWrap/>
        <w:overflowPunct/>
        <w:topLinePunct w:val="0"/>
        <w:autoSpaceDE/>
        <w:autoSpaceDN/>
        <w:bidi w:val="0"/>
        <w:adjustRightInd/>
        <w:snapToGrid/>
        <w:ind w:firstLine="392" w:firstLineChars="187"/>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E.本次</w:t>
      </w:r>
      <w:r>
        <w:rPr>
          <w:rFonts w:hint="eastAsia" w:asciiTheme="minorEastAsia" w:hAnsiTheme="minorEastAsia" w:eastAsiaTheme="minorEastAsia" w:cstheme="minorEastAsia"/>
          <w:bCs/>
          <w:color w:val="auto"/>
          <w:kern w:val="2"/>
          <w:sz w:val="21"/>
          <w:szCs w:val="21"/>
          <w:lang w:eastAsia="zh-CN"/>
        </w:rPr>
        <w:t>演示</w:t>
      </w:r>
      <w:r>
        <w:rPr>
          <w:rFonts w:hint="eastAsia" w:asciiTheme="minorEastAsia" w:hAnsiTheme="minorEastAsia" w:eastAsiaTheme="minorEastAsia" w:cstheme="minorEastAsia"/>
          <w:color w:val="auto"/>
          <w:kern w:val="2"/>
          <w:sz w:val="21"/>
          <w:szCs w:val="21"/>
          <w:lang w:eastAsia="zh-CN"/>
        </w:rPr>
        <w:t>的结果，仅对本项目评审委员会（谈判小组）负责，无义务向其余各方出具方案讲解结果。</w:t>
      </w:r>
    </w:p>
    <w:p w14:paraId="2B55DE7E">
      <w:pPr>
        <w:keepNext w:val="0"/>
        <w:keepLines w:val="0"/>
        <w:pageBreakBefore w:val="0"/>
        <w:widowControl w:val="0"/>
        <w:kinsoku/>
        <w:wordWrap/>
        <w:overflowPunct/>
        <w:topLinePunct w:val="0"/>
        <w:autoSpaceDE/>
        <w:autoSpaceDN/>
        <w:bidi w:val="0"/>
        <w:adjustRightInd/>
        <w:snapToGrid/>
        <w:ind w:firstLine="392" w:firstLineChars="187"/>
        <w:jc w:val="both"/>
        <w:textAlignment w:val="auto"/>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F.风险及费用说明：各项费用由供应商自理、风险自负。</w:t>
      </w:r>
    </w:p>
    <w:p w14:paraId="684E6F9A">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Theme="minorEastAsia" w:hAnsiTheme="minorEastAsia" w:eastAsiaTheme="minorEastAsia" w:cstheme="minorEastAsia"/>
          <w:b/>
          <w:bCs/>
          <w:color w:val="FF0000"/>
          <w:kern w:val="2"/>
          <w:sz w:val="21"/>
          <w:szCs w:val="21"/>
          <w:lang w:eastAsia="zh-CN"/>
        </w:rPr>
      </w:pPr>
    </w:p>
    <w:p w14:paraId="5C09B527">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Theme="minorEastAsia" w:hAnsiTheme="minorEastAsia" w:eastAsiaTheme="minorEastAsia" w:cstheme="minorEastAsia"/>
          <w:b/>
          <w:bCs/>
          <w:color w:val="FF0000"/>
          <w:kern w:val="2"/>
          <w:sz w:val="21"/>
          <w:szCs w:val="21"/>
          <w:lang w:eastAsia="zh-CN"/>
        </w:rPr>
      </w:pPr>
      <w:r>
        <w:rPr>
          <w:rFonts w:hint="eastAsia" w:asciiTheme="minorEastAsia" w:hAnsiTheme="minorEastAsia" w:eastAsiaTheme="minorEastAsia" w:cstheme="minorEastAsia"/>
          <w:b/>
          <w:bCs/>
          <w:color w:val="FF0000"/>
          <w:kern w:val="2"/>
          <w:sz w:val="21"/>
          <w:szCs w:val="21"/>
          <w:lang w:eastAsia="zh-CN"/>
        </w:rPr>
        <w:t>（四）</w:t>
      </w:r>
      <w:bookmarkStart w:id="46" w:name="OLE_LINK12"/>
      <w:r>
        <w:rPr>
          <w:rFonts w:hint="eastAsia" w:asciiTheme="minorEastAsia" w:hAnsiTheme="minorEastAsia" w:eastAsiaTheme="minorEastAsia" w:cstheme="minorEastAsia"/>
          <w:b/>
          <w:bCs/>
          <w:color w:val="FF0000"/>
          <w:kern w:val="2"/>
          <w:sz w:val="21"/>
          <w:szCs w:val="21"/>
          <w:lang w:eastAsia="zh-CN"/>
        </w:rPr>
        <w:t>演示内容及要求表</w:t>
      </w:r>
      <w:bookmarkEnd w:id="46"/>
      <w:r>
        <w:rPr>
          <w:rFonts w:hint="eastAsia" w:asciiTheme="minorEastAsia" w:hAnsiTheme="minorEastAsia" w:eastAsiaTheme="minorEastAsia" w:cstheme="minorEastAsia"/>
          <w:b/>
          <w:bCs/>
          <w:color w:val="FF0000"/>
          <w:kern w:val="2"/>
          <w:sz w:val="21"/>
          <w:szCs w:val="21"/>
          <w:lang w:eastAsia="zh-CN"/>
        </w:rPr>
        <w:t>：</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888"/>
        <w:gridCol w:w="2052"/>
        <w:gridCol w:w="3917"/>
      </w:tblGrid>
      <w:tr w14:paraId="76F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92" w:type="pct"/>
            <w:vAlign w:val="top"/>
          </w:tcPr>
          <w:p w14:paraId="11791C5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序号</w:t>
            </w:r>
          </w:p>
        </w:tc>
        <w:tc>
          <w:tcPr>
            <w:tcW w:w="1107" w:type="pct"/>
            <w:vAlign w:val="top"/>
          </w:tcPr>
          <w:p w14:paraId="4999441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演示项目</w:t>
            </w:r>
          </w:p>
        </w:tc>
        <w:tc>
          <w:tcPr>
            <w:tcW w:w="1203" w:type="pct"/>
            <w:vAlign w:val="top"/>
          </w:tcPr>
          <w:p w14:paraId="4D44829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演示形式要求</w:t>
            </w:r>
          </w:p>
        </w:tc>
        <w:tc>
          <w:tcPr>
            <w:tcW w:w="2296" w:type="pct"/>
            <w:vAlign w:val="top"/>
          </w:tcPr>
          <w:p w14:paraId="2F40B23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kern w:val="2"/>
                <w:sz w:val="21"/>
                <w:szCs w:val="21"/>
                <w:lang w:eastAsia="zh-CN"/>
              </w:rPr>
            </w:pPr>
            <w:r>
              <w:rPr>
                <w:rFonts w:hint="eastAsia" w:asciiTheme="minorEastAsia" w:hAnsiTheme="minorEastAsia" w:eastAsiaTheme="minorEastAsia" w:cstheme="minorEastAsia"/>
                <w:b/>
                <w:kern w:val="2"/>
                <w:sz w:val="21"/>
                <w:szCs w:val="21"/>
                <w:lang w:eastAsia="zh-CN"/>
              </w:rPr>
              <w:t>演示具体内容要求</w:t>
            </w:r>
          </w:p>
        </w:tc>
      </w:tr>
      <w:tr w14:paraId="256C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92" w:type="pct"/>
            <w:vAlign w:val="center"/>
          </w:tcPr>
          <w:p w14:paraId="020FDA5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kern w:val="2"/>
                <w:sz w:val="21"/>
                <w:szCs w:val="21"/>
                <w:lang w:eastAsia="zh-CN"/>
              </w:rPr>
              <w:t>1</w:t>
            </w:r>
          </w:p>
        </w:tc>
        <w:tc>
          <w:tcPr>
            <w:tcW w:w="1107" w:type="pct"/>
            <w:vAlign w:val="center"/>
          </w:tcPr>
          <w:p w14:paraId="3BE6EEDE">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高清录播主机</w:t>
            </w:r>
          </w:p>
        </w:tc>
        <w:tc>
          <w:tcPr>
            <w:tcW w:w="1203" w:type="pct"/>
            <w:vAlign w:val="center"/>
          </w:tcPr>
          <w:p w14:paraId="6C5F782F">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sz w:val="21"/>
                <w:szCs w:val="21"/>
                <w:vertAlign w:val="baseline"/>
                <w:lang w:val="en-US" w:eastAsia="zh-CN"/>
              </w:rPr>
              <w:t>原型演示（第一部分）</w:t>
            </w:r>
          </w:p>
        </w:tc>
        <w:tc>
          <w:tcPr>
            <w:tcW w:w="2296" w:type="pct"/>
            <w:vAlign w:val="center"/>
          </w:tcPr>
          <w:p w14:paraId="5E60843A">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color w:val="000000"/>
                <w:kern w:val="0"/>
                <w:sz w:val="21"/>
                <w:szCs w:val="21"/>
                <w:lang w:val="en-US" w:eastAsia="zh-CN" w:bidi="ar"/>
              </w:rPr>
              <w:t>演示高清录播主机支持标签设置：需支持视频信号源标签设置，对摄像机实时拍摄信号、HDMI高清输入信号均可自定义名称标签，为导播控制与编辑灵活性提供便利。</w:t>
            </w:r>
          </w:p>
        </w:tc>
      </w:tr>
      <w:tr w14:paraId="0CA7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92" w:type="pct"/>
            <w:vAlign w:val="center"/>
          </w:tcPr>
          <w:p w14:paraId="55DDA97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kern w:val="2"/>
                <w:sz w:val="21"/>
                <w:szCs w:val="21"/>
                <w:lang w:eastAsia="zh-CN"/>
              </w:rPr>
              <w:t>2</w:t>
            </w:r>
          </w:p>
        </w:tc>
        <w:tc>
          <w:tcPr>
            <w:tcW w:w="1107" w:type="pct"/>
            <w:vAlign w:val="center"/>
          </w:tcPr>
          <w:p w14:paraId="2756B88B">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高清录播主机</w:t>
            </w:r>
          </w:p>
        </w:tc>
        <w:tc>
          <w:tcPr>
            <w:tcW w:w="1203" w:type="pct"/>
            <w:vAlign w:val="center"/>
          </w:tcPr>
          <w:p w14:paraId="37B9C336">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kern w:val="2"/>
                <w:sz w:val="21"/>
                <w:szCs w:val="21"/>
                <w:lang w:eastAsia="zh-CN"/>
              </w:rPr>
            </w:pPr>
            <w:r>
              <w:rPr>
                <w:rFonts w:hint="eastAsia" w:asciiTheme="minorEastAsia" w:hAnsiTheme="minorEastAsia" w:eastAsiaTheme="minorEastAsia" w:cstheme="minorEastAsia"/>
                <w:b w:val="0"/>
                <w:bCs w:val="0"/>
                <w:sz w:val="21"/>
                <w:szCs w:val="21"/>
                <w:vertAlign w:val="baseline"/>
                <w:lang w:val="en-US" w:eastAsia="zh-CN"/>
              </w:rPr>
              <w:t>原型演示（第二部分）</w:t>
            </w:r>
          </w:p>
        </w:tc>
        <w:tc>
          <w:tcPr>
            <w:tcW w:w="2296" w:type="pct"/>
            <w:vAlign w:val="center"/>
          </w:tcPr>
          <w:p w14:paraId="529D8B71">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sz w:val="21"/>
                <w:szCs w:val="21"/>
                <w:lang w:eastAsia="zh-CN" w:bidi="ar"/>
              </w:rPr>
              <w:t>演示高清录播主机支持智能板书拍摄：要求板书AI分析能力兼容各类传统教学黑板与智慧互联黑板，并可实现人物半透明与不透明处理，摄像机无惧人物遮挡正向拍摄安装不受限。</w:t>
            </w:r>
          </w:p>
        </w:tc>
      </w:tr>
      <w:tr w14:paraId="0E2E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92" w:type="pct"/>
            <w:vAlign w:val="center"/>
          </w:tcPr>
          <w:p w14:paraId="2407F3D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3</w:t>
            </w:r>
          </w:p>
        </w:tc>
        <w:tc>
          <w:tcPr>
            <w:tcW w:w="1107" w:type="pct"/>
            <w:vAlign w:val="center"/>
          </w:tcPr>
          <w:p w14:paraId="2D4634B9">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智能课堂行为分析软件</w:t>
            </w:r>
          </w:p>
        </w:tc>
        <w:tc>
          <w:tcPr>
            <w:tcW w:w="1203" w:type="pct"/>
            <w:vAlign w:val="center"/>
          </w:tcPr>
          <w:p w14:paraId="0B306BE5">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原型演示（第三部分）</w:t>
            </w:r>
          </w:p>
        </w:tc>
        <w:tc>
          <w:tcPr>
            <w:tcW w:w="2296" w:type="pct"/>
            <w:vAlign w:val="center"/>
          </w:tcPr>
          <w:p w14:paraId="53306492">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bidi="ar"/>
              </w:rPr>
              <w:t>演示智能课堂行为分析软件支持实时分析：支持对师生教学行为、教师活动轨迹分析等维度数据进行实时统计分析，并且能在课程录制结束三分钟内将数据整合建模生成分析报告。</w:t>
            </w:r>
          </w:p>
        </w:tc>
      </w:tr>
    </w:tbl>
    <w:p w14:paraId="02943CEE">
      <w:pPr>
        <w:rPr>
          <w:rFonts w:eastAsiaTheme="minorEastAsia"/>
          <w:color w:val="FF0000"/>
          <w:sz w:val="21"/>
          <w:szCs w:val="21"/>
          <w:lang w:eastAsia="zh-CN"/>
        </w:rPr>
      </w:pPr>
    </w:p>
    <w:p w14:paraId="14F48442">
      <w:pPr>
        <w:rPr>
          <w:rFonts w:hint="eastAsia" w:ascii="宋体" w:hAnsi="宋体" w:eastAsia="宋体" w:cs="仿宋_GB2312"/>
          <w:color w:val="auto"/>
          <w:kern w:val="2"/>
          <w:sz w:val="21"/>
          <w:szCs w:val="21"/>
          <w:lang w:eastAsia="zh-CN"/>
        </w:rPr>
      </w:pPr>
    </w:p>
    <w:p w14:paraId="37BD167E">
      <w:pPr>
        <w:rPr>
          <w:rFonts w:hint="eastAsia" w:ascii="宋体" w:hAnsi="宋体" w:eastAsia="宋体" w:cs="仿宋_GB2312"/>
          <w:color w:val="auto"/>
          <w:kern w:val="2"/>
          <w:sz w:val="21"/>
          <w:szCs w:val="21"/>
          <w:lang w:eastAsia="zh-CN"/>
        </w:rPr>
      </w:pPr>
    </w:p>
    <w:p w14:paraId="7122F9A1">
      <w:pPr>
        <w:rPr>
          <w:rFonts w:ascii="微软雅黑" w:hAnsi="微软雅黑" w:eastAsia="微软雅黑" w:cs="微软雅黑"/>
          <w:b/>
          <w:bCs/>
          <w:color w:val="auto"/>
          <w:kern w:val="2"/>
          <w:sz w:val="21"/>
          <w:lang w:eastAsia="zh-CN"/>
        </w:rPr>
      </w:pPr>
      <w:r>
        <w:rPr>
          <w:rFonts w:hint="eastAsia" w:ascii="宋体" w:hAnsi="宋体" w:eastAsia="宋体" w:cs="仿宋_GB2312"/>
          <w:color w:val="auto"/>
          <w:kern w:val="2"/>
          <w:sz w:val="21"/>
          <w:szCs w:val="21"/>
          <w:lang w:eastAsia="zh-CN"/>
        </w:rPr>
        <w:t>附件：演示授权书</w:t>
      </w:r>
    </w:p>
    <w:p w14:paraId="325D5240">
      <w:pPr>
        <w:widowControl w:val="0"/>
        <w:jc w:val="center"/>
        <w:rPr>
          <w:rFonts w:ascii="宋体" w:hAnsi="宋体" w:eastAsia="宋体" w:cs="微软雅黑"/>
          <w:color w:val="auto"/>
          <w:kern w:val="2"/>
          <w:sz w:val="32"/>
          <w:szCs w:val="40"/>
          <w:lang w:eastAsia="zh-CN"/>
        </w:rPr>
      </w:pPr>
      <w:r>
        <w:rPr>
          <w:rFonts w:hint="eastAsia" w:ascii="宋体" w:hAnsi="宋体" w:eastAsia="宋体" w:cs="微软雅黑"/>
          <w:color w:val="auto"/>
          <w:kern w:val="2"/>
          <w:sz w:val="32"/>
          <w:szCs w:val="40"/>
          <w:lang w:eastAsia="zh-CN"/>
        </w:rPr>
        <w:t>演示授权委托书</w:t>
      </w:r>
    </w:p>
    <w:p w14:paraId="571239EE">
      <w:pPr>
        <w:widowControl w:val="0"/>
        <w:spacing w:line="360" w:lineRule="auto"/>
        <w:ind w:firstLine="440" w:firstLineChars="200"/>
        <w:jc w:val="both"/>
        <w:rPr>
          <w:rFonts w:eastAsia="宋体"/>
          <w:color w:val="auto"/>
          <w:kern w:val="2"/>
          <w:sz w:val="22"/>
          <w:szCs w:val="22"/>
          <w:lang w:eastAsia="zh-CN"/>
        </w:rPr>
      </w:pPr>
      <w:r>
        <w:rPr>
          <w:rFonts w:hint="eastAsia" w:eastAsia="宋体"/>
          <w:color w:val="auto"/>
          <w:kern w:val="2"/>
          <w:sz w:val="22"/>
          <w:szCs w:val="22"/>
          <w:lang w:eastAsia="zh-CN"/>
        </w:rPr>
        <w:t>本授权委托书声明：我</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（姓名）系</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（投标人名称）的法定代表人（负责人），现授权委托</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（姓名）为我单位参与</w:t>
      </w:r>
      <w:r>
        <w:rPr>
          <w:rFonts w:hint="eastAsia" w:eastAsia="宋体"/>
          <w:color w:val="auto"/>
          <w:kern w:val="2"/>
          <w:sz w:val="22"/>
          <w:szCs w:val="22"/>
          <w:u w:val="single"/>
          <w:lang w:eastAsia="zh-CN"/>
        </w:rPr>
        <w:t>（此处填写项目名称）</w:t>
      </w:r>
      <w:r>
        <w:rPr>
          <w:rFonts w:hint="eastAsia" w:eastAsia="宋体"/>
          <w:color w:val="auto"/>
          <w:kern w:val="2"/>
          <w:sz w:val="22"/>
          <w:szCs w:val="22"/>
          <w:lang w:eastAsia="zh-CN"/>
        </w:rPr>
        <w:t>项目，项目编号：</w:t>
      </w:r>
      <w:r>
        <w:rPr>
          <w:rFonts w:eastAsia="宋体"/>
          <w:color w:val="auto"/>
          <w:kern w:val="2"/>
          <w:sz w:val="22"/>
          <w:szCs w:val="22"/>
          <w:u w:val="single"/>
          <w:lang w:eastAsia="zh-CN"/>
        </w:rPr>
        <w:t xml:space="preserve">   </w:t>
      </w:r>
      <w:r>
        <w:rPr>
          <w:rFonts w:hint="eastAsia" w:eastAsia="宋体"/>
          <w:color w:val="auto"/>
          <w:kern w:val="2"/>
          <w:sz w:val="22"/>
          <w:szCs w:val="22"/>
          <w:u w:val="single"/>
          <w:lang w:eastAsia="zh-CN"/>
        </w:rPr>
        <w:t xml:space="preserve">      （此处填写项目编号）</w:t>
      </w:r>
      <w:r>
        <w:rPr>
          <w:rFonts w:hint="eastAsia" w:eastAsia="宋体"/>
          <w:color w:val="auto"/>
          <w:kern w:val="2"/>
          <w:sz w:val="22"/>
          <w:szCs w:val="22"/>
          <w:lang w:eastAsia="zh-CN"/>
        </w:rPr>
        <w:t>演示工作的授权委托代理人，代理人全权代表我参与项目演示，演示的内容我均承认。</w:t>
      </w:r>
    </w:p>
    <w:p w14:paraId="29E1FE03">
      <w:pPr>
        <w:widowControl w:val="0"/>
        <w:spacing w:line="360" w:lineRule="auto"/>
        <w:ind w:firstLine="420"/>
        <w:jc w:val="both"/>
        <w:rPr>
          <w:rFonts w:eastAsia="宋体"/>
          <w:color w:val="auto"/>
          <w:kern w:val="2"/>
          <w:sz w:val="22"/>
          <w:szCs w:val="22"/>
          <w:lang w:eastAsia="zh-CN"/>
        </w:rPr>
      </w:pPr>
      <w:r>
        <w:rPr>
          <w:rFonts w:hint="eastAsia" w:eastAsia="宋体"/>
          <w:color w:val="auto"/>
          <w:kern w:val="2"/>
          <w:sz w:val="22"/>
          <w:szCs w:val="22"/>
          <w:lang w:eastAsia="zh-CN"/>
        </w:rPr>
        <w:t>代理人无转委托权，特此委托。</w:t>
      </w:r>
    </w:p>
    <w:p w14:paraId="322679BD">
      <w:pPr>
        <w:widowControl w:val="0"/>
        <w:spacing w:line="360" w:lineRule="auto"/>
        <w:ind w:firstLine="420"/>
        <w:jc w:val="both"/>
        <w:rPr>
          <w:rFonts w:eastAsia="宋体"/>
          <w:color w:val="auto"/>
          <w:kern w:val="2"/>
          <w:sz w:val="22"/>
          <w:szCs w:val="22"/>
          <w:lang w:eastAsia="zh-CN"/>
        </w:rPr>
      </w:pPr>
    </w:p>
    <w:p w14:paraId="303557F5">
      <w:pPr>
        <w:widowControl w:val="0"/>
        <w:spacing w:line="360" w:lineRule="auto"/>
        <w:ind w:left="617" w:leftChars="257"/>
        <w:jc w:val="both"/>
        <w:rPr>
          <w:rFonts w:eastAsia="宋体"/>
          <w:color w:val="auto"/>
          <w:kern w:val="2"/>
          <w:sz w:val="22"/>
          <w:szCs w:val="22"/>
          <w:u w:val="single"/>
          <w:lang w:eastAsia="zh-CN"/>
        </w:rPr>
      </w:pPr>
      <w:r>
        <w:rPr>
          <w:rFonts w:hint="eastAsia" w:eastAsia="宋体"/>
          <w:color w:val="auto"/>
          <w:kern w:val="2"/>
          <w:sz w:val="22"/>
          <w:szCs w:val="22"/>
          <w:lang w:eastAsia="zh-CN"/>
        </w:rPr>
        <w:t>代理人：</w:t>
      </w:r>
      <w:r>
        <w:rPr>
          <w:rFonts w:hint="eastAsia" w:eastAsia="宋体"/>
          <w:color w:val="auto"/>
          <w:kern w:val="2"/>
          <w:sz w:val="22"/>
          <w:szCs w:val="22"/>
          <w:u w:val="single"/>
          <w:lang w:eastAsia="zh-CN"/>
        </w:rPr>
        <w:t xml:space="preserve">             </w:t>
      </w:r>
    </w:p>
    <w:p w14:paraId="6340055C">
      <w:pPr>
        <w:widowControl w:val="0"/>
        <w:spacing w:line="360" w:lineRule="auto"/>
        <w:ind w:left="617" w:leftChars="257"/>
        <w:jc w:val="both"/>
        <w:rPr>
          <w:rFonts w:eastAsia="宋体"/>
          <w:color w:val="auto"/>
          <w:kern w:val="2"/>
          <w:sz w:val="22"/>
          <w:szCs w:val="22"/>
          <w:lang w:eastAsia="zh-CN"/>
        </w:rPr>
      </w:pPr>
      <w:r>
        <w:rPr>
          <w:rFonts w:hint="eastAsia" w:eastAsia="宋体"/>
          <w:color w:val="auto"/>
          <w:kern w:val="2"/>
          <w:sz w:val="22"/>
          <w:szCs w:val="22"/>
          <w:lang w:eastAsia="zh-CN"/>
        </w:rPr>
        <w:t>联系电话：</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 xml:space="preserve">  手机：</w:t>
      </w:r>
      <w:r>
        <w:rPr>
          <w:rFonts w:hint="eastAsia" w:eastAsia="宋体"/>
          <w:color w:val="auto"/>
          <w:kern w:val="2"/>
          <w:sz w:val="22"/>
          <w:szCs w:val="22"/>
          <w:u w:val="single"/>
          <w:lang w:eastAsia="zh-CN"/>
        </w:rPr>
        <w:t xml:space="preserve">                   </w:t>
      </w:r>
    </w:p>
    <w:p w14:paraId="78FEDB49">
      <w:pPr>
        <w:widowControl w:val="0"/>
        <w:spacing w:line="360" w:lineRule="auto"/>
        <w:ind w:left="617" w:leftChars="257"/>
        <w:jc w:val="both"/>
        <w:rPr>
          <w:rFonts w:eastAsia="宋体"/>
          <w:color w:val="auto"/>
          <w:kern w:val="2"/>
          <w:sz w:val="22"/>
          <w:szCs w:val="22"/>
          <w:u w:val="single"/>
          <w:lang w:eastAsia="zh-CN"/>
        </w:rPr>
      </w:pPr>
      <w:r>
        <w:rPr>
          <w:rFonts w:hint="eastAsia" w:eastAsia="宋体"/>
          <w:color w:val="auto"/>
          <w:kern w:val="2"/>
          <w:sz w:val="22"/>
          <w:szCs w:val="22"/>
          <w:lang w:eastAsia="zh-CN"/>
        </w:rPr>
        <w:t>身份证号码：</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职务：</w:t>
      </w:r>
      <w:r>
        <w:rPr>
          <w:rFonts w:hint="eastAsia" w:eastAsia="宋体"/>
          <w:color w:val="auto"/>
          <w:kern w:val="2"/>
          <w:sz w:val="22"/>
          <w:szCs w:val="22"/>
          <w:u w:val="single"/>
          <w:lang w:eastAsia="zh-CN"/>
        </w:rPr>
        <w:t xml:space="preserve">       </w:t>
      </w:r>
    </w:p>
    <w:p w14:paraId="09F0FF53">
      <w:pPr>
        <w:widowControl w:val="0"/>
        <w:spacing w:line="360" w:lineRule="auto"/>
        <w:ind w:left="617" w:leftChars="257"/>
        <w:jc w:val="both"/>
        <w:rPr>
          <w:rFonts w:eastAsia="宋体"/>
          <w:color w:val="auto"/>
          <w:kern w:val="2"/>
          <w:sz w:val="22"/>
          <w:szCs w:val="22"/>
          <w:lang w:eastAsia="zh-CN"/>
        </w:rPr>
      </w:pPr>
      <w:r>
        <w:rPr>
          <w:rFonts w:hint="eastAsia" w:eastAsia="宋体"/>
          <w:color w:val="auto"/>
          <w:kern w:val="2"/>
          <w:sz w:val="22"/>
          <w:szCs w:val="22"/>
          <w:lang w:eastAsia="zh-CN"/>
        </w:rPr>
        <w:t>授权委托日期：</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年</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 xml:space="preserve">月 </w:t>
      </w:r>
      <w:r>
        <w:rPr>
          <w:rFonts w:hint="eastAsia" w:eastAsia="宋体"/>
          <w:color w:val="auto"/>
          <w:kern w:val="2"/>
          <w:sz w:val="22"/>
          <w:szCs w:val="22"/>
          <w:u w:val="single"/>
          <w:lang w:eastAsia="zh-CN"/>
        </w:rPr>
        <w:t xml:space="preserve">      </w:t>
      </w:r>
      <w:r>
        <w:rPr>
          <w:rFonts w:hint="eastAsia" w:eastAsia="宋体"/>
          <w:color w:val="auto"/>
          <w:kern w:val="2"/>
          <w:sz w:val="22"/>
          <w:szCs w:val="22"/>
          <w:lang w:eastAsia="zh-CN"/>
        </w:rPr>
        <w:t>日</w:t>
      </w:r>
    </w:p>
    <w:p w14:paraId="26583DE7">
      <w:pPr>
        <w:widowControl w:val="0"/>
        <w:spacing w:line="360" w:lineRule="auto"/>
        <w:ind w:firstLine="442" w:firstLineChars="200"/>
        <w:jc w:val="both"/>
        <w:rPr>
          <w:rFonts w:eastAsia="宋体"/>
          <w:b/>
          <w:color w:val="auto"/>
          <w:kern w:val="2"/>
          <w:sz w:val="22"/>
          <w:szCs w:val="22"/>
          <w:lang w:eastAsia="zh-CN"/>
        </w:rPr>
      </w:pPr>
      <w:r>
        <w:rPr>
          <w:rFonts w:hint="eastAsia" w:eastAsia="宋体"/>
          <w:b/>
          <w:color w:val="auto"/>
          <w:kern w:val="2"/>
          <w:sz w:val="22"/>
          <w:szCs w:val="22"/>
          <w:lang w:eastAsia="zh-CN"/>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14:paraId="2C2B3FEE">
      <w:pPr>
        <w:widowControl w:val="0"/>
        <w:spacing w:line="360" w:lineRule="auto"/>
        <w:ind w:firstLine="440" w:firstLineChars="200"/>
        <w:jc w:val="right"/>
        <w:rPr>
          <w:rFonts w:hint="eastAsia" w:eastAsia="宋体"/>
          <w:color w:val="auto"/>
          <w:kern w:val="2"/>
          <w:sz w:val="22"/>
          <w:szCs w:val="22"/>
          <w:lang w:eastAsia="zh-CN"/>
        </w:rPr>
      </w:pPr>
    </w:p>
    <w:p w14:paraId="06CAE6DC">
      <w:pPr>
        <w:widowControl w:val="0"/>
        <w:spacing w:line="360" w:lineRule="auto"/>
        <w:ind w:firstLine="440" w:firstLineChars="200"/>
        <w:jc w:val="right"/>
        <w:rPr>
          <w:rFonts w:eastAsia="宋体"/>
          <w:color w:val="auto"/>
          <w:kern w:val="2"/>
          <w:sz w:val="22"/>
          <w:szCs w:val="22"/>
          <w:lang w:eastAsia="zh-CN"/>
        </w:rPr>
      </w:pPr>
      <w:r>
        <w:rPr>
          <w:rFonts w:hint="eastAsia" w:eastAsia="宋体"/>
          <w:color w:val="auto"/>
          <w:kern w:val="2"/>
          <w:sz w:val="22"/>
          <w:szCs w:val="22"/>
          <w:lang w:eastAsia="zh-CN"/>
        </w:rPr>
        <w:t>（此处填写投标人名称）公司（加盖投标人公章）</w:t>
      </w:r>
    </w:p>
    <w:p w14:paraId="31D6AB19">
      <w:pPr>
        <w:widowControl w:val="0"/>
        <w:wordWrap w:val="0"/>
        <w:spacing w:line="360" w:lineRule="auto"/>
        <w:ind w:firstLine="440" w:firstLineChars="200"/>
        <w:jc w:val="right"/>
        <w:rPr>
          <w:rFonts w:hint="default" w:ascii="宋体" w:hAnsi="宋体" w:eastAsia="宋体"/>
          <w:b/>
          <w:bCs/>
          <w:kern w:val="2"/>
          <w:lang w:val="en-US" w:eastAsia="zh-CN"/>
        </w:rPr>
        <w:sectPr>
          <w:pgSz w:w="11907" w:h="16840"/>
          <w:pgMar w:top="1440" w:right="1797" w:bottom="1440" w:left="1797" w:header="851" w:footer="992" w:gutter="0"/>
          <w:cols w:space="425" w:num="1"/>
          <w:titlePg/>
          <w:docGrid w:linePitch="462" w:charSpace="0"/>
        </w:sectPr>
      </w:pPr>
      <w:r>
        <w:rPr>
          <w:rFonts w:hint="eastAsia" w:eastAsia="宋体"/>
          <w:color w:val="auto"/>
          <w:kern w:val="2"/>
          <w:sz w:val="22"/>
          <w:szCs w:val="22"/>
          <w:lang w:eastAsia="zh-CN"/>
        </w:rPr>
        <w:t>XX年XX月XX日</w:t>
      </w:r>
      <w:r>
        <w:rPr>
          <w:rFonts w:hint="eastAsia" w:eastAsia="宋体"/>
          <w:color w:val="auto"/>
          <w:kern w:val="2"/>
          <w:sz w:val="22"/>
          <w:szCs w:val="22"/>
          <w:lang w:val="en-US" w:eastAsia="zh-CN"/>
        </w:rPr>
        <w:t xml:space="preserve">  </w:t>
      </w:r>
    </w:p>
    <w:p w14:paraId="3B84C2C7">
      <w:pPr>
        <w:keepNext/>
        <w:keepLines/>
        <w:widowControl w:val="0"/>
        <w:adjustRightInd w:val="0"/>
        <w:spacing w:before="260" w:after="260"/>
        <w:ind w:firstLine="2650" w:firstLineChars="1100"/>
        <w:jc w:val="both"/>
        <w:textAlignment w:val="baseline"/>
        <w:outlineLvl w:val="1"/>
        <w:rPr>
          <w:rFonts w:ascii="宋体" w:hAnsi="宋体" w:eastAsia="宋体"/>
          <w:b/>
          <w:bCs/>
          <w:kern w:val="2"/>
          <w:szCs w:val="20"/>
          <w:lang w:eastAsia="zh-CN"/>
        </w:rPr>
      </w:pPr>
      <w:r>
        <w:rPr>
          <w:rFonts w:hint="eastAsia" w:ascii="宋体" w:hAnsi="宋体" w:eastAsia="宋体"/>
          <w:b/>
          <w:bCs/>
          <w:kern w:val="2"/>
          <w:szCs w:val="20"/>
          <w:lang w:eastAsia="zh-CN"/>
        </w:rPr>
        <w:t>第四章</w:t>
      </w:r>
      <w:r>
        <w:rPr>
          <w:rFonts w:ascii="宋体" w:hAnsi="宋体" w:eastAsia="宋体"/>
          <w:b/>
          <w:bCs/>
          <w:kern w:val="2"/>
          <w:szCs w:val="20"/>
          <w:lang w:eastAsia="zh-CN"/>
        </w:rPr>
        <w:t xml:space="preserve"> </w:t>
      </w:r>
      <w:r>
        <w:rPr>
          <w:rFonts w:hint="eastAsia" w:ascii="宋体" w:hAnsi="宋体" w:eastAsia="宋体"/>
          <w:b/>
          <w:bCs/>
          <w:kern w:val="2"/>
          <w:szCs w:val="20"/>
          <w:lang w:eastAsia="zh-CN"/>
        </w:rPr>
        <w:t xml:space="preserve"> 投标文件组成要求及格式</w:t>
      </w:r>
    </w:p>
    <w:p w14:paraId="78280CE5">
      <w:pPr>
        <w:widowControl w:val="0"/>
        <w:spacing w:after="160" w:line="278" w:lineRule="auto"/>
        <w:jc w:val="both"/>
        <w:outlineLvl w:val="0"/>
        <w:rPr>
          <w:rFonts w:ascii="黑体" w:eastAsia="黑体"/>
          <w:bCs/>
          <w:kern w:val="2"/>
          <w:sz w:val="28"/>
          <w:szCs w:val="28"/>
          <w:lang w:eastAsia="zh-CN"/>
        </w:rPr>
      </w:pPr>
      <w:r>
        <w:rPr>
          <w:rFonts w:hint="eastAsia" w:ascii="黑体" w:eastAsia="黑体"/>
          <w:bCs/>
          <w:kern w:val="2"/>
          <w:sz w:val="28"/>
          <w:szCs w:val="28"/>
          <w:lang w:eastAsia="zh-CN"/>
        </w:rPr>
        <w:t>投标文件组成：</w:t>
      </w:r>
    </w:p>
    <w:p w14:paraId="06EFFC2E">
      <w:pPr>
        <w:keepNext w:val="0"/>
        <w:keepLines w:val="0"/>
        <w:pageBreakBefore w:val="0"/>
        <w:widowControl w:val="0"/>
        <w:kinsoku/>
        <w:wordWrap/>
        <w:overflowPunct/>
        <w:topLinePunct w:val="0"/>
        <w:autoSpaceDE/>
        <w:autoSpaceDN/>
        <w:bidi w:val="0"/>
        <w:adjustRightInd/>
        <w:snapToGrid/>
        <w:spacing w:line="360" w:lineRule="auto"/>
        <w:ind w:left="0" w:leftChars="0" w:firstLine="1050" w:firstLineChars="500"/>
        <w:jc w:val="both"/>
        <w:textAlignment w:val="auto"/>
        <w:outlineLvl w:val="0"/>
        <w:rPr>
          <w:rFonts w:ascii="宋体" w:hAnsi="宋体" w:eastAsia="宋体"/>
          <w:kern w:val="2"/>
          <w:sz w:val="21"/>
          <w:szCs w:val="21"/>
          <w:lang w:eastAsia="zh-CN"/>
        </w:rPr>
      </w:pPr>
      <w:bookmarkStart w:id="47" w:name="_Hlk170241633"/>
      <w:bookmarkStart w:id="48" w:name="_Hlk72257253"/>
      <w:r>
        <w:rPr>
          <w:rFonts w:hint="eastAsia" w:ascii="宋体" w:hAnsi="宋体" w:eastAsia="宋体"/>
          <w:kern w:val="2"/>
          <w:sz w:val="21"/>
          <w:szCs w:val="21"/>
          <w:lang w:eastAsia="zh-CN"/>
        </w:rPr>
        <w:t>1.投标文件正文</w:t>
      </w:r>
      <w:r>
        <w:rPr>
          <w:rFonts w:hint="eastAsia" w:ascii="宋体" w:hAnsi="宋体" w:eastAsia="宋体" w:cs="宋体"/>
          <w:kern w:val="2"/>
          <w:sz w:val="21"/>
          <w:szCs w:val="21"/>
          <w:lang w:eastAsia="zh-CN"/>
        </w:rPr>
        <w:t>（信息不公开部分）</w:t>
      </w:r>
      <w:r>
        <w:rPr>
          <w:rFonts w:hint="eastAsia" w:ascii="宋体" w:hAnsi="宋体" w:eastAsia="宋体"/>
          <w:kern w:val="2"/>
          <w:sz w:val="21"/>
          <w:szCs w:val="21"/>
          <w:lang w:eastAsia="zh-CN"/>
        </w:rPr>
        <w:t>，主要包括以下内容：</w:t>
      </w:r>
    </w:p>
    <w:p w14:paraId="22010B28">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bookmarkStart w:id="49" w:name="_Hlk72070784"/>
      <w:r>
        <w:rPr>
          <w:rFonts w:hint="eastAsia" w:ascii="宋体" w:hAnsi="宋体" w:eastAsia="宋体" w:cs="宋体"/>
          <w:kern w:val="2"/>
          <w:sz w:val="21"/>
          <w:szCs w:val="21"/>
          <w:lang w:eastAsia="zh-CN"/>
        </w:rPr>
        <w:t>投标函</w:t>
      </w:r>
      <w:bookmarkEnd w:id="49"/>
    </w:p>
    <w:p w14:paraId="7702C972">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bookmarkStart w:id="50" w:name="_Hlk72062521"/>
      <w:r>
        <w:rPr>
          <w:rFonts w:hint="eastAsia" w:ascii="宋体" w:hAnsi="宋体" w:eastAsia="宋体" w:cs="宋体"/>
          <w:kern w:val="2"/>
          <w:sz w:val="21"/>
          <w:szCs w:val="21"/>
          <w:lang w:eastAsia="zh-CN"/>
        </w:rPr>
        <w:t>政府采购投标及履约承诺函</w:t>
      </w:r>
      <w:bookmarkEnd w:id="50"/>
    </w:p>
    <w:p w14:paraId="6C6A4CA9">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（3）投标人情况及资格证明文件</w:t>
      </w:r>
    </w:p>
    <w:p w14:paraId="59C3BF11">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bookmarkStart w:id="51" w:name="_Hlk72257201"/>
      <w:r>
        <w:rPr>
          <w:rFonts w:hint="eastAsia" w:ascii="宋体" w:hAnsi="宋体" w:eastAsia="宋体" w:cs="宋体"/>
          <w:kern w:val="2"/>
          <w:sz w:val="21"/>
          <w:szCs w:val="21"/>
          <w:lang w:eastAsia="zh-CN"/>
        </w:rPr>
        <w:t>（4）项目详细报价</w:t>
      </w:r>
    </w:p>
    <w:bookmarkEnd w:id="51"/>
    <w:p w14:paraId="00671928">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（5）投标人认为需要加以说明的其他内容（正文部分）</w:t>
      </w:r>
    </w:p>
    <w:p w14:paraId="755F8464">
      <w:pPr>
        <w:keepNext w:val="0"/>
        <w:keepLines w:val="0"/>
        <w:pageBreakBefore w:val="0"/>
        <w:widowControl w:val="0"/>
        <w:kinsoku/>
        <w:wordWrap/>
        <w:overflowPunct/>
        <w:topLinePunct w:val="0"/>
        <w:autoSpaceDE/>
        <w:autoSpaceDN/>
        <w:bidi w:val="0"/>
        <w:adjustRightInd/>
        <w:snapToGrid/>
        <w:spacing w:line="360" w:lineRule="auto"/>
        <w:ind w:left="0" w:leftChars="0" w:firstLine="1050" w:firstLineChars="500"/>
        <w:jc w:val="both"/>
        <w:textAlignment w:val="auto"/>
        <w:outlineLvl w:val="0"/>
        <w:rPr>
          <w:rFonts w:ascii="宋体" w:hAnsi="宋体" w:eastAsia="宋体"/>
          <w:kern w:val="2"/>
          <w:sz w:val="21"/>
          <w:szCs w:val="21"/>
          <w:lang w:eastAsia="zh-CN"/>
        </w:rPr>
      </w:pPr>
      <w:r>
        <w:rPr>
          <w:rFonts w:hint="eastAsia" w:ascii="宋体" w:hAnsi="宋体" w:eastAsia="宋体"/>
          <w:kern w:val="2"/>
          <w:sz w:val="21"/>
          <w:szCs w:val="21"/>
          <w:lang w:eastAsia="zh-CN"/>
        </w:rPr>
        <w:t>2.投标文件附件</w:t>
      </w:r>
      <w:r>
        <w:rPr>
          <w:rFonts w:hint="eastAsia" w:ascii="宋体" w:hAnsi="宋体" w:eastAsia="宋体" w:cs="宋体"/>
          <w:kern w:val="2"/>
          <w:sz w:val="21"/>
          <w:szCs w:val="21"/>
          <w:lang w:eastAsia="zh-CN"/>
        </w:rPr>
        <w:t>（信息不公开部分）</w:t>
      </w:r>
      <w:r>
        <w:rPr>
          <w:rFonts w:hint="eastAsia" w:ascii="宋体" w:hAnsi="宋体" w:eastAsia="宋体"/>
          <w:kern w:val="2"/>
          <w:sz w:val="21"/>
          <w:szCs w:val="21"/>
          <w:lang w:eastAsia="zh-CN"/>
        </w:rPr>
        <w:t>：主要包括以下内容：</w:t>
      </w:r>
    </w:p>
    <w:p w14:paraId="47AF145E">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（1）供应商基本情况表</w:t>
      </w:r>
    </w:p>
    <w:p w14:paraId="3823F31F">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（2）法定代表人（负责人）证明书</w:t>
      </w:r>
    </w:p>
    <w:p w14:paraId="0F2C1157">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（3）投标文件签署授权委托书</w:t>
      </w:r>
    </w:p>
    <w:p w14:paraId="3A928B21">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（4）实质性条款响应情况表</w:t>
      </w:r>
    </w:p>
    <w:p w14:paraId="76303643">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）技术</w:t>
      </w:r>
      <w:r>
        <w:rPr>
          <w:rFonts w:hint="eastAsia" w:ascii="宋体" w:hAnsi="宋体" w:eastAsia="宋体" w:cs="宋体"/>
          <w:kern w:val="2"/>
          <w:sz w:val="21"/>
          <w:szCs w:val="21"/>
          <w:lang w:val="en-US" w:eastAsia="zh-CN"/>
        </w:rPr>
        <w:t>要求</w:t>
      </w:r>
      <w:r>
        <w:rPr>
          <w:rFonts w:hint="eastAsia" w:ascii="宋体" w:hAnsi="宋体" w:eastAsia="宋体" w:cs="宋体"/>
          <w:kern w:val="2"/>
          <w:sz w:val="21"/>
          <w:szCs w:val="21"/>
          <w:lang w:eastAsia="zh-CN"/>
        </w:rPr>
        <w:t>偏离表</w:t>
      </w:r>
    </w:p>
    <w:p w14:paraId="605C58D8">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）商务要求偏离表</w:t>
      </w:r>
    </w:p>
    <w:p w14:paraId="57C59C8C">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7）技术保障措施</w:t>
      </w:r>
    </w:p>
    <w:p w14:paraId="721892D6">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（8）施工安全保障措施</w:t>
      </w:r>
    </w:p>
    <w:p w14:paraId="68839CA7">
      <w:pPr>
        <w:keepNext w:val="0"/>
        <w:keepLines w:val="0"/>
        <w:pageBreakBefore w:val="0"/>
        <w:widowControl w:val="0"/>
        <w:kinsoku/>
        <w:wordWrap/>
        <w:overflowPunct/>
        <w:topLinePunct w:val="0"/>
        <w:autoSpaceDE/>
        <w:autoSpaceDN/>
        <w:bidi w:val="0"/>
        <w:adjustRightInd/>
        <w:snapToGrid/>
        <w:spacing w:line="360" w:lineRule="auto"/>
        <w:ind w:left="0" w:leftChars="0" w:firstLine="1417" w:firstLineChars="675"/>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lang w:eastAsia="zh-CN"/>
        </w:rPr>
        <w:t>）投标人认为需要加以说明的其他内容(附件部分）</w:t>
      </w:r>
    </w:p>
    <w:bookmarkEnd w:id="47"/>
    <w:bookmarkEnd w:id="48"/>
    <w:p w14:paraId="7FE9FF7F">
      <w:pPr>
        <w:widowControl w:val="0"/>
        <w:spacing w:after="160" w:line="278" w:lineRule="auto"/>
        <w:ind w:firstLine="422" w:firstLineChars="200"/>
        <w:jc w:val="both"/>
        <w:rPr>
          <w:rFonts w:hint="eastAsia" w:ascii="宋体" w:hAnsi="宋体" w:eastAsia="宋体"/>
          <w:b/>
          <w:kern w:val="2"/>
          <w:sz w:val="21"/>
          <w:szCs w:val="21"/>
          <w:lang w:eastAsia="zh-CN"/>
        </w:rPr>
      </w:pPr>
      <w:bookmarkStart w:id="52" w:name="_Hlk72257771"/>
    </w:p>
    <w:p w14:paraId="1DF907F7">
      <w:pPr>
        <w:widowControl w:val="0"/>
        <w:spacing w:after="160" w:line="278" w:lineRule="auto"/>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w:t>
      </w:r>
    </w:p>
    <w:p w14:paraId="2C804325">
      <w:pPr>
        <w:widowControl w:val="0"/>
        <w:spacing w:after="160" w:line="278" w:lineRule="auto"/>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1.本项目为网上电子投标项目，投标文件不需法人或授权委托人另行签字，无需加盖单位公章，招标文件另有规定的除外。</w:t>
      </w:r>
    </w:p>
    <w:p w14:paraId="06234ECC">
      <w:pPr>
        <w:widowControl w:val="0"/>
        <w:spacing w:after="160" w:line="278" w:lineRule="auto"/>
        <w:ind w:firstLine="422" w:firstLineChars="200"/>
        <w:jc w:val="both"/>
        <w:rPr>
          <w:rFonts w:ascii="宋体" w:hAnsi="宋体" w:eastAsia="宋体"/>
          <w:color w:val="FF0000"/>
          <w:kern w:val="2"/>
          <w:lang w:eastAsia="zh-CN"/>
        </w:rPr>
      </w:pPr>
      <w:bookmarkStart w:id="53" w:name="_Hlk72263559"/>
      <w:r>
        <w:rPr>
          <w:rFonts w:hint="eastAsia" w:ascii="宋体" w:hAnsi="宋体" w:eastAsia="宋体"/>
          <w:b/>
          <w:kern w:val="2"/>
          <w:sz w:val="21"/>
          <w:szCs w:val="21"/>
          <w:lang w:eastAsia="zh-CN"/>
        </w:rPr>
        <w:t>2.关于填写“开标一览表”的说明：“开标一览表”中除“投标总价”外，其他信息不作评审依据。</w:t>
      </w:r>
      <w:bookmarkEnd w:id="52"/>
      <w:bookmarkEnd w:id="53"/>
    </w:p>
    <w:p w14:paraId="5EF8D8A8">
      <w:pPr>
        <w:widowControl w:val="0"/>
        <w:spacing w:after="160" w:line="278" w:lineRule="auto"/>
        <w:jc w:val="both"/>
        <w:rPr>
          <w:rFonts w:ascii="宋体" w:hAnsi="宋体" w:eastAsia="宋体"/>
          <w:color w:val="FF0000"/>
          <w:kern w:val="2"/>
          <w:lang w:eastAsia="zh-CN"/>
        </w:rPr>
      </w:pPr>
    </w:p>
    <w:p w14:paraId="59BF0CDE">
      <w:pPr>
        <w:widowControl w:val="0"/>
        <w:spacing w:after="160" w:line="278" w:lineRule="auto"/>
        <w:jc w:val="both"/>
        <w:rPr>
          <w:rFonts w:ascii="宋体" w:hAnsi="宋体" w:eastAsia="宋体"/>
          <w:color w:val="FF0000"/>
          <w:kern w:val="2"/>
          <w:lang w:eastAsia="zh-CN"/>
        </w:rPr>
      </w:pPr>
    </w:p>
    <w:p w14:paraId="1AEE0C49">
      <w:pPr>
        <w:widowControl w:val="0"/>
        <w:spacing w:after="160" w:line="278" w:lineRule="auto"/>
        <w:jc w:val="both"/>
        <w:outlineLvl w:val="1"/>
        <w:rPr>
          <w:rFonts w:hint="eastAsia" w:ascii="宋体" w:hAnsi="宋体" w:eastAsia="宋体"/>
          <w:b/>
          <w:color w:val="FF0000"/>
          <w:kern w:val="2"/>
          <w:sz w:val="28"/>
          <w:szCs w:val="28"/>
          <w:lang w:eastAsia="zh-CN"/>
        </w:rPr>
      </w:pPr>
    </w:p>
    <w:p w14:paraId="687721B5">
      <w:pPr>
        <w:widowControl w:val="0"/>
        <w:spacing w:after="160" w:line="278" w:lineRule="auto"/>
        <w:jc w:val="both"/>
        <w:outlineLvl w:val="1"/>
        <w:rPr>
          <w:rFonts w:hint="eastAsia" w:ascii="宋体" w:hAnsi="宋体" w:eastAsia="宋体"/>
          <w:b/>
          <w:color w:val="FF0000"/>
          <w:kern w:val="2"/>
          <w:sz w:val="28"/>
          <w:szCs w:val="28"/>
          <w:lang w:eastAsia="zh-CN"/>
        </w:rPr>
      </w:pPr>
    </w:p>
    <w:p w14:paraId="6ACC40DC">
      <w:pPr>
        <w:rPr>
          <w:rFonts w:hint="eastAsia"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br w:type="page"/>
      </w:r>
    </w:p>
    <w:p w14:paraId="71931635">
      <w:pPr>
        <w:widowControl w:val="0"/>
        <w:spacing w:after="160" w:line="278" w:lineRule="auto"/>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投标文件正文</w:t>
      </w:r>
    </w:p>
    <w:p w14:paraId="7CAC9BA9">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bCs/>
          <w:kern w:val="2"/>
          <w:szCs w:val="32"/>
          <w:lang w:eastAsia="zh-CN"/>
        </w:rPr>
        <w:t>一、投标函</w:t>
      </w:r>
    </w:p>
    <w:p w14:paraId="0132227E">
      <w:pPr>
        <w:spacing w:line="360" w:lineRule="auto"/>
        <w:rPr>
          <w:rFonts w:hint="eastAsia" w:ascii="宋体" w:hAnsi="宋体" w:eastAsia="宋体" w:cs="宋体"/>
          <w:color w:val="000000" w:themeColor="text1"/>
          <w:sz w:val="21"/>
          <w:szCs w:val="21"/>
          <w14:textFill>
            <w14:solidFill>
              <w14:schemeClr w14:val="tx1"/>
            </w14:solidFill>
          </w14:textFill>
        </w:rPr>
      </w:pPr>
      <w:bookmarkStart w:id="54" w:name="_Hlk72257506"/>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深圳公共资源交易中心  </w:t>
      </w:r>
    </w:p>
    <w:p w14:paraId="11CB6276">
      <w:pPr>
        <w:ind w:firstLine="420" w:firstLineChars="200"/>
        <w:rPr>
          <w:rFonts w:hint="eastAsia" w:ascii="宋体" w:hAnsi="宋体" w:eastAsia="宋体" w:cs="宋体"/>
          <w:sz w:val="21"/>
          <w:szCs w:val="21"/>
        </w:rPr>
      </w:pPr>
      <w:bookmarkStart w:id="55" w:name="_Hlk73818812"/>
      <w:r>
        <w:rPr>
          <w:rFonts w:hint="eastAsia" w:ascii="宋体" w:hAnsi="宋体" w:eastAsia="宋体" w:cs="宋体"/>
          <w:sz w:val="21"/>
          <w:szCs w:val="21"/>
        </w:rPr>
        <w:t>1、根据已收到贵单位的项目编号为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项目的招标文件，遵照《深圳经济特区政府采购条例》和《深圳网上政府采购管理暂行办法》等有关规定，我单位经研究上述招标文件的专用条款及通用条款后，</w:t>
      </w:r>
      <w:bookmarkStart w:id="56" w:name="_Hlk72263588"/>
      <w:r>
        <w:rPr>
          <w:rFonts w:hint="eastAsia" w:ascii="宋体" w:hAnsi="宋体" w:eastAsia="宋体" w:cs="宋体"/>
          <w:sz w:val="21"/>
          <w:szCs w:val="21"/>
        </w:rPr>
        <w:t>愿意按照招标文件要求承包上述项目并修补其任何缺陷。</w:t>
      </w:r>
      <w:bookmarkEnd w:id="56"/>
    </w:p>
    <w:p w14:paraId="0DDBC720">
      <w:pPr>
        <w:ind w:firstLine="420" w:firstLineChars="200"/>
        <w:rPr>
          <w:rFonts w:hint="eastAsia" w:ascii="宋体" w:hAnsi="宋体" w:eastAsia="宋体" w:cs="宋体"/>
          <w:sz w:val="21"/>
          <w:szCs w:val="21"/>
        </w:rPr>
      </w:pPr>
      <w:r>
        <w:rPr>
          <w:rFonts w:hint="eastAsia" w:ascii="宋体" w:hAnsi="宋体" w:eastAsia="宋体" w:cs="宋体"/>
          <w:sz w:val="21"/>
          <w:szCs w:val="21"/>
        </w:rPr>
        <w:t>2、投标价格见投标书编制软件中《开标一览表》中填写的投标报价。</w:t>
      </w:r>
    </w:p>
    <w:p w14:paraId="3A649264">
      <w:pPr>
        <w:ind w:firstLine="420" w:firstLineChars="200"/>
        <w:rPr>
          <w:rFonts w:hint="eastAsia" w:ascii="宋体" w:hAnsi="宋体" w:eastAsia="宋体" w:cs="宋体"/>
          <w:sz w:val="21"/>
          <w:szCs w:val="21"/>
        </w:rPr>
      </w:pPr>
      <w:r>
        <w:rPr>
          <w:rFonts w:hint="eastAsia" w:ascii="宋体" w:hAnsi="宋体" w:eastAsia="宋体" w:cs="宋体"/>
          <w:sz w:val="21"/>
          <w:szCs w:val="21"/>
        </w:rPr>
        <w:t>3、如果我单位中标，我单位将按照招标文件的要求提交履约担保。</w:t>
      </w:r>
    </w:p>
    <w:p w14:paraId="54380CD0">
      <w:pPr>
        <w:ind w:firstLine="420" w:firstLineChars="200"/>
        <w:rPr>
          <w:rFonts w:hint="eastAsia" w:ascii="宋体" w:hAnsi="宋体" w:eastAsia="宋体" w:cs="宋体"/>
          <w:sz w:val="21"/>
          <w:szCs w:val="21"/>
        </w:rPr>
      </w:pPr>
      <w:r>
        <w:rPr>
          <w:rFonts w:hint="eastAsia" w:ascii="宋体" w:hAnsi="宋体" w:eastAsia="宋体" w:cs="宋体"/>
          <w:sz w:val="21"/>
          <w:szCs w:val="21"/>
        </w:rPr>
        <w:t>4、我单位同意所递交的投标文件在“对通用条款的补充内容”中明确的投标有效期内有效，在此期间内我单位的投标有可能中标，我方将受此约束。</w:t>
      </w:r>
    </w:p>
    <w:p w14:paraId="260D24C8">
      <w:pPr>
        <w:ind w:firstLine="420" w:firstLineChars="200"/>
        <w:rPr>
          <w:rFonts w:hint="eastAsia" w:ascii="宋体" w:hAnsi="宋体" w:eastAsia="宋体" w:cs="宋体"/>
          <w:sz w:val="21"/>
          <w:szCs w:val="21"/>
        </w:rPr>
      </w:pPr>
      <w:r>
        <w:rPr>
          <w:rFonts w:hint="eastAsia" w:ascii="宋体" w:hAnsi="宋体" w:eastAsia="宋体" w:cs="宋体"/>
          <w:sz w:val="21"/>
          <w:szCs w:val="21"/>
        </w:rPr>
        <w:t>5、除非另外达成协议并生效，贵单位的中标通知书和本投标文件将构成合同的重要内容。</w:t>
      </w:r>
    </w:p>
    <w:p w14:paraId="17369AF2">
      <w:pPr>
        <w:ind w:left="585" w:leftChars="200" w:hanging="105" w:hangingChars="50"/>
        <w:rPr>
          <w:rFonts w:hint="eastAsia" w:ascii="宋体" w:hAnsi="宋体" w:eastAsia="宋体" w:cs="宋体"/>
          <w:sz w:val="21"/>
          <w:szCs w:val="21"/>
        </w:rPr>
      </w:pPr>
      <w:r>
        <w:rPr>
          <w:rFonts w:hint="eastAsia" w:ascii="宋体" w:hAnsi="宋体" w:eastAsia="宋体" w:cs="宋体"/>
          <w:sz w:val="21"/>
          <w:szCs w:val="21"/>
        </w:rPr>
        <w:t>6、我单位理解贵单位将不受必须接受所收到的最低报价或其它任何投标文件的约束。</w:t>
      </w:r>
      <w:bookmarkEnd w:id="55"/>
    </w:p>
    <w:p w14:paraId="04CCE174">
      <w:pPr>
        <w:ind w:firstLine="420" w:firstLineChars="200"/>
        <w:rPr>
          <w:rFonts w:hint="eastAsia" w:ascii="宋体" w:hAnsi="宋体" w:eastAsia="宋体" w:cs="宋体"/>
          <w:sz w:val="21"/>
          <w:szCs w:val="21"/>
        </w:rPr>
      </w:pPr>
      <w:r>
        <w:rPr>
          <w:rFonts w:hint="eastAsia" w:ascii="宋体" w:hAnsi="宋体" w:eastAsia="宋体" w:cs="宋体"/>
          <w:sz w:val="21"/>
          <w:szCs w:val="21"/>
        </w:rPr>
        <w:t>7、如我单位按项目要求提供样品，且未在规定时间内取回样品的，视同放弃取回，同意深圳公共资源交易中心对样品进行清理。</w:t>
      </w:r>
    </w:p>
    <w:p w14:paraId="26B43C29">
      <w:pPr>
        <w:pStyle w:val="2"/>
        <w:rPr>
          <w:rFonts w:hint="eastAsia" w:ascii="宋体" w:hAnsi="宋体" w:eastAsia="宋体" w:cs="宋体"/>
          <w:sz w:val="21"/>
          <w:szCs w:val="21"/>
        </w:rPr>
      </w:pPr>
    </w:p>
    <w:p w14:paraId="7AB5A042">
      <w:pPr>
        <w:keepNext w:val="0"/>
        <w:keepLines w:val="0"/>
        <w:widowControl w:val="0"/>
        <w:suppressLineNumbers w:val="0"/>
        <w:spacing w:before="0" w:beforeAutospacing="0" w:after="0" w:afterAutospacing="0"/>
        <w:ind w:left="480" w:leftChars="200" w:right="0" w:firstLine="210" w:firstLineChars="1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投标人：</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 xml:space="preserve"> ；单位地址：</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w:t>
      </w:r>
    </w:p>
    <w:p w14:paraId="0219D141">
      <w:pPr>
        <w:keepNext w:val="0"/>
        <w:keepLines w:val="0"/>
        <w:widowControl w:val="0"/>
        <w:suppressLineNumbers w:val="0"/>
        <w:spacing w:before="0" w:beforeAutospacing="0" w:after="0" w:afterAutospacing="0"/>
        <w:ind w:left="480" w:leftChars="200" w:right="0" w:firstLine="210" w:firstLineChars="1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法定代表人（负责人）或其授权委托代理人：</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w:t>
      </w:r>
    </w:p>
    <w:p w14:paraId="202DBDE4">
      <w:pPr>
        <w:keepNext w:val="0"/>
        <w:keepLines w:val="0"/>
        <w:widowControl w:val="0"/>
        <w:suppressLineNumbers w:val="0"/>
        <w:spacing w:before="0" w:beforeAutospacing="0" w:after="0" w:afterAutospacing="0"/>
        <w:ind w:left="480" w:leftChars="200" w:right="0" w:firstLine="210" w:firstLineChars="1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电话：</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 xml:space="preserve">；     </w:t>
      </w:r>
    </w:p>
    <w:p w14:paraId="231E6889">
      <w:pPr>
        <w:widowControl w:val="0"/>
        <w:spacing w:after="160" w:line="278" w:lineRule="auto"/>
        <w:ind w:left="480" w:leftChars="200" w:firstLine="210" w:firstLineChars="1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
        </w:rPr>
        <w:t>日期：</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thick"/>
          <w:lang w:val="en-US" w:eastAsia="zh-CN" w:bidi="ar"/>
        </w:rPr>
        <w:t xml:space="preserve">      </w:t>
      </w:r>
      <w:r>
        <w:rPr>
          <w:rFonts w:hint="eastAsia" w:ascii="宋体" w:hAnsi="宋体" w:eastAsia="宋体" w:cs="宋体"/>
          <w:kern w:val="2"/>
          <w:sz w:val="21"/>
          <w:szCs w:val="21"/>
          <w:lang w:val="en-US" w:eastAsia="zh-CN" w:bidi="ar"/>
        </w:rPr>
        <w:t xml:space="preserve">日        </w:t>
      </w:r>
      <w:r>
        <w:rPr>
          <w:rFonts w:hint="eastAsia" w:ascii="宋体" w:hAnsi="宋体" w:eastAsia="宋体" w:cs="宋体"/>
          <w:kern w:val="2"/>
          <w:sz w:val="21"/>
          <w:szCs w:val="21"/>
          <w:lang w:eastAsia="zh-CN"/>
        </w:rPr>
        <w:t xml:space="preserve">                   </w:t>
      </w:r>
    </w:p>
    <w:p w14:paraId="285081D8">
      <w:pPr>
        <w:widowControl w:val="0"/>
        <w:spacing w:after="160" w:line="278" w:lineRule="auto"/>
        <w:jc w:val="both"/>
        <w:rPr>
          <w:rFonts w:ascii="黑体" w:hAnsi="宋体" w:eastAsia="黑体"/>
          <w:kern w:val="2"/>
          <w:sz w:val="21"/>
          <w:lang w:eastAsia="zh-CN"/>
        </w:rPr>
      </w:pPr>
    </w:p>
    <w:p w14:paraId="5E0111F6">
      <w:pPr>
        <w:widowControl w:val="0"/>
        <w:spacing w:after="160" w:line="278" w:lineRule="auto"/>
        <w:jc w:val="both"/>
        <w:rPr>
          <w:rFonts w:ascii="黑体" w:hAnsi="宋体" w:eastAsia="黑体"/>
          <w:kern w:val="2"/>
          <w:sz w:val="21"/>
          <w:lang w:eastAsia="zh-CN"/>
        </w:rPr>
      </w:pPr>
    </w:p>
    <w:bookmarkEnd w:id="54"/>
    <w:p w14:paraId="76C402D3">
      <w:pPr>
        <w:rPr>
          <w:rFonts w:hint="eastAsia" w:ascii="黑体" w:hAnsi="宋体" w:eastAsia="黑体"/>
          <w:bCs/>
          <w:kern w:val="2"/>
          <w:szCs w:val="32"/>
          <w:lang w:eastAsia="zh-CN"/>
        </w:rPr>
      </w:pPr>
      <w:r>
        <w:rPr>
          <w:rFonts w:hint="eastAsia" w:ascii="黑体" w:hAnsi="宋体" w:eastAsia="黑体"/>
          <w:bCs/>
          <w:kern w:val="2"/>
          <w:szCs w:val="32"/>
          <w:lang w:eastAsia="zh-CN"/>
        </w:rPr>
        <w:br w:type="page"/>
      </w:r>
    </w:p>
    <w:p w14:paraId="767F04F6">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bCs/>
          <w:kern w:val="2"/>
          <w:szCs w:val="32"/>
          <w:lang w:eastAsia="zh-CN"/>
        </w:rPr>
        <w:t>二、政府采购投标及履约承诺函</w:t>
      </w:r>
    </w:p>
    <w:p w14:paraId="70AB813F">
      <w:pPr>
        <w:keepNext w:val="0"/>
        <w:keepLines w:val="0"/>
        <w:pageBreakBefore w:val="0"/>
        <w:widowControl w:val="0"/>
        <w:kinsoku/>
        <w:wordWrap/>
        <w:overflowPunct/>
        <w:topLinePunct w:val="0"/>
        <w:autoSpaceDE/>
        <w:autoSpaceDN/>
        <w:bidi w:val="0"/>
        <w:adjustRightInd/>
        <w:snapToGrid/>
        <w:spacing w:after="160" w:line="240" w:lineRule="auto"/>
        <w:jc w:val="both"/>
        <w:textAlignment w:val="auto"/>
        <w:rPr>
          <w:rFonts w:ascii="宋体" w:hAnsi="宋体" w:eastAsia="宋体"/>
          <w:color w:val="FF0000"/>
          <w:kern w:val="2"/>
          <w:sz w:val="21"/>
          <w:szCs w:val="21"/>
          <w:lang w:eastAsia="zh-CN"/>
        </w:rPr>
      </w:pPr>
      <w:bookmarkStart w:id="57" w:name="_Hlk72257530"/>
      <w:r>
        <w:rPr>
          <w:rFonts w:hint="eastAsia" w:ascii="宋体" w:hAnsi="宋体" w:eastAsia="宋体"/>
          <w:color w:val="FF0000"/>
          <w:kern w:val="2"/>
          <w:sz w:val="21"/>
          <w:szCs w:val="21"/>
          <w:lang w:eastAsia="zh-CN"/>
        </w:rPr>
        <w:t>致：</w:t>
      </w:r>
      <w:r>
        <w:rPr>
          <w:rFonts w:hint="eastAsia" w:ascii="宋体" w:hAnsi="宋体" w:eastAsia="宋体"/>
          <w:color w:val="FF0000"/>
          <w:kern w:val="2"/>
          <w:sz w:val="21"/>
          <w:szCs w:val="21"/>
          <w:u w:val="single"/>
          <w:lang w:eastAsia="zh-CN"/>
        </w:rPr>
        <w:t>深圳公共资源交易中心</w:t>
      </w:r>
    </w:p>
    <w:bookmarkEnd w:id="57"/>
    <w:p w14:paraId="3D979B6B">
      <w:pPr>
        <w:keepNext w:val="0"/>
        <w:keepLines w:val="0"/>
        <w:widowControl w:val="0"/>
        <w:suppressLineNumbers w:val="0"/>
        <w:spacing w:before="0" w:beforeAutospacing="0" w:after="0" w:afterAutospacing="0"/>
        <w:ind w:left="0" w:right="-815"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我单位承诺：</w:t>
      </w:r>
    </w:p>
    <w:p w14:paraId="26B60BA9">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b/>
          <w:bCs w:val="0"/>
          <w:sz w:val="22"/>
          <w:szCs w:val="20"/>
          <w:lang w:val="en-US"/>
        </w:rPr>
      </w:pPr>
      <w:r>
        <w:rPr>
          <w:rFonts w:hint="eastAsia" w:ascii="宋体" w:hAnsi="宋体" w:eastAsia="宋体" w:cs="宋体"/>
          <w:bCs/>
          <w:kern w:val="2"/>
          <w:sz w:val="20"/>
          <w:szCs w:val="20"/>
          <w:lang w:val="en-US" w:eastAsia="zh-CN" w:bidi="ar"/>
        </w:rPr>
        <w:t>1.我单位参与本项目所投标（响应）的货物、工程或服务，不存在侵犯知识产权的情况。</w:t>
      </w:r>
    </w:p>
    <w:p w14:paraId="697BE98B">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2.我单位参与本项目采购活动</w:t>
      </w:r>
      <w:r>
        <w:rPr>
          <w:rFonts w:hint="eastAsia" w:ascii="Times New Roman" w:hAnsi="Times New Roman" w:eastAsia="宋体" w:cs="宋体"/>
          <w:kern w:val="2"/>
          <w:sz w:val="20"/>
          <w:szCs w:val="22"/>
          <w:lang w:val="en-US" w:eastAsia="zh-CN" w:bidi="ar"/>
        </w:rPr>
        <w:t>时不存在被有关部门禁止参与政府采购活动且在有效期内的情况。</w:t>
      </w:r>
    </w:p>
    <w:p w14:paraId="296451C0">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3.我单位具备《中华人民共和国政府采购法》第二十二条第一款规定的六项条件。</w:t>
      </w:r>
    </w:p>
    <w:p w14:paraId="3EE21BB2">
      <w:pPr>
        <w:keepNext w:val="0"/>
        <w:keepLines w:val="0"/>
        <w:widowControl w:val="0"/>
        <w:suppressLineNumbers w:val="0"/>
        <w:spacing w:before="0" w:beforeAutospacing="0" w:after="0" w:afterAutospacing="0"/>
        <w:ind w:left="0" w:right="0" w:firstLine="400" w:firstLineChars="200"/>
        <w:jc w:val="both"/>
        <w:rPr>
          <w:sz w:val="22"/>
          <w:szCs w:val="22"/>
          <w:lang w:val="en-US"/>
        </w:rPr>
      </w:pPr>
      <w:r>
        <w:rPr>
          <w:rFonts w:hint="eastAsia" w:ascii="宋体" w:hAnsi="宋体" w:eastAsia="宋体" w:cs="宋体"/>
          <w:kern w:val="2"/>
          <w:sz w:val="20"/>
          <w:szCs w:val="20"/>
          <w:lang w:val="en-US" w:eastAsia="zh-CN" w:bidi="ar"/>
        </w:rPr>
        <w:t>4.我单位</w:t>
      </w:r>
      <w:r>
        <w:rPr>
          <w:rFonts w:hint="eastAsia" w:ascii="Times New Roman" w:hAnsi="Times New Roman" w:eastAsia="宋体" w:cs="宋体"/>
          <w:kern w:val="2"/>
          <w:sz w:val="20"/>
          <w:szCs w:val="22"/>
          <w:lang w:val="en-US" w:eastAsia="zh-CN" w:bidi="ar"/>
        </w:rPr>
        <w:t>未被列入失信被执行人、重大税收违法案件当事人名单、政府采购严重违法失信行为记录名单。</w:t>
      </w:r>
    </w:p>
    <w:p w14:paraId="754A9624">
      <w:pPr>
        <w:keepNext w:val="0"/>
        <w:keepLines w:val="0"/>
        <w:widowControl w:val="0"/>
        <w:suppressLineNumbers w:val="0"/>
        <w:spacing w:before="0" w:beforeAutospacing="0" w:after="0" w:afterAutospacing="0"/>
        <w:ind w:left="0" w:right="0" w:firstLine="400" w:firstLineChars="200"/>
        <w:jc w:val="both"/>
        <w:rPr>
          <w:color w:val="FF0000"/>
          <w:sz w:val="22"/>
          <w:szCs w:val="22"/>
          <w:lang w:val="en-US"/>
        </w:rPr>
      </w:pPr>
      <w:r>
        <w:rPr>
          <w:rFonts w:hint="default" w:ascii="Times New Roman" w:hAnsi="Times New Roman" w:eastAsia="宋体" w:cs="Times New Roman"/>
          <w:color w:val="FF0000"/>
          <w:kern w:val="2"/>
          <w:sz w:val="20"/>
          <w:szCs w:val="22"/>
          <w:lang w:val="en-US" w:eastAsia="zh-CN" w:bidi="ar"/>
        </w:rPr>
        <w:t>5.</w:t>
      </w:r>
      <w:r>
        <w:rPr>
          <w:rFonts w:hint="eastAsia" w:ascii="Times New Roman" w:hAnsi="Times New Roman" w:eastAsia="宋体" w:cs="宋体"/>
          <w:color w:val="FF0000"/>
          <w:kern w:val="2"/>
          <w:sz w:val="20"/>
          <w:szCs w:val="22"/>
          <w:lang w:val="en-US" w:eastAsia="zh-CN" w:bidi="ar"/>
        </w:rPr>
        <w:t>我单位不存在《深圳市财政局政府采购供应商信用信息管理办法》（深财规〔</w:t>
      </w:r>
      <w:r>
        <w:rPr>
          <w:rFonts w:hint="default" w:ascii="Times New Roman" w:hAnsi="Times New Roman" w:eastAsia="宋体" w:cs="Times New Roman"/>
          <w:color w:val="FF0000"/>
          <w:kern w:val="2"/>
          <w:sz w:val="20"/>
          <w:szCs w:val="22"/>
          <w:lang w:val="en-US" w:eastAsia="zh-CN" w:bidi="ar"/>
        </w:rPr>
        <w:t>2023</w:t>
      </w:r>
      <w:r>
        <w:rPr>
          <w:rFonts w:hint="eastAsia" w:ascii="Times New Roman" w:hAnsi="Times New Roman" w:eastAsia="宋体" w:cs="宋体"/>
          <w:color w:val="FF0000"/>
          <w:kern w:val="2"/>
          <w:sz w:val="20"/>
          <w:szCs w:val="22"/>
          <w:lang w:val="en-US" w:eastAsia="zh-CN" w:bidi="ar"/>
        </w:rPr>
        <w:t>〕</w:t>
      </w:r>
      <w:r>
        <w:rPr>
          <w:rFonts w:hint="default" w:ascii="Times New Roman" w:hAnsi="Times New Roman" w:eastAsia="宋体" w:cs="Times New Roman"/>
          <w:color w:val="FF0000"/>
          <w:kern w:val="2"/>
          <w:sz w:val="20"/>
          <w:szCs w:val="22"/>
          <w:lang w:val="en-US" w:eastAsia="zh-CN" w:bidi="ar"/>
        </w:rPr>
        <w:t>3</w:t>
      </w:r>
      <w:r>
        <w:rPr>
          <w:rFonts w:hint="eastAsia" w:ascii="Times New Roman" w:hAnsi="Times New Roman" w:eastAsia="宋体" w:cs="宋体"/>
          <w:color w:val="FF0000"/>
          <w:kern w:val="2"/>
          <w:sz w:val="20"/>
          <w:szCs w:val="22"/>
          <w:lang w:val="en-US" w:eastAsia="zh-CN" w:bidi="ar"/>
        </w:rPr>
        <w:t>号）列明的严重违法失信行为。</w:t>
      </w:r>
    </w:p>
    <w:p w14:paraId="3E8DAA4E">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6.</w:t>
      </w:r>
      <w:bookmarkStart w:id="58" w:name="_Hlk72587269"/>
      <w:bookmarkStart w:id="59" w:name="_Hlk72587299"/>
      <w:r>
        <w:rPr>
          <w:rFonts w:hint="eastAsia" w:ascii="宋体" w:hAnsi="宋体" w:eastAsia="宋体" w:cs="宋体"/>
          <w:kern w:val="2"/>
          <w:sz w:val="20"/>
          <w:szCs w:val="20"/>
          <w:lang w:val="en-US" w:eastAsia="zh-CN" w:bidi="ar"/>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hint="eastAsia" w:ascii="宋体" w:hAnsi="宋体" w:eastAsia="宋体" w:cs="宋体"/>
          <w:kern w:val="2"/>
          <w:sz w:val="20"/>
          <w:szCs w:val="20"/>
          <w:lang w:val="en-US" w:eastAsia="zh-CN" w:bidi="ar"/>
        </w:rPr>
        <w:t>。</w:t>
      </w:r>
    </w:p>
    <w:bookmarkEnd w:id="59"/>
    <w:p w14:paraId="773CE7D5">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2EF9B8D">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867A77A">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0B02C8D">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9.我单位承诺中标后项目不转包，未经采购人同意不进行分包。</w:t>
      </w:r>
    </w:p>
    <w:p w14:paraId="19073F14">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2"/>
          <w:lang w:val="en-US"/>
        </w:rPr>
      </w:pPr>
      <w:r>
        <w:rPr>
          <w:rFonts w:hint="eastAsia" w:ascii="宋体" w:hAnsi="宋体" w:eastAsia="宋体" w:cs="宋体"/>
          <w:kern w:val="2"/>
          <w:sz w:val="20"/>
          <w:szCs w:val="20"/>
          <w:lang w:val="en-US" w:eastAsia="zh-CN" w:bidi="ar"/>
        </w:rPr>
        <w:t>10.</w:t>
      </w:r>
      <w:r>
        <w:rPr>
          <w:rFonts w:hint="eastAsia" w:ascii="宋体" w:hAnsi="宋体" w:eastAsia="宋体" w:cs="宋体"/>
          <w:kern w:val="2"/>
          <w:sz w:val="20"/>
          <w:szCs w:val="22"/>
          <w:lang w:val="en-US"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F7FE0E3">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2"/>
          <w:lang w:val="en-US"/>
        </w:rPr>
      </w:pPr>
      <w:r>
        <w:rPr>
          <w:rFonts w:hint="eastAsia" w:ascii="宋体" w:hAnsi="宋体" w:eastAsia="宋体" w:cs="宋体"/>
          <w:kern w:val="2"/>
          <w:sz w:val="20"/>
          <w:szCs w:val="22"/>
          <w:lang w:val="en-US"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ascii="Times New Roman" w:hAnsi="Times New Roman" w:eastAsia="宋体" w:cs="宋体"/>
          <w:kern w:val="2"/>
          <w:sz w:val="20"/>
          <w:szCs w:val="22"/>
          <w:lang w:val="en-US" w:eastAsia="zh-CN" w:bidi="ar"/>
        </w:rPr>
        <w:t>《财政部</w:t>
      </w:r>
      <w:r>
        <w:rPr>
          <w:rFonts w:hint="default" w:ascii="Times New Roman" w:hAnsi="Times New Roman" w:eastAsia="宋体" w:cs="Times New Roman"/>
          <w:kern w:val="2"/>
          <w:sz w:val="20"/>
          <w:szCs w:val="22"/>
          <w:lang w:val="en-US" w:eastAsia="zh-CN" w:bidi="ar"/>
        </w:rPr>
        <w:t xml:space="preserve"> </w:t>
      </w:r>
      <w:r>
        <w:rPr>
          <w:rFonts w:hint="eastAsia" w:ascii="Times New Roman" w:hAnsi="Times New Roman" w:eastAsia="宋体" w:cs="宋体"/>
          <w:kern w:val="2"/>
          <w:sz w:val="20"/>
          <w:szCs w:val="22"/>
          <w:lang w:val="en-US" w:eastAsia="zh-CN" w:bidi="ar"/>
        </w:rPr>
        <w:t>生态环境部</w:t>
      </w:r>
      <w:r>
        <w:rPr>
          <w:rFonts w:hint="default" w:ascii="Times New Roman" w:hAnsi="Times New Roman" w:eastAsia="宋体" w:cs="Times New Roman"/>
          <w:kern w:val="2"/>
          <w:sz w:val="20"/>
          <w:szCs w:val="22"/>
          <w:lang w:val="en-US" w:eastAsia="zh-CN" w:bidi="ar"/>
        </w:rPr>
        <w:t xml:space="preserve"> </w:t>
      </w:r>
      <w:r>
        <w:rPr>
          <w:rFonts w:hint="eastAsia" w:ascii="Times New Roman" w:hAnsi="Times New Roman" w:eastAsia="宋体" w:cs="宋体"/>
          <w:kern w:val="2"/>
          <w:sz w:val="20"/>
          <w:szCs w:val="22"/>
          <w:lang w:val="en-US" w:eastAsia="zh-CN" w:bidi="ar"/>
        </w:rPr>
        <w:t>工业和信息化部关于印发</w:t>
      </w:r>
      <w:r>
        <w:rPr>
          <w:rFonts w:hint="default" w:ascii="Times New Roman" w:hAnsi="Times New Roman" w:eastAsia="宋体" w:cs="Times New Roman"/>
          <w:kern w:val="2"/>
          <w:sz w:val="20"/>
          <w:szCs w:val="22"/>
          <w:lang w:val="en-US" w:eastAsia="zh-CN" w:bidi="ar"/>
        </w:rPr>
        <w:t>&lt;</w:t>
      </w:r>
      <w:r>
        <w:rPr>
          <w:rFonts w:hint="eastAsia" w:ascii="Times New Roman" w:hAnsi="Times New Roman" w:eastAsia="宋体" w:cs="宋体"/>
          <w:kern w:val="2"/>
          <w:sz w:val="20"/>
          <w:szCs w:val="22"/>
          <w:lang w:val="en-US" w:eastAsia="zh-CN" w:bidi="ar"/>
        </w:rPr>
        <w:t>绿色数据中心政府采购需求标准（试行）</w:t>
      </w:r>
      <w:r>
        <w:rPr>
          <w:rFonts w:hint="default" w:ascii="Times New Roman" w:hAnsi="Times New Roman" w:eastAsia="宋体" w:cs="Times New Roman"/>
          <w:kern w:val="2"/>
          <w:sz w:val="20"/>
          <w:szCs w:val="22"/>
          <w:lang w:val="en-US" w:eastAsia="zh-CN" w:bidi="ar"/>
        </w:rPr>
        <w:t>&gt;</w:t>
      </w:r>
      <w:r>
        <w:rPr>
          <w:rFonts w:hint="eastAsia" w:ascii="Times New Roman" w:hAnsi="Times New Roman" w:eastAsia="宋体" w:cs="宋体"/>
          <w:kern w:val="2"/>
          <w:sz w:val="20"/>
          <w:szCs w:val="22"/>
          <w:lang w:val="en-US" w:eastAsia="zh-CN" w:bidi="ar"/>
        </w:rPr>
        <w:t>的通知》（财库〔</w:t>
      </w:r>
      <w:r>
        <w:rPr>
          <w:rFonts w:hint="default" w:ascii="Times New Roman" w:hAnsi="Times New Roman" w:eastAsia="宋体" w:cs="Times New Roman"/>
          <w:kern w:val="2"/>
          <w:sz w:val="20"/>
          <w:szCs w:val="22"/>
          <w:lang w:val="en-US" w:eastAsia="zh-CN" w:bidi="ar"/>
        </w:rPr>
        <w:t>2023</w:t>
      </w:r>
      <w:r>
        <w:rPr>
          <w:rFonts w:hint="eastAsia" w:ascii="Times New Roman" w:hAnsi="Times New Roman" w:eastAsia="宋体" w:cs="宋体"/>
          <w:kern w:val="2"/>
          <w:sz w:val="20"/>
          <w:szCs w:val="22"/>
          <w:lang w:val="en-US" w:eastAsia="zh-CN" w:bidi="ar"/>
        </w:rPr>
        <w:t>〕</w:t>
      </w:r>
      <w:r>
        <w:rPr>
          <w:rFonts w:hint="default" w:ascii="Times New Roman" w:hAnsi="Times New Roman" w:eastAsia="宋体" w:cs="Times New Roman"/>
          <w:kern w:val="2"/>
          <w:sz w:val="20"/>
          <w:szCs w:val="22"/>
          <w:lang w:val="en-US" w:eastAsia="zh-CN" w:bidi="ar"/>
        </w:rPr>
        <w:t>7</w:t>
      </w:r>
      <w:r>
        <w:rPr>
          <w:rFonts w:hint="eastAsia" w:ascii="Times New Roman" w:hAnsi="Times New Roman" w:eastAsia="宋体" w:cs="宋体"/>
          <w:kern w:val="2"/>
          <w:sz w:val="20"/>
          <w:szCs w:val="22"/>
          <w:lang w:val="en-US" w:eastAsia="zh-CN" w:bidi="ar"/>
        </w:rPr>
        <w:t>号）要求。若所投产品涉及国家强制性标准的，所投产品应符合国家强制性标准相关要求。</w:t>
      </w:r>
    </w:p>
    <w:p w14:paraId="3B948C55">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bCs/>
          <w:sz w:val="22"/>
          <w:szCs w:val="22"/>
          <w:lang w:val="en-US"/>
        </w:rPr>
      </w:pPr>
      <w:r>
        <w:rPr>
          <w:rFonts w:hint="eastAsia" w:ascii="宋体" w:hAnsi="宋体" w:eastAsia="宋体" w:cs="宋体"/>
          <w:bCs/>
          <w:kern w:val="0"/>
          <w:sz w:val="20"/>
          <w:szCs w:val="20"/>
          <w:lang w:val="en-US" w:eastAsia="zh-CN" w:bidi="ar"/>
        </w:rPr>
        <w:t>12.</w:t>
      </w:r>
      <w:r>
        <w:rPr>
          <w:rFonts w:hint="eastAsia" w:ascii="宋体" w:hAnsi="宋体" w:eastAsia="宋体" w:cs="宋体"/>
          <w:bCs/>
          <w:kern w:val="2"/>
          <w:sz w:val="20"/>
          <w:szCs w:val="22"/>
          <w:lang w:val="en-US" w:eastAsia="zh-CN" w:bidi="ar"/>
        </w:rPr>
        <w:t>我单位已知悉并同意中标（成交）结果信息公示（公开）的内容。</w:t>
      </w:r>
    </w:p>
    <w:p w14:paraId="51FB853B">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b/>
          <w:bCs w:val="0"/>
          <w:color w:val="FF0000"/>
          <w:kern w:val="0"/>
          <w:sz w:val="22"/>
          <w:szCs w:val="20"/>
          <w:lang w:val="en-US"/>
        </w:rPr>
      </w:pPr>
      <w:r>
        <w:rPr>
          <w:rFonts w:hint="eastAsia" w:ascii="宋体" w:hAnsi="宋体" w:eastAsia="宋体" w:cs="宋体"/>
          <w:bCs/>
          <w:kern w:val="2"/>
          <w:sz w:val="20"/>
          <w:szCs w:val="22"/>
          <w:lang w:val="en-US"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B92B94F">
      <w:pPr>
        <w:keepNext w:val="0"/>
        <w:keepLines w:val="0"/>
        <w:widowControl w:val="0"/>
        <w:suppressLineNumbers w:val="0"/>
        <w:spacing w:before="0" w:beforeAutospacing="0" w:after="0" w:afterAutospacing="0"/>
        <w:ind w:left="0" w:right="0" w:firstLine="402" w:firstLineChars="200"/>
        <w:jc w:val="both"/>
        <w:rPr>
          <w:rFonts w:hint="eastAsia" w:ascii="宋体" w:hAnsi="宋体" w:eastAsia="宋体" w:cs="宋体"/>
          <w:b/>
          <w:bCs w:val="0"/>
          <w:sz w:val="22"/>
          <w:szCs w:val="20"/>
          <w:lang w:val="en-US"/>
        </w:rPr>
      </w:pPr>
      <w:r>
        <w:rPr>
          <w:rFonts w:hint="eastAsia" w:ascii="宋体" w:hAnsi="宋体" w:eastAsia="宋体" w:cs="宋体"/>
          <w:b/>
          <w:bCs w:val="0"/>
          <w:kern w:val="2"/>
          <w:sz w:val="20"/>
          <w:szCs w:val="22"/>
          <w:lang w:val="en-US" w:eastAsia="zh-CN" w:bidi="ar"/>
        </w:rPr>
        <w:t>14.我单位清楚，如存在违反投标承诺行为情节严重的，将根据《深圳市财政局关于印发&lt;深圳市财政局政府采购供应商信用信息管理办法&gt;的通知》，依法被列入失信信息。</w:t>
      </w:r>
    </w:p>
    <w:p w14:paraId="2AFA01CD">
      <w:pPr>
        <w:keepNext w:val="0"/>
        <w:keepLines w:val="0"/>
        <w:widowControl w:val="0"/>
        <w:suppressLineNumbers w:val="0"/>
        <w:spacing w:before="0" w:beforeAutospacing="0" w:after="0" w:afterAutospacing="0"/>
        <w:ind w:left="0" w:right="0" w:firstLine="400" w:firstLineChars="200"/>
        <w:jc w:val="both"/>
        <w:rPr>
          <w:sz w:val="22"/>
          <w:szCs w:val="22"/>
          <w:lang w:val="en-US"/>
        </w:rPr>
      </w:pPr>
      <w:r>
        <w:rPr>
          <w:rFonts w:hint="eastAsia" w:ascii="宋体" w:hAnsi="宋体" w:eastAsia="宋体" w:cs="宋体"/>
          <w:bCs/>
          <w:kern w:val="2"/>
          <w:sz w:val="20"/>
          <w:szCs w:val="22"/>
          <w:lang w:val="en-US"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B8BC3E4">
      <w:pPr>
        <w:keepNext w:val="0"/>
        <w:keepLines w:val="0"/>
        <w:widowControl w:val="0"/>
        <w:suppressLineNumbers w:val="0"/>
        <w:spacing w:before="0" w:beforeAutospacing="0" w:after="0" w:afterAutospacing="0"/>
        <w:ind w:left="0" w:right="0" w:firstLine="400" w:firstLineChars="200"/>
        <w:jc w:val="both"/>
        <w:rPr>
          <w:rFonts w:hint="eastAsia" w:ascii="宋体" w:hAnsi="宋体" w:eastAsia="宋体" w:cs="宋体"/>
          <w:sz w:val="22"/>
          <w:szCs w:val="20"/>
          <w:lang w:val="en-US"/>
        </w:rPr>
      </w:pPr>
      <w:r>
        <w:rPr>
          <w:rFonts w:hint="eastAsia" w:ascii="宋体" w:hAnsi="宋体" w:eastAsia="宋体" w:cs="宋体"/>
          <w:kern w:val="2"/>
          <w:sz w:val="20"/>
          <w:szCs w:val="20"/>
          <w:lang w:val="en-US" w:eastAsia="zh-CN" w:bidi="ar"/>
        </w:rPr>
        <w:t>以上承诺，如有违反，愿依照国家相关法律法规处理，并承担由此给采购人带来的损失。</w:t>
      </w:r>
    </w:p>
    <w:p w14:paraId="6ABF97AA">
      <w:pPr>
        <w:keepNext w:val="0"/>
        <w:keepLines w:val="0"/>
        <w:widowControl w:val="0"/>
        <w:suppressLineNumbers w:val="0"/>
        <w:spacing w:before="60" w:beforeLines="25" w:beforeAutospacing="0" w:after="60" w:afterLines="25" w:afterAutospacing="0"/>
        <w:ind w:right="0" w:firstLine="4620" w:firstLineChars="2200"/>
        <w:jc w:val="both"/>
        <w:rPr>
          <w:rFonts w:hint="eastAsia" w:ascii="Times New Roman" w:hAnsi="Times New Roman" w:eastAsia="宋体" w:cs="宋体"/>
          <w:color w:val="FF0000"/>
          <w:kern w:val="2"/>
          <w:sz w:val="21"/>
          <w:szCs w:val="21"/>
          <w:lang w:val="en-US" w:eastAsia="zh-CN" w:bidi="ar"/>
        </w:rPr>
      </w:pPr>
    </w:p>
    <w:p w14:paraId="423965E7">
      <w:pPr>
        <w:keepNext w:val="0"/>
        <w:keepLines w:val="0"/>
        <w:widowControl w:val="0"/>
        <w:suppressLineNumbers w:val="0"/>
        <w:spacing w:before="60" w:beforeLines="25" w:beforeAutospacing="0" w:after="60" w:afterLines="25" w:afterAutospacing="0"/>
        <w:ind w:right="0" w:firstLine="4620" w:firstLineChars="2200"/>
        <w:jc w:val="both"/>
        <w:rPr>
          <w:color w:val="FF0000"/>
          <w:lang w:val="en-US"/>
        </w:rPr>
      </w:pPr>
      <w:r>
        <w:rPr>
          <w:rFonts w:hint="eastAsia" w:ascii="Times New Roman" w:hAnsi="Times New Roman" w:eastAsia="宋体" w:cs="宋体"/>
          <w:color w:val="FF0000"/>
          <w:kern w:val="2"/>
          <w:sz w:val="21"/>
          <w:szCs w:val="21"/>
          <w:lang w:val="en-US" w:eastAsia="zh-CN" w:bidi="ar"/>
        </w:rPr>
        <w:t>投标人：</w:t>
      </w:r>
      <w:r>
        <w:rPr>
          <w:rFonts w:hint="default" w:ascii="Times New Roman" w:hAnsi="Times New Roman" w:eastAsia="宋体" w:cs="Times New Roman"/>
          <w:color w:val="FF0000"/>
          <w:kern w:val="2"/>
          <w:sz w:val="21"/>
          <w:szCs w:val="21"/>
          <w:u w:val="thick"/>
          <w:lang w:val="en-US" w:eastAsia="zh-CN" w:bidi="ar"/>
        </w:rPr>
        <w:t xml:space="preserve">                           </w:t>
      </w:r>
      <w:r>
        <w:rPr>
          <w:rFonts w:hint="default" w:ascii="Times New Roman" w:hAnsi="Times New Roman" w:eastAsia="宋体" w:cs="Times New Roman"/>
          <w:color w:val="FF0000"/>
          <w:kern w:val="2"/>
          <w:sz w:val="21"/>
          <w:szCs w:val="21"/>
          <w:lang w:val="en-US" w:eastAsia="zh-CN" w:bidi="ar"/>
        </w:rPr>
        <w:t>.</w:t>
      </w:r>
    </w:p>
    <w:p w14:paraId="3DCD006E">
      <w:pPr>
        <w:keepNext w:val="0"/>
        <w:keepLines w:val="0"/>
        <w:widowControl w:val="0"/>
        <w:suppressLineNumbers w:val="0"/>
        <w:spacing w:before="0" w:beforeAutospacing="0" w:after="0" w:afterAutospacing="0"/>
        <w:ind w:left="0" w:right="0" w:firstLine="4628" w:firstLineChars="2204"/>
        <w:jc w:val="both"/>
        <w:rPr>
          <w:rFonts w:hAnsi="宋体" w:eastAsia="宋体"/>
          <w:b/>
          <w:bCs/>
          <w:kern w:val="2"/>
          <w:lang w:eastAsia="zh-CN"/>
        </w:rPr>
      </w:pPr>
      <w:r>
        <w:rPr>
          <w:rFonts w:hint="eastAsia" w:ascii="宋体" w:hAnsi="宋体" w:eastAsia="宋体" w:cs="宋体"/>
          <w:color w:val="FF0000"/>
          <w:kern w:val="2"/>
          <w:sz w:val="21"/>
          <w:szCs w:val="21"/>
          <w:lang w:val="en-US" w:eastAsia="zh-CN" w:bidi="ar"/>
        </w:rPr>
        <w:t>日期：</w:t>
      </w:r>
      <w:r>
        <w:rPr>
          <w:rFonts w:hint="default" w:ascii="Times New Roman" w:hAnsi="Times New Roman" w:eastAsia="宋体" w:cs="Times New Roman"/>
          <w:color w:val="FF0000"/>
          <w:kern w:val="2"/>
          <w:sz w:val="21"/>
          <w:szCs w:val="21"/>
          <w:u w:val="thick"/>
          <w:lang w:val="en-US" w:eastAsia="zh-CN" w:bidi="ar"/>
        </w:rPr>
        <w:t xml:space="preserve">        </w:t>
      </w:r>
      <w:r>
        <w:rPr>
          <w:rFonts w:hint="eastAsia" w:ascii="宋体" w:hAnsi="宋体"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thick"/>
          <w:lang w:val="en-US" w:eastAsia="zh-CN" w:bidi="ar"/>
        </w:rPr>
        <w:t xml:space="preserve">       </w:t>
      </w:r>
      <w:r>
        <w:rPr>
          <w:rFonts w:hint="eastAsia" w:ascii="宋体" w:hAnsi="宋体"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u w:val="thick"/>
          <w:lang w:val="en-US" w:eastAsia="zh-CN" w:bidi="ar"/>
        </w:rPr>
        <w:t xml:space="preserve">       </w:t>
      </w:r>
      <w:r>
        <w:rPr>
          <w:rFonts w:hint="eastAsia" w:ascii="宋体" w:hAnsi="宋体" w:eastAsia="宋体" w:cs="宋体"/>
          <w:color w:val="FF0000"/>
          <w:kern w:val="2"/>
          <w:sz w:val="21"/>
          <w:szCs w:val="21"/>
          <w:lang w:val="en-US" w:eastAsia="zh-CN" w:bidi="ar"/>
        </w:rPr>
        <w:t>日</w:t>
      </w:r>
    </w:p>
    <w:p w14:paraId="2C0C034C">
      <w:pPr>
        <w:rPr>
          <w:rFonts w:hint="eastAsia" w:ascii="黑体" w:hAnsi="宋体" w:eastAsia="黑体"/>
          <w:bCs/>
          <w:kern w:val="2"/>
          <w:lang w:eastAsia="zh-CN"/>
        </w:rPr>
      </w:pPr>
      <w:r>
        <w:rPr>
          <w:rFonts w:hint="eastAsia" w:ascii="黑体" w:hAnsi="宋体" w:eastAsia="黑体"/>
          <w:bCs/>
          <w:kern w:val="2"/>
          <w:lang w:eastAsia="zh-CN"/>
        </w:rPr>
        <w:br w:type="page"/>
      </w:r>
    </w:p>
    <w:p w14:paraId="7F778B61">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三、投标人情况及资格证明文件</w:t>
      </w:r>
    </w:p>
    <w:p w14:paraId="54C4158F">
      <w:pPr>
        <w:widowControl w:val="0"/>
        <w:spacing w:after="160" w:line="278" w:lineRule="auto"/>
        <w:jc w:val="both"/>
        <w:rPr>
          <w:rFonts w:eastAsia="宋体"/>
          <w:b/>
          <w:bCs/>
          <w:kern w:val="2"/>
          <w:lang w:eastAsia="zh-CN"/>
        </w:rPr>
      </w:pPr>
    </w:p>
    <w:p w14:paraId="537F8F89">
      <w:pPr>
        <w:widowControl w:val="0"/>
        <w:spacing w:after="160" w:line="278" w:lineRule="auto"/>
        <w:ind w:firstLine="2640" w:firstLineChars="1100"/>
        <w:jc w:val="both"/>
        <w:outlineLvl w:val="3"/>
        <w:rPr>
          <w:rFonts w:ascii="黑体" w:hAnsi="宋体" w:eastAsia="黑体"/>
          <w:bCs/>
          <w:szCs w:val="32"/>
          <w:lang w:eastAsia="zh-CN"/>
        </w:rPr>
      </w:pPr>
      <w:bookmarkStart w:id="60" w:name="_Hlk72257590"/>
      <w:r>
        <w:rPr>
          <w:rFonts w:hint="eastAsia" w:ascii="黑体" w:hAnsi="宋体" w:eastAsia="黑体"/>
          <w:bCs/>
          <w:szCs w:val="32"/>
          <w:lang w:eastAsia="zh-CN"/>
        </w:rPr>
        <w:t>（一）投标人资格证明文件</w:t>
      </w:r>
    </w:p>
    <w:p w14:paraId="1DFFC280">
      <w:pPr>
        <w:spacing w:before="120" w:beforeLines="50"/>
        <w:ind w:firstLine="422" w:firstLineChars="200"/>
        <w:rPr>
          <w:rFonts w:hint="eastAsia" w:ascii="Times New Roman" w:hAnsi="Times New Roman" w:eastAsia="宋体" w:cs="Times New Roman"/>
          <w:b/>
          <w:bCs/>
          <w:color w:val="FF0000"/>
          <w:kern w:val="2"/>
          <w:sz w:val="21"/>
          <w:lang w:eastAsia="zh-CN"/>
        </w:rPr>
      </w:pPr>
      <w:r>
        <w:rPr>
          <w:rFonts w:hint="eastAsia" w:ascii="Times New Roman" w:hAnsi="Times New Roman" w:eastAsia="宋体" w:cs="Times New Roman"/>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w:t>
      </w:r>
      <w:r>
        <w:rPr>
          <w:rFonts w:hint="eastAsia" w:ascii="Times New Roman" w:hAnsi="Times New Roman" w:eastAsia="宋体" w:cs="Times New Roman"/>
          <w:b/>
          <w:bCs/>
          <w:color w:val="FF0000"/>
          <w:kern w:val="2"/>
          <w:sz w:val="21"/>
          <w:lang w:val="en-US" w:eastAsia="zh-CN"/>
        </w:rPr>
        <w:t>其中要求提供《采购投标及履约承诺函》《供应商基本情况表》且已在规定章节中提供的，此处不重复提供。）</w:t>
      </w:r>
    </w:p>
    <w:p w14:paraId="4B0B8346">
      <w:pPr>
        <w:widowControl w:val="0"/>
        <w:spacing w:after="160" w:line="278" w:lineRule="auto"/>
        <w:jc w:val="both"/>
        <w:rPr>
          <w:rFonts w:eastAsia="宋体"/>
          <w:b/>
          <w:bCs/>
          <w:kern w:val="2"/>
          <w:lang w:eastAsia="zh-CN"/>
        </w:rPr>
      </w:pPr>
    </w:p>
    <w:p w14:paraId="2B0D123D">
      <w:pPr>
        <w:widowControl w:val="0"/>
        <w:spacing w:after="160" w:line="278" w:lineRule="auto"/>
        <w:ind w:firstLine="480" w:firstLineChars="200"/>
        <w:jc w:val="both"/>
        <w:outlineLvl w:val="3"/>
        <w:rPr>
          <w:rFonts w:ascii="黑体" w:hAnsi="宋体" w:eastAsia="黑体"/>
          <w:bCs/>
          <w:szCs w:val="32"/>
          <w:lang w:eastAsia="zh-CN"/>
        </w:rPr>
      </w:pPr>
      <w:bookmarkStart w:id="61" w:name="_Hlk72257908"/>
      <w:r>
        <w:rPr>
          <w:rFonts w:hint="eastAsia" w:ascii="黑体" w:hAnsi="宋体" w:eastAsia="黑体"/>
          <w:bCs/>
          <w:szCs w:val="32"/>
          <w:lang w:eastAsia="zh-CN"/>
        </w:rPr>
        <w:t>（二）中小企业声明函、残疾人福利性单位声明函及监狱企业声明函</w:t>
      </w:r>
    </w:p>
    <w:bookmarkEnd w:id="60"/>
    <w:p w14:paraId="6C42116E">
      <w:pPr>
        <w:widowControl w:val="0"/>
        <w:spacing w:after="160" w:line="278" w:lineRule="auto"/>
        <w:outlineLvl w:val="3"/>
        <w:rPr>
          <w:rFonts w:ascii="黑体" w:hAnsi="宋体" w:eastAsia="黑体"/>
          <w:bCs/>
          <w:szCs w:val="32"/>
          <w:lang w:eastAsia="zh-CN"/>
        </w:rPr>
      </w:pPr>
    </w:p>
    <w:p w14:paraId="5D15B573">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填写指引：</w:t>
      </w:r>
    </w:p>
    <w:p w14:paraId="1A575E15">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bCs/>
          <w:color w:val="FF0000"/>
          <w:kern w:val="0"/>
          <w:sz w:val="21"/>
          <w:szCs w:val="21"/>
          <w:lang w:val="en-US" w:eastAsia="zh-CN" w:bidi="ar"/>
        </w:rPr>
        <w:t>1、该部分内容由投标人根据自身实际情况填写，不符合要求的投标人可以不填写或直接删除相应的声明函。</w:t>
      </w:r>
      <w:r>
        <w:rPr>
          <w:rFonts w:hint="eastAsia" w:ascii="黑体" w:hAnsi="宋体" w:eastAsia="黑体" w:cs="黑体"/>
          <w:color w:val="FF0000"/>
          <w:kern w:val="2"/>
          <w:sz w:val="21"/>
          <w:szCs w:val="21"/>
          <w:lang w:val="en-US" w:eastAsia="zh-CN" w:bidi="ar"/>
        </w:rPr>
        <w:t>投标人提供的声明函不属实的，属于提供虚假资料谋取中标，依照《中华人民共和国政府采购法》等国家有关规定追究相应责任。</w:t>
      </w:r>
    </w:p>
    <w:p w14:paraId="71C2B27C">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2、该部分内容填写需要参考的相关文件：</w:t>
      </w:r>
    </w:p>
    <w:p w14:paraId="5225DA4B">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(1)财政部《政府采购促进中小企业发展管理办法》（财库〔2020〕46号）；</w:t>
      </w:r>
    </w:p>
    <w:p w14:paraId="60C32363">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(2)《工业和信息化部、国家统计局、国家发展和改革委员会、财政部关于印发中小企业划型标准规定的通知》（工信部联企业〔2011〕300号）；</w:t>
      </w:r>
    </w:p>
    <w:p w14:paraId="71D14CB9">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(3)《统计上大中小微型企业划分办法(2017)》（国统字〔2017〕213号）；</w:t>
      </w:r>
    </w:p>
    <w:p w14:paraId="6AEF60CE">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(4)《关于促进残疾人就业政府采购政策的通知》（财库〔2017〕141号）；</w:t>
      </w:r>
    </w:p>
    <w:p w14:paraId="47FC7DE2">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color w:val="FF0000"/>
          <w:szCs w:val="21"/>
          <w:lang w:val="en-US"/>
        </w:rPr>
      </w:pPr>
      <w:r>
        <w:rPr>
          <w:rFonts w:hint="eastAsia" w:ascii="黑体" w:hAnsi="宋体" w:eastAsia="黑体" w:cs="黑体"/>
          <w:color w:val="FF0000"/>
          <w:kern w:val="2"/>
          <w:sz w:val="21"/>
          <w:szCs w:val="21"/>
          <w:lang w:val="en-US" w:eastAsia="zh-CN" w:bidi="ar"/>
        </w:rPr>
        <w:t>(5)《关于政府采购支持监狱企业发展有关问题的通知》（财库〔2014〕68号）</w:t>
      </w:r>
    </w:p>
    <w:p w14:paraId="0A674CD1">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3、请依照提供的格式和内容填写声明函，不要随意变更格式；声明函不需要盖章或签字；</w:t>
      </w:r>
      <w:r>
        <w:rPr>
          <w:rFonts w:hint="eastAsia" w:ascii="黑体" w:hAnsi="宋体" w:eastAsia="黑体" w:cs="黑体"/>
          <w:color w:val="FF0000"/>
          <w:kern w:val="2"/>
          <w:sz w:val="21"/>
          <w:szCs w:val="21"/>
          <w:lang w:val="en-US" w:eastAsia="zh-CN" w:bidi="ar"/>
        </w:rPr>
        <w:t>满足多项优惠政策的投标人，不重复享受多项价格扣除政策。</w:t>
      </w:r>
    </w:p>
    <w:p w14:paraId="4DCAC4AC">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4、声明函具体填写要求：</w:t>
      </w:r>
    </w:p>
    <w:p w14:paraId="4050960F">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（1）声明是中小企业须填写《中小企业声明函》的以下内容：</w:t>
      </w:r>
    </w:p>
    <w:p w14:paraId="422F1532">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第一处，在“单位名称”下划线处如实填写采购人名称（深圳公共资源交易中心不是本项目的采购人，而是组织实施机构）；</w:t>
      </w:r>
    </w:p>
    <w:p w14:paraId="06117195">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5F390C21">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CC083E6">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4C18E37E">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第五处，在“企业名称”下划线处如实填写</w:t>
      </w:r>
      <w:r>
        <w:rPr>
          <w:rFonts w:hint="eastAsia" w:ascii="黑体" w:hAnsi="宋体" w:eastAsia="黑体" w:cs="黑体"/>
          <w:b/>
          <w:bCs w:val="0"/>
          <w:color w:val="FF0000"/>
          <w:kern w:val="0"/>
          <w:sz w:val="21"/>
          <w:szCs w:val="21"/>
          <w:lang w:val="en-US" w:eastAsia="zh-CN" w:bidi="ar"/>
        </w:rPr>
        <w:t>货物制造商名称。</w:t>
      </w:r>
      <w:r>
        <w:rPr>
          <w:rFonts w:hint="eastAsia" w:ascii="黑体" w:hAnsi="宋体" w:eastAsia="黑体" w:cs="黑体"/>
          <w:bCs/>
          <w:color w:val="FF0000"/>
          <w:kern w:val="0"/>
          <w:sz w:val="21"/>
          <w:szCs w:val="21"/>
          <w:lang w:val="en-US" w:eastAsia="zh-CN" w:bidi="ar"/>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A01A9E8">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6A93D1D">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196E433F">
      <w:pPr>
        <w:pStyle w:val="15"/>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黑体"/>
          <w:bCs/>
          <w:color w:val="FF0000"/>
          <w:kern w:val="0"/>
          <w:szCs w:val="21"/>
          <w:lang w:val="en-US"/>
        </w:rPr>
      </w:pPr>
      <w:r>
        <w:rPr>
          <w:rFonts w:hint="eastAsia" w:ascii="黑体" w:hAnsi="宋体" w:eastAsia="黑体" w:cs="黑体"/>
          <w:bCs/>
          <w:color w:val="FF0000"/>
          <w:kern w:val="0"/>
          <w:sz w:val="21"/>
          <w:szCs w:val="21"/>
          <w:lang w:val="en-US" w:eastAsia="zh-CN" w:bidi="ar"/>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C77E792">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（3）事业单位、社会组织等非企业主体不享受中小企业扶持政策，但事业单位、社会组织等非企业主体提供全部由中小企业制造的货物参加货物采购项目的除外。</w:t>
      </w:r>
    </w:p>
    <w:p w14:paraId="52255FD3">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（4）声明是残疾人福利性单位须填写《残疾人福利性单位声明函》的相关内容，具体参照以上《中小企业声明函》填写要求执行。</w:t>
      </w:r>
    </w:p>
    <w:p w14:paraId="7DFF19C7">
      <w:pPr>
        <w:keepNext w:val="0"/>
        <w:keepLines w:val="0"/>
        <w:widowControl w:val="0"/>
        <w:suppressLineNumbers w:val="0"/>
        <w:spacing w:before="0" w:beforeAutospacing="0" w:after="0" w:afterAutospacing="0"/>
        <w:ind w:left="0" w:right="0" w:firstLine="420" w:firstLineChars="200"/>
        <w:jc w:val="both"/>
        <w:outlineLvl w:val="3"/>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（5）声明是监狱企业须填写《监狱企业声明函》的三项内容（填写位置的字体已加粗），具体参照以上《中小企业声明函》填写要求执行。</w:t>
      </w:r>
    </w:p>
    <w:p w14:paraId="355CAE0A">
      <w:pPr>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黑体"/>
          <w:bCs/>
          <w:color w:val="FF0000"/>
          <w:kern w:val="0"/>
          <w:sz w:val="21"/>
          <w:szCs w:val="21"/>
          <w:lang w:val="en-US"/>
        </w:rPr>
      </w:pPr>
      <w:r>
        <w:rPr>
          <w:rFonts w:hint="eastAsia" w:ascii="黑体" w:hAnsi="宋体" w:eastAsia="黑体" w:cs="黑体"/>
          <w:bCs/>
          <w:color w:val="FF0000"/>
          <w:kern w:val="0"/>
          <w:sz w:val="21"/>
          <w:szCs w:val="21"/>
          <w:lang w:val="en-US" w:eastAsia="zh-CN" w:bidi="ar"/>
        </w:rPr>
        <w:t>5、若本项目属于</w:t>
      </w:r>
      <w:r>
        <w:rPr>
          <w:rFonts w:hint="eastAsia" w:ascii="黑体" w:hAnsi="宋体" w:eastAsia="黑体" w:cs="黑体"/>
          <w:bCs/>
          <w:color w:val="FF0000"/>
          <w:kern w:val="0"/>
          <w:sz w:val="21"/>
          <w:szCs w:val="21"/>
          <w:lang w:eastAsia="zh-CN"/>
        </w:rPr>
        <w:t>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E1701D0">
      <w:pPr>
        <w:pStyle w:val="15"/>
        <w:keepNext w:val="0"/>
        <w:keepLines w:val="0"/>
        <w:widowControl w:val="0"/>
        <w:suppressLineNumbers w:val="0"/>
        <w:spacing w:before="0" w:beforeAutospacing="0" w:after="0" w:afterAutospacing="0"/>
        <w:ind w:left="0" w:right="0" w:firstLine="420" w:firstLineChars="200"/>
        <w:jc w:val="both"/>
        <w:rPr>
          <w:rFonts w:hint="eastAsia" w:ascii="黑体" w:hAnsi="宋体" w:eastAsia="黑体" w:cs="黑体"/>
          <w:bCs/>
          <w:color w:val="FF0000"/>
          <w:kern w:val="0"/>
          <w:sz w:val="21"/>
          <w:szCs w:val="21"/>
          <w:lang w:val="en-US" w:eastAsia="zh-CN" w:bidi="ar"/>
        </w:rPr>
      </w:pPr>
      <w:r>
        <w:rPr>
          <w:rFonts w:hint="eastAsia" w:ascii="黑体" w:hAnsi="宋体" w:eastAsia="黑体" w:cs="黑体"/>
          <w:bCs/>
          <w:color w:val="FF0000"/>
          <w:kern w:val="0"/>
          <w:sz w:val="21"/>
          <w:szCs w:val="21"/>
          <w:lang w:val="en-US" w:eastAsia="zh-CN" w:bidi="ar"/>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58A8D7D">
      <w:pPr>
        <w:widowControl w:val="0"/>
        <w:spacing w:after="160" w:line="278" w:lineRule="auto"/>
        <w:ind w:firstLine="420" w:firstLineChars="200"/>
        <w:jc w:val="both"/>
        <w:rPr>
          <w:rFonts w:eastAsia="宋体"/>
          <w:kern w:val="2"/>
          <w:sz w:val="21"/>
          <w:lang w:eastAsia="zh-CN"/>
        </w:rPr>
      </w:pPr>
    </w:p>
    <w:p w14:paraId="73CCB321">
      <w:pPr>
        <w:widowControl w:val="0"/>
        <w:numPr>
          <w:ilvl w:val="0"/>
          <w:numId w:val="6"/>
        </w:numPr>
        <w:spacing w:after="160" w:line="278" w:lineRule="auto"/>
        <w:jc w:val="center"/>
        <w:outlineLvl w:val="3"/>
        <w:rPr>
          <w:rFonts w:eastAsia="宋体"/>
          <w:b/>
          <w:kern w:val="2"/>
          <w:lang w:eastAsia="zh-CN"/>
        </w:rPr>
      </w:pPr>
      <w:r>
        <w:rPr>
          <w:rFonts w:eastAsia="宋体"/>
          <w:b/>
          <w:kern w:val="2"/>
          <w:lang w:eastAsia="zh-CN"/>
        </w:rPr>
        <w:t>中小企业声明函（货物）</w:t>
      </w:r>
    </w:p>
    <w:p w14:paraId="12C8151F">
      <w:pPr>
        <w:widowControl w:val="0"/>
        <w:spacing w:after="160" w:line="360" w:lineRule="auto"/>
        <w:jc w:val="both"/>
        <w:rPr>
          <w:rFonts w:eastAsia="宋体"/>
          <w:b/>
          <w:bCs/>
          <w:kern w:val="2"/>
          <w:lang w:eastAsia="zh-CN"/>
        </w:rPr>
      </w:pPr>
    </w:p>
    <w:p w14:paraId="53051003">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0C2A4E8B">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72C5A2EA">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195F34C7">
      <w:pPr>
        <w:widowControl w:val="0"/>
        <w:spacing w:after="160"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0D6D90C9">
      <w:pPr>
        <w:widowControl w:val="0"/>
        <w:spacing w:after="160" w:line="360" w:lineRule="auto"/>
        <w:ind w:firstLine="420" w:firstLineChars="200"/>
        <w:jc w:val="both"/>
        <w:rPr>
          <w:rFonts w:ascii="宋体" w:hAnsi="宋体" w:eastAsia="宋体" w:cs="宋体"/>
          <w:kern w:val="2"/>
          <w:sz w:val="21"/>
          <w:szCs w:val="21"/>
          <w:lang w:eastAsia="zh-CN"/>
        </w:rPr>
      </w:pPr>
    </w:p>
    <w:p w14:paraId="6CEB25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以上</w:t>
      </w:r>
      <w:r>
        <w:rPr>
          <w:rFonts w:hint="eastAsia" w:ascii="宋体" w:hAnsi="宋体" w:eastAsia="宋体" w:cs="宋体"/>
          <w:kern w:val="2"/>
          <w:sz w:val="21"/>
          <w:szCs w:val="21"/>
          <w:lang w:val="en-US" w:eastAsia="zh-CN" w:bidi="ar-SA"/>
        </w:rPr>
        <w:t>企业，不属于大企业的分支机构，不存在控股股东为大企业的情形，也不存在与大企业的负责人为同一人的情形。</w:t>
      </w:r>
    </w:p>
    <w:p w14:paraId="167BAD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lang w:val="en-US" w:eastAsia="zh-CN" w:bidi="ar-SA"/>
        </w:rPr>
      </w:pPr>
      <w:bookmarkStart w:id="62" w:name="_Hlk73562203"/>
      <w:r>
        <w:rPr>
          <w:rFonts w:hint="eastAsia" w:ascii="宋体" w:hAnsi="宋体" w:eastAsia="宋体" w:cs="宋体"/>
          <w:kern w:val="2"/>
          <w:sz w:val="21"/>
          <w:szCs w:val="21"/>
          <w:lang w:val="en-US" w:eastAsia="zh-CN" w:bidi="ar-SA"/>
        </w:rPr>
        <w:t>本投标人对上述声明内容的真实性负责。如有虚假，将依法承担相应责任。</w:t>
      </w:r>
    </w:p>
    <w:p w14:paraId="269557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w:t>
      </w:r>
      <w:r>
        <w:rPr>
          <w:rFonts w:hint="eastAsia" w:ascii="宋体" w:hAnsi="宋体" w:eastAsia="宋体" w:cs="宋体"/>
          <w:sz w:val="21"/>
          <w:szCs w:val="21"/>
          <w:lang w:val="en-US" w:eastAsia="zh-CN"/>
        </w:rPr>
        <w:t>相应</w:t>
      </w:r>
      <w:r>
        <w:rPr>
          <w:rFonts w:hint="eastAsia" w:ascii="宋体" w:hAnsi="宋体" w:eastAsia="宋体" w:cs="宋体"/>
          <w:kern w:val="2"/>
          <w:sz w:val="21"/>
          <w:szCs w:val="21"/>
          <w:lang w:val="en-US" w:eastAsia="zh-CN" w:bidi="ar-SA"/>
        </w:rPr>
        <w:t>责任。</w:t>
      </w:r>
      <w:bookmarkEnd w:id="62"/>
    </w:p>
    <w:p w14:paraId="47B27075">
      <w:pPr>
        <w:widowControl w:val="0"/>
        <w:spacing w:after="160" w:line="278" w:lineRule="auto"/>
        <w:ind w:firstLine="420" w:firstLineChars="200"/>
        <w:jc w:val="both"/>
        <w:outlineLvl w:val="3"/>
        <w:rPr>
          <w:rFonts w:ascii="宋体" w:hAnsi="宋体" w:eastAsia="宋体"/>
          <w:bCs/>
          <w:color w:val="FF0000"/>
          <w:sz w:val="21"/>
          <w:szCs w:val="21"/>
          <w:lang w:eastAsia="zh-CN"/>
        </w:rPr>
      </w:pPr>
    </w:p>
    <w:p w14:paraId="294ADD5B">
      <w:pPr>
        <w:widowControl w:val="0"/>
        <w:spacing w:after="160" w:line="278" w:lineRule="auto"/>
        <w:jc w:val="both"/>
        <w:rPr>
          <w:rFonts w:eastAsia="宋体"/>
          <w:kern w:val="2"/>
          <w:sz w:val="21"/>
          <w:lang w:eastAsia="zh-CN"/>
        </w:rPr>
      </w:pPr>
    </w:p>
    <w:p w14:paraId="1B7E3991">
      <w:pPr>
        <w:widowControl w:val="0"/>
        <w:spacing w:after="160" w:line="278" w:lineRule="auto"/>
        <w:ind w:firstLine="420" w:firstLineChars="200"/>
        <w:jc w:val="both"/>
        <w:rPr>
          <w:rFonts w:eastAsia="宋体"/>
          <w:kern w:val="2"/>
          <w:sz w:val="21"/>
          <w:lang w:eastAsia="zh-CN"/>
        </w:rPr>
      </w:pPr>
    </w:p>
    <w:p w14:paraId="248B5A91">
      <w:pPr>
        <w:widowControl w:val="0"/>
        <w:spacing w:after="160" w:line="278" w:lineRule="auto"/>
        <w:jc w:val="center"/>
        <w:outlineLvl w:val="3"/>
        <w:rPr>
          <w:rFonts w:eastAsia="宋体"/>
          <w:b/>
          <w:kern w:val="2"/>
          <w:lang w:eastAsia="zh-CN"/>
        </w:rPr>
      </w:pPr>
      <w:r>
        <w:rPr>
          <w:rFonts w:hint="eastAsia" w:eastAsia="宋体"/>
          <w:b/>
          <w:kern w:val="2"/>
          <w:lang w:eastAsia="zh-CN"/>
        </w:rPr>
        <w:t>2、残疾人福利性单位声明函（货物类）</w:t>
      </w:r>
    </w:p>
    <w:p w14:paraId="14DAF8FB">
      <w:pPr>
        <w:widowControl w:val="0"/>
        <w:spacing w:after="160" w:line="278" w:lineRule="auto"/>
        <w:jc w:val="both"/>
        <w:rPr>
          <w:rFonts w:eastAsia="宋体"/>
          <w:b/>
          <w:bCs/>
          <w:kern w:val="2"/>
          <w:sz w:val="21"/>
          <w:lang w:eastAsia="zh-CN"/>
        </w:rPr>
      </w:pPr>
    </w:p>
    <w:p w14:paraId="6B389FB9">
      <w:pPr>
        <w:widowControl w:val="0"/>
        <w:spacing w:after="160" w:line="360" w:lineRule="auto"/>
        <w:ind w:firstLine="420" w:firstLineChars="200"/>
        <w:jc w:val="both"/>
        <w:rPr>
          <w:rFonts w:hint="eastAsia" w:ascii="宋体" w:hAnsi="宋体" w:eastAsia="宋体" w:cs="宋体"/>
          <w:kern w:val="2"/>
          <w:sz w:val="21"/>
          <w:szCs w:val="21"/>
          <w:lang w:eastAsia="zh-CN"/>
        </w:rPr>
      </w:pPr>
      <w:bookmarkStart w:id="63" w:name="_Hlk73562331"/>
      <w:bookmarkStart w:id="64"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44D8DE42">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61D30531">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3"/>
    </w:p>
    <w:bookmarkEnd w:id="64"/>
    <w:p w14:paraId="6D7D6CA0">
      <w:pPr>
        <w:widowControl w:val="0"/>
        <w:spacing w:after="160" w:line="278" w:lineRule="auto"/>
        <w:ind w:firstLine="420" w:firstLineChars="200"/>
        <w:jc w:val="both"/>
        <w:rPr>
          <w:rFonts w:hint="eastAsia" w:ascii="宋体" w:hAnsi="宋体" w:eastAsia="宋体" w:cs="宋体"/>
          <w:kern w:val="2"/>
          <w:sz w:val="21"/>
          <w:szCs w:val="21"/>
          <w:lang w:eastAsia="zh-CN"/>
        </w:rPr>
      </w:pPr>
    </w:p>
    <w:p w14:paraId="2352186F">
      <w:pPr>
        <w:widowControl w:val="0"/>
        <w:spacing w:after="160" w:line="278" w:lineRule="auto"/>
        <w:ind w:firstLine="420" w:firstLineChars="200"/>
        <w:jc w:val="both"/>
        <w:rPr>
          <w:rFonts w:hint="eastAsia" w:ascii="宋体" w:hAnsi="宋体" w:eastAsia="宋体" w:cs="宋体"/>
          <w:kern w:val="2"/>
          <w:sz w:val="21"/>
          <w:szCs w:val="21"/>
          <w:lang w:eastAsia="zh-CN"/>
        </w:rPr>
      </w:pPr>
    </w:p>
    <w:p w14:paraId="68F0A687">
      <w:pPr>
        <w:widowControl w:val="0"/>
        <w:spacing w:after="160" w:line="278" w:lineRule="auto"/>
        <w:jc w:val="center"/>
        <w:outlineLvl w:val="3"/>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3、监狱企业声明函【货物类，提供监狱企业货物的供应商如需享受优惠政策，还须另行提供省级以上监狱管理局、戒毒管理局（含新疆生产建设兵团）出具的监狱企业证明文件】</w:t>
      </w:r>
    </w:p>
    <w:p w14:paraId="27435B46">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本投标人郑重声明，根据《财政部司法部关于政府采购支持监狱企业发展有关问题的通知》（财库〔2014〕68号）的规定，本投标人参加</w:t>
      </w:r>
      <w:r>
        <w:rPr>
          <w:rFonts w:hint="eastAsia" w:ascii="宋体" w:hAnsi="宋体" w:eastAsia="宋体" w:cs="宋体"/>
          <w:b/>
          <w:bCs/>
          <w:i/>
          <w:iCs/>
          <w:kern w:val="2"/>
          <w:sz w:val="21"/>
          <w:szCs w:val="21"/>
          <w:u w:val="single"/>
          <w:lang w:eastAsia="zh-CN"/>
        </w:rPr>
        <w:t>（采购人名称）</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采购活动，提供的货物全部由符合政策要求的监狱企业制造。相关监狱企业的具体情况如下：</w:t>
      </w:r>
    </w:p>
    <w:p w14:paraId="0DE1E44A">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，制造商为</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i/>
          <w:iCs/>
          <w:kern w:val="2"/>
          <w:sz w:val="21"/>
          <w:szCs w:val="21"/>
          <w:u w:val="single"/>
          <w:lang w:eastAsia="zh-CN"/>
        </w:rPr>
        <w:t xml:space="preserve">（企业名称）    </w:t>
      </w:r>
      <w:r>
        <w:rPr>
          <w:rFonts w:hint="eastAsia" w:ascii="宋体" w:hAnsi="宋体" w:eastAsia="宋体" w:cs="宋体"/>
          <w:kern w:val="2"/>
          <w:sz w:val="21"/>
          <w:szCs w:val="21"/>
          <w:lang w:eastAsia="zh-CN"/>
        </w:rPr>
        <w:t>，属于</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kern w:val="2"/>
          <w:sz w:val="21"/>
          <w:szCs w:val="21"/>
          <w:u w:val="single"/>
          <w:lang w:eastAsia="zh-CN"/>
        </w:rPr>
        <w:t xml:space="preserve">监狱企业  </w:t>
      </w:r>
      <w:r>
        <w:rPr>
          <w:rFonts w:hint="eastAsia" w:ascii="宋体" w:hAnsi="宋体" w:eastAsia="宋体" w:cs="宋体"/>
          <w:kern w:val="2"/>
          <w:sz w:val="21"/>
          <w:szCs w:val="21"/>
          <w:lang w:eastAsia="zh-CN"/>
        </w:rPr>
        <w:t>；</w:t>
      </w:r>
    </w:p>
    <w:p w14:paraId="01212A83">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，制造商为</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i/>
          <w:iCs/>
          <w:kern w:val="2"/>
          <w:sz w:val="21"/>
          <w:szCs w:val="21"/>
          <w:u w:val="single"/>
          <w:lang w:eastAsia="zh-CN"/>
        </w:rPr>
        <w:t xml:space="preserve">（企业名称）    </w:t>
      </w:r>
      <w:r>
        <w:rPr>
          <w:rFonts w:hint="eastAsia" w:ascii="宋体" w:hAnsi="宋体" w:eastAsia="宋体" w:cs="宋体"/>
          <w:kern w:val="2"/>
          <w:sz w:val="21"/>
          <w:szCs w:val="21"/>
          <w:lang w:eastAsia="zh-CN"/>
        </w:rPr>
        <w:t>，属于</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kern w:val="2"/>
          <w:sz w:val="21"/>
          <w:szCs w:val="21"/>
          <w:u w:val="single"/>
          <w:lang w:eastAsia="zh-CN"/>
        </w:rPr>
        <w:t xml:space="preserve">监狱企业  </w:t>
      </w:r>
      <w:r>
        <w:rPr>
          <w:rFonts w:hint="eastAsia" w:ascii="宋体" w:hAnsi="宋体" w:eastAsia="宋体" w:cs="宋体"/>
          <w:kern w:val="2"/>
          <w:sz w:val="21"/>
          <w:szCs w:val="21"/>
          <w:lang w:eastAsia="zh-CN"/>
        </w:rPr>
        <w:t>。</w:t>
      </w:r>
    </w:p>
    <w:p w14:paraId="6DBAEA20">
      <w:pPr>
        <w:widowControl w:val="0"/>
        <w:spacing w:after="160" w:line="360" w:lineRule="auto"/>
        <w:ind w:firstLine="420" w:firstLineChars="200"/>
        <w:jc w:val="both"/>
        <w:outlineLvl w:val="3"/>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4A550FD2">
      <w:pPr>
        <w:widowControl w:val="0"/>
        <w:spacing w:after="160"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本投标人对上述声明内容的真实性负责。如有虚假，将依法承担相应责任。</w:t>
      </w:r>
    </w:p>
    <w:p w14:paraId="0AE037FB">
      <w:pPr>
        <w:widowControl w:val="0"/>
        <w:spacing w:after="160" w:line="360" w:lineRule="auto"/>
        <w:ind w:firstLine="420"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bookmarkEnd w:id="61"/>
    </w:p>
    <w:p w14:paraId="6CD6E46A">
      <w:pPr>
        <w:rPr>
          <w:rFonts w:hint="eastAsia" w:ascii="黑体" w:hAnsi="宋体" w:eastAsia="黑体"/>
          <w:bCs/>
          <w:kern w:val="2"/>
          <w:lang w:eastAsia="zh-CN"/>
        </w:rPr>
      </w:pPr>
      <w:bookmarkStart w:id="65" w:name="_Hlk72259976"/>
      <w:r>
        <w:rPr>
          <w:rFonts w:hint="eastAsia" w:ascii="黑体" w:hAnsi="宋体" w:eastAsia="黑体"/>
          <w:bCs/>
          <w:kern w:val="2"/>
          <w:lang w:eastAsia="zh-CN"/>
        </w:rPr>
        <w:br w:type="page"/>
      </w:r>
    </w:p>
    <w:p w14:paraId="50443166">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四、项目详细报价</w:t>
      </w:r>
    </w:p>
    <w:p w14:paraId="6624192F">
      <w:pPr>
        <w:widowControl w:val="0"/>
        <w:tabs>
          <w:tab w:val="left" w:pos="720"/>
        </w:tabs>
        <w:spacing w:after="160" w:line="278" w:lineRule="auto"/>
        <w:ind w:firstLine="3132" w:firstLineChars="1300"/>
        <w:jc w:val="both"/>
        <w:rPr>
          <w:rFonts w:eastAsia="宋体"/>
          <w:b/>
          <w:kern w:val="2"/>
          <w:lang w:eastAsia="zh-CN"/>
        </w:rPr>
      </w:pPr>
      <w:r>
        <w:rPr>
          <w:rFonts w:hint="eastAsia" w:eastAsia="宋体"/>
          <w:b/>
          <w:kern w:val="2"/>
          <w:lang w:eastAsia="zh-CN"/>
        </w:rPr>
        <w:t>（一）分项报价表</w:t>
      </w:r>
    </w:p>
    <w:tbl>
      <w:tblPr>
        <w:tblStyle w:val="18"/>
        <w:tblW w:w="5109" w:type="pct"/>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563"/>
        <w:gridCol w:w="512"/>
        <w:gridCol w:w="722"/>
        <w:gridCol w:w="598"/>
        <w:gridCol w:w="763"/>
        <w:gridCol w:w="512"/>
        <w:gridCol w:w="512"/>
        <w:gridCol w:w="809"/>
        <w:gridCol w:w="865"/>
        <w:gridCol w:w="1157"/>
      </w:tblGrid>
      <w:tr w14:paraId="13F3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3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0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货物名称</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2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5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B1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FF0000"/>
                <w:sz w:val="21"/>
                <w:szCs w:val="21"/>
                <w:u w:val="none"/>
              </w:rPr>
            </w:pPr>
            <w:r>
              <w:rPr>
                <w:rFonts w:hint="eastAsia" w:asciiTheme="minorEastAsia" w:hAnsiTheme="minorEastAsia" w:eastAsiaTheme="minorEastAsia" w:cstheme="minorEastAsia"/>
                <w:b/>
                <w:bCs/>
                <w:i w:val="0"/>
                <w:iCs w:val="0"/>
                <w:color w:val="FF0000"/>
                <w:kern w:val="0"/>
                <w:sz w:val="21"/>
                <w:szCs w:val="21"/>
                <w:u w:val="none"/>
                <w:lang w:val="en-US" w:eastAsia="zh-CN" w:bidi="ar"/>
              </w:rPr>
              <w:t>原产地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A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制造商名称</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A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9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1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单价(元)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B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合价(元)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0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预算金额（元）</w:t>
            </w:r>
          </w:p>
        </w:tc>
      </w:tr>
      <w:tr w14:paraId="3A34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F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F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AI全面屏</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41BB">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D5E9">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CF2A">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F37F">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4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E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F4C2">
            <w:pPr>
              <w:jc w:val="cente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FA1">
            <w:pPr>
              <w:jc w:val="center"/>
              <w:rPr>
                <w:rFonts w:hint="eastAsia" w:asciiTheme="minorEastAsia" w:hAnsiTheme="minorEastAsia" w:eastAsiaTheme="minorEastAsia" w:cstheme="minorEastAsia"/>
                <w:i w:val="0"/>
                <w:iCs w:val="0"/>
                <w:color w:val="000000"/>
                <w:sz w:val="21"/>
                <w:szCs w:val="21"/>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7274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650000</w:t>
            </w:r>
          </w:p>
        </w:tc>
      </w:tr>
      <w:tr w14:paraId="3B56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2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E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高清显示器</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CB3A">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A60E">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4502">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9BE3">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3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7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2E0B">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9D28">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C9EF">
            <w:pPr>
              <w:jc w:val="center"/>
              <w:rPr>
                <w:rFonts w:hint="eastAsia" w:asciiTheme="minorEastAsia" w:hAnsiTheme="minorEastAsia" w:eastAsiaTheme="minorEastAsia" w:cstheme="minorEastAsia"/>
                <w:b/>
                <w:bCs/>
                <w:i w:val="0"/>
                <w:iCs w:val="0"/>
                <w:color w:val="000000"/>
                <w:sz w:val="21"/>
                <w:szCs w:val="21"/>
                <w:u w:val="none"/>
              </w:rPr>
            </w:pPr>
          </w:p>
        </w:tc>
      </w:tr>
      <w:tr w14:paraId="0951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8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2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辅助显示屏</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9050">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6A98">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A800">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82E8">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5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A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EB45">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7988">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BDDC">
            <w:pPr>
              <w:jc w:val="center"/>
              <w:rPr>
                <w:rFonts w:hint="eastAsia" w:asciiTheme="minorEastAsia" w:hAnsiTheme="minorEastAsia" w:eastAsiaTheme="minorEastAsia" w:cstheme="minorEastAsia"/>
                <w:b/>
                <w:bCs/>
                <w:i w:val="0"/>
                <w:iCs w:val="0"/>
                <w:color w:val="000000"/>
                <w:sz w:val="21"/>
                <w:szCs w:val="21"/>
                <w:u w:val="none"/>
              </w:rPr>
            </w:pPr>
          </w:p>
        </w:tc>
      </w:tr>
      <w:tr w14:paraId="6B16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F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5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高清录播主机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44EC">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5DE7">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B684">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1F33">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9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4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34AE">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E569">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7914">
            <w:pPr>
              <w:jc w:val="center"/>
              <w:rPr>
                <w:rFonts w:hint="eastAsia" w:asciiTheme="minorEastAsia" w:hAnsiTheme="minorEastAsia" w:eastAsiaTheme="minorEastAsia" w:cstheme="minorEastAsia"/>
                <w:b/>
                <w:bCs/>
                <w:i w:val="0"/>
                <w:iCs w:val="0"/>
                <w:color w:val="000000"/>
                <w:sz w:val="21"/>
                <w:szCs w:val="21"/>
                <w:u w:val="none"/>
              </w:rPr>
            </w:pPr>
          </w:p>
        </w:tc>
      </w:tr>
      <w:tr w14:paraId="00CF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E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0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录播流媒体处理软件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29B6">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F1E8">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DA75">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9548">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3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D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3F51">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B12">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FE38">
            <w:pPr>
              <w:jc w:val="center"/>
              <w:rPr>
                <w:rFonts w:hint="eastAsia" w:asciiTheme="minorEastAsia" w:hAnsiTheme="minorEastAsia" w:eastAsiaTheme="minorEastAsia" w:cstheme="minorEastAsia"/>
                <w:b/>
                <w:bCs/>
                <w:i w:val="0"/>
                <w:iCs w:val="0"/>
                <w:color w:val="000000"/>
                <w:sz w:val="21"/>
                <w:szCs w:val="21"/>
                <w:u w:val="none"/>
              </w:rPr>
            </w:pPr>
          </w:p>
        </w:tc>
      </w:tr>
      <w:tr w14:paraId="1147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C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C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智能跟踪处理软件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DA09">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E527">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A65B">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5DD8">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B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8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2DD6">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5E8A">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D602">
            <w:pPr>
              <w:jc w:val="center"/>
              <w:rPr>
                <w:rFonts w:hint="eastAsia" w:asciiTheme="minorEastAsia" w:hAnsiTheme="minorEastAsia" w:eastAsiaTheme="minorEastAsia" w:cstheme="minorEastAsia"/>
                <w:b/>
                <w:bCs/>
                <w:i w:val="0"/>
                <w:iCs w:val="0"/>
                <w:color w:val="000000"/>
                <w:sz w:val="21"/>
                <w:szCs w:val="21"/>
                <w:u w:val="none"/>
              </w:rPr>
            </w:pPr>
          </w:p>
        </w:tc>
      </w:tr>
      <w:tr w14:paraId="48DD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A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8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智能课堂行为分析软件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8FC7">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D4AC">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E6E0">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08F8">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9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F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1B6A">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2E3C">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AC7F">
            <w:pPr>
              <w:jc w:val="center"/>
              <w:rPr>
                <w:rFonts w:hint="eastAsia" w:asciiTheme="minorEastAsia" w:hAnsiTheme="minorEastAsia" w:eastAsiaTheme="minorEastAsia" w:cstheme="minorEastAsia"/>
                <w:b/>
                <w:bCs/>
                <w:i w:val="0"/>
                <w:iCs w:val="0"/>
                <w:color w:val="000000"/>
                <w:sz w:val="21"/>
                <w:szCs w:val="21"/>
                <w:u w:val="none"/>
              </w:rPr>
            </w:pPr>
          </w:p>
        </w:tc>
      </w:tr>
      <w:tr w14:paraId="3924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C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3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智能语音分析软件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2A6C">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D654">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C78A">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D221">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B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D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5A0E">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AFEE">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7FB1">
            <w:pPr>
              <w:jc w:val="center"/>
              <w:rPr>
                <w:rFonts w:hint="eastAsia" w:asciiTheme="minorEastAsia" w:hAnsiTheme="minorEastAsia" w:eastAsiaTheme="minorEastAsia" w:cstheme="minorEastAsia"/>
                <w:b/>
                <w:bCs/>
                <w:i w:val="0"/>
                <w:iCs w:val="0"/>
                <w:color w:val="000000"/>
                <w:sz w:val="21"/>
                <w:szCs w:val="21"/>
                <w:u w:val="none"/>
              </w:rPr>
            </w:pPr>
          </w:p>
        </w:tc>
      </w:tr>
      <w:tr w14:paraId="6AA7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D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B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高清全景摄像机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538C">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7741">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DEDF">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156D">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D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5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2202">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9625">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CE04">
            <w:pPr>
              <w:jc w:val="center"/>
              <w:rPr>
                <w:rFonts w:hint="eastAsia" w:asciiTheme="minorEastAsia" w:hAnsiTheme="minorEastAsia" w:eastAsiaTheme="minorEastAsia" w:cstheme="minorEastAsia"/>
                <w:b/>
                <w:bCs/>
                <w:i w:val="0"/>
                <w:iCs w:val="0"/>
                <w:color w:val="000000"/>
                <w:sz w:val="21"/>
                <w:szCs w:val="21"/>
                <w:u w:val="none"/>
              </w:rPr>
            </w:pPr>
          </w:p>
        </w:tc>
      </w:tr>
      <w:tr w14:paraId="2CE3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2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5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高清特写摄像机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9A08">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1712">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9317">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1B06">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F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C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C69B">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E695">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9354">
            <w:pPr>
              <w:jc w:val="center"/>
              <w:rPr>
                <w:rFonts w:hint="eastAsia" w:asciiTheme="minorEastAsia" w:hAnsiTheme="minorEastAsia" w:eastAsiaTheme="minorEastAsia" w:cstheme="minorEastAsia"/>
                <w:b/>
                <w:bCs/>
                <w:i w:val="0"/>
                <w:iCs w:val="0"/>
                <w:color w:val="000000"/>
                <w:sz w:val="21"/>
                <w:szCs w:val="21"/>
                <w:u w:val="none"/>
              </w:rPr>
            </w:pPr>
          </w:p>
        </w:tc>
      </w:tr>
      <w:tr w14:paraId="6FAD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9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5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摄像机跟踪拍摄软件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48C7">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2249">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BA4D">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21EA">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6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A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6251">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D588">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D01A">
            <w:pPr>
              <w:jc w:val="center"/>
              <w:rPr>
                <w:rFonts w:hint="eastAsia" w:asciiTheme="minorEastAsia" w:hAnsiTheme="minorEastAsia" w:eastAsiaTheme="minorEastAsia" w:cstheme="minorEastAsia"/>
                <w:b/>
                <w:bCs/>
                <w:i w:val="0"/>
                <w:iCs w:val="0"/>
                <w:color w:val="000000"/>
                <w:sz w:val="21"/>
                <w:szCs w:val="21"/>
                <w:u w:val="none"/>
              </w:rPr>
            </w:pPr>
          </w:p>
        </w:tc>
      </w:tr>
      <w:tr w14:paraId="6F65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B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4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采访话筒（指向性）</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F97">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79C1">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4C2A">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EF09">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A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8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55C9">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11BA">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18B6">
            <w:pPr>
              <w:jc w:val="center"/>
              <w:rPr>
                <w:rFonts w:hint="eastAsia" w:asciiTheme="minorEastAsia" w:hAnsiTheme="minorEastAsia" w:eastAsiaTheme="minorEastAsia" w:cstheme="minorEastAsia"/>
                <w:b/>
                <w:bCs/>
                <w:i w:val="0"/>
                <w:iCs w:val="0"/>
                <w:color w:val="000000"/>
                <w:sz w:val="21"/>
                <w:szCs w:val="21"/>
                <w:u w:val="none"/>
              </w:rPr>
            </w:pPr>
          </w:p>
        </w:tc>
      </w:tr>
      <w:tr w14:paraId="0A34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2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1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教学视频资源管理系统</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12AE">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2433">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880C">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BC5B">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2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A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AEE">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590C">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DC11">
            <w:pPr>
              <w:jc w:val="center"/>
              <w:rPr>
                <w:rFonts w:hint="eastAsia" w:asciiTheme="minorEastAsia" w:hAnsiTheme="minorEastAsia" w:eastAsiaTheme="minorEastAsia" w:cstheme="minorEastAsia"/>
                <w:b/>
                <w:bCs/>
                <w:i w:val="0"/>
                <w:iCs w:val="0"/>
                <w:color w:val="000000"/>
                <w:sz w:val="21"/>
                <w:szCs w:val="21"/>
                <w:u w:val="none"/>
              </w:rPr>
            </w:pPr>
          </w:p>
        </w:tc>
      </w:tr>
      <w:tr w14:paraId="04D2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1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5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微课录播主机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7AD4">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EAD9">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8822">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C3D5">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4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5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FDD9">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03C1">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AF4C">
            <w:pPr>
              <w:jc w:val="center"/>
              <w:rPr>
                <w:rFonts w:hint="eastAsia" w:asciiTheme="minorEastAsia" w:hAnsiTheme="minorEastAsia" w:eastAsiaTheme="minorEastAsia" w:cstheme="minorEastAsia"/>
                <w:b/>
                <w:bCs/>
                <w:i w:val="0"/>
                <w:iCs w:val="0"/>
                <w:color w:val="000000"/>
                <w:sz w:val="21"/>
                <w:szCs w:val="21"/>
                <w:u w:val="none"/>
              </w:rPr>
            </w:pPr>
          </w:p>
        </w:tc>
      </w:tr>
      <w:tr w14:paraId="133A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0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2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微课录制软件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B0BA">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6300">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5811">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B8F0">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2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5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2F36">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BBE7">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4E10">
            <w:pPr>
              <w:jc w:val="center"/>
              <w:rPr>
                <w:rFonts w:hint="eastAsia" w:asciiTheme="minorEastAsia" w:hAnsiTheme="minorEastAsia" w:eastAsiaTheme="minorEastAsia" w:cstheme="minorEastAsia"/>
                <w:b/>
                <w:bCs/>
                <w:i w:val="0"/>
                <w:iCs w:val="0"/>
                <w:color w:val="000000"/>
                <w:sz w:val="21"/>
                <w:szCs w:val="21"/>
                <w:u w:val="none"/>
              </w:rPr>
            </w:pPr>
          </w:p>
        </w:tc>
      </w:tr>
      <w:tr w14:paraId="68D5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2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C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高清摄像机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8EF3">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31F7">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3D7F">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2137">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3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7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F870">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11E1">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686E">
            <w:pPr>
              <w:jc w:val="center"/>
              <w:rPr>
                <w:rFonts w:hint="eastAsia" w:asciiTheme="minorEastAsia" w:hAnsiTheme="minorEastAsia" w:eastAsiaTheme="minorEastAsia" w:cstheme="minorEastAsia"/>
                <w:b/>
                <w:bCs/>
                <w:i w:val="0"/>
                <w:iCs w:val="0"/>
                <w:color w:val="000000"/>
                <w:sz w:val="21"/>
                <w:szCs w:val="21"/>
                <w:u w:val="none"/>
              </w:rPr>
            </w:pPr>
          </w:p>
        </w:tc>
      </w:tr>
      <w:tr w14:paraId="40F5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E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5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高清摄像机管理软件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780A">
            <w:pP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86EE">
            <w:pP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43BE">
            <w:pP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9EED">
            <w:pP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5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0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D288">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4FDD">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C216">
            <w:pPr>
              <w:jc w:val="center"/>
              <w:rPr>
                <w:rFonts w:hint="eastAsia" w:asciiTheme="minorEastAsia" w:hAnsiTheme="minorEastAsia" w:eastAsiaTheme="minorEastAsia" w:cstheme="minorEastAsia"/>
                <w:b/>
                <w:bCs/>
                <w:i w:val="0"/>
                <w:iCs w:val="0"/>
                <w:color w:val="000000"/>
                <w:sz w:val="21"/>
                <w:szCs w:val="21"/>
                <w:u w:val="none"/>
              </w:rPr>
            </w:pPr>
          </w:p>
        </w:tc>
      </w:tr>
      <w:tr w14:paraId="11F4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A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8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无线话筒</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C2A5">
            <w:pPr>
              <w:jc w:val="center"/>
              <w:rPr>
                <w:rFonts w:hint="eastAsia" w:asciiTheme="minorEastAsia" w:hAnsiTheme="minorEastAsia" w:eastAsiaTheme="minorEastAsia" w:cstheme="minorEastAsia"/>
                <w:b/>
                <w:bCs/>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0E71">
            <w:pPr>
              <w:jc w:val="center"/>
              <w:rPr>
                <w:rFonts w:hint="eastAsia" w:asciiTheme="minorEastAsia" w:hAnsiTheme="minorEastAsia" w:eastAsiaTheme="minorEastAsia" w:cstheme="minorEastAsia"/>
                <w:b/>
                <w:bCs/>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5F95">
            <w:pPr>
              <w:jc w:val="center"/>
              <w:rPr>
                <w:rFonts w:hint="eastAsia" w:asciiTheme="minorEastAsia" w:hAnsiTheme="minorEastAsia" w:eastAsiaTheme="minorEastAsia" w:cstheme="minorEastAsia"/>
                <w:b/>
                <w:bCs/>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BD06">
            <w:pPr>
              <w:jc w:val="center"/>
              <w:rPr>
                <w:rFonts w:hint="eastAsia" w:asciiTheme="minorEastAsia" w:hAnsiTheme="minorEastAsia" w:eastAsiaTheme="minorEastAsia" w:cstheme="minorEastAsia"/>
                <w:b/>
                <w:bCs/>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3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F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172">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BD9E">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FACB">
            <w:pPr>
              <w:jc w:val="center"/>
              <w:rPr>
                <w:rFonts w:hint="eastAsia" w:asciiTheme="minorEastAsia" w:hAnsiTheme="minorEastAsia" w:eastAsiaTheme="minorEastAsia" w:cstheme="minorEastAsia"/>
                <w:b/>
                <w:bCs/>
                <w:i w:val="0"/>
                <w:iCs w:val="0"/>
                <w:color w:val="000000"/>
                <w:sz w:val="21"/>
                <w:szCs w:val="21"/>
                <w:u w:val="none"/>
              </w:rPr>
            </w:pPr>
          </w:p>
        </w:tc>
      </w:tr>
      <w:tr w14:paraId="1B01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8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5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录制面板</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0D1FE">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AE406">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6CA6">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4CF3">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B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B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5D84">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24F9">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A503">
            <w:pPr>
              <w:jc w:val="center"/>
              <w:rPr>
                <w:rFonts w:hint="eastAsia" w:asciiTheme="minorEastAsia" w:hAnsiTheme="minorEastAsia" w:eastAsiaTheme="minorEastAsia" w:cstheme="minorEastAsia"/>
                <w:b/>
                <w:bCs/>
                <w:i w:val="0"/>
                <w:iCs w:val="0"/>
                <w:color w:val="000000"/>
                <w:sz w:val="21"/>
                <w:szCs w:val="21"/>
                <w:u w:val="none"/>
              </w:rPr>
            </w:pPr>
          </w:p>
        </w:tc>
      </w:tr>
      <w:tr w14:paraId="4441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E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4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编辑设备</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183CD">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27931">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B309">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5A4E">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1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C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A876">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04E9">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248B">
            <w:pPr>
              <w:jc w:val="center"/>
              <w:rPr>
                <w:rFonts w:hint="eastAsia" w:asciiTheme="minorEastAsia" w:hAnsiTheme="minorEastAsia" w:eastAsiaTheme="minorEastAsia" w:cstheme="minorEastAsia"/>
                <w:b/>
                <w:bCs/>
                <w:i w:val="0"/>
                <w:iCs w:val="0"/>
                <w:color w:val="000000"/>
                <w:sz w:val="21"/>
                <w:szCs w:val="21"/>
                <w:u w:val="none"/>
              </w:rPr>
            </w:pPr>
          </w:p>
        </w:tc>
      </w:tr>
      <w:tr w14:paraId="3B0E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4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9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演播补光灯</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3B8F">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5462">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09A7">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D30F">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C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5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盏</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98E1">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B481">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3E2B">
            <w:pPr>
              <w:jc w:val="center"/>
              <w:rPr>
                <w:rFonts w:hint="eastAsia" w:asciiTheme="minorEastAsia" w:hAnsiTheme="minorEastAsia" w:eastAsiaTheme="minorEastAsia" w:cstheme="minorEastAsia"/>
                <w:b/>
                <w:bCs/>
                <w:i w:val="0"/>
                <w:iCs w:val="0"/>
                <w:color w:val="000000"/>
                <w:sz w:val="21"/>
                <w:szCs w:val="21"/>
                <w:u w:val="none"/>
              </w:rPr>
            </w:pPr>
          </w:p>
        </w:tc>
      </w:tr>
      <w:tr w14:paraId="494D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C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8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86寸背景一体机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3DB">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C65B">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3D16">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9FC">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A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B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7322">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2F51">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F84C">
            <w:pPr>
              <w:jc w:val="center"/>
              <w:rPr>
                <w:rFonts w:hint="eastAsia" w:asciiTheme="minorEastAsia" w:hAnsiTheme="minorEastAsia" w:eastAsiaTheme="minorEastAsia" w:cstheme="minorEastAsia"/>
                <w:b/>
                <w:bCs/>
                <w:i w:val="0"/>
                <w:iCs w:val="0"/>
                <w:color w:val="000000"/>
                <w:sz w:val="21"/>
                <w:szCs w:val="21"/>
                <w:u w:val="none"/>
              </w:rPr>
            </w:pPr>
          </w:p>
        </w:tc>
      </w:tr>
      <w:tr w14:paraId="4E5B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7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7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物联网边缘高聚合网关</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D799">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808">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A9F">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B63">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B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6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29B">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56E6">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ACFA">
            <w:pPr>
              <w:jc w:val="center"/>
              <w:rPr>
                <w:rFonts w:hint="eastAsia" w:asciiTheme="minorEastAsia" w:hAnsiTheme="minorEastAsia" w:eastAsiaTheme="minorEastAsia" w:cstheme="minorEastAsia"/>
                <w:b/>
                <w:bCs/>
                <w:i w:val="0"/>
                <w:iCs w:val="0"/>
                <w:color w:val="000000"/>
                <w:sz w:val="21"/>
                <w:szCs w:val="21"/>
                <w:u w:val="none"/>
              </w:rPr>
            </w:pPr>
          </w:p>
        </w:tc>
      </w:tr>
      <w:tr w14:paraId="1139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0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1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物联网控制终端</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78B8">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94EB">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173F">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E1C8">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E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D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4DDF">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C265">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CAF0">
            <w:pPr>
              <w:jc w:val="center"/>
              <w:rPr>
                <w:rFonts w:hint="eastAsia" w:asciiTheme="minorEastAsia" w:hAnsiTheme="minorEastAsia" w:eastAsiaTheme="minorEastAsia" w:cstheme="minorEastAsia"/>
                <w:b/>
                <w:bCs/>
                <w:i w:val="0"/>
                <w:iCs w:val="0"/>
                <w:color w:val="000000"/>
                <w:sz w:val="21"/>
                <w:szCs w:val="21"/>
                <w:u w:val="none"/>
              </w:rPr>
            </w:pPr>
          </w:p>
        </w:tc>
      </w:tr>
      <w:tr w14:paraId="6DE0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2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D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智能照明面板</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E678">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DA90">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5E94">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FB56">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1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9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4AF8">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1CE7">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AF22">
            <w:pPr>
              <w:jc w:val="center"/>
              <w:rPr>
                <w:rFonts w:hint="eastAsia" w:asciiTheme="minorEastAsia" w:hAnsiTheme="minorEastAsia" w:eastAsiaTheme="minorEastAsia" w:cstheme="minorEastAsia"/>
                <w:b/>
                <w:bCs/>
                <w:i w:val="0"/>
                <w:iCs w:val="0"/>
                <w:color w:val="000000"/>
                <w:sz w:val="21"/>
                <w:szCs w:val="21"/>
                <w:u w:val="none"/>
              </w:rPr>
            </w:pPr>
          </w:p>
        </w:tc>
      </w:tr>
      <w:tr w14:paraId="0882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3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5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红外控制终端</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16AE">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3213">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AC8A">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6149">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B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A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D571">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2A37">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D987">
            <w:pPr>
              <w:jc w:val="center"/>
              <w:rPr>
                <w:rFonts w:hint="eastAsia" w:asciiTheme="minorEastAsia" w:hAnsiTheme="minorEastAsia" w:eastAsiaTheme="minorEastAsia" w:cstheme="minorEastAsia"/>
                <w:b/>
                <w:bCs/>
                <w:i w:val="0"/>
                <w:iCs w:val="0"/>
                <w:color w:val="000000"/>
                <w:sz w:val="21"/>
                <w:szCs w:val="21"/>
                <w:u w:val="none"/>
              </w:rPr>
            </w:pPr>
          </w:p>
        </w:tc>
      </w:tr>
      <w:tr w14:paraId="2016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3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5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物联网聚合管理终端</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4C16">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ACDE">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4CB4">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AC4">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4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E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2502">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754">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47F85">
            <w:pPr>
              <w:jc w:val="center"/>
              <w:rPr>
                <w:rFonts w:hint="eastAsia" w:asciiTheme="minorEastAsia" w:hAnsiTheme="minorEastAsia" w:eastAsiaTheme="minorEastAsia" w:cstheme="minorEastAsia"/>
                <w:b/>
                <w:bCs/>
                <w:i w:val="0"/>
                <w:iCs w:val="0"/>
                <w:color w:val="000000"/>
                <w:sz w:val="21"/>
                <w:szCs w:val="21"/>
                <w:u w:val="none"/>
              </w:rPr>
            </w:pPr>
          </w:p>
        </w:tc>
      </w:tr>
      <w:tr w14:paraId="3A64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E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B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8路HDMI 视频矩阵</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A126">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3538">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AECF">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A75D">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5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F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2EEB">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4617">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384B">
            <w:pPr>
              <w:jc w:val="center"/>
              <w:rPr>
                <w:rFonts w:hint="eastAsia" w:asciiTheme="minorEastAsia" w:hAnsiTheme="minorEastAsia" w:eastAsiaTheme="minorEastAsia" w:cstheme="minorEastAsia"/>
                <w:b/>
                <w:bCs/>
                <w:i w:val="0"/>
                <w:iCs w:val="0"/>
                <w:color w:val="000000"/>
                <w:sz w:val="21"/>
                <w:szCs w:val="21"/>
                <w:u w:val="none"/>
              </w:rPr>
            </w:pPr>
          </w:p>
        </w:tc>
      </w:tr>
      <w:tr w14:paraId="70DB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6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设备物联集控管理系统</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F46F">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67D2">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DA93">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4EDA">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6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6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1BC">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D6C5">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8151">
            <w:pPr>
              <w:jc w:val="center"/>
              <w:rPr>
                <w:rFonts w:hint="eastAsia" w:asciiTheme="minorEastAsia" w:hAnsiTheme="minorEastAsia" w:eastAsiaTheme="minorEastAsia" w:cstheme="minorEastAsia"/>
                <w:b/>
                <w:bCs/>
                <w:i w:val="0"/>
                <w:iCs w:val="0"/>
                <w:color w:val="000000"/>
                <w:sz w:val="21"/>
                <w:szCs w:val="21"/>
                <w:u w:val="none"/>
              </w:rPr>
            </w:pPr>
          </w:p>
        </w:tc>
      </w:tr>
      <w:tr w14:paraId="5AA5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2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7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智能红外无线功放</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24CE">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B5B5">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4429">
            <w:pPr>
              <w:jc w:val="center"/>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8037">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7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9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BB3B">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FE28">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28CD">
            <w:pPr>
              <w:jc w:val="center"/>
              <w:rPr>
                <w:rFonts w:hint="eastAsia" w:asciiTheme="minorEastAsia" w:hAnsiTheme="minorEastAsia" w:eastAsiaTheme="minorEastAsia" w:cstheme="minorEastAsia"/>
                <w:b/>
                <w:bCs/>
                <w:i w:val="0"/>
                <w:iCs w:val="0"/>
                <w:color w:val="000000"/>
                <w:sz w:val="21"/>
                <w:szCs w:val="21"/>
                <w:u w:val="none"/>
              </w:rPr>
            </w:pPr>
          </w:p>
        </w:tc>
      </w:tr>
      <w:tr w14:paraId="290A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6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D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红外线手持话筒（含充电座）</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220A">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DF9C">
            <w:pPr>
              <w:jc w:val="center"/>
              <w:rPr>
                <w:rFonts w:hint="eastAsia" w:asciiTheme="minorEastAsia" w:hAnsiTheme="minorEastAsia" w:eastAsiaTheme="minorEastAsia" w:cstheme="minorEastAsia"/>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86D8">
            <w:pPr>
              <w:jc w:val="both"/>
              <w:rPr>
                <w:rFonts w:hint="eastAsia" w:asciiTheme="minorEastAsia" w:hAnsiTheme="minorEastAsia" w:eastAsiaTheme="minorEastAsia" w:cstheme="minorEastAsia"/>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A5F8">
            <w:pPr>
              <w:jc w:val="center"/>
              <w:rPr>
                <w:rFonts w:hint="eastAsia" w:asciiTheme="minorEastAsia" w:hAnsiTheme="minorEastAsia" w:eastAsiaTheme="minorEastAsia" w:cstheme="minorEastAsia"/>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2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A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C9B3">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494">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EF19">
            <w:pPr>
              <w:jc w:val="center"/>
              <w:rPr>
                <w:rFonts w:hint="eastAsia" w:asciiTheme="minorEastAsia" w:hAnsiTheme="minorEastAsia" w:eastAsiaTheme="minorEastAsia" w:cstheme="minorEastAsia"/>
                <w:b/>
                <w:bCs/>
                <w:i w:val="0"/>
                <w:iCs w:val="0"/>
                <w:color w:val="000000"/>
                <w:sz w:val="21"/>
                <w:szCs w:val="21"/>
                <w:u w:val="none"/>
              </w:rPr>
            </w:pPr>
          </w:p>
        </w:tc>
      </w:tr>
      <w:tr w14:paraId="385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C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C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扩声音柱</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82B9">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AE1B">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AF6A">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1639">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8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4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45CE">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7E18">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3C33">
            <w:pPr>
              <w:jc w:val="center"/>
              <w:rPr>
                <w:rFonts w:hint="eastAsia" w:asciiTheme="minorEastAsia" w:hAnsiTheme="minorEastAsia" w:eastAsiaTheme="minorEastAsia" w:cstheme="minorEastAsia"/>
                <w:b/>
                <w:bCs/>
                <w:i w:val="0"/>
                <w:iCs w:val="0"/>
                <w:color w:val="000000"/>
                <w:sz w:val="21"/>
                <w:szCs w:val="21"/>
                <w:u w:val="none"/>
              </w:rPr>
            </w:pPr>
          </w:p>
        </w:tc>
      </w:tr>
      <w:tr w14:paraId="304A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9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5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颈挂红外线话筒</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0677">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5D5E">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8E5">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B596">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1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C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DAA0">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F09B">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E157">
            <w:pPr>
              <w:jc w:val="center"/>
              <w:rPr>
                <w:rFonts w:hint="eastAsia" w:asciiTheme="minorEastAsia" w:hAnsiTheme="minorEastAsia" w:eastAsiaTheme="minorEastAsia" w:cstheme="minorEastAsia"/>
                <w:b/>
                <w:bCs/>
                <w:i w:val="0"/>
                <w:iCs w:val="0"/>
                <w:color w:val="000000"/>
                <w:sz w:val="21"/>
                <w:szCs w:val="21"/>
                <w:u w:val="none"/>
              </w:rPr>
            </w:pPr>
          </w:p>
        </w:tc>
      </w:tr>
      <w:tr w14:paraId="2B74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5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6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电源时序器</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EFE7">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2E26">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87E9">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8C58">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5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C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8FCC">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C9C">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5E07">
            <w:pPr>
              <w:jc w:val="center"/>
              <w:rPr>
                <w:rFonts w:hint="eastAsia" w:asciiTheme="minorEastAsia" w:hAnsiTheme="minorEastAsia" w:eastAsiaTheme="minorEastAsia" w:cstheme="minorEastAsia"/>
                <w:b/>
                <w:bCs/>
                <w:i w:val="0"/>
                <w:iCs w:val="0"/>
                <w:color w:val="000000"/>
                <w:sz w:val="21"/>
                <w:szCs w:val="21"/>
                <w:u w:val="none"/>
              </w:rPr>
            </w:pPr>
          </w:p>
        </w:tc>
      </w:tr>
      <w:tr w14:paraId="16DE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E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B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音频处理器</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8399">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CECB">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EECF">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20F">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C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C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5392">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81F9">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B81A">
            <w:pPr>
              <w:jc w:val="center"/>
              <w:rPr>
                <w:rFonts w:hint="eastAsia" w:asciiTheme="minorEastAsia" w:hAnsiTheme="minorEastAsia" w:eastAsiaTheme="minorEastAsia" w:cstheme="minorEastAsia"/>
                <w:b/>
                <w:bCs/>
                <w:i w:val="0"/>
                <w:iCs w:val="0"/>
                <w:color w:val="000000"/>
                <w:sz w:val="21"/>
                <w:szCs w:val="21"/>
                <w:u w:val="none"/>
              </w:rPr>
            </w:pPr>
          </w:p>
        </w:tc>
      </w:tr>
      <w:tr w14:paraId="47EF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0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1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课堂主机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ADC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5D41">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20BE">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C280">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1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E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DABE">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8E43">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B916">
            <w:pPr>
              <w:jc w:val="center"/>
              <w:rPr>
                <w:rFonts w:hint="eastAsia" w:asciiTheme="minorEastAsia" w:hAnsiTheme="minorEastAsia" w:eastAsiaTheme="minorEastAsia" w:cstheme="minorEastAsia"/>
                <w:b/>
                <w:bCs/>
                <w:i w:val="0"/>
                <w:iCs w:val="0"/>
                <w:color w:val="000000"/>
                <w:sz w:val="21"/>
                <w:szCs w:val="21"/>
                <w:u w:val="none"/>
              </w:rPr>
            </w:pPr>
          </w:p>
        </w:tc>
      </w:tr>
      <w:tr w14:paraId="4EFF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1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B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智慧管理软件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09DE">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CB38">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1A17">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8DF0">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4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D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EB96">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17F">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79D5">
            <w:pPr>
              <w:jc w:val="center"/>
              <w:rPr>
                <w:rFonts w:hint="eastAsia" w:asciiTheme="minorEastAsia" w:hAnsiTheme="minorEastAsia" w:eastAsiaTheme="minorEastAsia" w:cstheme="minorEastAsia"/>
                <w:b/>
                <w:bCs/>
                <w:i w:val="0"/>
                <w:iCs w:val="0"/>
                <w:color w:val="000000"/>
                <w:sz w:val="21"/>
                <w:szCs w:val="21"/>
                <w:u w:val="none"/>
              </w:rPr>
            </w:pPr>
          </w:p>
        </w:tc>
      </w:tr>
      <w:tr w14:paraId="5D6C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7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6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智慧课堂软件</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F8E3">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805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700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892">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8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B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8FA">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B9E4">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98CA">
            <w:pPr>
              <w:jc w:val="center"/>
              <w:rPr>
                <w:rFonts w:hint="eastAsia" w:asciiTheme="minorEastAsia" w:hAnsiTheme="minorEastAsia" w:eastAsiaTheme="minorEastAsia" w:cstheme="minorEastAsia"/>
                <w:b/>
                <w:bCs/>
                <w:i w:val="0"/>
                <w:iCs w:val="0"/>
                <w:color w:val="000000"/>
                <w:sz w:val="21"/>
                <w:szCs w:val="21"/>
                <w:u w:val="none"/>
              </w:rPr>
            </w:pPr>
          </w:p>
        </w:tc>
      </w:tr>
      <w:tr w14:paraId="0F6B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6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F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教学平板</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03E">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1BAB">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D973">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E560">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1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F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5071">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70F0">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FC7D">
            <w:pPr>
              <w:jc w:val="center"/>
              <w:rPr>
                <w:rFonts w:hint="eastAsia" w:asciiTheme="minorEastAsia" w:hAnsiTheme="minorEastAsia" w:eastAsiaTheme="minorEastAsia" w:cstheme="minorEastAsia"/>
                <w:b/>
                <w:bCs/>
                <w:i w:val="0"/>
                <w:iCs w:val="0"/>
                <w:color w:val="000000"/>
                <w:sz w:val="21"/>
                <w:szCs w:val="21"/>
                <w:u w:val="none"/>
              </w:rPr>
            </w:pPr>
          </w:p>
        </w:tc>
      </w:tr>
      <w:tr w14:paraId="4929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2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C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平板充电柜</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7EDF">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0705">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8566">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54C2">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9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2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EE71">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2F30">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75EF">
            <w:pPr>
              <w:jc w:val="center"/>
              <w:rPr>
                <w:rFonts w:hint="eastAsia" w:asciiTheme="minorEastAsia" w:hAnsiTheme="minorEastAsia" w:eastAsiaTheme="minorEastAsia" w:cstheme="minorEastAsia"/>
                <w:b/>
                <w:bCs/>
                <w:i w:val="0"/>
                <w:iCs w:val="0"/>
                <w:color w:val="000000"/>
                <w:sz w:val="21"/>
                <w:szCs w:val="21"/>
                <w:u w:val="none"/>
              </w:rPr>
            </w:pPr>
          </w:p>
        </w:tc>
      </w:tr>
      <w:tr w14:paraId="2D9D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B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D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无线AP</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6431">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FF46">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149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4CAB">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2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9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9513">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6D11">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B6F8">
            <w:pPr>
              <w:jc w:val="center"/>
              <w:rPr>
                <w:rFonts w:hint="eastAsia" w:asciiTheme="minorEastAsia" w:hAnsiTheme="minorEastAsia" w:eastAsiaTheme="minorEastAsia" w:cstheme="minorEastAsia"/>
                <w:b/>
                <w:bCs/>
                <w:i w:val="0"/>
                <w:iCs w:val="0"/>
                <w:color w:val="000000"/>
                <w:sz w:val="21"/>
                <w:szCs w:val="21"/>
                <w:u w:val="none"/>
              </w:rPr>
            </w:pPr>
          </w:p>
        </w:tc>
      </w:tr>
      <w:tr w14:paraId="3228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C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6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教师讲台（含椅子）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5605">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C020">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E4AE">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7A13">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F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9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7D75">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0408">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A5E7">
            <w:pPr>
              <w:jc w:val="center"/>
              <w:rPr>
                <w:rFonts w:hint="eastAsia" w:asciiTheme="minorEastAsia" w:hAnsiTheme="minorEastAsia" w:eastAsiaTheme="minorEastAsia" w:cstheme="minorEastAsia"/>
                <w:b/>
                <w:bCs/>
                <w:i w:val="0"/>
                <w:iCs w:val="0"/>
                <w:color w:val="000000"/>
                <w:sz w:val="21"/>
                <w:szCs w:val="21"/>
                <w:u w:val="none"/>
              </w:rPr>
            </w:pPr>
          </w:p>
        </w:tc>
      </w:tr>
      <w:tr w14:paraId="6FC8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7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F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操作台（含椅子）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7B0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7291">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CD7B">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7F4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2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F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22BC">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986D">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0211">
            <w:pPr>
              <w:jc w:val="center"/>
              <w:rPr>
                <w:rFonts w:hint="eastAsia" w:asciiTheme="minorEastAsia" w:hAnsiTheme="minorEastAsia" w:eastAsiaTheme="minorEastAsia" w:cstheme="minorEastAsia"/>
                <w:b/>
                <w:bCs/>
                <w:i w:val="0"/>
                <w:iCs w:val="0"/>
                <w:color w:val="000000"/>
                <w:sz w:val="21"/>
                <w:szCs w:val="21"/>
                <w:u w:val="none"/>
              </w:rPr>
            </w:pPr>
          </w:p>
        </w:tc>
      </w:tr>
      <w:tr w14:paraId="581A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F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7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24口POE接入交换设备</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18D6">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AD3B">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9A52">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51C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9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A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C906">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F35C">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6D89">
            <w:pPr>
              <w:jc w:val="center"/>
              <w:rPr>
                <w:rFonts w:hint="eastAsia" w:asciiTheme="minorEastAsia" w:hAnsiTheme="minorEastAsia" w:eastAsiaTheme="minorEastAsia" w:cstheme="minorEastAsia"/>
                <w:b/>
                <w:bCs/>
                <w:i w:val="0"/>
                <w:iCs w:val="0"/>
                <w:color w:val="000000"/>
                <w:sz w:val="21"/>
                <w:szCs w:val="21"/>
                <w:u w:val="none"/>
              </w:rPr>
            </w:pPr>
          </w:p>
        </w:tc>
      </w:tr>
      <w:tr w14:paraId="6A2C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1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A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机柜</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258C">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A529">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D984">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2C2">
            <w:pPr>
              <w:jc w:val="center"/>
              <w:rPr>
                <w:rFonts w:hint="eastAsia" w:asciiTheme="minorEastAsia" w:hAnsiTheme="minorEastAsia" w:eastAsiaTheme="minorEastAsia" w:cstheme="minorEastAsia"/>
                <w:i w:val="0"/>
                <w:iCs w:val="0"/>
                <w:color w:val="000000"/>
                <w:sz w:val="21"/>
                <w:szCs w:val="21"/>
                <w:u w:val="none"/>
                <w:lang w:val="en-US" w:eastAsia="en-US" w:bidi="ar-SA"/>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F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8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en-US"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70E0">
            <w:pPr>
              <w:rPr>
                <w:rFonts w:hint="eastAsia" w:asciiTheme="minorEastAsia" w:hAnsiTheme="minorEastAsia" w:eastAsiaTheme="minorEastAsia" w:cstheme="minorEastAsia"/>
                <w:i w:val="0"/>
                <w:iCs w:val="0"/>
                <w:color w:val="000000"/>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718C">
            <w:pPr>
              <w:rPr>
                <w:rFonts w:hint="eastAsia" w:asciiTheme="minorEastAsia" w:hAnsiTheme="minorEastAsia" w:eastAsiaTheme="minorEastAsia" w:cstheme="minorEastAsia"/>
                <w:i w:val="0"/>
                <w:iCs w:val="0"/>
                <w:color w:val="000000"/>
                <w:sz w:val="21"/>
                <w:szCs w:val="21"/>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BFD9">
            <w:pPr>
              <w:jc w:val="center"/>
              <w:rPr>
                <w:rFonts w:hint="eastAsia" w:asciiTheme="minorEastAsia" w:hAnsiTheme="minorEastAsia" w:eastAsiaTheme="minorEastAsia" w:cstheme="minorEastAsia"/>
                <w:b/>
                <w:bCs/>
                <w:i w:val="0"/>
                <w:iCs w:val="0"/>
                <w:color w:val="000000"/>
                <w:sz w:val="21"/>
                <w:szCs w:val="21"/>
                <w:u w:val="none"/>
              </w:rPr>
            </w:pPr>
          </w:p>
        </w:tc>
      </w:tr>
      <w:tr w14:paraId="3C5F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A85ACE">
            <w:pPr>
              <w:widowControl w:val="0"/>
              <w:spacing w:after="160" w:line="278" w:lineRule="auto"/>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合计（</w:t>
            </w:r>
            <w:r>
              <w:rPr>
                <w:rFonts w:hint="eastAsia" w:asciiTheme="minorEastAsia" w:hAnsiTheme="minorEastAsia" w:eastAsiaTheme="minorEastAsia" w:cstheme="minorEastAsia"/>
                <w:bCs/>
                <w:sz w:val="21"/>
                <w:szCs w:val="21"/>
              </w:rPr>
              <w:t>即投标总价；币种：人民币；单位：元</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小写：       大写：</w:t>
            </w:r>
            <w:r>
              <w:rPr>
                <w:rFonts w:hint="eastAsia" w:asciiTheme="minorEastAsia" w:hAnsiTheme="minorEastAsia" w:eastAsiaTheme="minorEastAsia" w:cstheme="minorEastAsia"/>
                <w:color w:val="000000"/>
                <w:kern w:val="0"/>
                <w:sz w:val="21"/>
                <w:szCs w:val="21"/>
                <w:lang w:eastAsia="zh-CN"/>
              </w:rPr>
              <w:tab/>
            </w:r>
          </w:p>
        </w:tc>
      </w:tr>
    </w:tbl>
    <w:p w14:paraId="47B6F444">
      <w:pPr>
        <w:widowControl w:val="0"/>
        <w:spacing w:after="160" w:line="278" w:lineRule="auto"/>
        <w:ind w:firstLine="482" w:firstLineChars="200"/>
        <w:jc w:val="both"/>
        <w:rPr>
          <w:rFonts w:hint="default" w:ascii="宋体" w:hAnsi="宋体" w:eastAsia="宋体"/>
          <w:b/>
          <w:kern w:val="2"/>
          <w:lang w:val="en-US" w:eastAsia="zh-CN"/>
        </w:rPr>
      </w:pPr>
      <w:r>
        <w:rPr>
          <w:rFonts w:hint="eastAsia" w:ascii="宋体" w:hAnsi="宋体" w:eastAsia="宋体"/>
          <w:b/>
          <w:kern w:val="2"/>
          <w:lang w:val="en-US" w:eastAsia="zh-CN"/>
        </w:rPr>
        <w:t xml:space="preserve">              </w:t>
      </w:r>
    </w:p>
    <w:p w14:paraId="1C7D4A39">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bookmarkStart w:id="66" w:name="OLE_LINK30"/>
      <w:bookmarkStart w:id="67" w:name="OLE_LINK29"/>
      <w:r>
        <w:rPr>
          <w:rFonts w:hint="eastAsia" w:ascii="宋体" w:hAnsi="宋体" w:eastAsia="宋体" w:cs="宋体"/>
          <w:b/>
          <w:bCs w:val="0"/>
          <w:kern w:val="2"/>
          <w:sz w:val="24"/>
          <w:szCs w:val="24"/>
          <w:lang w:val="en-US" w:eastAsia="zh-CN" w:bidi="ar"/>
        </w:rPr>
        <w:t>注：1.本表可按同样格式扩展。</w:t>
      </w:r>
    </w:p>
    <w:p w14:paraId="773217DB">
      <w:pPr>
        <w:keepNext w:val="0"/>
        <w:keepLines w:val="0"/>
        <w:widowControl w:val="0"/>
        <w:suppressLineNumbers w:val="0"/>
        <w:spacing w:before="0" w:beforeAutospacing="0" w:after="0" w:afterAutospacing="0"/>
        <w:ind w:left="0" w:right="0" w:firstLine="472" w:firstLineChars="196"/>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5FDE9802">
      <w:pPr>
        <w:keepNext w:val="0"/>
        <w:keepLines w:val="0"/>
        <w:widowControl w:val="0"/>
        <w:suppressLineNumbers w:val="0"/>
        <w:spacing w:before="0" w:beforeAutospacing="0" w:after="0" w:afterAutospacing="0"/>
        <w:ind w:left="0" w:right="0" w:firstLine="472" w:firstLineChars="196"/>
        <w:jc w:val="both"/>
        <w:rPr>
          <w:b/>
          <w:bCs w:val="0"/>
          <w:sz w:val="24"/>
          <w:szCs w:val="24"/>
          <w:lang w:val="en-US"/>
        </w:rPr>
      </w:pPr>
      <w:r>
        <w:rPr>
          <w:rFonts w:hint="eastAsia" w:ascii="宋体" w:hAnsi="宋体" w:eastAsia="宋体" w:cs="宋体"/>
          <w:b/>
          <w:bCs w:val="0"/>
          <w:kern w:val="2"/>
          <w:sz w:val="24"/>
          <w:szCs w:val="24"/>
          <w:lang w:val="en-US" w:eastAsia="zh-CN" w:bidi="ar"/>
        </w:rPr>
        <w:t>3.如所投货物属于定制类的非量产货物或无具体型号的货物，可以在“规格/型号”栏目仅填写规格信息而不填型号信息（型号信息用“定制”描述即可）；</w:t>
      </w:r>
      <w:bookmarkStart w:id="68" w:name="_Hlk73646428"/>
      <w:r>
        <w:rPr>
          <w:rFonts w:hint="eastAsia" w:ascii="宋体" w:hAnsi="宋体" w:eastAsia="宋体" w:cs="宋体"/>
          <w:b/>
          <w:bCs w:val="0"/>
          <w:kern w:val="2"/>
          <w:sz w:val="24"/>
          <w:szCs w:val="24"/>
          <w:lang w:val="en-US" w:eastAsia="zh-CN" w:bidi="ar"/>
        </w:rPr>
        <w:t>此类填写错误或缺漏（所投货物为定制类的非量产货物但供应商却错误填报了型号）的不利后果</w:t>
      </w:r>
      <w:r>
        <w:rPr>
          <w:rFonts w:hint="eastAsia" w:ascii="Times New Roman" w:hAnsi="Times New Roman" w:eastAsia="宋体" w:cs="宋体"/>
          <w:b/>
          <w:bCs w:val="0"/>
          <w:kern w:val="2"/>
          <w:sz w:val="24"/>
          <w:szCs w:val="24"/>
          <w:lang w:val="en-US" w:eastAsia="zh-CN" w:bidi="ar"/>
        </w:rPr>
        <w:t>由供应商承担。经评审委员会认定，在使用综合评分法的项目中一项此类填写错误或缺漏将按照一项普通招标技术要求（一般参数</w:t>
      </w:r>
      <w:r>
        <w:rPr>
          <w:rFonts w:hint="default" w:ascii="Times New Roman" w:hAnsi="Times New Roman" w:eastAsia="宋体" w:cs="Times New Roman"/>
          <w:b/>
          <w:bCs w:val="0"/>
          <w:kern w:val="2"/>
          <w:sz w:val="24"/>
          <w:szCs w:val="24"/>
          <w:lang w:val="en-US" w:eastAsia="zh-CN" w:bidi="ar"/>
        </w:rPr>
        <w:t>/</w:t>
      </w:r>
      <w:r>
        <w:rPr>
          <w:rFonts w:hint="eastAsia" w:ascii="Times New Roman" w:hAnsi="Times New Roman" w:eastAsia="宋体" w:cs="宋体"/>
          <w:b/>
          <w:bCs w:val="0"/>
          <w:kern w:val="2"/>
          <w:sz w:val="24"/>
          <w:szCs w:val="24"/>
          <w:lang w:val="en-US" w:eastAsia="zh-CN" w:bidi="ar"/>
        </w:rPr>
        <w:t>普通参数）负偏离扣分处理。</w:t>
      </w:r>
      <w:bookmarkEnd w:id="68"/>
    </w:p>
    <w:p w14:paraId="0AA1E456">
      <w:pPr>
        <w:keepNext w:val="0"/>
        <w:keepLines w:val="0"/>
        <w:widowControl w:val="0"/>
        <w:suppressLineNumbers w:val="0"/>
        <w:spacing w:before="0" w:beforeAutospacing="0" w:after="0" w:afterAutospacing="0"/>
        <w:ind w:left="0" w:right="0" w:firstLine="472" w:firstLineChars="196"/>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3.“原产地”是指货物的实际生产加工地，非品牌所在地</w:t>
      </w:r>
    </w:p>
    <w:p w14:paraId="193E09FC">
      <w:pPr>
        <w:keepNext w:val="0"/>
        <w:keepLines w:val="0"/>
        <w:widowControl w:val="0"/>
        <w:suppressLineNumbers w:val="0"/>
        <w:spacing w:before="0" w:beforeAutospacing="0" w:after="0" w:afterAutospacing="0"/>
        <w:ind w:left="0" w:right="0" w:firstLine="472" w:firstLineChars="196"/>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4.所投货物均应填写制造商名称，“制造商”是指产品品牌厂商，产品代工制造的，应填写接受委托生产制造的制造商。</w:t>
      </w:r>
    </w:p>
    <w:p w14:paraId="22B021D3">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5.以上分项报价表的投标总价应当与开标一览表的投标总价一致。</w:t>
      </w:r>
    </w:p>
    <w:p w14:paraId="37AE2B3B">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6.单价、合价和投标总价为包干价，即三者均应包含货物的价款、包装、运输、装卸、安装、调试、技术指导、培训、咨询、服务、保险、税费、检测、验收合格交付使用之前以及技术和售后服务等其他各项有关费用。</w:t>
      </w:r>
    </w:p>
    <w:p w14:paraId="03345EC2">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7.</w:t>
      </w:r>
      <w:bookmarkStart w:id="69" w:name="OLE_LINK28"/>
      <w:r>
        <w:rPr>
          <w:rFonts w:hint="eastAsia" w:ascii="宋体" w:hAnsi="宋体" w:eastAsia="宋体" w:cs="宋体"/>
          <w:b/>
          <w:bCs w:val="0"/>
          <w:kern w:val="2"/>
          <w:sz w:val="24"/>
          <w:szCs w:val="24"/>
          <w:lang w:val="en-US" w:eastAsia="zh-CN" w:bidi="ar"/>
        </w:rPr>
        <w:t>所有价格应按“招标文件”中规定的货币单位填写；投标总价应为以上各分项价格之和；投标总价和项目报价表中单个采购预算条目报价均不得超过对应的财政预算限额，否则将导致投标无效。</w:t>
      </w:r>
      <w:bookmarkEnd w:id="66"/>
      <w:bookmarkEnd w:id="67"/>
      <w:bookmarkEnd w:id="69"/>
    </w:p>
    <w:p w14:paraId="5D0164BB">
      <w:pPr>
        <w:widowControl w:val="0"/>
        <w:spacing w:after="160" w:line="278" w:lineRule="auto"/>
        <w:ind w:firstLine="482" w:firstLineChars="200"/>
        <w:jc w:val="both"/>
        <w:rPr>
          <w:rFonts w:ascii="宋体" w:hAnsi="宋体" w:eastAsia="宋体"/>
          <w:b/>
          <w:color w:val="FF0000"/>
          <w:kern w:val="2"/>
          <w:lang w:eastAsia="zh-CN"/>
        </w:rPr>
      </w:pPr>
    </w:p>
    <w:p w14:paraId="32D5E7DF">
      <w:pPr>
        <w:widowControl w:val="0"/>
        <w:tabs>
          <w:tab w:val="left" w:pos="720"/>
        </w:tabs>
        <w:spacing w:after="160" w:line="278" w:lineRule="auto"/>
        <w:jc w:val="center"/>
        <w:rPr>
          <w:rFonts w:eastAsia="宋体"/>
          <w:b/>
          <w:kern w:val="2"/>
          <w:lang w:eastAsia="zh-CN"/>
        </w:rPr>
      </w:pPr>
      <w:r>
        <w:rPr>
          <w:rFonts w:hint="eastAsia" w:eastAsia="宋体"/>
          <w:b/>
          <w:kern w:val="2"/>
          <w:lang w:eastAsia="zh-CN"/>
        </w:rPr>
        <w:t>（二）核心产品品牌</w:t>
      </w:r>
    </w:p>
    <w:p w14:paraId="3A09267E">
      <w:pPr>
        <w:widowControl w:val="0"/>
        <w:spacing w:after="160" w:line="278" w:lineRule="auto"/>
        <w:ind w:firstLine="482" w:firstLineChars="200"/>
        <w:jc w:val="both"/>
        <w:rPr>
          <w:rFonts w:ascii="宋体" w:hAnsi="宋体" w:eastAsia="宋体"/>
          <w:b/>
          <w:color w:val="FF0000"/>
          <w:kern w:val="2"/>
          <w:lang w:eastAsia="zh-CN"/>
        </w:rPr>
      </w:pPr>
    </w:p>
    <w:p w14:paraId="07F746C7">
      <w:pPr>
        <w:widowControl w:val="0"/>
        <w:spacing w:after="160" w:line="278" w:lineRule="auto"/>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3596C786">
      <w:pPr>
        <w:widowControl w:val="0"/>
        <w:spacing w:after="160" w:line="278" w:lineRule="auto"/>
        <w:ind w:firstLine="482" w:firstLineChars="200"/>
        <w:jc w:val="both"/>
        <w:rPr>
          <w:rFonts w:ascii="宋体" w:hAnsi="宋体" w:eastAsia="宋体"/>
          <w:b/>
          <w:color w:val="FF0000"/>
          <w:kern w:val="2"/>
          <w:lang w:eastAsia="zh-CN"/>
        </w:rPr>
      </w:pPr>
    </w:p>
    <w:p w14:paraId="1912D7EA">
      <w:pPr>
        <w:widowControl w:val="0"/>
        <w:spacing w:after="160" w:line="278" w:lineRule="auto"/>
        <w:ind w:firstLine="480" w:firstLineChars="200"/>
        <w:jc w:val="both"/>
        <w:rPr>
          <w:rFonts w:ascii="宋体" w:hAnsi="宋体" w:eastAsia="宋体"/>
          <w:kern w:val="2"/>
          <w:lang w:eastAsia="zh-CN"/>
        </w:rPr>
      </w:pPr>
      <w:r>
        <w:rPr>
          <w:rFonts w:hint="eastAsia" w:ascii="宋体" w:hAnsi="宋体" w:eastAsia="宋体"/>
          <w:kern w:val="2"/>
          <w:lang w:eastAsia="zh-CN"/>
        </w:rPr>
        <w:t>备注：单一产品采购项目，核心产品即为该单一产品。</w:t>
      </w:r>
    </w:p>
    <w:p w14:paraId="304B40E8">
      <w:pPr>
        <w:widowControl w:val="0"/>
        <w:spacing w:after="160" w:line="278" w:lineRule="auto"/>
        <w:ind w:firstLine="482" w:firstLineChars="200"/>
        <w:jc w:val="both"/>
        <w:rPr>
          <w:rFonts w:ascii="宋体" w:hAnsi="宋体" w:eastAsia="宋体"/>
          <w:b/>
          <w:color w:val="FF0000"/>
          <w:kern w:val="2"/>
          <w:lang w:eastAsia="zh-CN"/>
        </w:rPr>
      </w:pPr>
    </w:p>
    <w:p w14:paraId="4A36FF29">
      <w:pPr>
        <w:widowControl w:val="0"/>
        <w:spacing w:after="160" w:line="278" w:lineRule="auto"/>
        <w:ind w:firstLine="482" w:firstLineChars="200"/>
        <w:jc w:val="both"/>
        <w:rPr>
          <w:rFonts w:ascii="宋体" w:hAnsi="宋体" w:eastAsia="宋体"/>
          <w:b/>
          <w:color w:val="FF0000"/>
          <w:kern w:val="2"/>
          <w:lang w:eastAsia="zh-CN"/>
        </w:rPr>
      </w:pPr>
    </w:p>
    <w:p w14:paraId="21B1CE09">
      <w:pPr>
        <w:widowControl w:val="0"/>
        <w:spacing w:after="160" w:line="278" w:lineRule="auto"/>
        <w:jc w:val="both"/>
        <w:rPr>
          <w:rFonts w:eastAsia="宋体"/>
          <w:b/>
          <w:kern w:val="2"/>
          <w:lang w:eastAsia="zh-CN"/>
        </w:rPr>
      </w:pPr>
    </w:p>
    <w:p w14:paraId="523F6D31">
      <w:pPr>
        <w:widowControl w:val="0"/>
        <w:tabs>
          <w:tab w:val="left" w:pos="720"/>
        </w:tabs>
        <w:spacing w:after="160" w:line="278" w:lineRule="auto"/>
        <w:ind w:firstLine="1928" w:firstLineChars="800"/>
        <w:jc w:val="both"/>
        <w:rPr>
          <w:rFonts w:eastAsia="宋体"/>
          <w:b/>
          <w:kern w:val="2"/>
          <w:lang w:eastAsia="zh-CN"/>
        </w:rPr>
      </w:pPr>
      <w:r>
        <w:rPr>
          <w:rFonts w:hint="eastAsia" w:eastAsia="宋体"/>
          <w:b/>
          <w:kern w:val="2"/>
          <w:lang w:eastAsia="zh-CN"/>
        </w:rPr>
        <w:t>（三）可选配件报价清单（不包括在总报价内）</w:t>
      </w:r>
    </w:p>
    <w:p w14:paraId="32CF2A60">
      <w:pPr>
        <w:widowControl w:val="0"/>
        <w:spacing w:after="160" w:line="278" w:lineRule="auto"/>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14:paraId="0C55CE43">
      <w:pPr>
        <w:widowControl w:val="0"/>
        <w:spacing w:after="160" w:line="278" w:lineRule="auto"/>
        <w:ind w:firstLine="482" w:firstLineChars="200"/>
        <w:jc w:val="both"/>
        <w:rPr>
          <w:rFonts w:hAnsi="宋体" w:eastAsia="宋体"/>
          <w:b/>
          <w:bCs/>
          <w:kern w:val="2"/>
          <w:lang w:eastAsia="zh-CN"/>
        </w:rPr>
      </w:pPr>
    </w:p>
    <w:p w14:paraId="362C578E">
      <w:pPr>
        <w:widowControl w:val="0"/>
        <w:spacing w:after="160" w:line="278" w:lineRule="auto"/>
        <w:ind w:firstLine="482" w:firstLineChars="200"/>
        <w:jc w:val="both"/>
        <w:rPr>
          <w:rFonts w:hAnsi="宋体" w:eastAsia="宋体"/>
          <w:b/>
          <w:bCs/>
          <w:kern w:val="2"/>
          <w:lang w:eastAsia="zh-CN"/>
        </w:rPr>
      </w:pPr>
    </w:p>
    <w:p w14:paraId="25BD47C8">
      <w:pPr>
        <w:widowControl w:val="0"/>
        <w:tabs>
          <w:tab w:val="left" w:pos="720"/>
        </w:tabs>
        <w:spacing w:after="160" w:line="278" w:lineRule="auto"/>
        <w:jc w:val="center"/>
        <w:rPr>
          <w:rFonts w:eastAsia="宋体"/>
          <w:b/>
          <w:kern w:val="2"/>
          <w:lang w:eastAsia="zh-CN"/>
        </w:rPr>
      </w:pPr>
      <w:r>
        <w:rPr>
          <w:rFonts w:hint="eastAsia" w:eastAsia="宋体"/>
          <w:b/>
          <w:kern w:val="2"/>
          <w:lang w:eastAsia="zh-CN"/>
        </w:rPr>
        <w:t>（四）</w:t>
      </w:r>
      <w:bookmarkStart w:id="70" w:name="_Hlk72073235"/>
      <w:r>
        <w:rPr>
          <w:rFonts w:hint="eastAsia" w:eastAsia="宋体"/>
          <w:b/>
          <w:kern w:val="2"/>
          <w:lang w:eastAsia="zh-CN"/>
        </w:rPr>
        <w:t>投标人认为需要涉及的其他内容报价清单</w:t>
      </w:r>
      <w:bookmarkEnd w:id="70"/>
    </w:p>
    <w:p w14:paraId="2D5F9F60">
      <w:pPr>
        <w:widowControl w:val="0"/>
        <w:spacing w:after="160" w:line="278" w:lineRule="auto"/>
        <w:jc w:val="both"/>
        <w:rPr>
          <w:rFonts w:eastAsia="宋体"/>
          <w:b/>
          <w:bCs/>
          <w:kern w:val="2"/>
          <w:sz w:val="21"/>
          <w:lang w:eastAsia="zh-CN"/>
        </w:rPr>
      </w:pPr>
    </w:p>
    <w:p w14:paraId="1152D151">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bCs/>
          <w:kern w:val="2"/>
          <w:lang w:eastAsia="zh-CN"/>
        </w:rPr>
        <w:t>五、投标人认为需要加以说明的其他内容（正文部分）</w:t>
      </w:r>
    </w:p>
    <w:p w14:paraId="3F2B1BD9">
      <w:pPr>
        <w:widowControl w:val="0"/>
        <w:spacing w:after="160" w:line="278" w:lineRule="auto"/>
        <w:jc w:val="both"/>
        <w:rPr>
          <w:rFonts w:eastAsia="宋体"/>
          <w:kern w:val="2"/>
          <w:sz w:val="21"/>
          <w:lang w:eastAsia="zh-CN"/>
        </w:rPr>
      </w:pPr>
    </w:p>
    <w:bookmarkEnd w:id="65"/>
    <w:p w14:paraId="1355165C">
      <w:pPr>
        <w:spacing w:after="160" w:line="278" w:lineRule="auto"/>
        <w:rPr>
          <w:rFonts w:ascii="宋体" w:hAnsi="宋体" w:eastAsia="宋体"/>
          <w:b/>
          <w:color w:val="FF0000"/>
          <w:kern w:val="2"/>
          <w:sz w:val="28"/>
          <w:szCs w:val="28"/>
          <w:lang w:eastAsia="zh-CN"/>
        </w:rPr>
      </w:pPr>
      <w:bookmarkStart w:id="71" w:name="_Hlk72260530"/>
      <w:r>
        <w:rPr>
          <w:rFonts w:hint="eastAsia" w:ascii="宋体" w:hAnsi="宋体" w:eastAsia="宋体"/>
          <w:b/>
          <w:color w:val="FF0000"/>
          <w:kern w:val="2"/>
          <w:sz w:val="28"/>
          <w:szCs w:val="28"/>
          <w:lang w:eastAsia="zh-CN"/>
        </w:rPr>
        <w:br w:type="page"/>
      </w:r>
    </w:p>
    <w:p w14:paraId="09D8CD3A">
      <w:pPr>
        <w:widowControl w:val="0"/>
        <w:spacing w:after="160" w:line="278" w:lineRule="auto"/>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投标文件附件</w:t>
      </w:r>
    </w:p>
    <w:p w14:paraId="36E07FED">
      <w:pPr>
        <w:keepNext/>
        <w:keepLines/>
        <w:widowControl w:val="0"/>
        <w:spacing w:before="0" w:after="0" w:line="240" w:lineRule="auto"/>
        <w:jc w:val="center"/>
        <w:outlineLvl w:val="2"/>
        <w:rPr>
          <w:rFonts w:ascii="黑体" w:hAnsi="黑体" w:eastAsia="黑体" w:cs="黑体"/>
          <w:b w:val="0"/>
          <w:bCs w:val="0"/>
          <w:kern w:val="2"/>
          <w:sz w:val="24"/>
          <w:szCs w:val="28"/>
          <w:lang w:val="en-US" w:eastAsia="zh-CN" w:bidi="ar-SA"/>
        </w:rPr>
      </w:pPr>
      <w:r>
        <w:rPr>
          <w:rFonts w:hint="eastAsia" w:ascii="黑体" w:hAnsi="黑体" w:eastAsia="黑体" w:cs="黑体"/>
          <w:b w:val="0"/>
          <w:bCs w:val="0"/>
          <w:kern w:val="2"/>
          <w:sz w:val="24"/>
          <w:szCs w:val="28"/>
          <w:lang w:val="en-US" w:eastAsia="zh-CN" w:bidi="ar-SA"/>
        </w:rPr>
        <w:t>一、供应商基本情况表</w:t>
      </w:r>
    </w:p>
    <w:p w14:paraId="66FD24C1">
      <w:pPr>
        <w:rPr>
          <w:rFonts w:ascii="Times New Roman" w:hAnsi="Times New Roman" w:eastAsia="宋体" w:cs="Times New Roman"/>
        </w:rPr>
      </w:pPr>
    </w:p>
    <w:tbl>
      <w:tblPr>
        <w:tblStyle w:val="19"/>
        <w:tblpPr w:leftFromText="180" w:rightFromText="180" w:vertAnchor="text" w:horzAnchor="page" w:tblpX="1349" w:tblpY="482"/>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6"/>
        <w:gridCol w:w="1237"/>
        <w:gridCol w:w="791"/>
        <w:gridCol w:w="912"/>
        <w:gridCol w:w="1729"/>
        <w:gridCol w:w="1818"/>
      </w:tblGrid>
      <w:tr w14:paraId="4AC2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2" w:type="dxa"/>
            <w:gridSpan w:val="2"/>
            <w:tcBorders>
              <w:top w:val="single" w:color="auto" w:sz="4" w:space="0"/>
              <w:left w:val="single" w:color="auto" w:sz="4" w:space="0"/>
              <w:bottom w:val="single" w:color="auto" w:sz="4" w:space="0"/>
              <w:right w:val="single" w:color="auto" w:sz="4" w:space="0"/>
            </w:tcBorders>
            <w:vAlign w:val="center"/>
          </w:tcPr>
          <w:p w14:paraId="6E602CF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CA7904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C2DA9C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47" w:type="dxa"/>
            <w:gridSpan w:val="2"/>
            <w:tcBorders>
              <w:top w:val="single" w:color="auto" w:sz="4" w:space="0"/>
              <w:left w:val="single" w:color="auto" w:sz="4" w:space="0"/>
              <w:bottom w:val="single" w:color="auto" w:sz="4" w:space="0"/>
              <w:right w:val="single" w:color="auto" w:sz="4" w:space="0"/>
            </w:tcBorders>
            <w:vAlign w:val="center"/>
          </w:tcPr>
          <w:p w14:paraId="40F3DFE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 w:val="21"/>
                <w:szCs w:val="21"/>
              </w:rPr>
            </w:pPr>
          </w:p>
        </w:tc>
      </w:tr>
      <w:tr w14:paraId="1767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2A48852">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ABEE41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D400BA">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供应商统一社会信用代码</w:t>
            </w:r>
          </w:p>
        </w:tc>
        <w:tc>
          <w:tcPr>
            <w:tcW w:w="3547" w:type="dxa"/>
            <w:gridSpan w:val="2"/>
            <w:tcBorders>
              <w:top w:val="single" w:color="auto" w:sz="4" w:space="0"/>
              <w:left w:val="single" w:color="auto" w:sz="4" w:space="0"/>
              <w:bottom w:val="single" w:color="auto" w:sz="4" w:space="0"/>
              <w:right w:val="single" w:color="auto" w:sz="4" w:space="0"/>
            </w:tcBorders>
            <w:vAlign w:val="center"/>
          </w:tcPr>
          <w:p w14:paraId="02B9591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14:paraId="334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14:paraId="7764243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D13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332328B0">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38DF7FD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职务</w:t>
            </w:r>
          </w:p>
        </w:tc>
        <w:tc>
          <w:tcPr>
            <w:tcW w:w="1237" w:type="dxa"/>
            <w:tcBorders>
              <w:top w:val="single" w:color="auto" w:sz="4" w:space="0"/>
              <w:left w:val="single" w:color="auto" w:sz="4" w:space="0"/>
              <w:bottom w:val="single" w:color="auto" w:sz="4" w:space="0"/>
              <w:right w:val="single" w:color="auto" w:sz="4" w:space="0"/>
            </w:tcBorders>
            <w:vAlign w:val="center"/>
          </w:tcPr>
          <w:p w14:paraId="1750A31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2A34C3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729" w:type="dxa"/>
            <w:tcBorders>
              <w:top w:val="single" w:color="auto" w:sz="4" w:space="0"/>
              <w:left w:val="single" w:color="auto" w:sz="4" w:space="0"/>
              <w:bottom w:val="single" w:color="auto" w:sz="4" w:space="0"/>
              <w:right w:val="single" w:color="auto" w:sz="4" w:space="0"/>
            </w:tcBorders>
            <w:vAlign w:val="center"/>
          </w:tcPr>
          <w:p w14:paraId="5CCF38C1">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劳动合同</w:t>
            </w:r>
          </w:p>
          <w:p w14:paraId="6A687F03">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18" w:type="dxa"/>
            <w:tcBorders>
              <w:top w:val="single" w:color="auto" w:sz="4" w:space="0"/>
              <w:left w:val="single" w:color="auto" w:sz="4" w:space="0"/>
              <w:bottom w:val="single" w:color="auto" w:sz="4" w:space="0"/>
              <w:right w:val="single" w:color="auto" w:sz="4" w:space="0"/>
            </w:tcBorders>
            <w:vAlign w:val="center"/>
          </w:tcPr>
          <w:p w14:paraId="470278E4">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缴纳社会</w:t>
            </w:r>
          </w:p>
          <w:p w14:paraId="352DA6DD">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44CE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405A576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05C8459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1237" w:type="dxa"/>
            <w:tcBorders>
              <w:top w:val="single" w:color="auto" w:sz="4" w:space="0"/>
              <w:left w:val="single" w:color="auto" w:sz="4" w:space="0"/>
              <w:bottom w:val="single" w:color="auto" w:sz="4" w:space="0"/>
              <w:right w:val="single" w:color="auto" w:sz="4" w:space="0"/>
            </w:tcBorders>
            <w:vAlign w:val="center"/>
          </w:tcPr>
          <w:p w14:paraId="0F4AEE0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1B64E4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14:paraId="0C5A13B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14:paraId="7B46795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14:paraId="5109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38C4CA3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0E46E24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1237" w:type="dxa"/>
            <w:tcBorders>
              <w:top w:val="single" w:color="auto" w:sz="4" w:space="0"/>
              <w:left w:val="single" w:color="auto" w:sz="4" w:space="0"/>
              <w:bottom w:val="single" w:color="auto" w:sz="4" w:space="0"/>
              <w:right w:val="single" w:color="auto" w:sz="4" w:space="0"/>
            </w:tcBorders>
            <w:vAlign w:val="center"/>
          </w:tcPr>
          <w:p w14:paraId="66B87A0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C2DE6B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14:paraId="345D443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14:paraId="5CF6DC5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14:paraId="3D4E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3D2B18A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74E9A1F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1237" w:type="dxa"/>
            <w:tcBorders>
              <w:top w:val="single" w:color="auto" w:sz="4" w:space="0"/>
              <w:left w:val="single" w:color="auto" w:sz="4" w:space="0"/>
              <w:bottom w:val="single" w:color="auto" w:sz="4" w:space="0"/>
              <w:right w:val="single" w:color="auto" w:sz="4" w:space="0"/>
            </w:tcBorders>
            <w:vAlign w:val="center"/>
          </w:tcPr>
          <w:p w14:paraId="690A79C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1145D3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14:paraId="5DA77A3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14:paraId="16EAB26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14:paraId="5008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7A3DD72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241D1E8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1237" w:type="dxa"/>
            <w:tcBorders>
              <w:top w:val="single" w:color="auto" w:sz="4" w:space="0"/>
              <w:left w:val="single" w:color="auto" w:sz="4" w:space="0"/>
              <w:bottom w:val="single" w:color="auto" w:sz="4" w:space="0"/>
              <w:right w:val="single" w:color="auto" w:sz="4" w:space="0"/>
            </w:tcBorders>
            <w:vAlign w:val="center"/>
          </w:tcPr>
          <w:p w14:paraId="003A496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24F204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14:paraId="734D9EE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14:paraId="5BA5AE9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14:paraId="590B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68F2F10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7B79D6D8">
            <w:pPr>
              <w:keepNext w:val="0"/>
              <w:keepLines w:val="0"/>
              <w:widowControl w:val="0"/>
              <w:suppressLineNumbers w:val="0"/>
              <w:snapToGrid w:val="0"/>
              <w:spacing w:before="0" w:beforeAutospacing="0" w:after="0" w:afterAutospacing="0" w:line="400" w:lineRule="exact"/>
              <w:ind w:left="0" w:right="0" w:firstLine="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投标文件编制人员</w:t>
            </w:r>
          </w:p>
        </w:tc>
        <w:tc>
          <w:tcPr>
            <w:tcW w:w="1237" w:type="dxa"/>
            <w:tcBorders>
              <w:top w:val="single" w:color="auto" w:sz="4" w:space="0"/>
              <w:left w:val="single" w:color="auto" w:sz="4" w:space="0"/>
              <w:bottom w:val="single" w:color="auto" w:sz="4" w:space="0"/>
              <w:right w:val="single" w:color="auto" w:sz="4" w:space="0"/>
            </w:tcBorders>
            <w:vAlign w:val="center"/>
          </w:tcPr>
          <w:p w14:paraId="10B47B0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7988CF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729" w:type="dxa"/>
            <w:tcBorders>
              <w:top w:val="single" w:color="auto" w:sz="4" w:space="0"/>
              <w:left w:val="single" w:color="auto" w:sz="4" w:space="0"/>
              <w:bottom w:val="single" w:color="auto" w:sz="4" w:space="0"/>
              <w:right w:val="single" w:color="auto" w:sz="4" w:space="0"/>
            </w:tcBorders>
            <w:vAlign w:val="center"/>
          </w:tcPr>
          <w:p w14:paraId="4C9FC1E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1818" w:type="dxa"/>
            <w:tcBorders>
              <w:top w:val="single" w:color="auto" w:sz="4" w:space="0"/>
              <w:left w:val="single" w:color="auto" w:sz="4" w:space="0"/>
              <w:bottom w:val="single" w:color="auto" w:sz="4" w:space="0"/>
              <w:right w:val="single" w:color="auto" w:sz="4" w:space="0"/>
            </w:tcBorders>
            <w:vAlign w:val="center"/>
          </w:tcPr>
          <w:p w14:paraId="2315EBE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r>
      <w:tr w14:paraId="0A4D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14:paraId="1AAE163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3B28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14:paraId="10AE892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14:paraId="311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239CBA8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28EB009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6326847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459" w:type="dxa"/>
            <w:gridSpan w:val="3"/>
            <w:tcBorders>
              <w:top w:val="single" w:color="auto" w:sz="4" w:space="0"/>
              <w:left w:val="single" w:color="auto" w:sz="4" w:space="0"/>
              <w:bottom w:val="single" w:color="auto" w:sz="4" w:space="0"/>
              <w:right w:val="single" w:color="auto" w:sz="4" w:space="0"/>
            </w:tcBorders>
            <w:vAlign w:val="center"/>
          </w:tcPr>
          <w:p w14:paraId="5C0D0E7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r>
      <w:tr w14:paraId="04F7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7410D27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76D9FF3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0B5E905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4459" w:type="dxa"/>
            <w:gridSpan w:val="3"/>
            <w:tcBorders>
              <w:top w:val="single" w:color="auto" w:sz="4" w:space="0"/>
              <w:left w:val="single" w:color="auto" w:sz="4" w:space="0"/>
              <w:bottom w:val="single" w:color="auto" w:sz="4" w:space="0"/>
              <w:right w:val="single" w:color="auto" w:sz="4" w:space="0"/>
            </w:tcBorders>
            <w:vAlign w:val="center"/>
          </w:tcPr>
          <w:p w14:paraId="7A003C31">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45A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tcBorders>
              <w:top w:val="single" w:color="auto" w:sz="4" w:space="0"/>
              <w:left w:val="single" w:color="auto" w:sz="4" w:space="0"/>
              <w:bottom w:val="single" w:color="auto" w:sz="4" w:space="0"/>
              <w:right w:val="single" w:color="auto" w:sz="4" w:space="0"/>
            </w:tcBorders>
            <w:vAlign w:val="center"/>
          </w:tcPr>
          <w:p w14:paraId="5343FB0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1992" w:type="dxa"/>
            <w:gridSpan w:val="2"/>
            <w:tcBorders>
              <w:top w:val="single" w:color="auto" w:sz="4" w:space="0"/>
              <w:left w:val="single" w:color="auto" w:sz="4" w:space="0"/>
              <w:bottom w:val="single" w:color="auto" w:sz="4" w:space="0"/>
              <w:right w:val="single" w:color="auto" w:sz="4" w:space="0"/>
            </w:tcBorders>
            <w:vAlign w:val="center"/>
          </w:tcPr>
          <w:p w14:paraId="09D8601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09A8DAC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p>
        </w:tc>
        <w:tc>
          <w:tcPr>
            <w:tcW w:w="4459" w:type="dxa"/>
            <w:gridSpan w:val="3"/>
            <w:tcBorders>
              <w:top w:val="single" w:color="auto" w:sz="4" w:space="0"/>
              <w:left w:val="single" w:color="auto" w:sz="4" w:space="0"/>
              <w:bottom w:val="single" w:color="auto" w:sz="4" w:space="0"/>
              <w:right w:val="single" w:color="auto" w:sz="4" w:space="0"/>
            </w:tcBorders>
            <w:vAlign w:val="center"/>
          </w:tcPr>
          <w:p w14:paraId="578D5980">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指对投标（响应）供应商不具有出资持股关系，但对其存在管理关系的主体。</w:t>
            </w:r>
          </w:p>
        </w:tc>
      </w:tr>
      <w:tr w14:paraId="35F3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15" w:type="dxa"/>
            <w:gridSpan w:val="8"/>
            <w:tcBorders>
              <w:top w:val="single" w:color="auto" w:sz="4" w:space="0"/>
              <w:left w:val="single" w:color="auto" w:sz="4" w:space="0"/>
              <w:bottom w:val="single" w:color="auto" w:sz="4" w:space="0"/>
              <w:right w:val="single" w:color="auto" w:sz="4" w:space="0"/>
            </w:tcBorders>
            <w:vAlign w:val="center"/>
          </w:tcPr>
          <w:p w14:paraId="63D2539A">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1A601CBE">
      <w:pPr>
        <w:rPr>
          <w:rFonts w:ascii="宋体" w:hAnsi="宋体" w:eastAsia="宋体" w:cs="宋体"/>
          <w:sz w:val="24"/>
        </w:rPr>
      </w:pPr>
      <w:r>
        <w:rPr>
          <w:rFonts w:hint="eastAsia" w:ascii="宋体" w:hAnsi="宋体" w:eastAsia="宋体" w:cs="宋体"/>
          <w:sz w:val="24"/>
        </w:rPr>
        <w:t>填表单位：</w:t>
      </w:r>
      <w:r>
        <w:rPr>
          <w:rFonts w:hint="eastAsia" w:ascii="宋体" w:hAnsi="宋体" w:eastAsia="宋体" w:cs="宋体"/>
          <w:b/>
          <w:color w:val="FF0000"/>
          <w:sz w:val="24"/>
          <w:highlight w:val="yellow"/>
        </w:rPr>
        <w:t>（加盖单位公章）</w:t>
      </w:r>
      <w:r>
        <w:rPr>
          <w:rFonts w:hint="eastAsia" w:ascii="宋体" w:hAnsi="宋体" w:eastAsia="宋体" w:cs="宋体"/>
          <w:sz w:val="24"/>
        </w:rPr>
        <w:tab/>
      </w:r>
      <w:r>
        <w:rPr>
          <w:rFonts w:hint="eastAsia" w:ascii="宋体" w:hAnsi="宋体" w:eastAsia="宋体" w:cs="宋体"/>
          <w:sz w:val="24"/>
        </w:rPr>
        <w:t xml:space="preserve">             填表日期：    年   月   日</w:t>
      </w:r>
    </w:p>
    <w:p w14:paraId="0D76C124">
      <w:pPr>
        <w:keepNext/>
        <w:keepLines/>
        <w:widowControl w:val="0"/>
        <w:spacing w:before="260" w:after="260"/>
        <w:jc w:val="center"/>
        <w:outlineLvl w:val="2"/>
        <w:rPr>
          <w:rFonts w:hint="eastAsia" w:ascii="黑体" w:hAnsi="宋体" w:eastAsia="黑体"/>
          <w:bCs/>
          <w:kern w:val="2"/>
          <w:szCs w:val="32"/>
          <w:lang w:eastAsia="zh-CN"/>
        </w:rPr>
      </w:pPr>
    </w:p>
    <w:p w14:paraId="27898A86">
      <w:pPr>
        <w:rPr>
          <w:rFonts w:hint="eastAsia" w:ascii="黑体" w:hAnsi="宋体" w:eastAsia="黑体"/>
          <w:bCs/>
          <w:kern w:val="2"/>
          <w:szCs w:val="32"/>
          <w:lang w:val="en-US" w:eastAsia="zh-CN"/>
        </w:rPr>
      </w:pPr>
      <w:r>
        <w:rPr>
          <w:rFonts w:hint="eastAsia" w:ascii="黑体" w:hAnsi="宋体" w:eastAsia="黑体"/>
          <w:bCs/>
          <w:kern w:val="2"/>
          <w:szCs w:val="32"/>
          <w:lang w:val="en-US" w:eastAsia="zh-CN"/>
        </w:rPr>
        <w:br w:type="page"/>
      </w:r>
    </w:p>
    <w:p w14:paraId="30F16D4E">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bCs/>
          <w:kern w:val="2"/>
          <w:szCs w:val="32"/>
          <w:lang w:val="en-US" w:eastAsia="zh-CN"/>
        </w:rPr>
        <w:t>二</w:t>
      </w:r>
      <w:r>
        <w:rPr>
          <w:rFonts w:hint="eastAsia" w:ascii="黑体" w:hAnsi="宋体" w:eastAsia="黑体"/>
          <w:bCs/>
          <w:kern w:val="2"/>
          <w:szCs w:val="32"/>
          <w:lang w:eastAsia="zh-CN"/>
        </w:rPr>
        <w:t>、</w:t>
      </w:r>
      <w:bookmarkStart w:id="72" w:name="_Hlk72092499"/>
      <w:r>
        <w:rPr>
          <w:rFonts w:hint="eastAsia" w:ascii="黑体" w:hAnsi="宋体" w:eastAsia="黑体"/>
          <w:bCs/>
          <w:kern w:val="2"/>
          <w:szCs w:val="32"/>
          <w:lang w:eastAsia="zh-CN"/>
        </w:rPr>
        <w:t>法定代表人（负责人）证明书</w:t>
      </w:r>
      <w:bookmarkEnd w:id="72"/>
    </w:p>
    <w:p w14:paraId="48BEC5DD">
      <w:pPr>
        <w:widowControl w:val="0"/>
        <w:spacing w:after="160" w:line="278" w:lineRule="auto"/>
        <w:jc w:val="both"/>
        <w:rPr>
          <w:rFonts w:eastAsia="宋体"/>
          <w:kern w:val="2"/>
          <w:lang w:eastAsia="zh-CN"/>
        </w:rPr>
      </w:pPr>
    </w:p>
    <w:p w14:paraId="50746F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姓名</w:t>
      </w:r>
      <w:r>
        <w:rPr>
          <w:rFonts w:hint="eastAsia" w:ascii="宋体" w:hAnsi="宋体" w:eastAsia="宋体" w:cs="宋体"/>
          <w:sz w:val="21"/>
          <w:szCs w:val="21"/>
          <w:u w:val="none"/>
          <w:lang w:eastAsia="zh-CN"/>
        </w:rPr>
        <w:t>）</w:t>
      </w:r>
      <w:r>
        <w:rPr>
          <w:rFonts w:hint="eastAsia" w:ascii="宋体" w:hAnsi="宋体" w:eastAsia="宋体" w:cs="宋体"/>
          <w:sz w:val="21"/>
          <w:szCs w:val="21"/>
        </w:rPr>
        <w:t>，现任我单位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职务，为法定代表人（负责人），</w:t>
      </w:r>
      <w:r>
        <w:rPr>
          <w:rFonts w:hint="eastAsia" w:ascii="宋体" w:hAnsi="宋体" w:eastAsia="宋体" w:cs="宋体"/>
          <w:sz w:val="21"/>
          <w:szCs w:val="21"/>
          <w:lang w:val="en-US" w:eastAsia="zh-CN"/>
        </w:rPr>
        <w:t>身份证件</w:t>
      </w:r>
      <w:r>
        <w:rPr>
          <w:rFonts w:hint="eastAsia" w:ascii="宋体" w:hAnsi="宋体" w:eastAsia="宋体" w:cs="宋体"/>
          <w:sz w:val="21"/>
          <w:szCs w:val="21"/>
        </w:rPr>
        <w:t>号</w:t>
      </w:r>
      <w:r>
        <w:rPr>
          <w:rFonts w:hint="eastAsia" w:ascii="宋体" w:hAnsi="宋体" w:eastAsia="宋体" w:cs="宋体"/>
          <w:sz w:val="21"/>
          <w:szCs w:val="21"/>
          <w:lang w:val="en-US" w:eastAsia="zh-CN"/>
        </w:rPr>
        <w:t>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rPr>
        <w:t>联系电话：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p>
    <w:p w14:paraId="4D42B62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特此证明。</w:t>
      </w:r>
    </w:p>
    <w:p w14:paraId="49F204F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说明：1、法定代表人为投标人（企业事业单位、国家机关、社会团体）的主要行政负责人。</w:t>
      </w:r>
    </w:p>
    <w:p w14:paraId="08D45A8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eastAsia="zh-Hans"/>
        </w:rPr>
        <w:t>本证明书要供法定代表人（负责人）</w:t>
      </w:r>
      <w:r>
        <w:rPr>
          <w:rFonts w:hint="eastAsia" w:ascii="宋体" w:hAnsi="宋体" w:eastAsia="宋体" w:cs="宋体"/>
          <w:b/>
          <w:bCs/>
          <w:color w:val="FF0000"/>
          <w:sz w:val="21"/>
          <w:szCs w:val="21"/>
          <w:lang w:val="en-US" w:eastAsia="zh-CN"/>
        </w:rPr>
        <w:t>相关身份证明文件：身份证扫描件（正反两面）；港澳台居民可提供来往通行证扫描件；非中国国籍管辖范围人员，可提供公安部门认可的身份证明材料扫描件。</w:t>
      </w:r>
    </w:p>
    <w:p w14:paraId="47E4A08E">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Hans"/>
        </w:rPr>
        <w:t>本项目投标授权代表为法定代表人（负责人）的，无需提供</w:t>
      </w:r>
      <w:r>
        <w:rPr>
          <w:rFonts w:hint="eastAsia" w:ascii="宋体" w:hAnsi="宋体" w:eastAsia="宋体" w:cs="宋体"/>
          <w:b/>
          <w:bCs/>
          <w:color w:val="FF0000"/>
          <w:sz w:val="21"/>
          <w:szCs w:val="21"/>
        </w:rPr>
        <w:t>《投标文件签署授权委托书》</w:t>
      </w:r>
      <w:r>
        <w:rPr>
          <w:rFonts w:hint="eastAsia" w:ascii="宋体" w:hAnsi="宋体" w:eastAsia="宋体" w:cs="宋体"/>
          <w:b/>
          <w:bCs/>
          <w:color w:val="FF0000"/>
          <w:sz w:val="21"/>
          <w:szCs w:val="21"/>
          <w:lang w:eastAsia="zh-Hans"/>
        </w:rPr>
        <w:t>。</w:t>
      </w:r>
    </w:p>
    <w:p w14:paraId="2C4CEF2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内容必须填写真实、清楚，涂改无效，不得转让、买卖。</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BE4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2B511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证件扫描件正面</w:t>
            </w:r>
          </w:p>
          <w:p w14:paraId="770B550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0223160B">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01BEAEB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737183B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tc>
        <w:tc>
          <w:tcPr>
            <w:tcW w:w="4265" w:type="dxa"/>
            <w:vAlign w:val="top"/>
          </w:tcPr>
          <w:p w14:paraId="3DAC6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证件扫描件反面</w:t>
            </w:r>
          </w:p>
          <w:p w14:paraId="5665373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7CF8FE3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bl>
    <w:p w14:paraId="48906634">
      <w:pPr>
        <w:pStyle w:val="15"/>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bCs/>
          <w:kern w:val="2"/>
          <w:sz w:val="21"/>
          <w:szCs w:val="21"/>
          <w:lang w:val="en-US" w:eastAsia="zh-CN" w:bidi="ar"/>
        </w:rPr>
        <w:t>温馨提示</w:t>
      </w:r>
      <w:r>
        <w:rPr>
          <w:rFonts w:hint="eastAsia" w:ascii="宋体" w:hAnsi="宋体" w:eastAsia="宋体" w:cs="宋体"/>
          <w:kern w:val="2"/>
          <w:sz w:val="21"/>
          <w:szCs w:val="21"/>
          <w:lang w:val="en-US"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768C93C">
      <w:pPr>
        <w:widowControl w:val="0"/>
        <w:spacing w:after="160" w:line="278" w:lineRule="auto"/>
        <w:jc w:val="both"/>
        <w:rPr>
          <w:rFonts w:eastAsia="宋体"/>
          <w:kern w:val="2"/>
          <w:lang w:eastAsia="zh-CN"/>
        </w:rPr>
      </w:pPr>
    </w:p>
    <w:p w14:paraId="6F287D1D">
      <w:pPr>
        <w:rPr>
          <w:rFonts w:hint="eastAsia" w:ascii="黑体" w:hAnsi="宋体" w:eastAsia="黑体"/>
          <w:bCs/>
          <w:kern w:val="2"/>
          <w:szCs w:val="32"/>
          <w:lang w:val="en-US" w:eastAsia="zh-CN"/>
        </w:rPr>
      </w:pPr>
      <w:r>
        <w:rPr>
          <w:rFonts w:hint="eastAsia" w:ascii="黑体" w:hAnsi="宋体" w:eastAsia="黑体"/>
          <w:bCs/>
          <w:kern w:val="2"/>
          <w:szCs w:val="32"/>
          <w:lang w:val="en-US" w:eastAsia="zh-CN"/>
        </w:rPr>
        <w:br w:type="page"/>
      </w:r>
    </w:p>
    <w:p w14:paraId="2B061086">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bCs/>
          <w:kern w:val="2"/>
          <w:szCs w:val="32"/>
          <w:lang w:val="en-US" w:eastAsia="zh-CN"/>
        </w:rPr>
        <w:t>三</w:t>
      </w:r>
      <w:r>
        <w:rPr>
          <w:rFonts w:hint="eastAsia" w:ascii="黑体" w:hAnsi="宋体" w:eastAsia="黑体"/>
          <w:bCs/>
          <w:kern w:val="2"/>
          <w:szCs w:val="32"/>
          <w:lang w:eastAsia="zh-CN"/>
        </w:rPr>
        <w:t>、投标文件签署授权委托书</w:t>
      </w:r>
    </w:p>
    <w:p w14:paraId="6CE292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p>
    <w:p w14:paraId="7CED1E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本授权委托书声明：我</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（投标人名称）的法定代表人（负责人），现授权委托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（姓名）为我单位签署本项目已递交的投标文件的法定代表人（负责人）的授权委托代理人，代理人全权代表我所签署的本项目已递交的投标文件内容我均承认。</w:t>
      </w:r>
    </w:p>
    <w:p w14:paraId="2DC77B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代理人无转委托权，特此委托。</w:t>
      </w:r>
    </w:p>
    <w:p w14:paraId="722A68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p>
    <w:p w14:paraId="043F65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rPr>
        <w:t>代理人</w:t>
      </w:r>
      <w:r>
        <w:rPr>
          <w:rFonts w:hint="eastAsia" w:ascii="宋体" w:hAnsi="宋体" w:eastAsia="宋体" w:cs="宋体"/>
          <w:sz w:val="21"/>
          <w:szCs w:val="21"/>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14:paraId="049F7A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u w:val="none"/>
          <w:lang w:eastAsia="zh-CN"/>
        </w:rPr>
      </w:pPr>
      <w:r>
        <w:rPr>
          <w:rFonts w:hint="eastAsia" w:ascii="宋体" w:hAnsi="宋体" w:eastAsia="宋体" w:cs="宋体"/>
          <w:sz w:val="21"/>
          <w:szCs w:val="21"/>
        </w:rPr>
        <w:t>身份</w:t>
      </w:r>
      <w:r>
        <w:rPr>
          <w:rFonts w:hint="eastAsia" w:ascii="宋体" w:hAnsi="宋体" w:eastAsia="宋体" w:cs="宋体"/>
          <w:sz w:val="21"/>
          <w:szCs w:val="21"/>
          <w:lang w:val="en-US" w:eastAsia="zh-CN"/>
        </w:rPr>
        <w:t>证件号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14:paraId="1D5796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手机：</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w:t>
      </w:r>
    </w:p>
    <w:p w14:paraId="1F1399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授权委托日期：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月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lang w:eastAsia="zh-CN"/>
        </w:rPr>
        <w:t>。</w:t>
      </w:r>
    </w:p>
    <w:p w14:paraId="3D17A55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rPr>
        <w:t>附：请提供代理人身份证扫描件（正反两面）；港澳台居民可提供来往通行证扫描件；非中国国籍管辖范围人员，可提供公安部门认可的身份证明材料扫描件。</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0A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1EC2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证件扫描件正面</w:t>
            </w:r>
          </w:p>
          <w:p w14:paraId="51FFC76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7779A3B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73F50AB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1590534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tc>
        <w:tc>
          <w:tcPr>
            <w:tcW w:w="4265" w:type="dxa"/>
            <w:vAlign w:val="top"/>
          </w:tcPr>
          <w:p w14:paraId="146D6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证件扫描件反面</w:t>
            </w:r>
          </w:p>
          <w:p w14:paraId="6CBC3EB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p w14:paraId="7658A98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bl>
    <w:p w14:paraId="3239BE99">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bCs/>
          <w:kern w:val="2"/>
          <w:sz w:val="21"/>
          <w:szCs w:val="21"/>
          <w:lang w:val="en-US" w:eastAsia="zh-CN" w:bidi="ar"/>
        </w:rPr>
        <w:t>温馨提示</w:t>
      </w:r>
      <w:r>
        <w:rPr>
          <w:rFonts w:hint="eastAsia" w:ascii="宋体" w:hAnsi="宋体" w:eastAsia="宋体" w:cs="宋体"/>
          <w:kern w:val="2"/>
          <w:sz w:val="21"/>
          <w:szCs w:val="21"/>
          <w:lang w:val="en-US"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CAC78A8">
      <w:pPr>
        <w:rPr>
          <w:rFonts w:hint="eastAsia" w:ascii="宋体" w:hAnsi="宋体" w:eastAsia="宋体" w:cs="宋体"/>
          <w:b w:val="0"/>
          <w:kern w:val="0"/>
          <w:sz w:val="21"/>
          <w:szCs w:val="21"/>
        </w:rPr>
      </w:pPr>
      <w:r>
        <w:rPr>
          <w:rFonts w:hint="eastAsia" w:ascii="宋体" w:hAnsi="宋体" w:eastAsia="宋体" w:cs="宋体"/>
          <w:b w:val="0"/>
          <w:kern w:val="0"/>
          <w:sz w:val="21"/>
          <w:szCs w:val="21"/>
        </w:rPr>
        <w:br w:type="page"/>
      </w:r>
    </w:p>
    <w:p w14:paraId="130B160C">
      <w:pPr>
        <w:keepNext/>
        <w:keepLines/>
        <w:widowControl w:val="0"/>
        <w:spacing w:before="260" w:after="260"/>
        <w:jc w:val="center"/>
        <w:outlineLvl w:val="2"/>
        <w:rPr>
          <w:rFonts w:ascii="黑体" w:hAnsi="宋体" w:eastAsia="黑体"/>
          <w:bCs/>
          <w:lang w:eastAsia="zh-CN"/>
        </w:rPr>
      </w:pPr>
      <w:r>
        <w:rPr>
          <w:rFonts w:hint="eastAsia" w:ascii="黑体" w:hAnsi="宋体" w:eastAsia="黑体"/>
          <w:bCs/>
          <w:lang w:val="en-US" w:eastAsia="zh-CN"/>
        </w:rPr>
        <w:t>四</w:t>
      </w:r>
      <w:r>
        <w:rPr>
          <w:rFonts w:hint="eastAsia" w:ascii="黑体" w:hAnsi="宋体" w:eastAsia="黑体"/>
          <w:bCs/>
          <w:lang w:eastAsia="zh-CN"/>
        </w:rPr>
        <w:t>、</w:t>
      </w:r>
      <w:bookmarkStart w:id="73" w:name="_Hlk72092634"/>
      <w:r>
        <w:rPr>
          <w:rFonts w:hint="eastAsia" w:ascii="黑体" w:hAnsi="宋体" w:eastAsia="黑体"/>
          <w:bCs/>
          <w:lang w:eastAsia="zh-CN"/>
        </w:rPr>
        <w:t>实质性条款响应情况表</w:t>
      </w:r>
      <w:bookmarkEnd w:id="73"/>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65"/>
        <w:gridCol w:w="1648"/>
        <w:gridCol w:w="1912"/>
        <w:gridCol w:w="1472"/>
      </w:tblGrid>
      <w:tr w14:paraId="601C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0F6284A9">
            <w:pPr>
              <w:widowControl w:val="0"/>
              <w:adjustRightInd w:val="0"/>
              <w:snapToGrid w:val="0"/>
              <w:spacing w:after="160" w:line="360" w:lineRule="auto"/>
              <w:jc w:val="center"/>
              <w:rPr>
                <w:rFonts w:ascii="宋体" w:hAnsi="宋体" w:eastAsia="宋体"/>
                <w:sz w:val="21"/>
                <w:szCs w:val="21"/>
                <w:lang w:eastAsia="zh-CN"/>
              </w:rPr>
            </w:pPr>
            <w:bookmarkStart w:id="74" w:name="_Hlk72092651"/>
            <w:r>
              <w:rPr>
                <w:rFonts w:hint="eastAsia" w:ascii="宋体" w:hAnsi="宋体" w:eastAsia="宋体"/>
                <w:sz w:val="21"/>
                <w:szCs w:val="21"/>
                <w:lang w:eastAsia="zh-CN"/>
              </w:rPr>
              <w:t>序号</w:t>
            </w:r>
          </w:p>
        </w:tc>
        <w:tc>
          <w:tcPr>
            <w:tcW w:w="2664" w:type="dxa"/>
            <w:vAlign w:val="center"/>
          </w:tcPr>
          <w:p w14:paraId="60D71EF4">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c>
          <w:tcPr>
            <w:tcW w:w="1588" w:type="dxa"/>
            <w:vAlign w:val="center"/>
          </w:tcPr>
          <w:p w14:paraId="407F89FE">
            <w:pPr>
              <w:widowControl w:val="0"/>
              <w:adjustRightInd w:val="0"/>
              <w:snapToGrid w:val="0"/>
              <w:spacing w:after="160" w:line="360" w:lineRule="auto"/>
              <w:jc w:val="center"/>
              <w:rPr>
                <w:rFonts w:ascii="宋体" w:hAnsi="宋体" w:eastAsia="宋体"/>
                <w:sz w:val="21"/>
                <w:szCs w:val="21"/>
                <w:lang w:eastAsia="zh-CN"/>
              </w:rPr>
            </w:pPr>
            <w:r>
              <w:rPr>
                <w:rFonts w:hint="eastAsia" w:eastAsia="宋体"/>
                <w:kern w:val="2"/>
                <w:sz w:val="21"/>
                <w:lang w:eastAsia="zh-CN"/>
              </w:rPr>
              <w:t>投标响应</w:t>
            </w:r>
          </w:p>
        </w:tc>
        <w:tc>
          <w:tcPr>
            <w:tcW w:w="1842" w:type="dxa"/>
            <w:vAlign w:val="center"/>
          </w:tcPr>
          <w:p w14:paraId="2F09D45C">
            <w:pPr>
              <w:widowControl w:val="0"/>
              <w:adjustRightInd w:val="0"/>
              <w:snapToGrid w:val="0"/>
              <w:spacing w:after="160" w:line="360" w:lineRule="auto"/>
              <w:jc w:val="center"/>
              <w:rPr>
                <w:rFonts w:ascii="宋体" w:hAnsi="宋体" w:eastAsia="宋体"/>
                <w:sz w:val="21"/>
                <w:szCs w:val="21"/>
                <w:lang w:eastAsia="zh-CN"/>
              </w:rPr>
            </w:pPr>
            <w:r>
              <w:rPr>
                <w:rFonts w:hint="eastAsia" w:eastAsia="宋体"/>
                <w:kern w:val="2"/>
                <w:sz w:val="21"/>
                <w:lang w:eastAsia="zh-CN"/>
              </w:rPr>
              <w:t>偏离情况</w:t>
            </w:r>
          </w:p>
        </w:tc>
        <w:tc>
          <w:tcPr>
            <w:tcW w:w="1418" w:type="dxa"/>
            <w:vAlign w:val="center"/>
          </w:tcPr>
          <w:p w14:paraId="06D5D3C6">
            <w:pPr>
              <w:widowControl w:val="0"/>
              <w:adjustRightInd w:val="0"/>
              <w:snapToGrid w:val="0"/>
              <w:spacing w:after="160" w:line="360" w:lineRule="auto"/>
              <w:jc w:val="center"/>
              <w:rPr>
                <w:rFonts w:ascii="宋体" w:hAnsi="宋体" w:eastAsia="宋体"/>
                <w:sz w:val="21"/>
                <w:szCs w:val="21"/>
                <w:lang w:eastAsia="zh-CN"/>
              </w:rPr>
            </w:pPr>
            <w:r>
              <w:rPr>
                <w:rFonts w:hint="eastAsia" w:eastAsia="宋体"/>
                <w:kern w:val="2"/>
                <w:sz w:val="21"/>
                <w:lang w:eastAsia="zh-CN"/>
              </w:rPr>
              <w:t>说明</w:t>
            </w:r>
          </w:p>
        </w:tc>
      </w:tr>
      <w:bookmarkEnd w:id="74"/>
      <w:tr w14:paraId="720F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561047D">
            <w:pPr>
              <w:widowControl w:val="0"/>
              <w:adjustRightInd w:val="0"/>
              <w:snapToGrid w:val="0"/>
              <w:spacing w:after="160" w:line="360" w:lineRule="auto"/>
              <w:jc w:val="both"/>
              <w:rPr>
                <w:rFonts w:ascii="宋体" w:hAnsi="宋体" w:eastAsia="宋体"/>
                <w:sz w:val="21"/>
                <w:szCs w:val="21"/>
                <w:lang w:eastAsia="zh-CN"/>
              </w:rPr>
            </w:pPr>
            <w:r>
              <w:rPr>
                <w:rFonts w:hint="eastAsia" w:ascii="宋体" w:hAnsi="宋体" w:eastAsia="宋体"/>
                <w:sz w:val="21"/>
                <w:szCs w:val="21"/>
                <w:lang w:eastAsia="zh-CN"/>
              </w:rPr>
              <w:t>1</w:t>
            </w:r>
          </w:p>
        </w:tc>
        <w:tc>
          <w:tcPr>
            <w:tcW w:w="2664" w:type="dxa"/>
            <w:vAlign w:val="center"/>
          </w:tcPr>
          <w:p w14:paraId="07447A6F">
            <w:pPr>
              <w:widowControl w:val="0"/>
              <w:adjustRightInd w:val="0"/>
              <w:snapToGrid w:val="0"/>
              <w:spacing w:after="160" w:line="360" w:lineRule="auto"/>
              <w:jc w:val="center"/>
              <w:rPr>
                <w:rFonts w:hAnsi="宋体" w:eastAsia="宋体"/>
                <w:sz w:val="21"/>
                <w:szCs w:val="21"/>
                <w:lang w:eastAsia="zh-CN"/>
              </w:rPr>
            </w:pPr>
            <w:r>
              <w:rPr>
                <w:rFonts w:hint="eastAsia" w:hAnsi="宋体" w:eastAsia="宋体"/>
                <w:sz w:val="21"/>
                <w:szCs w:val="21"/>
                <w:lang w:eastAsia="zh-CN"/>
              </w:rPr>
              <w:t>（填写相关内容）</w:t>
            </w:r>
          </w:p>
        </w:tc>
        <w:tc>
          <w:tcPr>
            <w:tcW w:w="1588" w:type="dxa"/>
          </w:tcPr>
          <w:p w14:paraId="1380ADDA">
            <w:pPr>
              <w:widowControl w:val="0"/>
              <w:adjustRightInd w:val="0"/>
              <w:snapToGrid w:val="0"/>
              <w:spacing w:after="160" w:line="360" w:lineRule="auto"/>
              <w:jc w:val="both"/>
              <w:rPr>
                <w:rFonts w:ascii="宋体" w:hAnsi="宋体" w:eastAsia="宋体"/>
                <w:sz w:val="21"/>
                <w:szCs w:val="21"/>
                <w:lang w:eastAsia="zh-CN"/>
              </w:rPr>
            </w:pPr>
          </w:p>
        </w:tc>
        <w:tc>
          <w:tcPr>
            <w:tcW w:w="1842" w:type="dxa"/>
          </w:tcPr>
          <w:p w14:paraId="3DC53722">
            <w:pPr>
              <w:widowControl w:val="0"/>
              <w:adjustRightInd w:val="0"/>
              <w:snapToGrid w:val="0"/>
              <w:spacing w:after="160" w:line="360" w:lineRule="auto"/>
              <w:jc w:val="both"/>
              <w:rPr>
                <w:rFonts w:ascii="宋体" w:hAnsi="宋体" w:eastAsia="宋体"/>
                <w:sz w:val="21"/>
                <w:szCs w:val="21"/>
                <w:lang w:eastAsia="zh-CN"/>
              </w:rPr>
            </w:pPr>
          </w:p>
        </w:tc>
        <w:tc>
          <w:tcPr>
            <w:tcW w:w="1418" w:type="dxa"/>
          </w:tcPr>
          <w:p w14:paraId="66ACC696">
            <w:pPr>
              <w:widowControl w:val="0"/>
              <w:adjustRightInd w:val="0"/>
              <w:snapToGrid w:val="0"/>
              <w:spacing w:after="160" w:line="360" w:lineRule="auto"/>
              <w:jc w:val="both"/>
              <w:rPr>
                <w:rFonts w:ascii="宋体" w:hAnsi="宋体" w:eastAsia="宋体"/>
                <w:sz w:val="21"/>
                <w:szCs w:val="21"/>
                <w:lang w:eastAsia="zh-CN"/>
              </w:rPr>
            </w:pPr>
          </w:p>
        </w:tc>
      </w:tr>
      <w:tr w14:paraId="1B9C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EFA69A8">
            <w:pPr>
              <w:widowControl w:val="0"/>
              <w:adjustRightInd w:val="0"/>
              <w:snapToGrid w:val="0"/>
              <w:spacing w:after="160" w:line="360" w:lineRule="auto"/>
              <w:jc w:val="both"/>
              <w:rPr>
                <w:rFonts w:ascii="宋体" w:hAnsi="宋体" w:eastAsia="宋体"/>
                <w:sz w:val="21"/>
                <w:szCs w:val="21"/>
                <w:lang w:eastAsia="zh-CN"/>
              </w:rPr>
            </w:pPr>
            <w:r>
              <w:rPr>
                <w:rFonts w:hint="eastAsia" w:ascii="宋体" w:hAnsi="宋体" w:eastAsia="宋体"/>
                <w:sz w:val="21"/>
                <w:szCs w:val="21"/>
                <w:lang w:eastAsia="zh-CN"/>
              </w:rPr>
              <w:t>2</w:t>
            </w:r>
          </w:p>
        </w:tc>
        <w:tc>
          <w:tcPr>
            <w:tcW w:w="2664" w:type="dxa"/>
            <w:vAlign w:val="center"/>
          </w:tcPr>
          <w:p w14:paraId="075ED233">
            <w:pPr>
              <w:widowControl w:val="0"/>
              <w:adjustRightInd w:val="0"/>
              <w:snapToGrid w:val="0"/>
              <w:spacing w:after="160" w:line="360" w:lineRule="auto"/>
              <w:jc w:val="center"/>
              <w:rPr>
                <w:rFonts w:hAnsi="宋体" w:eastAsia="宋体"/>
                <w:sz w:val="21"/>
                <w:szCs w:val="21"/>
                <w:lang w:eastAsia="zh-CN"/>
              </w:rPr>
            </w:pPr>
            <w:r>
              <w:rPr>
                <w:rFonts w:hint="eastAsia" w:hAnsi="宋体" w:eastAsia="宋体"/>
                <w:sz w:val="21"/>
                <w:szCs w:val="21"/>
                <w:lang w:eastAsia="zh-CN"/>
              </w:rPr>
              <w:t>（填写相关内容）</w:t>
            </w:r>
          </w:p>
        </w:tc>
        <w:tc>
          <w:tcPr>
            <w:tcW w:w="1588" w:type="dxa"/>
          </w:tcPr>
          <w:p w14:paraId="6C1F454B">
            <w:pPr>
              <w:widowControl w:val="0"/>
              <w:adjustRightInd w:val="0"/>
              <w:snapToGrid w:val="0"/>
              <w:spacing w:after="160" w:line="360" w:lineRule="auto"/>
              <w:jc w:val="both"/>
              <w:rPr>
                <w:rFonts w:ascii="宋体" w:hAnsi="宋体" w:eastAsia="宋体"/>
                <w:sz w:val="21"/>
                <w:szCs w:val="21"/>
                <w:lang w:eastAsia="zh-CN"/>
              </w:rPr>
            </w:pPr>
          </w:p>
        </w:tc>
        <w:tc>
          <w:tcPr>
            <w:tcW w:w="1842" w:type="dxa"/>
          </w:tcPr>
          <w:p w14:paraId="26E88E3F">
            <w:pPr>
              <w:widowControl w:val="0"/>
              <w:adjustRightInd w:val="0"/>
              <w:snapToGrid w:val="0"/>
              <w:spacing w:after="160" w:line="360" w:lineRule="auto"/>
              <w:jc w:val="both"/>
              <w:rPr>
                <w:rFonts w:ascii="宋体" w:hAnsi="宋体" w:eastAsia="宋体"/>
                <w:sz w:val="21"/>
                <w:szCs w:val="21"/>
                <w:lang w:eastAsia="zh-CN"/>
              </w:rPr>
            </w:pPr>
          </w:p>
        </w:tc>
        <w:tc>
          <w:tcPr>
            <w:tcW w:w="1418" w:type="dxa"/>
          </w:tcPr>
          <w:p w14:paraId="57D958C8">
            <w:pPr>
              <w:widowControl w:val="0"/>
              <w:adjustRightInd w:val="0"/>
              <w:snapToGrid w:val="0"/>
              <w:spacing w:after="160" w:line="360" w:lineRule="auto"/>
              <w:jc w:val="both"/>
              <w:rPr>
                <w:rFonts w:ascii="宋体" w:hAnsi="宋体" w:eastAsia="宋体"/>
                <w:sz w:val="21"/>
                <w:szCs w:val="21"/>
                <w:lang w:eastAsia="zh-CN"/>
              </w:rPr>
            </w:pPr>
          </w:p>
        </w:tc>
      </w:tr>
      <w:tr w14:paraId="2D8C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6E941F8">
            <w:pPr>
              <w:widowControl w:val="0"/>
              <w:adjustRightInd w:val="0"/>
              <w:snapToGrid w:val="0"/>
              <w:spacing w:after="160" w:line="360" w:lineRule="auto"/>
              <w:jc w:val="both"/>
              <w:rPr>
                <w:rFonts w:ascii="宋体" w:hAnsi="宋体" w:eastAsia="宋体"/>
                <w:sz w:val="21"/>
                <w:szCs w:val="21"/>
                <w:lang w:eastAsia="zh-CN"/>
              </w:rPr>
            </w:pPr>
            <w:r>
              <w:rPr>
                <w:rFonts w:hint="eastAsia" w:ascii="宋体" w:hAnsi="宋体" w:eastAsia="宋体"/>
                <w:sz w:val="21"/>
                <w:szCs w:val="21"/>
                <w:lang w:eastAsia="zh-CN"/>
              </w:rPr>
              <w:t>3</w:t>
            </w:r>
          </w:p>
        </w:tc>
        <w:tc>
          <w:tcPr>
            <w:tcW w:w="2664" w:type="dxa"/>
            <w:vAlign w:val="center"/>
          </w:tcPr>
          <w:p w14:paraId="24D3E11A">
            <w:pPr>
              <w:widowControl w:val="0"/>
              <w:adjustRightInd w:val="0"/>
              <w:snapToGrid w:val="0"/>
              <w:spacing w:after="160" w:line="360" w:lineRule="auto"/>
              <w:jc w:val="center"/>
              <w:rPr>
                <w:rFonts w:ascii="宋体" w:hAnsi="宋体" w:eastAsia="宋体"/>
                <w:sz w:val="21"/>
                <w:szCs w:val="21"/>
                <w:lang w:eastAsia="zh-CN"/>
              </w:rPr>
            </w:pPr>
            <w:r>
              <w:rPr>
                <w:rFonts w:hint="eastAsia" w:ascii="宋体" w:hAnsi="宋体" w:eastAsia="宋体"/>
                <w:sz w:val="21"/>
                <w:szCs w:val="21"/>
                <w:lang w:eastAsia="zh-CN"/>
              </w:rPr>
              <w:t>…………</w:t>
            </w:r>
          </w:p>
        </w:tc>
        <w:tc>
          <w:tcPr>
            <w:tcW w:w="1588" w:type="dxa"/>
          </w:tcPr>
          <w:p w14:paraId="51112ECA">
            <w:pPr>
              <w:widowControl w:val="0"/>
              <w:adjustRightInd w:val="0"/>
              <w:snapToGrid w:val="0"/>
              <w:spacing w:after="160" w:line="360" w:lineRule="auto"/>
              <w:jc w:val="both"/>
              <w:rPr>
                <w:rFonts w:ascii="宋体" w:hAnsi="宋体" w:eastAsia="宋体"/>
                <w:sz w:val="21"/>
                <w:szCs w:val="21"/>
                <w:lang w:eastAsia="zh-CN"/>
              </w:rPr>
            </w:pPr>
          </w:p>
        </w:tc>
        <w:tc>
          <w:tcPr>
            <w:tcW w:w="1842" w:type="dxa"/>
          </w:tcPr>
          <w:p w14:paraId="33D1F01D">
            <w:pPr>
              <w:widowControl w:val="0"/>
              <w:adjustRightInd w:val="0"/>
              <w:snapToGrid w:val="0"/>
              <w:spacing w:after="160" w:line="360" w:lineRule="auto"/>
              <w:jc w:val="both"/>
              <w:rPr>
                <w:rFonts w:ascii="宋体" w:hAnsi="宋体" w:eastAsia="宋体"/>
                <w:sz w:val="21"/>
                <w:szCs w:val="21"/>
                <w:lang w:eastAsia="zh-CN"/>
              </w:rPr>
            </w:pPr>
          </w:p>
        </w:tc>
        <w:tc>
          <w:tcPr>
            <w:tcW w:w="1418" w:type="dxa"/>
          </w:tcPr>
          <w:p w14:paraId="35991AA0">
            <w:pPr>
              <w:widowControl w:val="0"/>
              <w:adjustRightInd w:val="0"/>
              <w:snapToGrid w:val="0"/>
              <w:spacing w:after="160" w:line="360" w:lineRule="auto"/>
              <w:jc w:val="both"/>
              <w:rPr>
                <w:rFonts w:ascii="宋体" w:hAnsi="宋体" w:eastAsia="宋体"/>
                <w:sz w:val="21"/>
                <w:szCs w:val="21"/>
                <w:lang w:eastAsia="zh-CN"/>
              </w:rPr>
            </w:pPr>
          </w:p>
        </w:tc>
      </w:tr>
    </w:tbl>
    <w:p w14:paraId="0D729683">
      <w:pPr>
        <w:widowControl w:val="0"/>
        <w:spacing w:after="160" w:line="278" w:lineRule="auto"/>
        <w:ind w:firstLine="482" w:firstLineChars="200"/>
        <w:jc w:val="both"/>
        <w:rPr>
          <w:rFonts w:eastAsia="宋体"/>
          <w:b/>
          <w:kern w:val="2"/>
          <w:szCs w:val="22"/>
          <w:lang w:eastAsia="zh-CN"/>
        </w:rPr>
      </w:pPr>
    </w:p>
    <w:bookmarkEnd w:id="71"/>
    <w:p w14:paraId="2ABD9BD9">
      <w:pPr>
        <w:ind w:firstLine="482" w:firstLineChars="200"/>
        <w:rPr>
          <w:rFonts w:hint="eastAsia" w:ascii="宋体" w:hAnsi="宋体" w:eastAsia="宋体" w:cs="宋体"/>
          <w:b/>
          <w:sz w:val="24"/>
          <w:szCs w:val="22"/>
        </w:rPr>
      </w:pPr>
      <w:r>
        <w:rPr>
          <w:rFonts w:hint="eastAsia" w:ascii="宋体" w:hAnsi="宋体" w:eastAsia="宋体" w:cs="宋体"/>
          <w:b/>
          <w:sz w:val="24"/>
          <w:szCs w:val="22"/>
        </w:rPr>
        <w:t>注：1.上表所列各项均为不可负偏离条款。</w:t>
      </w:r>
    </w:p>
    <w:p w14:paraId="2AABE953">
      <w:pPr>
        <w:ind w:firstLine="482" w:firstLineChars="200"/>
        <w:rPr>
          <w:rFonts w:hint="eastAsia" w:ascii="宋体" w:hAnsi="宋体" w:eastAsia="宋体" w:cs="宋体"/>
          <w:b/>
          <w:sz w:val="24"/>
          <w:szCs w:val="22"/>
        </w:rPr>
      </w:pPr>
      <w:r>
        <w:rPr>
          <w:rFonts w:hint="eastAsia" w:ascii="宋体" w:hAnsi="宋体" w:eastAsia="宋体" w:cs="宋体"/>
          <w:b/>
          <w:sz w:val="24"/>
          <w:szCs w:val="22"/>
        </w:rPr>
        <w:t>2.“投标响应”一栏应当详细填写投标人自身响应情况，而不能不合理照搬照抄招实质性条款具体内容。</w:t>
      </w:r>
    </w:p>
    <w:p w14:paraId="6BC31398">
      <w:pPr>
        <w:ind w:firstLine="482" w:firstLineChars="200"/>
        <w:rPr>
          <w:rFonts w:hint="eastAsia" w:ascii="宋体" w:hAnsi="宋体" w:eastAsia="宋体" w:cs="宋体"/>
          <w:b/>
          <w:sz w:val="24"/>
          <w:szCs w:val="22"/>
        </w:rPr>
      </w:pPr>
      <w:r>
        <w:rPr>
          <w:rFonts w:hint="eastAsia" w:ascii="宋体" w:hAnsi="宋体" w:eastAsia="宋体" w:cs="宋体"/>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C8B9BAC">
      <w:pPr>
        <w:ind w:firstLine="482" w:firstLineChars="200"/>
        <w:rPr>
          <w:rFonts w:hint="eastAsia" w:ascii="宋体" w:hAnsi="宋体" w:eastAsia="宋体" w:cs="宋体"/>
          <w:b/>
          <w:sz w:val="24"/>
          <w:szCs w:val="22"/>
        </w:rPr>
      </w:pPr>
      <w:r>
        <w:rPr>
          <w:rFonts w:hint="eastAsia" w:ascii="宋体" w:hAnsi="宋体" w:eastAsia="宋体" w:cs="宋体"/>
          <w:b/>
          <w:sz w:val="24"/>
          <w:szCs w:val="22"/>
        </w:rPr>
        <w:t>4.评审委员会有权对投标响应情况作出判断（作出评审结论）。</w:t>
      </w:r>
    </w:p>
    <w:p w14:paraId="2B7F5827">
      <w:pPr>
        <w:ind w:firstLine="482" w:firstLineChars="200"/>
        <w:rPr>
          <w:rFonts w:hint="eastAsia" w:ascii="宋体" w:hAnsi="宋体" w:eastAsia="宋体" w:cs="宋体"/>
          <w:b/>
          <w:sz w:val="24"/>
          <w:szCs w:val="22"/>
        </w:rPr>
      </w:pPr>
      <w:r>
        <w:rPr>
          <w:rFonts w:hint="eastAsia" w:ascii="宋体" w:hAnsi="宋体" w:eastAsia="宋体" w:cs="宋体"/>
          <w:b/>
          <w:sz w:val="24"/>
          <w:szCs w:val="22"/>
        </w:rPr>
        <w:t>5.实质性响应条款“投标响应情况”与投标文件其它内容冲突的，以实质性响应条款“投标响应情况”为准。</w:t>
      </w:r>
    </w:p>
    <w:p w14:paraId="23F621EC">
      <w:pPr>
        <w:ind w:firstLine="482" w:firstLineChars="200"/>
        <w:rPr>
          <w:rFonts w:hint="eastAsia" w:ascii="宋体" w:hAnsi="宋体" w:eastAsia="宋体" w:cs="宋体"/>
          <w:b/>
          <w:sz w:val="24"/>
        </w:rPr>
      </w:pPr>
      <w:r>
        <w:rPr>
          <w:rFonts w:hint="eastAsia" w:ascii="宋体" w:hAnsi="宋体" w:eastAsia="宋体" w:cs="宋体"/>
          <w:b/>
          <w:sz w:val="24"/>
          <w:szCs w:val="22"/>
        </w:rPr>
        <w:t>6.要求提供证明资料，在“说明”一栏中列明证明资料的位置,以便评审；未要求提供证明材料的，投标人可以不提供</w:t>
      </w:r>
      <w:r>
        <w:rPr>
          <w:rFonts w:hint="eastAsia" w:ascii="宋体" w:hAnsi="宋体" w:eastAsia="宋体" w:cs="宋体"/>
          <w:b/>
          <w:sz w:val="24"/>
        </w:rPr>
        <w:t>。</w:t>
      </w:r>
    </w:p>
    <w:p w14:paraId="3164B59E">
      <w:pPr>
        <w:pStyle w:val="2"/>
        <w:rPr>
          <w:rFonts w:hint="eastAsia" w:ascii="宋体" w:hAnsi="宋体" w:eastAsia="宋体" w:cs="宋体"/>
          <w:b/>
          <w:sz w:val="24"/>
        </w:rPr>
      </w:pPr>
    </w:p>
    <w:p w14:paraId="020BBA52">
      <w:pPr>
        <w:widowControl w:val="0"/>
        <w:spacing w:after="160" w:line="278" w:lineRule="auto"/>
        <w:jc w:val="both"/>
        <w:rPr>
          <w:rFonts w:eastAsia="宋体"/>
          <w:kern w:val="2"/>
          <w:sz w:val="21"/>
          <w:lang w:eastAsia="zh-CN"/>
        </w:rPr>
      </w:pPr>
    </w:p>
    <w:p w14:paraId="5BE6EA3F">
      <w:pPr>
        <w:rPr>
          <w:rFonts w:hint="eastAsia" w:ascii="黑体" w:hAnsi="宋体" w:eastAsia="黑体"/>
          <w:kern w:val="2"/>
          <w:szCs w:val="20"/>
          <w:lang w:val="en-US" w:eastAsia="zh-CN"/>
        </w:rPr>
      </w:pPr>
      <w:r>
        <w:rPr>
          <w:rFonts w:hint="eastAsia" w:ascii="黑体" w:hAnsi="宋体" w:eastAsia="黑体"/>
          <w:kern w:val="2"/>
          <w:szCs w:val="20"/>
          <w:lang w:val="en-US" w:eastAsia="zh-CN"/>
        </w:rPr>
        <w:br w:type="page"/>
      </w:r>
    </w:p>
    <w:p w14:paraId="2B29BC22">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kern w:val="2"/>
          <w:szCs w:val="20"/>
          <w:lang w:val="en-US" w:eastAsia="zh-CN"/>
        </w:rPr>
        <w:t>五</w:t>
      </w:r>
      <w:r>
        <w:rPr>
          <w:rFonts w:hint="eastAsia" w:ascii="黑体" w:hAnsi="宋体" w:eastAsia="黑体"/>
          <w:kern w:val="2"/>
          <w:szCs w:val="20"/>
          <w:lang w:eastAsia="zh-CN"/>
        </w:rPr>
        <w:t>、</w:t>
      </w:r>
      <w:r>
        <w:rPr>
          <w:rFonts w:hint="eastAsia" w:ascii="黑体" w:hAnsi="宋体" w:eastAsia="黑体"/>
          <w:bCs/>
          <w:kern w:val="2"/>
          <w:lang w:eastAsia="zh-CN"/>
        </w:rPr>
        <w:t>技术要求偏离表</w:t>
      </w:r>
    </w:p>
    <w:tbl>
      <w:tblPr>
        <w:tblStyle w:val="18"/>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56"/>
        <w:gridCol w:w="5286"/>
        <w:gridCol w:w="949"/>
        <w:gridCol w:w="695"/>
        <w:gridCol w:w="385"/>
      </w:tblGrid>
      <w:tr w14:paraId="45F3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6AE09F11">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序号</w:t>
            </w:r>
          </w:p>
        </w:tc>
        <w:tc>
          <w:tcPr>
            <w:tcW w:w="772" w:type="dxa"/>
            <w:vAlign w:val="center"/>
          </w:tcPr>
          <w:p w14:paraId="6F03364E">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货物名称</w:t>
            </w:r>
          </w:p>
        </w:tc>
        <w:tc>
          <w:tcPr>
            <w:tcW w:w="5446" w:type="dxa"/>
            <w:vAlign w:val="center"/>
          </w:tcPr>
          <w:p w14:paraId="764A9BB2">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招标技术要求</w:t>
            </w:r>
          </w:p>
        </w:tc>
        <w:tc>
          <w:tcPr>
            <w:tcW w:w="972" w:type="dxa"/>
            <w:vAlign w:val="center"/>
          </w:tcPr>
          <w:p w14:paraId="7F794F7C">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投标技术响应</w:t>
            </w:r>
          </w:p>
        </w:tc>
        <w:tc>
          <w:tcPr>
            <w:tcW w:w="710" w:type="dxa"/>
            <w:vAlign w:val="center"/>
          </w:tcPr>
          <w:p w14:paraId="54427DF3">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偏离情况</w:t>
            </w:r>
          </w:p>
        </w:tc>
        <w:tc>
          <w:tcPr>
            <w:tcW w:w="390" w:type="dxa"/>
            <w:vAlign w:val="center"/>
          </w:tcPr>
          <w:p w14:paraId="561952E4">
            <w:pPr>
              <w:widowControl w:val="0"/>
              <w:spacing w:after="160" w:line="278" w:lineRule="auto"/>
              <w:jc w:val="center"/>
              <w:rPr>
                <w:rFonts w:eastAsia="宋体"/>
                <w:color w:val="000000"/>
                <w:kern w:val="2"/>
                <w:sz w:val="21"/>
                <w:szCs w:val="21"/>
                <w:lang w:eastAsia="zh-CN"/>
              </w:rPr>
            </w:pPr>
            <w:r>
              <w:rPr>
                <w:rFonts w:hint="eastAsia" w:eastAsia="宋体"/>
                <w:kern w:val="2"/>
                <w:lang w:eastAsia="zh-CN"/>
              </w:rPr>
              <w:t>说明</w:t>
            </w:r>
          </w:p>
        </w:tc>
      </w:tr>
      <w:tr w14:paraId="1EAC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73B69DA1">
            <w:pPr>
              <w:widowControl w:val="0"/>
              <w:spacing w:after="160" w:line="278" w:lineRule="auto"/>
              <w:jc w:val="center"/>
              <w:rPr>
                <w:rFonts w:eastAsia="宋体"/>
                <w:color w:val="000000"/>
                <w:kern w:val="2"/>
                <w:sz w:val="21"/>
                <w:szCs w:val="21"/>
                <w:lang w:eastAsia="zh-CN"/>
              </w:rPr>
            </w:pPr>
            <w:r>
              <w:rPr>
                <w:rFonts w:eastAsia="宋体"/>
                <w:color w:val="000000"/>
                <w:kern w:val="2"/>
                <w:sz w:val="21"/>
                <w:szCs w:val="21"/>
                <w:lang w:eastAsia="zh-CN"/>
              </w:rPr>
              <w:t>1</w:t>
            </w:r>
          </w:p>
        </w:tc>
        <w:tc>
          <w:tcPr>
            <w:tcW w:w="772" w:type="dxa"/>
            <w:vMerge w:val="restart"/>
            <w:vAlign w:val="center"/>
          </w:tcPr>
          <w:p w14:paraId="184428E5">
            <w:pPr>
              <w:widowControl w:val="0"/>
              <w:spacing w:after="160" w:line="278" w:lineRule="auto"/>
              <w:jc w:val="center"/>
              <w:rPr>
                <w:rFonts w:eastAsia="宋体"/>
                <w:color w:val="000000"/>
                <w:kern w:val="2"/>
                <w:sz w:val="21"/>
                <w:szCs w:val="21"/>
                <w:lang w:eastAsia="zh-CN"/>
              </w:rPr>
            </w:pPr>
            <w:r>
              <w:rPr>
                <w:rFonts w:hint="eastAsia" w:eastAsia="宋体"/>
                <w:color w:val="000000"/>
                <w:kern w:val="2"/>
                <w:sz w:val="21"/>
                <w:szCs w:val="21"/>
                <w:lang w:eastAsia="zh-CN"/>
              </w:rPr>
              <w:t>*</w:t>
            </w:r>
            <w:r>
              <w:rPr>
                <w:rFonts w:eastAsia="宋体"/>
                <w:color w:val="000000"/>
                <w:kern w:val="2"/>
                <w:sz w:val="21"/>
                <w:szCs w:val="21"/>
                <w:lang w:eastAsia="zh-CN"/>
              </w:rPr>
              <w:t>**</w:t>
            </w:r>
            <w:r>
              <w:rPr>
                <w:rFonts w:hint="eastAsia" w:eastAsia="宋体"/>
                <w:color w:val="000000"/>
                <w:kern w:val="2"/>
                <w:sz w:val="21"/>
                <w:szCs w:val="21"/>
                <w:lang w:eastAsia="zh-CN"/>
              </w:rPr>
              <w:t>设备</w:t>
            </w:r>
          </w:p>
        </w:tc>
        <w:tc>
          <w:tcPr>
            <w:tcW w:w="5446" w:type="dxa"/>
          </w:tcPr>
          <w:p w14:paraId="57387713">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259A4E98">
            <w:pPr>
              <w:widowControl w:val="0"/>
              <w:spacing w:after="160" w:line="278" w:lineRule="auto"/>
              <w:jc w:val="both"/>
              <w:rPr>
                <w:rFonts w:eastAsia="宋体"/>
                <w:color w:val="000000"/>
                <w:kern w:val="2"/>
                <w:sz w:val="21"/>
                <w:szCs w:val="21"/>
                <w:lang w:eastAsia="zh-CN"/>
              </w:rPr>
            </w:pPr>
          </w:p>
        </w:tc>
        <w:tc>
          <w:tcPr>
            <w:tcW w:w="710" w:type="dxa"/>
          </w:tcPr>
          <w:p w14:paraId="2A4DBB6F">
            <w:pPr>
              <w:widowControl w:val="0"/>
              <w:spacing w:after="160" w:line="278" w:lineRule="auto"/>
              <w:jc w:val="both"/>
              <w:rPr>
                <w:rFonts w:eastAsia="宋体"/>
                <w:color w:val="000000"/>
                <w:kern w:val="2"/>
                <w:sz w:val="21"/>
                <w:szCs w:val="21"/>
                <w:lang w:eastAsia="zh-CN"/>
              </w:rPr>
            </w:pPr>
          </w:p>
        </w:tc>
        <w:tc>
          <w:tcPr>
            <w:tcW w:w="390" w:type="dxa"/>
          </w:tcPr>
          <w:p w14:paraId="7676D821">
            <w:pPr>
              <w:widowControl w:val="0"/>
              <w:spacing w:after="160" w:line="278" w:lineRule="auto"/>
              <w:jc w:val="both"/>
              <w:rPr>
                <w:rFonts w:eastAsia="宋体"/>
                <w:color w:val="000000"/>
                <w:kern w:val="2"/>
                <w:sz w:val="21"/>
                <w:szCs w:val="21"/>
                <w:lang w:eastAsia="zh-CN"/>
              </w:rPr>
            </w:pPr>
          </w:p>
        </w:tc>
      </w:tr>
      <w:tr w14:paraId="3135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86ECE28">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11753384">
            <w:pPr>
              <w:widowControl w:val="0"/>
              <w:spacing w:after="160" w:line="278" w:lineRule="auto"/>
              <w:jc w:val="center"/>
              <w:rPr>
                <w:rFonts w:eastAsia="宋体"/>
                <w:color w:val="000000"/>
                <w:kern w:val="2"/>
                <w:sz w:val="21"/>
                <w:szCs w:val="21"/>
                <w:lang w:eastAsia="zh-CN"/>
              </w:rPr>
            </w:pPr>
          </w:p>
        </w:tc>
        <w:tc>
          <w:tcPr>
            <w:tcW w:w="5446" w:type="dxa"/>
          </w:tcPr>
          <w:p w14:paraId="3AB30D53">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48ADDFBD">
            <w:pPr>
              <w:widowControl w:val="0"/>
              <w:spacing w:after="160" w:line="278" w:lineRule="auto"/>
              <w:jc w:val="both"/>
              <w:rPr>
                <w:rFonts w:eastAsia="宋体"/>
                <w:color w:val="000000"/>
                <w:kern w:val="2"/>
                <w:sz w:val="21"/>
                <w:szCs w:val="21"/>
                <w:lang w:eastAsia="zh-CN"/>
              </w:rPr>
            </w:pPr>
          </w:p>
        </w:tc>
        <w:tc>
          <w:tcPr>
            <w:tcW w:w="710" w:type="dxa"/>
          </w:tcPr>
          <w:p w14:paraId="4163F129">
            <w:pPr>
              <w:widowControl w:val="0"/>
              <w:spacing w:after="160" w:line="278" w:lineRule="auto"/>
              <w:jc w:val="both"/>
              <w:rPr>
                <w:rFonts w:eastAsia="宋体"/>
                <w:color w:val="000000"/>
                <w:kern w:val="2"/>
                <w:sz w:val="21"/>
                <w:szCs w:val="21"/>
                <w:lang w:eastAsia="zh-CN"/>
              </w:rPr>
            </w:pPr>
          </w:p>
        </w:tc>
        <w:tc>
          <w:tcPr>
            <w:tcW w:w="390" w:type="dxa"/>
          </w:tcPr>
          <w:p w14:paraId="757816AD">
            <w:pPr>
              <w:widowControl w:val="0"/>
              <w:spacing w:after="160" w:line="278" w:lineRule="auto"/>
              <w:jc w:val="both"/>
              <w:rPr>
                <w:rFonts w:eastAsia="宋体"/>
                <w:color w:val="000000"/>
                <w:kern w:val="2"/>
                <w:sz w:val="21"/>
                <w:szCs w:val="21"/>
                <w:lang w:eastAsia="zh-CN"/>
              </w:rPr>
            </w:pPr>
          </w:p>
        </w:tc>
      </w:tr>
      <w:tr w14:paraId="47AC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B6FDC29">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1F494A62">
            <w:pPr>
              <w:widowControl w:val="0"/>
              <w:spacing w:after="160" w:line="278" w:lineRule="auto"/>
              <w:jc w:val="center"/>
              <w:rPr>
                <w:rFonts w:eastAsia="宋体"/>
                <w:color w:val="000000"/>
                <w:kern w:val="2"/>
                <w:sz w:val="21"/>
                <w:szCs w:val="21"/>
                <w:lang w:eastAsia="zh-CN"/>
              </w:rPr>
            </w:pPr>
          </w:p>
        </w:tc>
        <w:tc>
          <w:tcPr>
            <w:tcW w:w="5446" w:type="dxa"/>
          </w:tcPr>
          <w:p w14:paraId="59FA8F84">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04963185">
            <w:pPr>
              <w:widowControl w:val="0"/>
              <w:spacing w:after="160" w:line="278" w:lineRule="auto"/>
              <w:jc w:val="both"/>
              <w:rPr>
                <w:rFonts w:eastAsia="宋体"/>
                <w:color w:val="000000"/>
                <w:kern w:val="2"/>
                <w:sz w:val="21"/>
                <w:szCs w:val="21"/>
                <w:lang w:eastAsia="zh-CN"/>
              </w:rPr>
            </w:pPr>
          </w:p>
        </w:tc>
        <w:tc>
          <w:tcPr>
            <w:tcW w:w="710" w:type="dxa"/>
          </w:tcPr>
          <w:p w14:paraId="11F565D1">
            <w:pPr>
              <w:widowControl w:val="0"/>
              <w:spacing w:after="160" w:line="278" w:lineRule="auto"/>
              <w:jc w:val="both"/>
              <w:rPr>
                <w:rFonts w:eastAsia="宋体"/>
                <w:color w:val="000000"/>
                <w:kern w:val="2"/>
                <w:sz w:val="21"/>
                <w:szCs w:val="21"/>
                <w:lang w:eastAsia="zh-CN"/>
              </w:rPr>
            </w:pPr>
          </w:p>
        </w:tc>
        <w:tc>
          <w:tcPr>
            <w:tcW w:w="390" w:type="dxa"/>
          </w:tcPr>
          <w:p w14:paraId="63A82B3C">
            <w:pPr>
              <w:widowControl w:val="0"/>
              <w:spacing w:after="160" w:line="278" w:lineRule="auto"/>
              <w:jc w:val="both"/>
              <w:rPr>
                <w:rFonts w:eastAsia="宋体"/>
                <w:color w:val="000000"/>
                <w:kern w:val="2"/>
                <w:sz w:val="21"/>
                <w:szCs w:val="21"/>
                <w:lang w:eastAsia="zh-CN"/>
              </w:rPr>
            </w:pPr>
          </w:p>
        </w:tc>
      </w:tr>
      <w:tr w14:paraId="2504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68D8679">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1F6812A1">
            <w:pPr>
              <w:widowControl w:val="0"/>
              <w:spacing w:after="160" w:line="278" w:lineRule="auto"/>
              <w:jc w:val="center"/>
              <w:rPr>
                <w:rFonts w:eastAsia="宋体"/>
                <w:color w:val="000000"/>
                <w:kern w:val="2"/>
                <w:sz w:val="21"/>
                <w:szCs w:val="21"/>
                <w:lang w:eastAsia="zh-CN"/>
              </w:rPr>
            </w:pPr>
          </w:p>
        </w:tc>
        <w:tc>
          <w:tcPr>
            <w:tcW w:w="5446" w:type="dxa"/>
          </w:tcPr>
          <w:p w14:paraId="15DD9C2B">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79A4F09A">
            <w:pPr>
              <w:widowControl w:val="0"/>
              <w:spacing w:after="160" w:line="278" w:lineRule="auto"/>
              <w:jc w:val="both"/>
              <w:rPr>
                <w:rFonts w:eastAsia="宋体"/>
                <w:color w:val="000000"/>
                <w:kern w:val="2"/>
                <w:sz w:val="21"/>
                <w:szCs w:val="21"/>
                <w:lang w:eastAsia="zh-CN"/>
              </w:rPr>
            </w:pPr>
          </w:p>
        </w:tc>
        <w:tc>
          <w:tcPr>
            <w:tcW w:w="710" w:type="dxa"/>
          </w:tcPr>
          <w:p w14:paraId="5F2D1858">
            <w:pPr>
              <w:widowControl w:val="0"/>
              <w:spacing w:after="160" w:line="278" w:lineRule="auto"/>
              <w:jc w:val="both"/>
              <w:rPr>
                <w:rFonts w:eastAsia="宋体"/>
                <w:color w:val="000000"/>
                <w:kern w:val="2"/>
                <w:sz w:val="21"/>
                <w:szCs w:val="21"/>
                <w:lang w:eastAsia="zh-CN"/>
              </w:rPr>
            </w:pPr>
          </w:p>
        </w:tc>
        <w:tc>
          <w:tcPr>
            <w:tcW w:w="390" w:type="dxa"/>
          </w:tcPr>
          <w:p w14:paraId="3A088A9A">
            <w:pPr>
              <w:widowControl w:val="0"/>
              <w:spacing w:after="160" w:line="278" w:lineRule="auto"/>
              <w:jc w:val="both"/>
              <w:rPr>
                <w:rFonts w:eastAsia="宋体"/>
                <w:color w:val="000000"/>
                <w:kern w:val="2"/>
                <w:sz w:val="21"/>
                <w:szCs w:val="21"/>
                <w:lang w:eastAsia="zh-CN"/>
              </w:rPr>
            </w:pPr>
          </w:p>
        </w:tc>
      </w:tr>
      <w:tr w14:paraId="78B5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2AF4B8F">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2AD6F61E">
            <w:pPr>
              <w:widowControl w:val="0"/>
              <w:spacing w:after="160" w:line="278" w:lineRule="auto"/>
              <w:jc w:val="center"/>
              <w:rPr>
                <w:rFonts w:eastAsia="宋体"/>
                <w:color w:val="000000"/>
                <w:kern w:val="2"/>
                <w:sz w:val="21"/>
                <w:szCs w:val="21"/>
                <w:lang w:eastAsia="zh-CN"/>
              </w:rPr>
            </w:pPr>
          </w:p>
        </w:tc>
        <w:tc>
          <w:tcPr>
            <w:tcW w:w="5446" w:type="dxa"/>
          </w:tcPr>
          <w:p w14:paraId="4AC2A1BF">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227103A3">
            <w:pPr>
              <w:widowControl w:val="0"/>
              <w:spacing w:after="160" w:line="278" w:lineRule="auto"/>
              <w:jc w:val="both"/>
              <w:rPr>
                <w:rFonts w:eastAsia="宋体"/>
                <w:color w:val="000000"/>
                <w:kern w:val="2"/>
                <w:sz w:val="21"/>
                <w:szCs w:val="21"/>
                <w:lang w:eastAsia="zh-CN"/>
              </w:rPr>
            </w:pPr>
          </w:p>
        </w:tc>
        <w:tc>
          <w:tcPr>
            <w:tcW w:w="710" w:type="dxa"/>
          </w:tcPr>
          <w:p w14:paraId="5B0FCF1E">
            <w:pPr>
              <w:widowControl w:val="0"/>
              <w:spacing w:after="160" w:line="278" w:lineRule="auto"/>
              <w:jc w:val="both"/>
              <w:rPr>
                <w:rFonts w:eastAsia="宋体"/>
                <w:color w:val="000000"/>
                <w:kern w:val="2"/>
                <w:sz w:val="21"/>
                <w:szCs w:val="21"/>
                <w:lang w:eastAsia="zh-CN"/>
              </w:rPr>
            </w:pPr>
          </w:p>
        </w:tc>
        <w:tc>
          <w:tcPr>
            <w:tcW w:w="390" w:type="dxa"/>
          </w:tcPr>
          <w:p w14:paraId="148EDB30">
            <w:pPr>
              <w:widowControl w:val="0"/>
              <w:spacing w:after="160" w:line="278" w:lineRule="auto"/>
              <w:jc w:val="both"/>
              <w:rPr>
                <w:rFonts w:eastAsia="宋体"/>
                <w:color w:val="000000"/>
                <w:kern w:val="2"/>
                <w:sz w:val="21"/>
                <w:szCs w:val="21"/>
                <w:lang w:eastAsia="zh-CN"/>
              </w:rPr>
            </w:pPr>
          </w:p>
        </w:tc>
      </w:tr>
      <w:tr w14:paraId="28E3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5961954">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325BCA66">
            <w:pPr>
              <w:widowControl w:val="0"/>
              <w:spacing w:after="160" w:line="278" w:lineRule="auto"/>
              <w:jc w:val="center"/>
              <w:rPr>
                <w:rFonts w:eastAsia="宋体"/>
                <w:color w:val="000000"/>
                <w:kern w:val="2"/>
                <w:sz w:val="21"/>
                <w:szCs w:val="21"/>
                <w:lang w:eastAsia="zh-CN"/>
              </w:rPr>
            </w:pPr>
          </w:p>
        </w:tc>
        <w:tc>
          <w:tcPr>
            <w:tcW w:w="5446" w:type="dxa"/>
          </w:tcPr>
          <w:p w14:paraId="147908AE">
            <w:pPr>
              <w:widowControl w:val="0"/>
              <w:spacing w:after="160" w:line="278" w:lineRule="auto"/>
              <w:jc w:val="center"/>
              <w:rPr>
                <w:rFonts w:eastAsia="宋体"/>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14:paraId="53392DDC">
            <w:pPr>
              <w:widowControl w:val="0"/>
              <w:spacing w:after="160" w:line="278" w:lineRule="auto"/>
              <w:jc w:val="both"/>
              <w:rPr>
                <w:rFonts w:eastAsia="宋体"/>
                <w:color w:val="000000"/>
                <w:kern w:val="2"/>
                <w:sz w:val="21"/>
                <w:szCs w:val="21"/>
                <w:lang w:eastAsia="zh-CN"/>
              </w:rPr>
            </w:pPr>
          </w:p>
        </w:tc>
        <w:tc>
          <w:tcPr>
            <w:tcW w:w="710" w:type="dxa"/>
          </w:tcPr>
          <w:p w14:paraId="580DA067">
            <w:pPr>
              <w:widowControl w:val="0"/>
              <w:spacing w:after="160" w:line="278" w:lineRule="auto"/>
              <w:jc w:val="both"/>
              <w:rPr>
                <w:rFonts w:eastAsia="宋体"/>
                <w:color w:val="000000"/>
                <w:kern w:val="2"/>
                <w:sz w:val="21"/>
                <w:szCs w:val="21"/>
                <w:lang w:eastAsia="zh-CN"/>
              </w:rPr>
            </w:pPr>
          </w:p>
        </w:tc>
        <w:tc>
          <w:tcPr>
            <w:tcW w:w="390" w:type="dxa"/>
          </w:tcPr>
          <w:p w14:paraId="1278E3A7">
            <w:pPr>
              <w:widowControl w:val="0"/>
              <w:spacing w:after="160" w:line="278" w:lineRule="auto"/>
              <w:jc w:val="both"/>
              <w:rPr>
                <w:rFonts w:eastAsia="宋体"/>
                <w:color w:val="000000"/>
                <w:kern w:val="2"/>
                <w:sz w:val="21"/>
                <w:szCs w:val="21"/>
                <w:lang w:eastAsia="zh-CN"/>
              </w:rPr>
            </w:pPr>
          </w:p>
        </w:tc>
      </w:tr>
      <w:tr w14:paraId="32E9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BA0C7F0">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51461F2D">
            <w:pPr>
              <w:widowControl w:val="0"/>
              <w:spacing w:after="160" w:line="278" w:lineRule="auto"/>
              <w:jc w:val="center"/>
              <w:rPr>
                <w:rFonts w:eastAsia="宋体"/>
                <w:color w:val="000000"/>
                <w:kern w:val="2"/>
                <w:sz w:val="21"/>
                <w:szCs w:val="21"/>
                <w:lang w:eastAsia="zh-CN"/>
              </w:rPr>
            </w:pPr>
          </w:p>
        </w:tc>
        <w:tc>
          <w:tcPr>
            <w:tcW w:w="5446" w:type="dxa"/>
          </w:tcPr>
          <w:p w14:paraId="3D6321AA">
            <w:pPr>
              <w:widowControl w:val="0"/>
              <w:spacing w:after="160" w:line="278" w:lineRule="auto"/>
              <w:jc w:val="center"/>
              <w:rPr>
                <w:rFonts w:eastAsia="宋体"/>
                <w:b/>
                <w:bCs/>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14:paraId="0D88FD85">
            <w:pPr>
              <w:widowControl w:val="0"/>
              <w:spacing w:after="160" w:line="278" w:lineRule="auto"/>
              <w:jc w:val="both"/>
              <w:rPr>
                <w:rFonts w:eastAsia="宋体"/>
                <w:b/>
                <w:bCs/>
                <w:color w:val="FF0000"/>
                <w:kern w:val="2"/>
                <w:sz w:val="21"/>
                <w:szCs w:val="21"/>
                <w:lang w:eastAsia="zh-CN"/>
              </w:rPr>
            </w:pPr>
          </w:p>
        </w:tc>
        <w:tc>
          <w:tcPr>
            <w:tcW w:w="710" w:type="dxa"/>
          </w:tcPr>
          <w:p w14:paraId="162A81A4">
            <w:pPr>
              <w:widowControl w:val="0"/>
              <w:spacing w:after="160" w:line="278" w:lineRule="auto"/>
              <w:jc w:val="both"/>
              <w:rPr>
                <w:rFonts w:eastAsia="宋体"/>
                <w:b/>
                <w:bCs/>
                <w:color w:val="FF0000"/>
                <w:kern w:val="2"/>
                <w:sz w:val="21"/>
                <w:szCs w:val="21"/>
                <w:lang w:eastAsia="zh-CN"/>
              </w:rPr>
            </w:pPr>
          </w:p>
        </w:tc>
        <w:tc>
          <w:tcPr>
            <w:tcW w:w="390" w:type="dxa"/>
          </w:tcPr>
          <w:p w14:paraId="14F668B3">
            <w:pPr>
              <w:widowControl w:val="0"/>
              <w:spacing w:after="160" w:line="278" w:lineRule="auto"/>
              <w:jc w:val="both"/>
              <w:rPr>
                <w:rFonts w:eastAsia="宋体"/>
                <w:b/>
                <w:bCs/>
                <w:color w:val="FF0000"/>
                <w:kern w:val="2"/>
                <w:sz w:val="21"/>
                <w:szCs w:val="21"/>
                <w:lang w:eastAsia="zh-CN"/>
              </w:rPr>
            </w:pPr>
          </w:p>
        </w:tc>
      </w:tr>
      <w:tr w14:paraId="453E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113A23A">
            <w:pPr>
              <w:widowControl w:val="0"/>
              <w:spacing w:after="160" w:line="278" w:lineRule="auto"/>
              <w:jc w:val="center"/>
              <w:rPr>
                <w:rFonts w:eastAsia="宋体"/>
                <w:color w:val="000000"/>
                <w:kern w:val="2"/>
                <w:sz w:val="21"/>
                <w:szCs w:val="21"/>
                <w:lang w:eastAsia="zh-CN"/>
              </w:rPr>
            </w:pPr>
          </w:p>
        </w:tc>
        <w:tc>
          <w:tcPr>
            <w:tcW w:w="772" w:type="dxa"/>
            <w:vMerge w:val="continue"/>
            <w:vAlign w:val="center"/>
          </w:tcPr>
          <w:p w14:paraId="7147539E">
            <w:pPr>
              <w:widowControl w:val="0"/>
              <w:spacing w:after="160" w:line="278" w:lineRule="auto"/>
              <w:jc w:val="center"/>
              <w:rPr>
                <w:rFonts w:eastAsia="宋体"/>
                <w:color w:val="000000"/>
                <w:kern w:val="2"/>
                <w:sz w:val="21"/>
                <w:szCs w:val="21"/>
                <w:lang w:eastAsia="zh-CN"/>
              </w:rPr>
            </w:pPr>
          </w:p>
        </w:tc>
        <w:tc>
          <w:tcPr>
            <w:tcW w:w="5446" w:type="dxa"/>
          </w:tcPr>
          <w:p w14:paraId="2EDD9E42">
            <w:pPr>
              <w:widowControl w:val="0"/>
              <w:spacing w:after="160" w:line="278" w:lineRule="auto"/>
              <w:jc w:val="center"/>
              <w:rPr>
                <w:rFonts w:eastAsia="宋体"/>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14:paraId="396737A4">
            <w:pPr>
              <w:widowControl w:val="0"/>
              <w:spacing w:after="160" w:line="278" w:lineRule="auto"/>
              <w:jc w:val="both"/>
              <w:rPr>
                <w:rFonts w:eastAsia="宋体"/>
                <w:color w:val="000000"/>
                <w:kern w:val="2"/>
                <w:sz w:val="21"/>
                <w:szCs w:val="21"/>
                <w:lang w:eastAsia="zh-CN"/>
              </w:rPr>
            </w:pPr>
          </w:p>
        </w:tc>
        <w:tc>
          <w:tcPr>
            <w:tcW w:w="710" w:type="dxa"/>
          </w:tcPr>
          <w:p w14:paraId="4B7B7884">
            <w:pPr>
              <w:widowControl w:val="0"/>
              <w:spacing w:after="160" w:line="278" w:lineRule="auto"/>
              <w:jc w:val="both"/>
              <w:rPr>
                <w:rFonts w:eastAsia="宋体"/>
                <w:color w:val="000000"/>
                <w:kern w:val="2"/>
                <w:sz w:val="21"/>
                <w:szCs w:val="21"/>
                <w:lang w:eastAsia="zh-CN"/>
              </w:rPr>
            </w:pPr>
          </w:p>
        </w:tc>
        <w:tc>
          <w:tcPr>
            <w:tcW w:w="390" w:type="dxa"/>
          </w:tcPr>
          <w:p w14:paraId="5D082879">
            <w:pPr>
              <w:widowControl w:val="0"/>
              <w:spacing w:after="160" w:line="278" w:lineRule="auto"/>
              <w:jc w:val="both"/>
              <w:rPr>
                <w:rFonts w:eastAsia="宋体"/>
                <w:color w:val="000000"/>
                <w:kern w:val="2"/>
                <w:sz w:val="21"/>
                <w:szCs w:val="21"/>
                <w:lang w:eastAsia="zh-CN"/>
              </w:rPr>
            </w:pPr>
          </w:p>
        </w:tc>
      </w:tr>
      <w:tr w14:paraId="0B01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5AE501C8">
            <w:pPr>
              <w:widowControl w:val="0"/>
              <w:spacing w:after="160" w:line="278" w:lineRule="auto"/>
              <w:jc w:val="center"/>
              <w:rPr>
                <w:rFonts w:eastAsia="宋体"/>
                <w:color w:val="000000"/>
                <w:kern w:val="2"/>
                <w:sz w:val="21"/>
                <w:szCs w:val="21"/>
                <w:lang w:eastAsia="zh-CN"/>
              </w:rPr>
            </w:pPr>
            <w:r>
              <w:rPr>
                <w:rFonts w:hint="eastAsia" w:eastAsia="宋体"/>
                <w:color w:val="000000"/>
                <w:kern w:val="2"/>
                <w:sz w:val="21"/>
                <w:szCs w:val="21"/>
                <w:lang w:eastAsia="zh-CN"/>
              </w:rPr>
              <w:t>2</w:t>
            </w:r>
          </w:p>
        </w:tc>
        <w:tc>
          <w:tcPr>
            <w:tcW w:w="772" w:type="dxa"/>
            <w:vMerge w:val="restart"/>
            <w:vAlign w:val="center"/>
          </w:tcPr>
          <w:p w14:paraId="46158A55">
            <w:pPr>
              <w:widowControl w:val="0"/>
              <w:spacing w:after="160" w:line="278" w:lineRule="auto"/>
              <w:jc w:val="center"/>
              <w:rPr>
                <w:rFonts w:eastAsia="宋体"/>
                <w:color w:val="000000"/>
                <w:kern w:val="2"/>
                <w:sz w:val="21"/>
                <w:szCs w:val="21"/>
                <w:lang w:eastAsia="zh-CN"/>
              </w:rPr>
            </w:pPr>
            <w:r>
              <w:rPr>
                <w:rFonts w:hint="eastAsia" w:eastAsia="宋体"/>
                <w:color w:val="000000"/>
                <w:kern w:val="2"/>
                <w:sz w:val="21"/>
                <w:szCs w:val="21"/>
                <w:lang w:eastAsia="zh-CN"/>
              </w:rPr>
              <w:t>*</w:t>
            </w:r>
            <w:r>
              <w:rPr>
                <w:rFonts w:eastAsia="宋体"/>
                <w:color w:val="000000"/>
                <w:kern w:val="2"/>
                <w:sz w:val="21"/>
                <w:szCs w:val="21"/>
                <w:lang w:eastAsia="zh-CN"/>
              </w:rPr>
              <w:t>*</w:t>
            </w:r>
            <w:r>
              <w:rPr>
                <w:rFonts w:hint="eastAsia" w:eastAsia="宋体"/>
                <w:color w:val="000000"/>
                <w:kern w:val="2"/>
                <w:sz w:val="21"/>
                <w:szCs w:val="21"/>
                <w:lang w:eastAsia="zh-CN"/>
              </w:rPr>
              <w:t>设备</w:t>
            </w:r>
          </w:p>
        </w:tc>
        <w:tc>
          <w:tcPr>
            <w:tcW w:w="5446" w:type="dxa"/>
          </w:tcPr>
          <w:p w14:paraId="73363352">
            <w:pPr>
              <w:widowControl w:val="0"/>
              <w:spacing w:after="160" w:line="278" w:lineRule="auto"/>
              <w:jc w:val="center"/>
              <w:rPr>
                <w:rFonts w:eastAsia="宋体"/>
                <w:b/>
                <w:bCs/>
                <w:color w:val="000000"/>
                <w:kern w:val="2"/>
                <w:sz w:val="21"/>
                <w:szCs w:val="21"/>
                <w:lang w:eastAsia="zh-CN"/>
              </w:rPr>
            </w:pPr>
            <w:r>
              <w:rPr>
                <w:rFonts w:hint="eastAsia" w:eastAsia="宋体"/>
                <w:kern w:val="2"/>
                <w:sz w:val="21"/>
                <w:lang w:eastAsia="zh-CN"/>
              </w:rPr>
              <w:t>（填写相关内容）</w:t>
            </w:r>
          </w:p>
        </w:tc>
        <w:tc>
          <w:tcPr>
            <w:tcW w:w="972" w:type="dxa"/>
          </w:tcPr>
          <w:p w14:paraId="7A46F408">
            <w:pPr>
              <w:widowControl w:val="0"/>
              <w:spacing w:after="160" w:line="278" w:lineRule="auto"/>
              <w:jc w:val="both"/>
              <w:rPr>
                <w:rFonts w:eastAsia="宋体"/>
                <w:b/>
                <w:bCs/>
                <w:color w:val="FF0000"/>
                <w:kern w:val="2"/>
                <w:sz w:val="21"/>
                <w:szCs w:val="21"/>
                <w:lang w:eastAsia="zh-CN"/>
              </w:rPr>
            </w:pPr>
          </w:p>
        </w:tc>
        <w:tc>
          <w:tcPr>
            <w:tcW w:w="710" w:type="dxa"/>
          </w:tcPr>
          <w:p w14:paraId="6A2C3520">
            <w:pPr>
              <w:widowControl w:val="0"/>
              <w:spacing w:after="160" w:line="278" w:lineRule="auto"/>
              <w:jc w:val="both"/>
              <w:rPr>
                <w:rFonts w:eastAsia="宋体"/>
                <w:b/>
                <w:bCs/>
                <w:color w:val="FF0000"/>
                <w:kern w:val="2"/>
                <w:sz w:val="21"/>
                <w:szCs w:val="21"/>
                <w:lang w:eastAsia="zh-CN"/>
              </w:rPr>
            </w:pPr>
          </w:p>
        </w:tc>
        <w:tc>
          <w:tcPr>
            <w:tcW w:w="390" w:type="dxa"/>
          </w:tcPr>
          <w:p w14:paraId="1587434A">
            <w:pPr>
              <w:widowControl w:val="0"/>
              <w:spacing w:after="160" w:line="278" w:lineRule="auto"/>
              <w:jc w:val="both"/>
              <w:rPr>
                <w:rFonts w:eastAsia="宋体"/>
                <w:b/>
                <w:bCs/>
                <w:color w:val="FF0000"/>
                <w:kern w:val="2"/>
                <w:sz w:val="21"/>
                <w:szCs w:val="21"/>
                <w:lang w:eastAsia="zh-CN"/>
              </w:rPr>
            </w:pPr>
          </w:p>
        </w:tc>
      </w:tr>
      <w:tr w14:paraId="2F15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5B671184">
            <w:pPr>
              <w:widowControl w:val="0"/>
              <w:spacing w:after="160" w:line="278" w:lineRule="auto"/>
              <w:jc w:val="center"/>
              <w:rPr>
                <w:rFonts w:eastAsia="宋体"/>
                <w:color w:val="000000"/>
                <w:kern w:val="2"/>
                <w:sz w:val="21"/>
                <w:szCs w:val="21"/>
                <w:lang w:eastAsia="zh-CN"/>
              </w:rPr>
            </w:pPr>
          </w:p>
        </w:tc>
        <w:tc>
          <w:tcPr>
            <w:tcW w:w="772" w:type="dxa"/>
            <w:vMerge w:val="continue"/>
          </w:tcPr>
          <w:p w14:paraId="6B34D544">
            <w:pPr>
              <w:widowControl w:val="0"/>
              <w:spacing w:after="160" w:line="278" w:lineRule="auto"/>
              <w:jc w:val="both"/>
              <w:rPr>
                <w:rFonts w:eastAsia="宋体"/>
                <w:color w:val="000000"/>
                <w:kern w:val="2"/>
                <w:sz w:val="21"/>
                <w:szCs w:val="21"/>
                <w:lang w:eastAsia="zh-CN"/>
              </w:rPr>
            </w:pPr>
          </w:p>
        </w:tc>
        <w:tc>
          <w:tcPr>
            <w:tcW w:w="5446" w:type="dxa"/>
          </w:tcPr>
          <w:p w14:paraId="1EE46837">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432B92D9">
            <w:pPr>
              <w:widowControl w:val="0"/>
              <w:spacing w:after="160" w:line="278" w:lineRule="auto"/>
              <w:jc w:val="both"/>
              <w:rPr>
                <w:rFonts w:eastAsia="宋体"/>
                <w:color w:val="000000"/>
                <w:kern w:val="2"/>
                <w:sz w:val="21"/>
                <w:szCs w:val="21"/>
                <w:lang w:eastAsia="zh-CN"/>
              </w:rPr>
            </w:pPr>
          </w:p>
        </w:tc>
        <w:tc>
          <w:tcPr>
            <w:tcW w:w="710" w:type="dxa"/>
          </w:tcPr>
          <w:p w14:paraId="0D6F055E">
            <w:pPr>
              <w:widowControl w:val="0"/>
              <w:spacing w:after="160" w:line="278" w:lineRule="auto"/>
              <w:jc w:val="both"/>
              <w:rPr>
                <w:rFonts w:eastAsia="宋体"/>
                <w:color w:val="000000"/>
                <w:kern w:val="2"/>
                <w:sz w:val="21"/>
                <w:szCs w:val="21"/>
                <w:lang w:eastAsia="zh-CN"/>
              </w:rPr>
            </w:pPr>
          </w:p>
        </w:tc>
        <w:tc>
          <w:tcPr>
            <w:tcW w:w="390" w:type="dxa"/>
          </w:tcPr>
          <w:p w14:paraId="76DE01FB">
            <w:pPr>
              <w:widowControl w:val="0"/>
              <w:spacing w:after="160" w:line="278" w:lineRule="auto"/>
              <w:jc w:val="both"/>
              <w:rPr>
                <w:rFonts w:eastAsia="宋体"/>
                <w:color w:val="000000"/>
                <w:kern w:val="2"/>
                <w:sz w:val="21"/>
                <w:szCs w:val="21"/>
                <w:lang w:eastAsia="zh-CN"/>
              </w:rPr>
            </w:pPr>
          </w:p>
        </w:tc>
      </w:tr>
      <w:tr w14:paraId="5225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1AC5A386">
            <w:pPr>
              <w:widowControl w:val="0"/>
              <w:spacing w:after="160" w:line="278" w:lineRule="auto"/>
              <w:jc w:val="center"/>
              <w:rPr>
                <w:rFonts w:eastAsia="宋体"/>
                <w:color w:val="000000"/>
                <w:kern w:val="2"/>
                <w:sz w:val="21"/>
                <w:szCs w:val="21"/>
                <w:lang w:eastAsia="zh-CN"/>
              </w:rPr>
            </w:pPr>
          </w:p>
        </w:tc>
        <w:tc>
          <w:tcPr>
            <w:tcW w:w="772" w:type="dxa"/>
            <w:vMerge w:val="continue"/>
          </w:tcPr>
          <w:p w14:paraId="1D9D8EB7">
            <w:pPr>
              <w:widowControl w:val="0"/>
              <w:spacing w:after="160" w:line="278" w:lineRule="auto"/>
              <w:jc w:val="both"/>
              <w:rPr>
                <w:rFonts w:eastAsia="宋体"/>
                <w:color w:val="000000"/>
                <w:kern w:val="2"/>
                <w:sz w:val="21"/>
                <w:szCs w:val="21"/>
                <w:lang w:eastAsia="zh-CN"/>
              </w:rPr>
            </w:pPr>
          </w:p>
        </w:tc>
        <w:tc>
          <w:tcPr>
            <w:tcW w:w="5446" w:type="dxa"/>
          </w:tcPr>
          <w:p w14:paraId="17819EDC">
            <w:pPr>
              <w:widowControl w:val="0"/>
              <w:spacing w:after="160" w:line="278" w:lineRule="auto"/>
              <w:jc w:val="center"/>
              <w:rPr>
                <w:rFonts w:eastAsia="宋体"/>
                <w:color w:val="000000"/>
                <w:kern w:val="2"/>
                <w:sz w:val="21"/>
                <w:szCs w:val="21"/>
                <w:lang w:eastAsia="zh-CN"/>
              </w:rPr>
            </w:pPr>
            <w:r>
              <w:rPr>
                <w:rFonts w:hint="eastAsia" w:eastAsia="宋体"/>
                <w:kern w:val="2"/>
                <w:sz w:val="21"/>
                <w:lang w:eastAsia="zh-CN"/>
              </w:rPr>
              <w:t>（填写相关内容）</w:t>
            </w:r>
          </w:p>
        </w:tc>
        <w:tc>
          <w:tcPr>
            <w:tcW w:w="972" w:type="dxa"/>
          </w:tcPr>
          <w:p w14:paraId="22F60F3B">
            <w:pPr>
              <w:widowControl w:val="0"/>
              <w:spacing w:after="160" w:line="278" w:lineRule="auto"/>
              <w:jc w:val="both"/>
              <w:rPr>
                <w:rFonts w:eastAsia="宋体"/>
                <w:color w:val="000000"/>
                <w:kern w:val="2"/>
                <w:sz w:val="21"/>
                <w:szCs w:val="21"/>
                <w:lang w:eastAsia="zh-CN"/>
              </w:rPr>
            </w:pPr>
          </w:p>
        </w:tc>
        <w:tc>
          <w:tcPr>
            <w:tcW w:w="710" w:type="dxa"/>
          </w:tcPr>
          <w:p w14:paraId="111E4C29">
            <w:pPr>
              <w:widowControl w:val="0"/>
              <w:spacing w:after="160" w:line="278" w:lineRule="auto"/>
              <w:jc w:val="both"/>
              <w:rPr>
                <w:rFonts w:eastAsia="宋体"/>
                <w:color w:val="000000"/>
                <w:kern w:val="2"/>
                <w:sz w:val="21"/>
                <w:szCs w:val="21"/>
                <w:lang w:eastAsia="zh-CN"/>
              </w:rPr>
            </w:pPr>
          </w:p>
        </w:tc>
        <w:tc>
          <w:tcPr>
            <w:tcW w:w="390" w:type="dxa"/>
          </w:tcPr>
          <w:p w14:paraId="2F2F4D49">
            <w:pPr>
              <w:widowControl w:val="0"/>
              <w:spacing w:after="160" w:line="278" w:lineRule="auto"/>
              <w:jc w:val="both"/>
              <w:rPr>
                <w:rFonts w:eastAsia="宋体"/>
                <w:color w:val="000000"/>
                <w:kern w:val="2"/>
                <w:sz w:val="21"/>
                <w:szCs w:val="21"/>
                <w:lang w:eastAsia="zh-CN"/>
              </w:rPr>
            </w:pPr>
          </w:p>
        </w:tc>
      </w:tr>
      <w:tr w14:paraId="29F8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9361641">
            <w:pPr>
              <w:widowControl w:val="0"/>
              <w:spacing w:after="160" w:line="278" w:lineRule="auto"/>
              <w:jc w:val="center"/>
              <w:rPr>
                <w:rFonts w:eastAsia="宋体"/>
                <w:color w:val="000000"/>
                <w:kern w:val="2"/>
                <w:sz w:val="21"/>
                <w:szCs w:val="21"/>
                <w:lang w:eastAsia="zh-CN"/>
              </w:rPr>
            </w:pPr>
          </w:p>
        </w:tc>
        <w:tc>
          <w:tcPr>
            <w:tcW w:w="772" w:type="dxa"/>
            <w:vMerge w:val="continue"/>
          </w:tcPr>
          <w:p w14:paraId="692C1E24">
            <w:pPr>
              <w:widowControl w:val="0"/>
              <w:spacing w:after="160" w:line="278" w:lineRule="auto"/>
              <w:jc w:val="both"/>
              <w:rPr>
                <w:rFonts w:eastAsia="宋体"/>
                <w:color w:val="000000"/>
                <w:kern w:val="2"/>
                <w:sz w:val="21"/>
                <w:szCs w:val="21"/>
                <w:lang w:eastAsia="zh-CN"/>
              </w:rPr>
            </w:pPr>
          </w:p>
        </w:tc>
        <w:tc>
          <w:tcPr>
            <w:tcW w:w="5446" w:type="dxa"/>
          </w:tcPr>
          <w:p w14:paraId="4BD46660">
            <w:pPr>
              <w:widowControl w:val="0"/>
              <w:spacing w:after="160" w:line="278" w:lineRule="auto"/>
              <w:jc w:val="center"/>
              <w:rPr>
                <w:rFonts w:eastAsia="宋体"/>
                <w:color w:val="000000"/>
                <w:kern w:val="2"/>
                <w:sz w:val="21"/>
                <w:szCs w:val="21"/>
                <w:lang w:eastAsia="zh-CN"/>
              </w:rPr>
            </w:pPr>
            <w:r>
              <w:rPr>
                <w:rFonts w:hint="eastAsia" w:ascii="宋体" w:hAnsi="宋体" w:eastAsia="宋体"/>
                <w:color w:val="000000"/>
                <w:kern w:val="2"/>
                <w:sz w:val="21"/>
                <w:szCs w:val="21"/>
                <w:lang w:eastAsia="zh-CN"/>
              </w:rPr>
              <w:t>……</w:t>
            </w:r>
          </w:p>
        </w:tc>
        <w:tc>
          <w:tcPr>
            <w:tcW w:w="972" w:type="dxa"/>
          </w:tcPr>
          <w:p w14:paraId="2574BBC2">
            <w:pPr>
              <w:widowControl w:val="0"/>
              <w:spacing w:after="160" w:line="278" w:lineRule="auto"/>
              <w:jc w:val="both"/>
              <w:rPr>
                <w:rFonts w:eastAsia="宋体"/>
                <w:color w:val="000000"/>
                <w:kern w:val="2"/>
                <w:sz w:val="21"/>
                <w:szCs w:val="21"/>
                <w:lang w:eastAsia="zh-CN"/>
              </w:rPr>
            </w:pPr>
          </w:p>
        </w:tc>
        <w:tc>
          <w:tcPr>
            <w:tcW w:w="710" w:type="dxa"/>
          </w:tcPr>
          <w:p w14:paraId="2EEB6679">
            <w:pPr>
              <w:widowControl w:val="0"/>
              <w:spacing w:after="160" w:line="278" w:lineRule="auto"/>
              <w:jc w:val="both"/>
              <w:rPr>
                <w:rFonts w:eastAsia="宋体"/>
                <w:color w:val="000000"/>
                <w:kern w:val="2"/>
                <w:sz w:val="21"/>
                <w:szCs w:val="21"/>
                <w:lang w:eastAsia="zh-CN"/>
              </w:rPr>
            </w:pPr>
          </w:p>
        </w:tc>
        <w:tc>
          <w:tcPr>
            <w:tcW w:w="390" w:type="dxa"/>
          </w:tcPr>
          <w:p w14:paraId="7F52D211">
            <w:pPr>
              <w:widowControl w:val="0"/>
              <w:spacing w:after="160" w:line="278" w:lineRule="auto"/>
              <w:jc w:val="both"/>
              <w:rPr>
                <w:rFonts w:eastAsia="宋体"/>
                <w:color w:val="000000"/>
                <w:kern w:val="2"/>
                <w:sz w:val="21"/>
                <w:szCs w:val="21"/>
                <w:lang w:eastAsia="zh-CN"/>
              </w:rPr>
            </w:pPr>
          </w:p>
        </w:tc>
      </w:tr>
    </w:tbl>
    <w:p w14:paraId="5D880878">
      <w:pPr>
        <w:widowControl w:val="0"/>
        <w:spacing w:after="160" w:line="278" w:lineRule="auto"/>
        <w:jc w:val="both"/>
        <w:rPr>
          <w:rFonts w:eastAsia="宋体"/>
          <w:kern w:val="2"/>
          <w:lang w:eastAsia="zh-CN"/>
        </w:rPr>
      </w:pPr>
    </w:p>
    <w:p w14:paraId="312C5FA0">
      <w:pPr>
        <w:keepNext w:val="0"/>
        <w:keepLines w:val="0"/>
        <w:pageBreakBefore w:val="0"/>
        <w:kinsoku/>
        <w:wordWrap/>
        <w:overflowPunct/>
        <w:topLinePunct w:val="0"/>
        <w:autoSpaceDE/>
        <w:autoSpaceDN/>
        <w:bidi w:val="0"/>
        <w:adjustRightInd/>
        <w:snapToGrid/>
        <w:spacing w:beforeAutospacing="0" w:afterAutospacing="0"/>
        <w:textAlignment w:val="auto"/>
        <w:rPr>
          <w:b/>
          <w:sz w:val="21"/>
          <w:szCs w:val="21"/>
        </w:rPr>
      </w:pPr>
      <w:bookmarkStart w:id="75" w:name="_Hlk72095977"/>
      <w:r>
        <w:rPr>
          <w:rFonts w:hint="eastAsia"/>
          <w:sz w:val="21"/>
          <w:szCs w:val="21"/>
        </w:rPr>
        <w:t>证明资料【如有的话，提供的证明资料应统一编号（排序），格式自定】</w:t>
      </w:r>
      <w:bookmarkEnd w:id="75"/>
      <w:r>
        <w:rPr>
          <w:rFonts w:hint="eastAsia"/>
          <w:sz w:val="21"/>
          <w:szCs w:val="21"/>
        </w:rPr>
        <w:t>：</w:t>
      </w:r>
    </w:p>
    <w:p w14:paraId="6394D47A">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05632D6E">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b w:val="0"/>
          <w:bCs/>
          <w:sz w:val="21"/>
          <w:szCs w:val="21"/>
        </w:rPr>
      </w:pPr>
      <w:r>
        <w:rPr>
          <w:rFonts w:hint="eastAsia"/>
          <w:b w:val="0"/>
          <w:bCs/>
          <w:sz w:val="21"/>
          <w:szCs w:val="21"/>
        </w:rPr>
        <w:t>1、技术要求偏离表的序号、货物名称、招标技术要求等栏目</w:t>
      </w:r>
      <w:bookmarkStart w:id="76" w:name="_Hlk72094407"/>
      <w:r>
        <w:rPr>
          <w:rFonts w:hint="eastAsia"/>
          <w:b w:val="0"/>
          <w:bCs/>
          <w:sz w:val="21"/>
          <w:szCs w:val="21"/>
        </w:rPr>
        <w:t>对应“用户需求书”中的“技术要求”章节</w:t>
      </w:r>
      <w:bookmarkEnd w:id="76"/>
      <w:r>
        <w:rPr>
          <w:rFonts w:hint="eastAsia"/>
          <w:b w:val="0"/>
          <w:bCs/>
          <w:sz w:val="21"/>
          <w:szCs w:val="21"/>
        </w:rPr>
        <w:t>相关内容。</w:t>
      </w:r>
    </w:p>
    <w:p w14:paraId="30F27F7B">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lang w:val="en-US" w:eastAsia="zh-CN"/>
        </w:rPr>
      </w:pPr>
      <w:r>
        <w:rPr>
          <w:rFonts w:hint="eastAsia"/>
          <w:b w:val="0"/>
          <w:bCs/>
          <w:sz w:val="21"/>
          <w:szCs w:val="21"/>
        </w:rPr>
        <w:t>2、“投标技术响应”一栏必须一一对照“招标技术要求”，详细填写投标人自身投标货物的具体参数，而不能不合理照搬照抄招标文件的技术要求，以体现具体响应情况。</w:t>
      </w:r>
      <w:r>
        <w:rPr>
          <w:rFonts w:hint="eastAsia"/>
          <w:b w:val="0"/>
          <w:bCs/>
          <w:color w:val="FF0000"/>
          <w:sz w:val="21"/>
          <w:szCs w:val="21"/>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719380D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7" w:name="_Hlk72158270"/>
      <w:r>
        <w:rPr>
          <w:rFonts w:hint="eastAsia"/>
          <w:b w:val="0"/>
          <w:bCs/>
          <w:sz w:val="21"/>
          <w:szCs w:val="21"/>
        </w:rPr>
        <w:t>“偏离情况”</w:t>
      </w:r>
      <w:bookmarkEnd w:id="77"/>
      <w:r>
        <w:rPr>
          <w:rFonts w:hint="eastAsia"/>
          <w:b w:val="0"/>
          <w:bCs/>
          <w:sz w:val="21"/>
          <w:szCs w:val="21"/>
        </w:rPr>
        <w:t>一栏填写如实填写“正偏离”、“负偏离”或“无偏离”，其中：</w:t>
      </w:r>
      <w:bookmarkStart w:id="78" w:name="_Hlk72093866"/>
      <w:r>
        <w:rPr>
          <w:rFonts w:hint="eastAsia"/>
          <w:b w:val="0"/>
          <w:bCs/>
          <w:sz w:val="21"/>
          <w:szCs w:val="21"/>
        </w:rPr>
        <w:t>“正偏离”表示“投标响应优于招标技术要求”，“负偏离”表示“投标响应不满足招标技术要求”，“无偏离”表示“投标响应与招标技术要求一致”</w:t>
      </w:r>
      <w:bookmarkEnd w:id="78"/>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06C027AE">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1CB96B01">
      <w:pPr>
        <w:ind w:firstLine="420" w:firstLineChars="200"/>
        <w:rPr>
          <w:b w:val="0"/>
          <w:bCs/>
          <w:sz w:val="21"/>
          <w:szCs w:val="21"/>
        </w:rPr>
      </w:pPr>
      <w:r>
        <w:rPr>
          <w:rFonts w:hint="eastAsia"/>
          <w:b w:val="0"/>
          <w:bCs/>
          <w:sz w:val="21"/>
          <w:szCs w:val="21"/>
        </w:rPr>
        <w:t>5、</w:t>
      </w:r>
      <w:bookmarkStart w:id="79" w:name="_Hlk72096106"/>
      <w:r>
        <w:rPr>
          <w:rFonts w:hint="eastAsia"/>
          <w:b w:val="0"/>
          <w:bCs/>
          <w:sz w:val="21"/>
          <w:szCs w:val="21"/>
        </w:rPr>
        <w:t>证明资料条款响应要求</w:t>
      </w:r>
      <w:bookmarkEnd w:id="79"/>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80"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1" w:name="_Hlk73558164"/>
      <w:r>
        <w:rPr>
          <w:rFonts w:hint="eastAsia"/>
          <w:b w:val="0"/>
          <w:bCs/>
          <w:sz w:val="21"/>
          <w:szCs w:val="21"/>
        </w:rPr>
        <w:t>且投标人在“偏离情况”一栏响应为“正偏离”或“无偏离”的，经评审委员会认定，将判定为负偏离。</w:t>
      </w:r>
      <w:bookmarkEnd w:id="80"/>
      <w:bookmarkEnd w:id="81"/>
    </w:p>
    <w:p w14:paraId="1734EBD7">
      <w:pPr>
        <w:ind w:firstLine="420" w:firstLineChars="200"/>
        <w:rPr>
          <w:b w:val="0"/>
          <w:bCs/>
          <w:sz w:val="21"/>
          <w:szCs w:val="21"/>
        </w:rPr>
      </w:pPr>
      <w:r>
        <w:rPr>
          <w:rFonts w:hint="eastAsia"/>
          <w:b w:val="0"/>
          <w:bCs/>
          <w:sz w:val="21"/>
          <w:szCs w:val="21"/>
        </w:rPr>
        <w:t>6、</w:t>
      </w:r>
      <w:bookmarkStart w:id="82" w:name="_Hlk72096137"/>
      <w:r>
        <w:rPr>
          <w:rFonts w:hint="eastAsia"/>
          <w:b w:val="0"/>
          <w:bCs/>
          <w:sz w:val="21"/>
          <w:szCs w:val="21"/>
        </w:rPr>
        <w:t>表后“证明资料”部分内容的编制</w:t>
      </w:r>
      <w:bookmarkEnd w:id="82"/>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3" w:name="_Hlk73558180"/>
      <w:r>
        <w:rPr>
          <w:rFonts w:hint="eastAsia"/>
          <w:b w:val="0"/>
          <w:bCs/>
          <w:sz w:val="21"/>
          <w:szCs w:val="21"/>
        </w:rPr>
        <w:t>未按照招标文件要求在表后放置证明材料的供应商将承担不利后果，经评审委员会认定，相关技术要求将判定为负偏离。</w:t>
      </w:r>
      <w:bookmarkEnd w:id="83"/>
    </w:p>
    <w:p w14:paraId="40924352">
      <w:pPr>
        <w:ind w:firstLine="420" w:firstLineChars="200"/>
        <w:rPr>
          <w:b w:val="0"/>
          <w:bCs/>
          <w:sz w:val="21"/>
          <w:szCs w:val="21"/>
        </w:rPr>
      </w:pPr>
      <w:r>
        <w:rPr>
          <w:rFonts w:hint="eastAsia"/>
          <w:b w:val="0"/>
          <w:bCs/>
          <w:sz w:val="21"/>
          <w:szCs w:val="21"/>
        </w:rPr>
        <w:t>7、</w:t>
      </w:r>
      <w:bookmarkStart w:id="84" w:name="_Hlk72096176"/>
      <w:r>
        <w:rPr>
          <w:rFonts w:hint="eastAsia"/>
          <w:b w:val="0"/>
          <w:bCs/>
          <w:sz w:val="21"/>
          <w:szCs w:val="21"/>
        </w:rPr>
        <w:t>证明资料的形式及其它具体要求</w:t>
      </w:r>
      <w:bookmarkEnd w:id="84"/>
      <w:r>
        <w:rPr>
          <w:rFonts w:hint="eastAsia"/>
          <w:b w:val="0"/>
          <w:bCs/>
          <w:sz w:val="21"/>
          <w:szCs w:val="21"/>
        </w:rPr>
        <w:t>：</w:t>
      </w:r>
    </w:p>
    <w:p w14:paraId="4C857909">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14:paraId="14A1AA0A">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016261E0">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E40B8F7">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7580A0DC">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EFB17C1">
      <w:pPr>
        <w:ind w:firstLine="420" w:firstLineChars="200"/>
        <w:rPr>
          <w:b w:val="0"/>
          <w:bCs/>
          <w:sz w:val="21"/>
          <w:szCs w:val="21"/>
        </w:rPr>
      </w:pPr>
      <w:r>
        <w:rPr>
          <w:rFonts w:hint="eastAsia"/>
          <w:b w:val="0"/>
          <w:bCs/>
          <w:sz w:val="21"/>
          <w:szCs w:val="21"/>
        </w:rPr>
        <w:t>其它证明资料的形式要求参照以上要求执行；</w:t>
      </w:r>
    </w:p>
    <w:p w14:paraId="748DBED5">
      <w:pPr>
        <w:ind w:firstLine="420" w:firstLineChars="200"/>
        <w:rPr>
          <w:b w:val="0"/>
          <w:bCs/>
          <w:sz w:val="21"/>
          <w:szCs w:val="21"/>
        </w:rPr>
      </w:pPr>
      <w:r>
        <w:rPr>
          <w:rFonts w:hint="eastAsia"/>
          <w:b w:val="0"/>
          <w:bCs/>
          <w:sz w:val="21"/>
          <w:szCs w:val="21"/>
        </w:rPr>
        <w:t>8、其它注意事项：</w:t>
      </w:r>
    </w:p>
    <w:p w14:paraId="3DD876D6">
      <w:pPr>
        <w:ind w:firstLine="420" w:firstLineChars="200"/>
        <w:rPr>
          <w:b w:val="0"/>
          <w:bCs/>
          <w:sz w:val="21"/>
          <w:szCs w:val="21"/>
        </w:rPr>
      </w:pPr>
      <w:r>
        <w:rPr>
          <w:rFonts w:hint="eastAsia"/>
          <w:b w:val="0"/>
          <w:bCs/>
          <w:sz w:val="21"/>
          <w:szCs w:val="21"/>
        </w:rPr>
        <w:t>（1）评审委员会有权对投标人的响应情况作出判断（评审结论）；</w:t>
      </w:r>
    </w:p>
    <w:p w14:paraId="33BD6482">
      <w:pPr>
        <w:ind w:firstLine="420" w:firstLineChars="200"/>
        <w:rPr>
          <w:b w:val="0"/>
          <w:bCs/>
          <w:sz w:val="21"/>
          <w:szCs w:val="21"/>
        </w:rPr>
      </w:pPr>
      <w:r>
        <w:rPr>
          <w:rFonts w:hint="eastAsia"/>
          <w:b w:val="0"/>
          <w:bCs/>
          <w:sz w:val="21"/>
          <w:szCs w:val="21"/>
        </w:rPr>
        <w:t>（2）</w:t>
      </w:r>
      <w:bookmarkStart w:id="85"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5"/>
    </w:p>
    <w:p w14:paraId="083FAAA5">
      <w:pPr>
        <w:widowControl w:val="0"/>
        <w:spacing w:after="160" w:line="278" w:lineRule="auto"/>
        <w:ind w:firstLine="482" w:firstLineChars="200"/>
        <w:jc w:val="both"/>
        <w:rPr>
          <w:rFonts w:eastAsia="宋体"/>
          <w:b/>
          <w:kern w:val="2"/>
          <w:lang w:eastAsia="zh-CN"/>
        </w:rPr>
      </w:pPr>
    </w:p>
    <w:p w14:paraId="3DC88908">
      <w:pPr>
        <w:widowControl w:val="0"/>
        <w:spacing w:after="160" w:line="278" w:lineRule="auto"/>
        <w:jc w:val="both"/>
        <w:rPr>
          <w:rFonts w:eastAsia="宋体"/>
          <w:kern w:val="2"/>
          <w:lang w:eastAsia="zh-CN"/>
        </w:rPr>
      </w:pPr>
    </w:p>
    <w:p w14:paraId="6C7EB264">
      <w:pPr>
        <w:rPr>
          <w:rFonts w:hint="eastAsia" w:ascii="黑体" w:hAnsi="宋体" w:eastAsia="黑体"/>
          <w:kern w:val="2"/>
          <w:szCs w:val="20"/>
          <w:lang w:val="en-US" w:eastAsia="zh-CN"/>
        </w:rPr>
      </w:pPr>
      <w:r>
        <w:rPr>
          <w:rFonts w:hint="eastAsia" w:ascii="黑体" w:hAnsi="宋体" w:eastAsia="黑体"/>
          <w:kern w:val="2"/>
          <w:szCs w:val="20"/>
          <w:lang w:val="en-US" w:eastAsia="zh-CN"/>
        </w:rPr>
        <w:br w:type="page"/>
      </w:r>
    </w:p>
    <w:p w14:paraId="698CA89F">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kern w:val="2"/>
          <w:szCs w:val="20"/>
          <w:lang w:val="en-US" w:eastAsia="zh-CN"/>
        </w:rPr>
        <w:t>六</w:t>
      </w:r>
      <w:r>
        <w:rPr>
          <w:rFonts w:hint="eastAsia" w:ascii="黑体" w:hAnsi="宋体" w:eastAsia="黑体"/>
          <w:kern w:val="2"/>
          <w:szCs w:val="20"/>
          <w:lang w:eastAsia="zh-CN"/>
        </w:rPr>
        <w:t>、商务要求偏离表</w:t>
      </w:r>
    </w:p>
    <w:tbl>
      <w:tblPr>
        <w:tblStyle w:val="18"/>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22"/>
        <w:gridCol w:w="4575"/>
        <w:gridCol w:w="919"/>
        <w:gridCol w:w="612"/>
        <w:gridCol w:w="518"/>
      </w:tblGrid>
      <w:tr w14:paraId="4C3B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2C342A00">
            <w:pPr>
              <w:widowControl w:val="0"/>
              <w:spacing w:after="160" w:line="278" w:lineRule="auto"/>
              <w:jc w:val="center"/>
              <w:rPr>
                <w:rFonts w:eastAsia="宋体"/>
                <w:b/>
                <w:kern w:val="2"/>
                <w:sz w:val="21"/>
                <w:lang w:eastAsia="zh-CN"/>
              </w:rPr>
            </w:pPr>
            <w:r>
              <w:rPr>
                <w:rFonts w:hint="eastAsia" w:eastAsia="宋体"/>
                <w:kern w:val="2"/>
                <w:lang w:eastAsia="zh-CN"/>
              </w:rPr>
              <w:t>序号</w:t>
            </w:r>
          </w:p>
        </w:tc>
        <w:tc>
          <w:tcPr>
            <w:tcW w:w="1408" w:type="dxa"/>
            <w:vAlign w:val="center"/>
          </w:tcPr>
          <w:p w14:paraId="2E289747">
            <w:pPr>
              <w:widowControl w:val="0"/>
              <w:spacing w:after="160" w:line="278" w:lineRule="auto"/>
              <w:jc w:val="center"/>
              <w:rPr>
                <w:rFonts w:eastAsia="宋体"/>
                <w:b/>
                <w:kern w:val="2"/>
                <w:sz w:val="21"/>
                <w:lang w:eastAsia="zh-CN"/>
              </w:rPr>
            </w:pPr>
            <w:r>
              <w:rPr>
                <w:rFonts w:hint="eastAsia" w:eastAsia="宋体"/>
                <w:b/>
                <w:kern w:val="2"/>
                <w:sz w:val="21"/>
                <w:lang w:eastAsia="zh-CN"/>
              </w:rPr>
              <w:t>商务需求项</w:t>
            </w:r>
          </w:p>
        </w:tc>
        <w:tc>
          <w:tcPr>
            <w:tcW w:w="4918" w:type="dxa"/>
            <w:vAlign w:val="center"/>
          </w:tcPr>
          <w:p w14:paraId="3C81FB5C">
            <w:pPr>
              <w:widowControl w:val="0"/>
              <w:spacing w:after="160" w:line="278" w:lineRule="auto"/>
              <w:jc w:val="center"/>
              <w:rPr>
                <w:rFonts w:eastAsia="宋体"/>
                <w:b/>
                <w:kern w:val="2"/>
                <w:sz w:val="21"/>
                <w:lang w:eastAsia="zh-CN"/>
              </w:rPr>
            </w:pPr>
            <w:r>
              <w:rPr>
                <w:rFonts w:hint="eastAsia" w:eastAsia="宋体"/>
                <w:kern w:val="2"/>
                <w:lang w:eastAsia="zh-CN"/>
              </w:rPr>
              <w:t>招标商务要求</w:t>
            </w:r>
          </w:p>
        </w:tc>
        <w:tc>
          <w:tcPr>
            <w:tcW w:w="973" w:type="dxa"/>
            <w:vAlign w:val="center"/>
          </w:tcPr>
          <w:p w14:paraId="6644041C">
            <w:pPr>
              <w:widowControl w:val="0"/>
              <w:spacing w:after="160" w:line="278" w:lineRule="auto"/>
              <w:jc w:val="center"/>
              <w:rPr>
                <w:rFonts w:eastAsia="宋体"/>
                <w:b/>
                <w:kern w:val="2"/>
                <w:sz w:val="21"/>
                <w:lang w:eastAsia="zh-CN"/>
              </w:rPr>
            </w:pPr>
            <w:r>
              <w:rPr>
                <w:rFonts w:hint="eastAsia" w:eastAsia="宋体"/>
                <w:kern w:val="2"/>
                <w:lang w:eastAsia="zh-CN"/>
              </w:rPr>
              <w:t>投标商务响应</w:t>
            </w:r>
          </w:p>
        </w:tc>
        <w:tc>
          <w:tcPr>
            <w:tcW w:w="642" w:type="dxa"/>
            <w:vAlign w:val="center"/>
          </w:tcPr>
          <w:p w14:paraId="35E3A0AB">
            <w:pPr>
              <w:widowControl w:val="0"/>
              <w:spacing w:after="160" w:line="278" w:lineRule="auto"/>
              <w:jc w:val="center"/>
              <w:rPr>
                <w:rFonts w:eastAsia="宋体"/>
                <w:b/>
                <w:kern w:val="2"/>
                <w:sz w:val="21"/>
                <w:lang w:eastAsia="zh-CN"/>
              </w:rPr>
            </w:pPr>
            <w:r>
              <w:rPr>
                <w:rFonts w:hint="eastAsia" w:eastAsia="宋体"/>
                <w:kern w:val="2"/>
                <w:sz w:val="21"/>
                <w:lang w:eastAsia="zh-CN"/>
              </w:rPr>
              <w:t>偏离情况</w:t>
            </w:r>
          </w:p>
        </w:tc>
        <w:tc>
          <w:tcPr>
            <w:tcW w:w="540" w:type="dxa"/>
            <w:vAlign w:val="center"/>
          </w:tcPr>
          <w:p w14:paraId="48831955">
            <w:pPr>
              <w:widowControl w:val="0"/>
              <w:spacing w:after="160" w:line="278" w:lineRule="auto"/>
              <w:jc w:val="center"/>
              <w:rPr>
                <w:rFonts w:eastAsia="宋体"/>
                <w:b/>
                <w:kern w:val="2"/>
                <w:sz w:val="21"/>
                <w:lang w:eastAsia="zh-CN"/>
              </w:rPr>
            </w:pPr>
            <w:r>
              <w:rPr>
                <w:rFonts w:hint="eastAsia" w:eastAsia="宋体"/>
                <w:kern w:val="2"/>
                <w:lang w:eastAsia="zh-CN"/>
              </w:rPr>
              <w:t>说明</w:t>
            </w:r>
          </w:p>
        </w:tc>
      </w:tr>
      <w:tr w14:paraId="4831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55AF2839">
            <w:pPr>
              <w:widowControl w:val="0"/>
              <w:spacing w:after="160" w:line="278" w:lineRule="auto"/>
              <w:jc w:val="both"/>
              <w:rPr>
                <w:rFonts w:eastAsia="宋体"/>
                <w:b/>
                <w:kern w:val="2"/>
                <w:sz w:val="21"/>
                <w:lang w:eastAsia="zh-CN"/>
              </w:rPr>
            </w:pPr>
            <w:r>
              <w:rPr>
                <w:rFonts w:hint="eastAsia" w:eastAsia="宋体"/>
                <w:b/>
                <w:kern w:val="2"/>
                <w:sz w:val="21"/>
                <w:lang w:eastAsia="zh-CN"/>
              </w:rPr>
              <w:t>（一）免费保修期内售后服务要求</w:t>
            </w:r>
          </w:p>
        </w:tc>
      </w:tr>
      <w:tr w14:paraId="73EA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7B8B8041">
            <w:pPr>
              <w:widowControl w:val="0"/>
              <w:spacing w:after="160" w:line="278" w:lineRule="auto"/>
              <w:jc w:val="center"/>
              <w:rPr>
                <w:rFonts w:eastAsia="宋体"/>
                <w:bCs/>
                <w:kern w:val="2"/>
                <w:sz w:val="21"/>
                <w:lang w:eastAsia="zh-CN"/>
              </w:rPr>
            </w:pPr>
            <w:r>
              <w:rPr>
                <w:rFonts w:hint="eastAsia" w:eastAsia="宋体"/>
                <w:bCs/>
                <w:kern w:val="2"/>
                <w:sz w:val="21"/>
                <w:lang w:eastAsia="zh-CN"/>
              </w:rPr>
              <w:t>1</w:t>
            </w:r>
          </w:p>
        </w:tc>
        <w:tc>
          <w:tcPr>
            <w:tcW w:w="1408" w:type="dxa"/>
          </w:tcPr>
          <w:p w14:paraId="02A09129">
            <w:pPr>
              <w:widowControl w:val="0"/>
              <w:spacing w:after="160" w:line="278" w:lineRule="auto"/>
              <w:jc w:val="center"/>
              <w:rPr>
                <w:rFonts w:eastAsia="宋体"/>
                <w:kern w:val="2"/>
                <w:sz w:val="21"/>
                <w:lang w:eastAsia="zh-CN"/>
              </w:rPr>
            </w:pPr>
            <w:r>
              <w:rPr>
                <w:rFonts w:hint="eastAsia" w:eastAsia="宋体"/>
                <w:kern w:val="2"/>
                <w:sz w:val="21"/>
                <w:lang w:eastAsia="zh-CN"/>
              </w:rPr>
              <w:t>*</w:t>
            </w:r>
            <w:r>
              <w:rPr>
                <w:rFonts w:eastAsia="宋体"/>
                <w:kern w:val="2"/>
                <w:sz w:val="21"/>
                <w:lang w:eastAsia="zh-CN"/>
              </w:rPr>
              <w:t>***</w:t>
            </w:r>
          </w:p>
        </w:tc>
        <w:tc>
          <w:tcPr>
            <w:tcW w:w="4918" w:type="dxa"/>
          </w:tcPr>
          <w:p w14:paraId="444255DA">
            <w:pPr>
              <w:widowControl w:val="0"/>
              <w:spacing w:after="160" w:line="278" w:lineRule="auto"/>
              <w:jc w:val="center"/>
              <w:rPr>
                <w:rFonts w:eastAsia="宋体"/>
                <w:b/>
                <w:kern w:val="2"/>
                <w:sz w:val="21"/>
                <w:lang w:eastAsia="zh-CN"/>
              </w:rPr>
            </w:pPr>
            <w:r>
              <w:rPr>
                <w:rFonts w:hint="eastAsia" w:eastAsia="宋体"/>
                <w:bCs/>
                <w:kern w:val="2"/>
                <w:sz w:val="21"/>
                <w:szCs w:val="21"/>
                <w:lang w:eastAsia="zh-CN"/>
              </w:rPr>
              <w:t>（填写相关内容）</w:t>
            </w:r>
          </w:p>
        </w:tc>
        <w:tc>
          <w:tcPr>
            <w:tcW w:w="973" w:type="dxa"/>
          </w:tcPr>
          <w:p w14:paraId="62CF9CF7">
            <w:pPr>
              <w:widowControl w:val="0"/>
              <w:spacing w:after="160" w:line="278" w:lineRule="auto"/>
              <w:jc w:val="both"/>
              <w:rPr>
                <w:rFonts w:eastAsia="宋体"/>
                <w:bCs/>
                <w:kern w:val="2"/>
                <w:sz w:val="21"/>
                <w:szCs w:val="21"/>
                <w:lang w:eastAsia="zh-CN"/>
              </w:rPr>
            </w:pPr>
          </w:p>
        </w:tc>
        <w:tc>
          <w:tcPr>
            <w:tcW w:w="642" w:type="dxa"/>
          </w:tcPr>
          <w:p w14:paraId="631A777E">
            <w:pPr>
              <w:widowControl w:val="0"/>
              <w:spacing w:after="160" w:line="278" w:lineRule="auto"/>
              <w:jc w:val="both"/>
              <w:rPr>
                <w:rFonts w:eastAsia="宋体"/>
                <w:bCs/>
                <w:kern w:val="2"/>
                <w:sz w:val="21"/>
                <w:szCs w:val="21"/>
                <w:lang w:eastAsia="zh-CN"/>
              </w:rPr>
            </w:pPr>
          </w:p>
        </w:tc>
        <w:tc>
          <w:tcPr>
            <w:tcW w:w="540" w:type="dxa"/>
          </w:tcPr>
          <w:p w14:paraId="3F5D0E10">
            <w:pPr>
              <w:widowControl w:val="0"/>
              <w:spacing w:after="160" w:line="278" w:lineRule="auto"/>
              <w:jc w:val="both"/>
              <w:rPr>
                <w:rFonts w:eastAsia="宋体"/>
                <w:bCs/>
                <w:kern w:val="2"/>
                <w:sz w:val="21"/>
                <w:szCs w:val="21"/>
                <w:lang w:eastAsia="zh-CN"/>
              </w:rPr>
            </w:pPr>
          </w:p>
        </w:tc>
      </w:tr>
      <w:tr w14:paraId="03AB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0FA86EA6">
            <w:pPr>
              <w:widowControl w:val="0"/>
              <w:spacing w:after="160" w:line="278" w:lineRule="auto"/>
              <w:jc w:val="center"/>
              <w:rPr>
                <w:rFonts w:eastAsia="宋体"/>
                <w:bCs/>
                <w:kern w:val="2"/>
                <w:sz w:val="21"/>
                <w:lang w:eastAsia="zh-CN"/>
              </w:rPr>
            </w:pPr>
            <w:r>
              <w:rPr>
                <w:rFonts w:eastAsia="宋体"/>
                <w:bCs/>
                <w:kern w:val="2"/>
                <w:sz w:val="21"/>
                <w:lang w:eastAsia="zh-CN"/>
              </w:rPr>
              <w:t>2</w:t>
            </w:r>
          </w:p>
        </w:tc>
        <w:tc>
          <w:tcPr>
            <w:tcW w:w="1408" w:type="dxa"/>
          </w:tcPr>
          <w:p w14:paraId="3466F663">
            <w:pPr>
              <w:widowControl w:val="0"/>
              <w:spacing w:after="160" w:line="278" w:lineRule="auto"/>
              <w:jc w:val="center"/>
              <w:rPr>
                <w:rFonts w:eastAsia="宋体"/>
                <w:kern w:val="2"/>
                <w:sz w:val="21"/>
                <w:lang w:eastAsia="zh-CN"/>
              </w:rPr>
            </w:pPr>
            <w:r>
              <w:rPr>
                <w:rFonts w:hint="eastAsia" w:eastAsia="宋体"/>
                <w:kern w:val="2"/>
                <w:sz w:val="21"/>
                <w:lang w:eastAsia="zh-CN"/>
              </w:rPr>
              <w:t>****</w:t>
            </w:r>
          </w:p>
        </w:tc>
        <w:tc>
          <w:tcPr>
            <w:tcW w:w="4918" w:type="dxa"/>
          </w:tcPr>
          <w:p w14:paraId="1CD6BCEB">
            <w:pPr>
              <w:widowControl w:val="0"/>
              <w:spacing w:after="160" w:line="278" w:lineRule="auto"/>
              <w:jc w:val="center"/>
              <w:rPr>
                <w:rFonts w:eastAsia="宋体"/>
                <w:bCs/>
                <w:kern w:val="2"/>
                <w:sz w:val="21"/>
                <w:szCs w:val="21"/>
                <w:lang w:eastAsia="zh-CN"/>
              </w:rPr>
            </w:pPr>
            <w:r>
              <w:rPr>
                <w:rFonts w:hint="eastAsia" w:eastAsia="宋体"/>
                <w:kern w:val="2"/>
                <w:sz w:val="21"/>
                <w:lang w:eastAsia="zh-CN"/>
              </w:rPr>
              <w:t>（填写相关内容）</w:t>
            </w:r>
          </w:p>
        </w:tc>
        <w:tc>
          <w:tcPr>
            <w:tcW w:w="973" w:type="dxa"/>
          </w:tcPr>
          <w:p w14:paraId="3EAB2EED">
            <w:pPr>
              <w:widowControl w:val="0"/>
              <w:spacing w:after="160" w:line="278" w:lineRule="auto"/>
              <w:jc w:val="both"/>
              <w:rPr>
                <w:rFonts w:eastAsia="宋体"/>
                <w:bCs/>
                <w:kern w:val="2"/>
                <w:sz w:val="21"/>
                <w:szCs w:val="21"/>
                <w:lang w:eastAsia="zh-CN"/>
              </w:rPr>
            </w:pPr>
          </w:p>
        </w:tc>
        <w:tc>
          <w:tcPr>
            <w:tcW w:w="642" w:type="dxa"/>
          </w:tcPr>
          <w:p w14:paraId="53AE87FB">
            <w:pPr>
              <w:widowControl w:val="0"/>
              <w:spacing w:after="160" w:line="278" w:lineRule="auto"/>
              <w:jc w:val="both"/>
              <w:rPr>
                <w:rFonts w:eastAsia="宋体"/>
                <w:bCs/>
                <w:kern w:val="2"/>
                <w:sz w:val="21"/>
                <w:szCs w:val="21"/>
                <w:lang w:eastAsia="zh-CN"/>
              </w:rPr>
            </w:pPr>
          </w:p>
        </w:tc>
        <w:tc>
          <w:tcPr>
            <w:tcW w:w="540" w:type="dxa"/>
          </w:tcPr>
          <w:p w14:paraId="7A0AE857">
            <w:pPr>
              <w:widowControl w:val="0"/>
              <w:spacing w:after="160" w:line="278" w:lineRule="auto"/>
              <w:jc w:val="both"/>
              <w:rPr>
                <w:rFonts w:eastAsia="宋体"/>
                <w:bCs/>
                <w:kern w:val="2"/>
                <w:sz w:val="21"/>
                <w:szCs w:val="21"/>
                <w:lang w:eastAsia="zh-CN"/>
              </w:rPr>
            </w:pPr>
          </w:p>
        </w:tc>
      </w:tr>
      <w:tr w14:paraId="2CC8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19AD643D">
            <w:pPr>
              <w:widowControl w:val="0"/>
              <w:spacing w:after="160" w:line="278" w:lineRule="auto"/>
              <w:jc w:val="both"/>
              <w:rPr>
                <w:rFonts w:eastAsia="宋体"/>
                <w:bCs/>
                <w:kern w:val="2"/>
                <w:sz w:val="21"/>
                <w:szCs w:val="21"/>
                <w:lang w:eastAsia="zh-CN"/>
              </w:rPr>
            </w:pPr>
            <w:r>
              <w:rPr>
                <w:rFonts w:hint="eastAsia" w:eastAsia="宋体"/>
                <w:b/>
                <w:kern w:val="2"/>
                <w:sz w:val="21"/>
                <w:lang w:eastAsia="zh-CN"/>
              </w:rPr>
              <w:t>（二）免费保修期外售后服务要求</w:t>
            </w:r>
          </w:p>
        </w:tc>
      </w:tr>
      <w:tr w14:paraId="3195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374B2D5B">
            <w:pPr>
              <w:widowControl w:val="0"/>
              <w:spacing w:after="160" w:line="278" w:lineRule="auto"/>
              <w:jc w:val="center"/>
              <w:rPr>
                <w:rFonts w:eastAsia="宋体"/>
                <w:bCs/>
                <w:kern w:val="2"/>
                <w:sz w:val="21"/>
                <w:lang w:eastAsia="zh-CN"/>
              </w:rPr>
            </w:pPr>
            <w:r>
              <w:rPr>
                <w:rFonts w:hint="eastAsia" w:eastAsia="宋体"/>
                <w:kern w:val="2"/>
                <w:sz w:val="21"/>
                <w:lang w:eastAsia="zh-CN"/>
              </w:rPr>
              <w:t>1</w:t>
            </w:r>
          </w:p>
        </w:tc>
        <w:tc>
          <w:tcPr>
            <w:tcW w:w="1408" w:type="dxa"/>
          </w:tcPr>
          <w:p w14:paraId="01D122F7">
            <w:pPr>
              <w:widowControl w:val="0"/>
              <w:spacing w:after="160" w:line="278" w:lineRule="auto"/>
              <w:jc w:val="center"/>
              <w:rPr>
                <w:rFonts w:eastAsia="宋体"/>
                <w:kern w:val="2"/>
                <w:sz w:val="21"/>
                <w:lang w:eastAsia="zh-CN"/>
              </w:rPr>
            </w:pPr>
            <w:r>
              <w:rPr>
                <w:rFonts w:hint="eastAsia" w:eastAsia="宋体"/>
                <w:kern w:val="2"/>
                <w:sz w:val="21"/>
                <w:lang w:eastAsia="zh-CN"/>
              </w:rPr>
              <w:t>****</w:t>
            </w:r>
          </w:p>
        </w:tc>
        <w:tc>
          <w:tcPr>
            <w:tcW w:w="4918" w:type="dxa"/>
          </w:tcPr>
          <w:p w14:paraId="74490EE2">
            <w:pPr>
              <w:widowControl w:val="0"/>
              <w:spacing w:after="160" w:line="278" w:lineRule="auto"/>
              <w:jc w:val="center"/>
              <w:rPr>
                <w:rFonts w:eastAsia="宋体"/>
                <w:kern w:val="2"/>
                <w:sz w:val="21"/>
                <w:lang w:eastAsia="zh-CN"/>
              </w:rPr>
            </w:pPr>
            <w:r>
              <w:rPr>
                <w:rFonts w:hint="eastAsia" w:eastAsia="宋体"/>
                <w:kern w:val="2"/>
                <w:sz w:val="21"/>
                <w:lang w:eastAsia="zh-CN"/>
              </w:rPr>
              <w:t>（填写相关内容）</w:t>
            </w:r>
          </w:p>
        </w:tc>
        <w:tc>
          <w:tcPr>
            <w:tcW w:w="973" w:type="dxa"/>
          </w:tcPr>
          <w:p w14:paraId="7DC7410D">
            <w:pPr>
              <w:widowControl w:val="0"/>
              <w:spacing w:after="160" w:line="278" w:lineRule="auto"/>
              <w:jc w:val="both"/>
              <w:rPr>
                <w:rFonts w:eastAsia="宋体"/>
                <w:bCs/>
                <w:kern w:val="2"/>
                <w:sz w:val="21"/>
                <w:szCs w:val="21"/>
                <w:lang w:eastAsia="zh-CN"/>
              </w:rPr>
            </w:pPr>
          </w:p>
        </w:tc>
        <w:tc>
          <w:tcPr>
            <w:tcW w:w="642" w:type="dxa"/>
          </w:tcPr>
          <w:p w14:paraId="21919D34">
            <w:pPr>
              <w:widowControl w:val="0"/>
              <w:spacing w:after="160" w:line="278" w:lineRule="auto"/>
              <w:jc w:val="both"/>
              <w:rPr>
                <w:rFonts w:eastAsia="宋体"/>
                <w:bCs/>
                <w:kern w:val="2"/>
                <w:sz w:val="21"/>
                <w:szCs w:val="21"/>
                <w:lang w:eastAsia="zh-CN"/>
              </w:rPr>
            </w:pPr>
          </w:p>
        </w:tc>
        <w:tc>
          <w:tcPr>
            <w:tcW w:w="540" w:type="dxa"/>
          </w:tcPr>
          <w:p w14:paraId="7F05FA51">
            <w:pPr>
              <w:widowControl w:val="0"/>
              <w:spacing w:after="160" w:line="278" w:lineRule="auto"/>
              <w:jc w:val="both"/>
              <w:rPr>
                <w:rFonts w:eastAsia="宋体"/>
                <w:bCs/>
                <w:kern w:val="2"/>
                <w:sz w:val="21"/>
                <w:szCs w:val="21"/>
                <w:lang w:eastAsia="zh-CN"/>
              </w:rPr>
            </w:pPr>
          </w:p>
        </w:tc>
      </w:tr>
      <w:tr w14:paraId="5672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0713886A">
            <w:pPr>
              <w:widowControl w:val="0"/>
              <w:spacing w:after="160" w:line="278" w:lineRule="auto"/>
              <w:jc w:val="both"/>
              <w:rPr>
                <w:rFonts w:eastAsia="宋体"/>
                <w:bCs/>
                <w:kern w:val="2"/>
                <w:sz w:val="21"/>
                <w:szCs w:val="21"/>
                <w:lang w:eastAsia="zh-CN"/>
              </w:rPr>
            </w:pPr>
            <w:r>
              <w:rPr>
                <w:rFonts w:hint="eastAsia" w:eastAsia="宋体"/>
                <w:b/>
                <w:kern w:val="2"/>
                <w:sz w:val="21"/>
                <w:lang w:eastAsia="zh-CN"/>
              </w:rPr>
              <w:t>（三）其他商务要求</w:t>
            </w:r>
          </w:p>
        </w:tc>
      </w:tr>
      <w:tr w14:paraId="07C2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7F3AE35E">
            <w:pPr>
              <w:widowControl w:val="0"/>
              <w:spacing w:after="160" w:line="278" w:lineRule="auto"/>
              <w:jc w:val="center"/>
              <w:rPr>
                <w:rFonts w:eastAsia="宋体"/>
                <w:kern w:val="2"/>
                <w:sz w:val="21"/>
                <w:lang w:eastAsia="zh-CN"/>
              </w:rPr>
            </w:pPr>
            <w:r>
              <w:rPr>
                <w:rFonts w:hint="eastAsia" w:eastAsia="宋体"/>
                <w:kern w:val="2"/>
                <w:sz w:val="21"/>
                <w:lang w:eastAsia="zh-CN"/>
              </w:rPr>
              <w:t>1</w:t>
            </w:r>
          </w:p>
        </w:tc>
        <w:tc>
          <w:tcPr>
            <w:tcW w:w="1408" w:type="dxa"/>
          </w:tcPr>
          <w:p w14:paraId="43D519CF">
            <w:pPr>
              <w:widowControl w:val="0"/>
              <w:spacing w:after="160" w:line="278" w:lineRule="auto"/>
              <w:jc w:val="center"/>
              <w:rPr>
                <w:rFonts w:eastAsia="宋体"/>
                <w:kern w:val="2"/>
                <w:sz w:val="21"/>
                <w:lang w:eastAsia="zh-CN"/>
              </w:rPr>
            </w:pPr>
            <w:r>
              <w:rPr>
                <w:rFonts w:hint="eastAsia" w:eastAsia="宋体"/>
                <w:kern w:val="2"/>
                <w:sz w:val="21"/>
                <w:lang w:eastAsia="zh-CN"/>
              </w:rPr>
              <w:t>****</w:t>
            </w:r>
          </w:p>
        </w:tc>
        <w:tc>
          <w:tcPr>
            <w:tcW w:w="4918" w:type="dxa"/>
          </w:tcPr>
          <w:p w14:paraId="5B7E7D60">
            <w:pPr>
              <w:widowControl w:val="0"/>
              <w:spacing w:after="160" w:line="278" w:lineRule="auto"/>
              <w:jc w:val="center"/>
              <w:rPr>
                <w:rFonts w:eastAsia="宋体"/>
                <w:kern w:val="2"/>
                <w:sz w:val="21"/>
                <w:lang w:eastAsia="zh-CN"/>
              </w:rPr>
            </w:pPr>
            <w:r>
              <w:rPr>
                <w:rFonts w:hint="eastAsia" w:eastAsia="宋体"/>
                <w:kern w:val="2"/>
                <w:sz w:val="21"/>
                <w:lang w:eastAsia="zh-CN"/>
              </w:rPr>
              <w:t>（填写相关内容）</w:t>
            </w:r>
          </w:p>
        </w:tc>
        <w:tc>
          <w:tcPr>
            <w:tcW w:w="973" w:type="dxa"/>
          </w:tcPr>
          <w:p w14:paraId="3AB74C13">
            <w:pPr>
              <w:widowControl w:val="0"/>
              <w:spacing w:after="160" w:line="278" w:lineRule="auto"/>
              <w:jc w:val="both"/>
              <w:rPr>
                <w:rFonts w:eastAsia="宋体"/>
                <w:bCs/>
                <w:kern w:val="2"/>
                <w:sz w:val="21"/>
                <w:szCs w:val="21"/>
                <w:lang w:eastAsia="zh-CN"/>
              </w:rPr>
            </w:pPr>
          </w:p>
        </w:tc>
        <w:tc>
          <w:tcPr>
            <w:tcW w:w="642" w:type="dxa"/>
          </w:tcPr>
          <w:p w14:paraId="23D20221">
            <w:pPr>
              <w:widowControl w:val="0"/>
              <w:spacing w:after="160" w:line="278" w:lineRule="auto"/>
              <w:jc w:val="both"/>
              <w:rPr>
                <w:rFonts w:eastAsia="宋体"/>
                <w:bCs/>
                <w:kern w:val="2"/>
                <w:sz w:val="21"/>
                <w:szCs w:val="21"/>
                <w:lang w:eastAsia="zh-CN"/>
              </w:rPr>
            </w:pPr>
          </w:p>
        </w:tc>
        <w:tc>
          <w:tcPr>
            <w:tcW w:w="540" w:type="dxa"/>
          </w:tcPr>
          <w:p w14:paraId="46479051">
            <w:pPr>
              <w:widowControl w:val="0"/>
              <w:spacing w:after="160" w:line="278" w:lineRule="auto"/>
              <w:jc w:val="both"/>
              <w:rPr>
                <w:rFonts w:eastAsia="宋体"/>
                <w:bCs/>
                <w:kern w:val="2"/>
                <w:sz w:val="21"/>
                <w:szCs w:val="21"/>
                <w:lang w:eastAsia="zh-CN"/>
              </w:rPr>
            </w:pPr>
          </w:p>
        </w:tc>
      </w:tr>
    </w:tbl>
    <w:p w14:paraId="65DA36BC">
      <w:pPr>
        <w:ind w:firstLine="420" w:firstLineChars="200"/>
        <w:rPr>
          <w:b w:val="0"/>
          <w:bCs/>
          <w:sz w:val="21"/>
          <w:szCs w:val="21"/>
        </w:rPr>
      </w:pPr>
      <w:r>
        <w:rPr>
          <w:rFonts w:hint="eastAsia"/>
          <w:b w:val="0"/>
          <w:bCs/>
          <w:sz w:val="21"/>
          <w:szCs w:val="21"/>
        </w:rPr>
        <w:t>《商务要求偏离表》编制指引：</w:t>
      </w:r>
    </w:p>
    <w:p w14:paraId="3906C662">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14:paraId="4F347D43">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14:paraId="46CE9A9B">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14:paraId="02CDCAEB">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14:paraId="0F701C37">
      <w:pPr>
        <w:ind w:firstLine="420" w:firstLineChars="200"/>
        <w:rPr>
          <w:b w:val="0"/>
          <w:bCs/>
          <w:sz w:val="21"/>
          <w:szCs w:val="21"/>
        </w:rPr>
      </w:pPr>
      <w:r>
        <w:rPr>
          <w:rFonts w:hint="eastAsia"/>
          <w:b w:val="0"/>
          <w:bCs/>
          <w:sz w:val="21"/>
          <w:szCs w:val="21"/>
        </w:rPr>
        <w:t>4、带★号条款为不可偏离条款，如未响应或出现负偏离的，将作投标无效处理。</w:t>
      </w:r>
    </w:p>
    <w:p w14:paraId="3073B1B6">
      <w:pPr>
        <w:keepNext/>
        <w:keepLines/>
        <w:widowControl w:val="0"/>
        <w:spacing w:before="260" w:after="260"/>
        <w:jc w:val="center"/>
        <w:outlineLvl w:val="2"/>
        <w:rPr>
          <w:rFonts w:hint="eastAsia" w:ascii="黑体" w:hAnsi="宋体" w:eastAsia="黑体"/>
          <w:kern w:val="2"/>
          <w:szCs w:val="20"/>
          <w:lang w:val="en-US" w:eastAsia="zh-CN"/>
        </w:rPr>
      </w:pPr>
    </w:p>
    <w:p w14:paraId="232E9B5A">
      <w:pPr>
        <w:rPr>
          <w:rFonts w:hint="eastAsia" w:ascii="黑体" w:hAnsi="宋体" w:eastAsia="黑体"/>
          <w:kern w:val="2"/>
          <w:szCs w:val="20"/>
          <w:lang w:val="en-US" w:eastAsia="zh-CN"/>
        </w:rPr>
      </w:pPr>
      <w:r>
        <w:rPr>
          <w:rFonts w:hint="eastAsia" w:ascii="黑体" w:hAnsi="宋体" w:eastAsia="黑体"/>
          <w:kern w:val="2"/>
          <w:szCs w:val="20"/>
          <w:lang w:val="en-US" w:eastAsia="zh-CN"/>
        </w:rPr>
        <w:br w:type="page"/>
      </w:r>
    </w:p>
    <w:p w14:paraId="0D86DCC8">
      <w:pPr>
        <w:keepNext/>
        <w:keepLines/>
        <w:widowControl w:val="0"/>
        <w:spacing w:before="260" w:after="260"/>
        <w:jc w:val="center"/>
        <w:outlineLvl w:val="2"/>
        <w:rPr>
          <w:rFonts w:hint="eastAsia" w:ascii="黑体" w:hAnsi="宋体" w:eastAsia="黑体" w:cs="Times New Roman"/>
          <w:kern w:val="2"/>
          <w:szCs w:val="20"/>
          <w:lang w:val="en-US" w:eastAsia="zh-CN"/>
        </w:rPr>
      </w:pPr>
      <w:r>
        <w:rPr>
          <w:rFonts w:hint="eastAsia" w:ascii="黑体" w:hAnsi="宋体" w:eastAsia="黑体" w:cs="Times New Roman"/>
          <w:kern w:val="2"/>
          <w:szCs w:val="20"/>
          <w:lang w:val="en-US" w:eastAsia="zh-CN"/>
        </w:rPr>
        <w:t>七、技术保障措施</w:t>
      </w:r>
    </w:p>
    <w:p w14:paraId="5FF1BB51">
      <w:pPr>
        <w:keepNext/>
        <w:keepLines/>
        <w:widowControl w:val="0"/>
        <w:spacing w:before="260" w:after="260"/>
        <w:jc w:val="center"/>
        <w:outlineLvl w:val="2"/>
        <w:rPr>
          <w:rFonts w:hint="default" w:ascii="黑体" w:hAnsi="宋体" w:eastAsia="黑体" w:cs="Times New Roman"/>
          <w:kern w:val="2"/>
          <w:szCs w:val="20"/>
          <w:lang w:val="en-US" w:eastAsia="zh-CN"/>
        </w:rPr>
      </w:pPr>
      <w:r>
        <w:rPr>
          <w:rFonts w:hint="eastAsia" w:ascii="黑体" w:hAnsi="宋体" w:eastAsia="黑体" w:cs="Times New Roman"/>
          <w:kern w:val="2"/>
          <w:szCs w:val="20"/>
          <w:lang w:val="en-US" w:eastAsia="zh-CN"/>
        </w:rPr>
        <w:t>八、施工安全保障措施</w:t>
      </w:r>
    </w:p>
    <w:p w14:paraId="7DABED1A">
      <w:pPr>
        <w:keepNext/>
        <w:keepLines/>
        <w:widowControl w:val="0"/>
        <w:spacing w:before="260" w:after="260"/>
        <w:jc w:val="center"/>
        <w:outlineLvl w:val="2"/>
        <w:rPr>
          <w:rFonts w:hint="eastAsia" w:ascii="黑体" w:hAnsi="宋体" w:eastAsia="黑体" w:cs="Times New Roman"/>
          <w:kern w:val="2"/>
          <w:szCs w:val="20"/>
          <w:lang w:eastAsia="zh-CN"/>
        </w:rPr>
      </w:pPr>
      <w:r>
        <w:rPr>
          <w:rFonts w:hint="eastAsia" w:ascii="黑体" w:hAnsi="宋体" w:eastAsia="黑体" w:cs="Times New Roman"/>
          <w:kern w:val="2"/>
          <w:szCs w:val="20"/>
          <w:lang w:val="en-US" w:eastAsia="zh-CN"/>
        </w:rPr>
        <w:t>九、</w:t>
      </w:r>
      <w:r>
        <w:rPr>
          <w:rFonts w:hint="eastAsia" w:ascii="黑体" w:hAnsi="宋体" w:eastAsia="黑体" w:cs="Times New Roman"/>
          <w:kern w:val="2"/>
          <w:szCs w:val="20"/>
          <w:lang w:eastAsia="zh-CN"/>
        </w:rPr>
        <w:t>投标人认为需要加以说明的其他内容(附件部分）</w:t>
      </w:r>
    </w:p>
    <w:p w14:paraId="5CD6F93B">
      <w:pPr>
        <w:spacing w:after="160" w:line="278" w:lineRule="auto"/>
        <w:jc w:val="center"/>
        <w:rPr>
          <w:rFonts w:ascii="黑体" w:hAnsi="宋体" w:eastAsia="黑体"/>
          <w:szCs w:val="20"/>
          <w:lang w:eastAsia="zh-CN"/>
        </w:rPr>
      </w:pPr>
      <w:r>
        <w:rPr>
          <w:rFonts w:hint="eastAsia" w:ascii="黑体" w:hAnsi="宋体" w:eastAsia="黑体"/>
          <w:szCs w:val="20"/>
          <w:lang w:eastAsia="zh-CN"/>
        </w:rPr>
        <w:t>（一）</w:t>
      </w:r>
      <w:r>
        <w:rPr>
          <w:rFonts w:hint="eastAsia" w:ascii="黑体" w:hAnsi="宋体" w:eastAsia="黑体"/>
          <w:szCs w:val="20"/>
          <w:highlight w:val="yellow"/>
          <w:lang w:eastAsia="zh-CN"/>
        </w:rPr>
        <w:t>政府采购违法行为风险知悉确认书</w:t>
      </w:r>
    </w:p>
    <w:p w14:paraId="073630DC">
      <w:pPr>
        <w:spacing w:afterLines="50" w:line="3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222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0740BFC">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811" w:type="dxa"/>
          </w:tcPr>
          <w:p w14:paraId="6EB8AB7F">
            <w:pPr>
              <w:widowControl w:val="0"/>
              <w:spacing w:line="400" w:lineRule="exact"/>
              <w:jc w:val="center"/>
              <w:rPr>
                <w:rFonts w:hint="eastAsia" w:ascii="宋体" w:hAnsi="宋体" w:eastAsia="宋体" w:cs="宋体"/>
                <w:sz w:val="21"/>
                <w:szCs w:val="21"/>
              </w:rPr>
            </w:pPr>
            <w:r>
              <w:rPr>
                <w:rFonts w:hint="eastAsia" w:ascii="宋体" w:hAnsi="宋体" w:eastAsia="宋体" w:cs="宋体"/>
                <w:b/>
                <w:bCs/>
                <w:sz w:val="21"/>
                <w:szCs w:val="21"/>
              </w:rPr>
              <w:t>供应商参与投标禁止情形</w:t>
            </w:r>
          </w:p>
        </w:tc>
      </w:tr>
      <w:tr w14:paraId="773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0C7E946">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811" w:type="dxa"/>
            <w:vAlign w:val="center"/>
          </w:tcPr>
          <w:p w14:paraId="1C3C1F87">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与其他投标供应商的法定代表人、主要经营负责人、投标授权代表人、项目负责人、主要技术人员为</w:t>
            </w:r>
            <w:r>
              <w:rPr>
                <w:rFonts w:hint="eastAsia" w:ascii="宋体" w:hAnsi="宋体" w:eastAsia="宋体" w:cs="宋体"/>
                <w:b/>
                <w:bCs/>
                <w:sz w:val="21"/>
                <w:szCs w:val="21"/>
              </w:rPr>
              <w:t>同一人、属同一单位或者在同一单位缴纳社会保险</w:t>
            </w:r>
            <w:r>
              <w:rPr>
                <w:rFonts w:hint="eastAsia" w:ascii="宋体" w:hAnsi="宋体" w:eastAsia="宋体" w:cs="宋体"/>
                <w:sz w:val="21"/>
                <w:szCs w:val="21"/>
              </w:rPr>
              <w:t>。</w:t>
            </w:r>
          </w:p>
        </w:tc>
      </w:tr>
      <w:tr w14:paraId="6A35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110FE2D">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811" w:type="dxa"/>
            <w:vAlign w:val="center"/>
          </w:tcPr>
          <w:p w14:paraId="6819B006">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参与本项目政府采购活动时，与其他投标供应商存在单位负责人为</w:t>
            </w:r>
            <w:r>
              <w:rPr>
                <w:rFonts w:hint="eastAsia" w:ascii="宋体" w:hAnsi="宋体" w:eastAsia="宋体" w:cs="宋体"/>
                <w:b/>
                <w:bCs/>
                <w:sz w:val="21"/>
                <w:szCs w:val="21"/>
              </w:rPr>
              <w:t>同一人或直接控股、管理关系</w:t>
            </w:r>
            <w:r>
              <w:rPr>
                <w:rFonts w:hint="eastAsia" w:ascii="宋体" w:hAnsi="宋体" w:eastAsia="宋体" w:cs="宋体"/>
                <w:sz w:val="21"/>
                <w:szCs w:val="21"/>
              </w:rPr>
              <w:t>。</w:t>
            </w:r>
          </w:p>
        </w:tc>
      </w:tr>
      <w:tr w14:paraId="23F5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259D6A8">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11" w:type="dxa"/>
            <w:vAlign w:val="center"/>
          </w:tcPr>
          <w:p w14:paraId="5C9120D8">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与其他投标供应商的投标文件或部分投标文件</w:t>
            </w:r>
            <w:r>
              <w:rPr>
                <w:rFonts w:hint="eastAsia" w:ascii="宋体" w:hAnsi="宋体" w:eastAsia="宋体" w:cs="宋体"/>
                <w:b/>
                <w:bCs/>
                <w:sz w:val="21"/>
                <w:szCs w:val="21"/>
              </w:rPr>
              <w:t>相互混装或存在非正常一致</w:t>
            </w:r>
            <w:r>
              <w:rPr>
                <w:rFonts w:hint="eastAsia" w:ascii="宋体" w:hAnsi="宋体" w:eastAsia="宋体" w:cs="宋体"/>
                <w:sz w:val="21"/>
                <w:szCs w:val="21"/>
              </w:rPr>
              <w:t>。</w:t>
            </w:r>
          </w:p>
        </w:tc>
      </w:tr>
      <w:tr w14:paraId="505E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DA5BABD">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811" w:type="dxa"/>
            <w:vAlign w:val="center"/>
          </w:tcPr>
          <w:p w14:paraId="623CED86">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与其他投标供应商的投标文件由</w:t>
            </w:r>
            <w:r>
              <w:rPr>
                <w:rFonts w:hint="eastAsia" w:ascii="宋体" w:hAnsi="宋体" w:eastAsia="宋体" w:cs="宋体"/>
                <w:b/>
                <w:bCs/>
                <w:sz w:val="21"/>
                <w:szCs w:val="21"/>
              </w:rPr>
              <w:t>同一单位或者同一人编制</w:t>
            </w:r>
            <w:r>
              <w:rPr>
                <w:rFonts w:hint="eastAsia" w:ascii="宋体" w:hAnsi="宋体" w:eastAsia="宋体" w:cs="宋体"/>
                <w:sz w:val="21"/>
                <w:szCs w:val="21"/>
              </w:rPr>
              <w:t>，或者使用</w:t>
            </w:r>
            <w:r>
              <w:rPr>
                <w:rFonts w:hint="eastAsia" w:ascii="宋体" w:hAnsi="宋体" w:eastAsia="宋体" w:cs="宋体"/>
                <w:b/>
                <w:bCs/>
                <w:sz w:val="21"/>
                <w:szCs w:val="21"/>
              </w:rPr>
              <w:t>同一设备编制</w:t>
            </w:r>
            <w:r>
              <w:rPr>
                <w:rFonts w:hint="eastAsia" w:ascii="宋体" w:hAnsi="宋体" w:eastAsia="宋体" w:cs="宋体"/>
                <w:sz w:val="21"/>
                <w:szCs w:val="21"/>
              </w:rPr>
              <w:t>（“文件制作机器码”“文件创建标识码”一致）。</w:t>
            </w:r>
          </w:p>
        </w:tc>
      </w:tr>
      <w:tr w14:paraId="7A56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575E2EA">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811" w:type="dxa"/>
            <w:vAlign w:val="center"/>
          </w:tcPr>
          <w:p w14:paraId="0C3BB1DB">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b/>
                <w:bCs/>
                <w:sz w:val="21"/>
                <w:szCs w:val="21"/>
              </w:rPr>
              <w:t>未经出具机构核实</w:t>
            </w:r>
            <w:r>
              <w:rPr>
                <w:rFonts w:hint="eastAsia" w:ascii="宋体" w:hAnsi="宋体" w:eastAsia="宋体" w:cs="宋体"/>
                <w:sz w:val="21"/>
                <w:szCs w:val="21"/>
              </w:rPr>
              <w:t>的虚假的检验检测报告、业绩材料、社保缴纳证明、学历学位证书、职称认证证书等材料。</w:t>
            </w:r>
          </w:p>
        </w:tc>
      </w:tr>
      <w:tr w14:paraId="6E31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4693E4">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7811" w:type="dxa"/>
            <w:vAlign w:val="center"/>
          </w:tcPr>
          <w:p w14:paraId="76F5E933">
            <w:pPr>
              <w:widowControl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擅自将投标密钥或电子营业执照出借他人使用或未妥善保管。</w:t>
            </w:r>
          </w:p>
        </w:tc>
      </w:tr>
    </w:tbl>
    <w:p w14:paraId="2AB74A9B">
      <w:pPr>
        <w:spacing w:beforeLines="50" w:line="38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一、我单位已充分知悉“隐瞒真实情况，提供虚假资料”的法定情形，包括但不限于：</w:t>
      </w:r>
    </w:p>
    <w:p w14:paraId="08C50D52">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（一）通过转让或者租借等方式从其他单位获取资格或者资质证书投标的。</w:t>
      </w:r>
    </w:p>
    <w:p w14:paraId="0D1BC01B">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（二）由其他单位或者其他单位负责人在投标供应商编制的投标文件上加盖印章或者签字的。</w:t>
      </w:r>
    </w:p>
    <w:p w14:paraId="08992BE2">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（三）项目负责人或者主要技术人员不是本单位人员的。</w:t>
      </w:r>
    </w:p>
    <w:p w14:paraId="455AA354">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（四）投标保证金不是从投标供应商基本账户转出的。</w:t>
      </w:r>
    </w:p>
    <w:p w14:paraId="0E52E979">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（五）其他隐瞒真实情况、提供虚假资料的行为。</w:t>
      </w:r>
    </w:p>
    <w:p w14:paraId="399BE795">
      <w:pPr>
        <w:spacing w:line="38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二、我单位已充分知悉“与其他采购参加人串通投标”的法定情形，包括但不限于：</w:t>
      </w:r>
    </w:p>
    <w:p w14:paraId="3F43B3D4">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（一）投标供应商之间相互约定给予未中标的供应商利益补偿。</w:t>
      </w:r>
    </w:p>
    <w:p w14:paraId="4FF05ADD">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（二）不同投标供应商的法定代表人、主要经营负责人、项目投标授权代表人、项目负责人、主要技术人员为同一人、属同一单位或者在同一单位缴纳社会保险。</w:t>
      </w:r>
    </w:p>
    <w:p w14:paraId="7FD56115">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（三）不同投标供应商的投标文件由同一单位或者同一人编制，或者由同一人分阶段参与编制的。</w:t>
      </w:r>
    </w:p>
    <w:p w14:paraId="094E9F41">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（四）不同投标供应商的投标文件或部分投标文件相互混装。</w:t>
      </w:r>
    </w:p>
    <w:p w14:paraId="13879B51">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（五）不同投标供应商的投标文件内容存在非正常一致。</w:t>
      </w:r>
    </w:p>
    <w:p w14:paraId="32961C26">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（六）由同一单位工作人员为两家以上（含两家）供应商进行同一项投标活动的。</w:t>
      </w:r>
    </w:p>
    <w:p w14:paraId="3A1E4443">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（七）不同投标人的投标报价呈规律性差异。</w:t>
      </w:r>
    </w:p>
    <w:p w14:paraId="45E9B2E8">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（八）不同投标人的投标保证金从同一单位或者个人的账户转出。</w:t>
      </w:r>
    </w:p>
    <w:p w14:paraId="77237CAD">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（九）主管部门依照法律、法规认定的其他情形。</w:t>
      </w:r>
    </w:p>
    <w:p w14:paraId="090147C7">
      <w:pPr>
        <w:spacing w:line="3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三、我单位已充分知悉下列情形存在法律风险，在投标前已对相关风险事项进行排查。</w:t>
      </w:r>
    </w:p>
    <w:p w14:paraId="2D2CBB8C">
      <w:pPr>
        <w:spacing w:line="3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（一）对于从其他主体获取的投标资料，我单位应审慎核查，确保其真实性。</w:t>
      </w:r>
      <w:r>
        <w:rPr>
          <w:rFonts w:hint="eastAsia" w:ascii="宋体" w:hAnsi="宋体" w:eastAsia="宋体" w:cs="宋体"/>
          <w:b/>
          <w:sz w:val="21"/>
          <w:szCs w:val="21"/>
        </w:rPr>
        <w:t>如主管部门查实投标文件中存在虚假资料的，无论相关资料是否由第三方或本公司员工提供，均不影响主管部门对供应商存在“隐瞒真实情况，提供虚假资料”违法行为的认定。</w:t>
      </w:r>
    </w:p>
    <w:p w14:paraId="35D5CCD9">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（二）对于涉及国家机关出具的公文、证件、证明材料等文件，一旦涉嫌虚假，经查实，主管部门将依法从严处理，并移送有关部门追究法律责任；涉嫌犯罪的，移送司法机关处理。</w:t>
      </w:r>
    </w:p>
    <w:p w14:paraId="65C81DC4">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sz w:val="21"/>
          <w:szCs w:val="21"/>
        </w:rPr>
        <w:t>擅自将投标密钥或电子营业执照出借他人使用所造成的法律后果，由我单位自行承担</w:t>
      </w:r>
      <w:r>
        <w:rPr>
          <w:rFonts w:hint="eastAsia" w:ascii="宋体" w:hAnsi="宋体" w:eastAsia="宋体" w:cs="宋体"/>
          <w:sz w:val="21"/>
          <w:szCs w:val="21"/>
        </w:rPr>
        <w:t>。</w:t>
      </w:r>
    </w:p>
    <w:p w14:paraId="1BC83F70">
      <w:pPr>
        <w:spacing w:line="3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四、我单位已充分知悉政府采购违法、违规行为的法律后果。</w:t>
      </w:r>
    </w:p>
    <w:p w14:paraId="57923F1C">
      <w:pPr>
        <w:spacing w:line="3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EDBCD93">
      <w:pPr>
        <w:spacing w:line="340" w:lineRule="exact"/>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yellow"/>
        </w:rPr>
        <w:t>以下文字请投标供应商抄写并确认：“我单位已仔细阅读《政府采购违法行为风险知悉确认书》，充分知悉违法行为的法律后果，并承诺将严谨、诚信、依法依规参与政府采购活动”。</w:t>
      </w:r>
    </w:p>
    <w:tbl>
      <w:tblPr>
        <w:tblStyle w:val="3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244C80A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tcPr>
          <w:p w14:paraId="0C9F78FD">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r w14:paraId="6751BBC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7CFEBBF">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r w14:paraId="69A381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8F6FD91">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r w14:paraId="7714AE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791B66A">
            <w:pPr>
              <w:widowControl w:val="0"/>
              <w:autoSpaceDE w:val="0"/>
              <w:autoSpaceDN w:val="0"/>
              <w:spacing w:line="340" w:lineRule="exact"/>
              <w:ind w:firstLine="1866"/>
              <w:jc w:val="both"/>
              <w:rPr>
                <w:rFonts w:hint="eastAsia" w:ascii="宋体" w:hAnsi="宋体" w:eastAsia="宋体" w:cs="宋体"/>
                <w:spacing w:val="-4"/>
                <w:kern w:val="0"/>
                <w:sz w:val="21"/>
                <w:szCs w:val="21"/>
              </w:rPr>
            </w:pPr>
          </w:p>
        </w:tc>
      </w:tr>
    </w:tbl>
    <w:p w14:paraId="361FEA6F">
      <w:pPr>
        <w:widowControl/>
        <w:wordWrap w:val="0"/>
        <w:autoSpaceDE w:val="0"/>
        <w:autoSpaceDN w:val="0"/>
        <w:spacing w:line="340" w:lineRule="exact"/>
        <w:ind w:right="808" w:firstLine="404" w:firstLineChars="200"/>
        <w:jc w:val="right"/>
        <w:rPr>
          <w:rFonts w:hint="eastAsia" w:ascii="宋体" w:hAnsi="宋体" w:eastAsia="宋体" w:cs="宋体"/>
          <w:spacing w:val="-4"/>
          <w:kern w:val="0"/>
          <w:sz w:val="21"/>
          <w:szCs w:val="21"/>
        </w:rPr>
      </w:pPr>
    </w:p>
    <w:p w14:paraId="22D88EFB">
      <w:pPr>
        <w:widowControl/>
        <w:wordWrap w:val="0"/>
        <w:autoSpaceDE w:val="0"/>
        <w:autoSpaceDN w:val="0"/>
        <w:spacing w:line="340" w:lineRule="exact"/>
        <w:ind w:right="808" w:firstLine="404" w:firstLineChars="200"/>
        <w:jc w:val="right"/>
        <w:rPr>
          <w:rFonts w:hint="eastAsia" w:ascii="宋体" w:hAnsi="宋体" w:eastAsia="宋体" w:cs="宋体"/>
          <w:spacing w:val="-4"/>
          <w:kern w:val="0"/>
          <w:sz w:val="21"/>
          <w:szCs w:val="21"/>
          <w:u w:val="single"/>
        </w:rPr>
      </w:pPr>
      <w:r>
        <w:rPr>
          <w:rFonts w:hint="eastAsia" w:ascii="宋体" w:hAnsi="宋体" w:eastAsia="宋体" w:cs="宋体"/>
          <w:spacing w:val="-4"/>
          <w:kern w:val="0"/>
          <w:sz w:val="21"/>
          <w:szCs w:val="21"/>
        </w:rPr>
        <w:t>单位负责人签名：</w:t>
      </w:r>
    </w:p>
    <w:p w14:paraId="1A6DDC3E">
      <w:pPr>
        <w:widowControl/>
        <w:wordWrap w:val="0"/>
        <w:autoSpaceDE w:val="0"/>
        <w:autoSpaceDN w:val="0"/>
        <w:spacing w:line="340" w:lineRule="exact"/>
        <w:ind w:right="808" w:firstLine="404" w:firstLineChars="200"/>
        <w:jc w:val="center"/>
        <w:rPr>
          <w:rFonts w:hint="eastAsia" w:ascii="宋体" w:hAnsi="宋体" w:eastAsia="宋体" w:cs="宋体"/>
          <w:spacing w:val="-4"/>
          <w:kern w:val="0"/>
          <w:sz w:val="21"/>
          <w:szCs w:val="21"/>
          <w:u w:val="single"/>
        </w:rPr>
      </w:pPr>
      <w:r>
        <w:rPr>
          <w:rFonts w:hint="eastAsia" w:ascii="宋体" w:hAnsi="宋体" w:eastAsia="宋体" w:cs="宋体"/>
          <w:spacing w:val="-4"/>
          <w:kern w:val="0"/>
          <w:sz w:val="21"/>
          <w:szCs w:val="21"/>
        </w:rPr>
        <w:t xml:space="preserve">                                 </w:t>
      </w:r>
      <w:r>
        <w:rPr>
          <w:rFonts w:hint="eastAsia" w:ascii="宋体" w:hAnsi="宋体" w:eastAsia="宋体" w:cs="宋体"/>
          <w:spacing w:val="-4"/>
          <w:kern w:val="0"/>
          <w:sz w:val="21"/>
          <w:szCs w:val="21"/>
          <w:lang w:val="en-US" w:eastAsia="zh-CN"/>
        </w:rPr>
        <w:t xml:space="preserve">               </w:t>
      </w:r>
      <w:r>
        <w:rPr>
          <w:rFonts w:hint="eastAsia" w:ascii="宋体" w:hAnsi="宋体" w:eastAsia="宋体" w:cs="宋体"/>
          <w:spacing w:val="-4"/>
          <w:kern w:val="0"/>
          <w:sz w:val="21"/>
          <w:szCs w:val="21"/>
        </w:rPr>
        <w:t>（加盖公章）</w:t>
      </w:r>
    </w:p>
    <w:p w14:paraId="6B8E9010">
      <w:pPr>
        <w:widowControl/>
        <w:wordWrap w:val="0"/>
        <w:autoSpaceDE w:val="0"/>
        <w:autoSpaceDN w:val="0"/>
        <w:spacing w:line="340" w:lineRule="exact"/>
        <w:ind w:right="808" w:firstLine="404" w:firstLineChars="200"/>
        <w:jc w:val="right"/>
        <w:rPr>
          <w:rFonts w:hint="eastAsia" w:ascii="宋体" w:hAnsi="宋体" w:eastAsia="宋体" w:cs="宋体"/>
          <w:spacing w:val="-4"/>
          <w:kern w:val="0"/>
          <w:sz w:val="21"/>
          <w:szCs w:val="21"/>
          <w:u w:val="single"/>
        </w:rPr>
      </w:pPr>
      <w:r>
        <w:rPr>
          <w:rFonts w:hint="eastAsia" w:ascii="宋体" w:hAnsi="宋体" w:eastAsia="宋体" w:cs="宋体"/>
          <w:spacing w:val="-4"/>
          <w:kern w:val="0"/>
          <w:sz w:val="21"/>
          <w:szCs w:val="21"/>
        </w:rPr>
        <w:t xml:space="preserve">     日期：</w:t>
      </w:r>
    </w:p>
    <w:p w14:paraId="0747427F">
      <w:pPr>
        <w:widowControl/>
        <w:autoSpaceDE w:val="0"/>
        <w:autoSpaceDN w:val="0"/>
        <w:spacing w:line="340" w:lineRule="exact"/>
        <w:ind w:firstLine="406" w:firstLineChars="200"/>
        <w:jc w:val="left"/>
        <w:rPr>
          <w:rFonts w:hint="eastAsia" w:ascii="宋体" w:hAnsi="宋体" w:eastAsia="宋体" w:cs="宋体"/>
          <w:b/>
          <w:bCs/>
          <w:spacing w:val="-4"/>
          <w:kern w:val="0"/>
          <w:sz w:val="21"/>
          <w:szCs w:val="21"/>
        </w:rPr>
      </w:pPr>
    </w:p>
    <w:p w14:paraId="107583DA">
      <w:pPr>
        <w:widowControl/>
        <w:autoSpaceDE w:val="0"/>
        <w:autoSpaceDN w:val="0"/>
        <w:spacing w:line="340" w:lineRule="exact"/>
        <w:ind w:firstLine="406" w:firstLineChars="200"/>
        <w:jc w:val="left"/>
        <w:rPr>
          <w:rFonts w:hint="eastAsia" w:ascii="宋体" w:hAnsi="宋体" w:eastAsia="宋体" w:cs="宋体"/>
          <w:b/>
          <w:bCs/>
          <w:spacing w:val="-4"/>
          <w:kern w:val="0"/>
          <w:sz w:val="21"/>
          <w:szCs w:val="21"/>
        </w:rPr>
      </w:pPr>
      <w:r>
        <w:rPr>
          <w:rFonts w:hint="eastAsia" w:ascii="宋体" w:hAnsi="宋体" w:eastAsia="宋体" w:cs="宋体"/>
          <w:b/>
          <w:bCs/>
          <w:spacing w:val="-4"/>
          <w:kern w:val="0"/>
          <w:sz w:val="21"/>
          <w:szCs w:val="21"/>
        </w:rPr>
        <w:t>注：1.《政府采购违法行为风险知悉确认书》需由投标供应商负责人签字并加盖单位公章后，扫描上传至投标文件一并提交。</w:t>
      </w:r>
    </w:p>
    <w:p w14:paraId="26B0C161">
      <w:pPr>
        <w:pStyle w:val="25"/>
        <w:ind w:firstLine="414"/>
        <w:rPr>
          <w:rFonts w:hint="eastAsia" w:ascii="宋体" w:hAnsi="宋体" w:eastAsia="宋体" w:cs="宋体"/>
          <w:sz w:val="21"/>
          <w:szCs w:val="21"/>
        </w:rPr>
      </w:pPr>
      <w:r>
        <w:rPr>
          <w:rFonts w:hint="eastAsia" w:ascii="宋体" w:hAnsi="宋体" w:eastAsia="宋体" w:cs="宋体"/>
          <w:b/>
          <w:bCs/>
          <w:spacing w:val="-4"/>
          <w:kern w:val="0"/>
          <w:sz w:val="21"/>
          <w:szCs w:val="21"/>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4249121A">
      <w:pPr>
        <w:widowControl w:val="0"/>
        <w:jc w:val="center"/>
        <w:rPr>
          <w:rFonts w:hint="eastAsia" w:ascii="黑体" w:eastAsia="黑体"/>
          <w:kern w:val="2"/>
          <w:sz w:val="24"/>
          <w:szCs w:val="20"/>
          <w:lang w:eastAsia="zh-CN"/>
        </w:rPr>
      </w:pPr>
      <w:r>
        <w:rPr>
          <w:rFonts w:hint="eastAsia" w:ascii="黑体" w:eastAsia="黑体"/>
          <w:kern w:val="2"/>
          <w:sz w:val="24"/>
          <w:szCs w:val="20"/>
          <w:lang w:eastAsia="zh-CN"/>
        </w:rPr>
        <w:t>（二）订单融资情况</w:t>
      </w:r>
    </w:p>
    <w:p w14:paraId="55CFC0C9">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关于政府采购订单融资政策</w:t>
      </w:r>
    </w:p>
    <w:p w14:paraId="01B30A3E">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6A1A1C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供应商账户信息</w:t>
      </w:r>
    </w:p>
    <w:p w14:paraId="500610E6">
      <w:pPr>
        <w:ind w:left="480" w:leftChars="200" w:firstLine="210" w:firstLineChars="1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单位全称</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8C43173">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单位地址：</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14:paraId="5456C2D2">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rPr>
        <w:t>法定代表人（负责人）或其</w:t>
      </w:r>
      <w:r>
        <w:rPr>
          <w:rFonts w:hint="eastAsia" w:ascii="宋体" w:hAnsi="宋体" w:eastAsia="宋体" w:cs="宋体"/>
          <w:sz w:val="21"/>
          <w:szCs w:val="21"/>
          <w:lang w:val="en-US" w:eastAsia="zh-CN"/>
        </w:rPr>
        <w:t>授权</w:t>
      </w:r>
      <w:r>
        <w:rPr>
          <w:rFonts w:hint="eastAsia" w:ascii="宋体" w:hAnsi="宋体" w:eastAsia="宋体" w:cs="宋体"/>
          <w:sz w:val="21"/>
          <w:szCs w:val="21"/>
        </w:rPr>
        <w:t>委托代理人：</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14:paraId="3A1AE4D7">
      <w:pPr>
        <w:ind w:left="480" w:leftChars="200" w:firstLine="210" w:firstLineChars="100"/>
        <w:rPr>
          <w:rFonts w:hint="eastAsia" w:ascii="宋体" w:hAnsi="宋体" w:eastAsia="宋体" w:cs="宋体"/>
          <w:sz w:val="21"/>
          <w:szCs w:val="21"/>
          <w:u w:val="thick"/>
        </w:rPr>
      </w:pPr>
      <w:r>
        <w:rPr>
          <w:rFonts w:hint="eastAsia" w:ascii="宋体" w:hAnsi="宋体" w:eastAsia="宋体" w:cs="宋体"/>
          <w:sz w:val="21"/>
          <w:szCs w:val="21"/>
          <w:lang w:val="en-US" w:eastAsia="zh-CN"/>
        </w:rPr>
        <w:t>联系</w:t>
      </w:r>
      <w:r>
        <w:rPr>
          <w:rFonts w:hint="eastAsia" w:ascii="宋体" w:hAnsi="宋体" w:eastAsia="宋体" w:cs="宋体"/>
          <w:sz w:val="21"/>
          <w:szCs w:val="21"/>
        </w:rPr>
        <w:t>电话</w:t>
      </w:r>
      <w:r>
        <w:rPr>
          <w:rFonts w:hint="eastAsia" w:ascii="宋体" w:hAnsi="宋体" w:eastAsia="宋体" w:cs="宋体"/>
          <w:sz w:val="21"/>
          <w:szCs w:val="21"/>
          <w:u w:val="none"/>
        </w:rPr>
        <w:t>：</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thick"/>
        </w:rPr>
        <w:t xml:space="preserve">  </w:t>
      </w:r>
    </w:p>
    <w:p w14:paraId="0D747DA8">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lang w:val="en-US" w:eastAsia="zh-CN"/>
        </w:rPr>
        <w:t>开户银行名称：</w:t>
      </w:r>
      <w:r>
        <w:rPr>
          <w:rFonts w:hint="eastAsia" w:ascii="宋体" w:hAnsi="宋体" w:eastAsia="宋体" w:cs="宋体"/>
          <w:sz w:val="21"/>
          <w:szCs w:val="21"/>
          <w:u w:val="thick"/>
        </w:rPr>
        <w:t xml:space="preserve">                       </w:t>
      </w:r>
      <w:r>
        <w:rPr>
          <w:rFonts w:hint="eastAsia" w:ascii="宋体" w:hAnsi="宋体" w:eastAsia="宋体" w:cs="宋体"/>
          <w:sz w:val="21"/>
          <w:szCs w:val="21"/>
          <w:u w:val="none"/>
          <w:lang w:eastAsia="zh-CN"/>
        </w:rPr>
        <w:t>；</w:t>
      </w:r>
    </w:p>
    <w:p w14:paraId="455D2844">
      <w:pPr>
        <w:ind w:left="480" w:leftChars="200" w:firstLine="210" w:firstLineChars="100"/>
        <w:rPr>
          <w:rFonts w:hint="eastAsia" w:ascii="宋体" w:hAnsi="宋体" w:eastAsia="宋体" w:cs="宋体"/>
          <w:sz w:val="21"/>
          <w:szCs w:val="21"/>
          <w:u w:val="thick"/>
          <w:lang w:eastAsia="zh-CN"/>
        </w:rPr>
      </w:pPr>
      <w:r>
        <w:rPr>
          <w:rFonts w:hint="eastAsia" w:ascii="宋体" w:hAnsi="宋体" w:eastAsia="宋体" w:cs="宋体"/>
          <w:sz w:val="21"/>
          <w:szCs w:val="21"/>
          <w:u w:val="none"/>
          <w:lang w:val="en-US" w:eastAsia="zh-CN"/>
        </w:rPr>
        <w:t>开户银行账号：</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14:paraId="42F83E9D">
      <w:pPr>
        <w:ind w:left="480" w:leftChars="200" w:firstLine="210" w:firstLineChars="100"/>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开户银行地址：</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thick"/>
        </w:rPr>
        <w:t xml:space="preserve">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u w:val="none"/>
          <w:lang w:eastAsia="zh-CN"/>
        </w:rPr>
        <w:t>。</w:t>
      </w:r>
    </w:p>
    <w:p w14:paraId="536BD913">
      <w:pPr>
        <w:ind w:left="480" w:leftChars="200" w:firstLine="203" w:firstLineChars="100"/>
        <w:rPr>
          <w:rFonts w:hint="eastAsia" w:ascii="宋体" w:hAnsi="宋体" w:eastAsia="宋体" w:cs="宋体"/>
          <w:sz w:val="21"/>
          <w:szCs w:val="21"/>
        </w:rPr>
      </w:pPr>
      <w:r>
        <w:rPr>
          <w:rFonts w:hint="eastAsia" w:ascii="宋体" w:hAnsi="宋体" w:eastAsia="宋体" w:cs="宋体"/>
          <w:b/>
          <w:bCs/>
          <w:color w:val="FF0000"/>
          <w:spacing w:val="-4"/>
          <w:kern w:val="0"/>
          <w:sz w:val="21"/>
          <w:szCs w:val="21"/>
        </w:rPr>
        <w:t>注：本项填写内容作为订单融资开展的参考信息，不作为供应商资格性审查及符合性审查条件。</w:t>
      </w:r>
    </w:p>
    <w:p w14:paraId="649D4A34">
      <w:pPr>
        <w:ind w:firstLine="720" w:firstLineChars="300"/>
        <w:rPr>
          <w:rFonts w:hint="eastAsia" w:ascii="宋体" w:hAnsi="宋体"/>
        </w:rPr>
      </w:pPr>
    </w:p>
    <w:p w14:paraId="389BD76B">
      <w:pPr>
        <w:widowControl/>
        <w:tabs>
          <w:tab w:val="left" w:pos="8200"/>
        </w:tabs>
        <w:autoSpaceDE w:val="0"/>
        <w:autoSpaceDN w:val="0"/>
        <w:spacing w:line="400" w:lineRule="exact"/>
        <w:ind w:right="1414" w:firstLine="466" w:firstLineChars="200"/>
        <w:rPr>
          <w:rFonts w:ascii="宋体" w:hAnsi="宋体" w:eastAsiaTheme="minorEastAsia"/>
          <w:b/>
          <w:bCs/>
          <w:color w:val="FF0000"/>
          <w:spacing w:val="-4"/>
          <w:kern w:val="0"/>
          <w:szCs w:val="21"/>
        </w:rPr>
      </w:pPr>
    </w:p>
    <w:p w14:paraId="5DDE1173">
      <w:pPr>
        <w:spacing w:after="160" w:line="278" w:lineRule="auto"/>
        <w:jc w:val="center"/>
        <w:rPr>
          <w:rFonts w:ascii="黑体" w:hAnsi="宋体" w:eastAsia="黑体"/>
          <w:szCs w:val="20"/>
          <w:lang w:eastAsia="zh-CN"/>
        </w:rPr>
      </w:pPr>
      <w:r>
        <w:rPr>
          <w:rFonts w:hint="eastAsia" w:ascii="黑体" w:hAnsi="宋体" w:eastAsia="黑体"/>
          <w:szCs w:val="20"/>
          <w:lang w:eastAsia="zh-CN"/>
        </w:rPr>
        <w:t>（</w:t>
      </w:r>
      <w:r>
        <w:rPr>
          <w:rFonts w:hint="eastAsia" w:ascii="黑体" w:hAnsi="宋体" w:eastAsia="黑体"/>
          <w:szCs w:val="20"/>
          <w:lang w:val="en-US" w:eastAsia="zh-CN"/>
        </w:rPr>
        <w:t>三</w:t>
      </w:r>
      <w:r>
        <w:rPr>
          <w:rFonts w:hint="eastAsia" w:ascii="黑体" w:hAnsi="宋体" w:eastAsia="黑体"/>
          <w:szCs w:val="20"/>
          <w:lang w:eastAsia="zh-CN"/>
        </w:rPr>
        <w:t>）投标人认为需要加以说明的其他内容（格式自定）</w:t>
      </w:r>
    </w:p>
    <w:p w14:paraId="2513773D">
      <w:pPr>
        <w:widowControl w:val="0"/>
        <w:spacing w:after="160" w:line="278" w:lineRule="auto"/>
        <w:jc w:val="center"/>
        <w:rPr>
          <w:rFonts w:eastAsia="宋体"/>
          <w:b/>
          <w:kern w:val="2"/>
          <w:sz w:val="32"/>
          <w:szCs w:val="32"/>
          <w:lang w:eastAsia="zh-CN"/>
        </w:rPr>
      </w:pPr>
    </w:p>
    <w:p w14:paraId="0F81B971">
      <w:pPr>
        <w:widowControl w:val="0"/>
        <w:spacing w:after="160" w:line="278" w:lineRule="auto"/>
        <w:ind w:firstLine="424" w:firstLineChars="202"/>
        <w:jc w:val="both"/>
        <w:rPr>
          <w:rFonts w:ascii="宋体" w:hAnsi="宋体" w:eastAsia="宋体"/>
          <w:kern w:val="2"/>
          <w:sz w:val="21"/>
          <w:szCs w:val="21"/>
          <w:lang w:eastAsia="zh-CN"/>
        </w:rPr>
      </w:pPr>
    </w:p>
    <w:p w14:paraId="61235C55">
      <w:pPr>
        <w:widowControl w:val="0"/>
        <w:spacing w:after="160" w:line="278" w:lineRule="auto"/>
        <w:jc w:val="both"/>
        <w:rPr>
          <w:rFonts w:ascii="黑体" w:hAnsi="宋体" w:eastAsia="黑体"/>
          <w:bCs/>
          <w:lang w:eastAsia="zh-CN"/>
        </w:rPr>
      </w:pPr>
    </w:p>
    <w:p w14:paraId="3206286A">
      <w:pPr>
        <w:widowControl w:val="0"/>
        <w:spacing w:after="160" w:line="278" w:lineRule="auto"/>
        <w:jc w:val="both"/>
        <w:rPr>
          <w:rFonts w:ascii="黑体" w:hAnsi="宋体" w:eastAsia="黑体"/>
          <w:bCs/>
          <w:lang w:eastAsia="zh-CN"/>
        </w:rPr>
        <w:sectPr>
          <w:pgSz w:w="11907" w:h="16840"/>
          <w:pgMar w:top="1440" w:right="1797" w:bottom="1440" w:left="1797" w:header="851" w:footer="992" w:gutter="0"/>
          <w:cols w:space="425" w:num="1"/>
          <w:titlePg/>
          <w:docGrid w:linePitch="462" w:charSpace="0"/>
        </w:sectPr>
      </w:pPr>
    </w:p>
    <w:p w14:paraId="400BEFD2">
      <w:pPr>
        <w:pStyle w:val="7"/>
        <w:rPr>
          <w:rFonts w:hint="eastAsia"/>
        </w:rPr>
      </w:pPr>
      <w:r>
        <w:rPr>
          <w:rFonts w:hint="eastAsia"/>
        </w:rPr>
        <w:t>第五章  合同条款及格式</w:t>
      </w:r>
    </w:p>
    <w:p w14:paraId="0B367CC1">
      <w:pPr>
        <w:rPr>
          <w:lang w:eastAsia="zh-CN"/>
        </w:rPr>
      </w:pPr>
    </w:p>
    <w:p w14:paraId="5FE4656D">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1CB1E7FD">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自行采购货物买卖合同</w:t>
      </w:r>
    </w:p>
    <w:p w14:paraId="7477E700">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0E71E0EA">
      <w:pPr>
        <w:widowControl w:val="0"/>
        <w:jc w:val="both"/>
        <w:rPr>
          <w:rFonts w:ascii="宋体" w:hAnsi="宋体" w:eastAsia="宋体" w:cs="宋体"/>
          <w:b/>
          <w:bCs/>
          <w:spacing w:val="-20"/>
          <w:kern w:val="44"/>
          <w:sz w:val="40"/>
          <w:szCs w:val="40"/>
          <w:lang w:eastAsia="zh-CN"/>
        </w:rPr>
      </w:pPr>
    </w:p>
    <w:p w14:paraId="0014B236">
      <w:pPr>
        <w:widowControl w:val="0"/>
        <w:jc w:val="both"/>
        <w:rPr>
          <w:rFonts w:ascii="宋体" w:hAnsi="宋体" w:eastAsia="宋体" w:cs="宋体"/>
          <w:b/>
          <w:bCs/>
          <w:spacing w:val="-20"/>
          <w:kern w:val="44"/>
          <w:sz w:val="40"/>
          <w:szCs w:val="40"/>
          <w:lang w:eastAsia="zh-CN"/>
        </w:rPr>
      </w:pPr>
    </w:p>
    <w:p w14:paraId="13CBF219">
      <w:pPr>
        <w:widowControl w:val="0"/>
        <w:jc w:val="both"/>
        <w:rPr>
          <w:rFonts w:ascii="宋体" w:hAnsi="宋体" w:eastAsia="宋体" w:cs="宋体"/>
          <w:b/>
          <w:bCs/>
          <w:spacing w:val="-20"/>
          <w:kern w:val="44"/>
          <w:sz w:val="40"/>
          <w:szCs w:val="40"/>
          <w:lang w:eastAsia="zh-CN"/>
        </w:rPr>
      </w:pPr>
    </w:p>
    <w:p w14:paraId="2C47B9B2">
      <w:pPr>
        <w:widowControl w:val="0"/>
        <w:spacing w:line="360" w:lineRule="auto"/>
        <w:ind w:left="480" w:leftChars="200"/>
        <w:jc w:val="both"/>
        <w:rPr>
          <w:rFonts w:eastAsia="宋体"/>
          <w:kern w:val="2"/>
          <w:sz w:val="32"/>
          <w:szCs w:val="32"/>
          <w:lang w:eastAsia="zh-CN"/>
        </w:rPr>
      </w:pPr>
      <w:r>
        <w:rPr>
          <w:rFonts w:hint="eastAsia" w:ascii="宋体" w:hAnsi="宋体" w:eastAsia="宋体" w:cs="宋体"/>
          <w:sz w:val="32"/>
          <w:szCs w:val="32"/>
          <w:lang w:eastAsia="zh-CN"/>
        </w:rPr>
        <w:t>项目名称：</w:t>
      </w:r>
      <w:r>
        <w:rPr>
          <w:rFonts w:hint="eastAsia" w:eastAsia="宋体"/>
          <w:kern w:val="2"/>
          <w:sz w:val="32"/>
          <w:szCs w:val="32"/>
          <w:u w:val="single"/>
          <w:lang w:eastAsia="zh-CN"/>
        </w:rPr>
        <w:t xml:space="preserve">                             </w:t>
      </w:r>
    </w:p>
    <w:p w14:paraId="5651A9EE">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合同编号：</w:t>
      </w:r>
      <w:r>
        <w:rPr>
          <w:rFonts w:hint="eastAsia" w:eastAsia="宋体"/>
          <w:kern w:val="2"/>
          <w:sz w:val="32"/>
          <w:szCs w:val="32"/>
          <w:u w:val="single"/>
          <w:lang w:eastAsia="zh-CN"/>
        </w:rPr>
        <w:t xml:space="preserve">                             </w:t>
      </w:r>
    </w:p>
    <w:p w14:paraId="0F5E58CF">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甲    方：</w:t>
      </w:r>
      <w:r>
        <w:rPr>
          <w:rFonts w:hint="eastAsia" w:eastAsia="宋体"/>
          <w:kern w:val="2"/>
          <w:sz w:val="32"/>
          <w:szCs w:val="32"/>
          <w:u w:val="single"/>
          <w:lang w:eastAsia="zh-CN"/>
        </w:rPr>
        <w:t xml:space="preserve">                             </w:t>
      </w:r>
    </w:p>
    <w:p w14:paraId="4D3DC4A3">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乙    方：</w:t>
      </w:r>
      <w:r>
        <w:rPr>
          <w:rFonts w:hint="eastAsia" w:eastAsia="宋体"/>
          <w:kern w:val="2"/>
          <w:sz w:val="32"/>
          <w:szCs w:val="32"/>
          <w:u w:val="single"/>
          <w:lang w:eastAsia="zh-CN"/>
        </w:rPr>
        <w:t xml:space="preserve">                             </w:t>
      </w:r>
    </w:p>
    <w:p w14:paraId="4395F52E">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签订时间：</w:t>
      </w:r>
      <w:r>
        <w:rPr>
          <w:rFonts w:hint="eastAsia" w:eastAsia="宋体"/>
          <w:kern w:val="2"/>
          <w:sz w:val="32"/>
          <w:szCs w:val="32"/>
          <w:u w:val="single"/>
          <w:lang w:eastAsia="zh-CN"/>
        </w:rPr>
        <w:t xml:space="preserve">      </w:t>
      </w:r>
      <w:r>
        <w:rPr>
          <w:rFonts w:eastAsia="宋体"/>
          <w:kern w:val="2"/>
          <w:sz w:val="32"/>
          <w:szCs w:val="32"/>
          <w:u w:val="single"/>
          <w:lang w:eastAsia="zh-CN"/>
        </w:rPr>
        <w:t xml:space="preserve">           </w:t>
      </w:r>
      <w:r>
        <w:rPr>
          <w:rFonts w:hint="eastAsia" w:eastAsia="宋体"/>
          <w:kern w:val="2"/>
          <w:sz w:val="32"/>
          <w:szCs w:val="32"/>
          <w:u w:val="single"/>
          <w:lang w:eastAsia="zh-CN"/>
        </w:rPr>
        <w:t xml:space="preserve">            </w:t>
      </w:r>
    </w:p>
    <w:p w14:paraId="561A33D6">
      <w:pPr>
        <w:widowControl w:val="0"/>
        <w:jc w:val="both"/>
        <w:rPr>
          <w:rFonts w:eastAsia="宋体"/>
          <w:kern w:val="2"/>
          <w:sz w:val="21"/>
          <w:lang w:eastAsia="zh-CN"/>
        </w:rPr>
      </w:pPr>
    </w:p>
    <w:p w14:paraId="2388867D">
      <w:pPr>
        <w:widowControl w:val="0"/>
        <w:jc w:val="both"/>
        <w:rPr>
          <w:rFonts w:eastAsia="黑体"/>
          <w:kern w:val="2"/>
          <w:sz w:val="44"/>
          <w:szCs w:val="44"/>
          <w:lang w:eastAsia="zh-CN"/>
        </w:rPr>
      </w:pPr>
      <w:r>
        <w:rPr>
          <w:rFonts w:eastAsia="黑体"/>
          <w:kern w:val="2"/>
          <w:sz w:val="44"/>
          <w:szCs w:val="44"/>
          <w:lang w:eastAsia="zh-CN"/>
        </w:rPr>
        <w:br w:type="page"/>
      </w:r>
    </w:p>
    <w:p w14:paraId="4AE7D6EC">
      <w:pPr>
        <w:widowControl w:val="0"/>
        <w:jc w:val="both"/>
        <w:rPr>
          <w:rFonts w:eastAsia="黑体"/>
          <w:kern w:val="2"/>
          <w:sz w:val="44"/>
          <w:szCs w:val="44"/>
          <w:lang w:eastAsia="zh-CN"/>
        </w:rPr>
      </w:pPr>
    </w:p>
    <w:p w14:paraId="2CEC4ED3">
      <w:pPr>
        <w:widowControl w:val="0"/>
        <w:jc w:val="both"/>
        <w:rPr>
          <w:rFonts w:eastAsia="黑体"/>
          <w:kern w:val="2"/>
          <w:sz w:val="44"/>
          <w:szCs w:val="44"/>
          <w:lang w:eastAsia="zh-CN"/>
        </w:rPr>
      </w:pPr>
    </w:p>
    <w:p w14:paraId="36DDBAF6">
      <w:pPr>
        <w:widowControl w:val="0"/>
        <w:jc w:val="center"/>
        <w:rPr>
          <w:rFonts w:hint="eastAsia" w:eastAsia="黑体"/>
          <w:kern w:val="2"/>
          <w:sz w:val="44"/>
          <w:szCs w:val="44"/>
          <w:lang w:eastAsia="zh-CN"/>
        </w:rPr>
      </w:pPr>
      <w:r>
        <w:rPr>
          <w:rFonts w:hint="eastAsia" w:eastAsia="黑体"/>
          <w:kern w:val="2"/>
          <w:sz w:val="44"/>
          <w:szCs w:val="44"/>
          <w:lang w:eastAsia="zh-CN"/>
        </w:rPr>
        <w:t>使 用 说 明</w:t>
      </w:r>
    </w:p>
    <w:p w14:paraId="301BFB2D">
      <w:pPr>
        <w:widowControl w:val="0"/>
        <w:ind w:firstLine="640" w:firstLineChars="200"/>
        <w:jc w:val="both"/>
        <w:rPr>
          <w:rFonts w:hint="eastAsia" w:ascii="仿宋_GB2312" w:hAnsi="仿宋_GB2312" w:eastAsia="仿宋_GB2312" w:cs="仿宋_GB2312"/>
          <w:kern w:val="2"/>
          <w:sz w:val="32"/>
          <w:szCs w:val="32"/>
          <w:lang w:eastAsia="zh-CN"/>
        </w:rPr>
      </w:pPr>
    </w:p>
    <w:p w14:paraId="331E8E20">
      <w:pPr>
        <w:widowControl w:val="0"/>
        <w:numPr>
          <w:ilvl w:val="0"/>
          <w:numId w:val="0"/>
        </w:numPr>
        <w:ind w:lef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5B0F4825">
      <w:pPr>
        <w:widowControl w:val="0"/>
        <w:numPr>
          <w:ilvl w:val="0"/>
          <w:numId w:val="0"/>
        </w:numPr>
        <w:ind w:left="0" w:firstLine="640" w:firstLineChars="200"/>
        <w:jc w:val="both"/>
        <w:rPr>
          <w:rFonts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2.本合同标准文本为采购货物买卖合同编制提供参考，可以结合采购项目具体情况，对文本作必要的调整修订后使用。</w:t>
      </w:r>
    </w:p>
    <w:p w14:paraId="504FBB9A">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71DA79A9">
      <w:pPr>
        <w:widowControl w:val="0"/>
        <w:ind w:firstLine="880" w:firstLineChars="200"/>
        <w:jc w:val="both"/>
        <w:rPr>
          <w:rFonts w:eastAsia="黑体"/>
          <w:kern w:val="2"/>
          <w:sz w:val="44"/>
          <w:szCs w:val="44"/>
          <w:lang w:eastAsia="zh-CN"/>
        </w:rPr>
        <w:sectPr>
          <w:headerReference r:id="rId6" w:type="default"/>
          <w:foot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FB7529D">
      <w:pPr>
        <w:widowControl w:val="0"/>
        <w:bidi w:val="0"/>
        <w:jc w:val="both"/>
        <w:rPr>
          <w:rFonts w:hint="eastAsia" w:eastAsia="宋体"/>
          <w:kern w:val="2"/>
          <w:sz w:val="21"/>
          <w:lang w:eastAsia="zh-CN"/>
        </w:rPr>
      </w:pPr>
      <w:bookmarkStart w:id="86" w:name="_Toc22209"/>
    </w:p>
    <w:p w14:paraId="1A862C37">
      <w:pPr>
        <w:keepNext/>
        <w:keepLines/>
        <w:widowControl w:val="0"/>
        <w:adjustRightInd w:val="0"/>
        <w:snapToGrid w:val="0"/>
        <w:spacing w:beforeLines="0" w:line="400" w:lineRule="exact"/>
        <w:jc w:val="center"/>
        <w:outlineLvl w:val="1"/>
        <w:rPr>
          <w:rFonts w:hint="eastAsia"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采购合同协议书</w:t>
      </w:r>
      <w:bookmarkEnd w:id="86"/>
    </w:p>
    <w:p w14:paraId="69B2DAF3">
      <w:pPr>
        <w:widowControl w:val="0"/>
        <w:bidi w:val="0"/>
        <w:jc w:val="both"/>
        <w:rPr>
          <w:rFonts w:hint="eastAsia" w:eastAsia="宋体"/>
          <w:kern w:val="2"/>
          <w:sz w:val="21"/>
          <w:lang w:eastAsia="zh-CN"/>
        </w:rPr>
      </w:pPr>
    </w:p>
    <w:p w14:paraId="74A2363E">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甲方（全称）：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（采购人、受采购人委托签订合同的单位或采购</w:t>
      </w:r>
      <w:r>
        <w:rPr>
          <w:rFonts w:hint="eastAsia" w:ascii="宋体" w:hAnsi="宋体" w:eastAsia="宋体"/>
          <w:kern w:val="2"/>
          <w:sz w:val="21"/>
          <w:szCs w:val="21"/>
          <w:lang w:eastAsia="zh-CN"/>
        </w:rPr>
        <w:tab/>
      </w:r>
      <w:r>
        <w:rPr>
          <w:rFonts w:hint="eastAsia" w:ascii="宋体" w:hAnsi="宋体" w:eastAsia="宋体"/>
          <w:kern w:val="2"/>
          <w:sz w:val="21"/>
          <w:szCs w:val="21"/>
          <w:lang w:eastAsia="zh-CN"/>
        </w:rPr>
        <w:t xml:space="preserve">                                   文件约定的合同甲方）</w:t>
      </w:r>
    </w:p>
    <w:p w14:paraId="4BBD5803">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乙方1（全称）：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（供应商）</w:t>
      </w:r>
    </w:p>
    <w:p w14:paraId="4840F4F8">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乙方2（全称）：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14:paraId="44D344D7">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eastAsia="宋体"/>
          <w:kern w:val="2"/>
          <w:sz w:val="21"/>
          <w:lang w:eastAsia="zh-CN"/>
        </w:rPr>
        <w:t>乙方</w:t>
      </w:r>
      <w:r>
        <w:rPr>
          <w:rFonts w:hint="eastAsia" w:ascii="宋体" w:hAnsi="宋体" w:eastAsia="宋体"/>
          <w:kern w:val="2"/>
          <w:sz w:val="21"/>
          <w:szCs w:val="21"/>
          <w:lang w:eastAsia="zh-CN"/>
        </w:rPr>
        <w:t>3</w:t>
      </w:r>
      <w:r>
        <w:rPr>
          <w:rFonts w:hint="eastAsia" w:eastAsia="宋体"/>
          <w:kern w:val="2"/>
          <w:sz w:val="21"/>
          <w:lang w:eastAsia="zh-CN"/>
        </w:rPr>
        <w:t>（全称）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14:paraId="1973F6D1">
      <w:pPr>
        <w:widowControl w:val="0"/>
        <w:spacing w:beforeLines="0" w:line="400" w:lineRule="exact"/>
        <w:jc w:val="both"/>
        <w:rPr>
          <w:rFonts w:eastAsia="宋体"/>
          <w:kern w:val="2"/>
          <w:sz w:val="21"/>
          <w:lang w:eastAsia="zh-CN"/>
        </w:rPr>
      </w:pPr>
    </w:p>
    <w:p w14:paraId="4572C805">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3AF5B16">
      <w:pPr>
        <w:widowControl w:val="0"/>
        <w:numPr>
          <w:ilvl w:val="0"/>
          <w:numId w:val="8"/>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项目信息</w:t>
      </w:r>
    </w:p>
    <w:p w14:paraId="396B786B">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kern w:val="2"/>
          <w:sz w:val="21"/>
          <w:szCs w:val="21"/>
          <w:u w:val="single"/>
          <w:lang w:eastAsia="zh-CN"/>
        </w:rPr>
        <w:t xml:space="preserve">                                            </w:t>
      </w:r>
    </w:p>
    <w:p w14:paraId="1CBDA5CE">
      <w:pPr>
        <w:widowControl w:val="0"/>
        <w:numPr>
          <w:ilvl w:val="12"/>
          <w:numId w:val="0"/>
        </w:numPr>
        <w:tabs>
          <w:tab w:val="left" w:pos="999"/>
        </w:tabs>
        <w:adjustRightInd w:val="0"/>
        <w:snapToGrid w:val="0"/>
        <w:spacing w:before="0" w:beforeLines="0" w:after="0" w:line="400" w:lineRule="exact"/>
        <w:ind w:left="0" w:leftChars="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002BF0CA">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56404451">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（3）项目内容：</w:t>
      </w:r>
    </w:p>
    <w:p w14:paraId="110A4208">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采购标的及数量（台/套</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个</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架</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组等</w:t>
      </w:r>
      <w:r>
        <w:rPr>
          <w:rFonts w:hint="eastAsia" w:ascii="宋体" w:hAnsi="宋体" w:eastAsia="宋体"/>
          <w:kern w:val="2"/>
          <w:sz w:val="21"/>
          <w:szCs w:val="21"/>
          <w:lang w:eastAsia="zh-CN"/>
        </w:rPr>
        <w:t>）：</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p>
    <w:p w14:paraId="349B1304">
      <w:pPr>
        <w:widowControl w:val="0"/>
        <w:numPr>
          <w:ilvl w:val="12"/>
          <w:numId w:val="0"/>
        </w:numPr>
        <w:adjustRightInd w:val="0"/>
        <w:snapToGrid w:val="0"/>
        <w:spacing w:before="0" w:beforeLines="0" w:line="400" w:lineRule="exact"/>
        <w:ind w:left="0" w:firstLine="420" w:firstLineChars="200"/>
        <w:jc w:val="both"/>
        <w:rPr>
          <w:rFonts w:ascii="宋体" w:hAnsi="宋体" w:eastAsia="宋体" w:cs="宋体"/>
          <w:kern w:val="2"/>
          <w:sz w:val="21"/>
          <w:szCs w:val="21"/>
          <w:lang w:val="en"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14:paraId="500B8C47">
      <w:pPr>
        <w:widowControl w:val="0"/>
        <w:adjustRightInd w:val="0"/>
        <w:snapToGrid w:val="0"/>
        <w:spacing w:before="0" w:beforeLines="0"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采购标的的技术要求、商务要求具体见附件。</w:t>
      </w:r>
    </w:p>
    <w:p w14:paraId="301474BD">
      <w:pPr>
        <w:widowControl w:val="0"/>
        <w:numPr>
          <w:ilvl w:val="12"/>
          <w:numId w:val="0"/>
        </w:numPr>
        <w:adjustRightInd w:val="0"/>
        <w:snapToGrid w:val="0"/>
        <w:spacing w:before="0" w:beforeLines="0" w:line="400" w:lineRule="exact"/>
        <w:ind w:left="0" w:firstLine="945" w:firstLineChars="450"/>
        <w:jc w:val="both"/>
        <w:rPr>
          <w:rFonts w:hint="eastAsia"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791223C8">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14:paraId="332A285B">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49C5ED64">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026F374A">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2BFA2A2D">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（注：关键部件是指财政部会同有关部门发布的采购需求标准规定的需要通过国家有关部门指定的测评机构开展的安全可靠测评的软硬件，如CPU芯片、操作系统、数据库等。）</w:t>
      </w:r>
    </w:p>
    <w:p w14:paraId="6613A4A0">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3311353D">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38E5952D">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016DD53E">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14:paraId="713C101F">
      <w:pPr>
        <w:widowControl w:val="0"/>
        <w:numPr>
          <w:ilvl w:val="12"/>
          <w:numId w:val="0"/>
        </w:numPr>
        <w:autoSpaceDE w:val="0"/>
        <w:autoSpaceDN w:val="0"/>
        <w:adjustRightInd w:val="0"/>
        <w:snapToGrid w:val="0"/>
        <w:spacing w:before="0" w:beforeLines="0" w:line="400" w:lineRule="exact"/>
        <w:ind w:left="240" w:leftChars="100" w:firstLine="210" w:firstLineChars="1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18C15D43">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468B7263">
      <w:pPr>
        <w:widowControl w:val="0"/>
        <w:numPr>
          <w:ilvl w:val="12"/>
          <w:numId w:val="0"/>
        </w:numPr>
        <w:autoSpaceDE w:val="0"/>
        <w:autoSpaceDN w:val="0"/>
        <w:adjustRightInd w:val="0"/>
        <w:snapToGrid w:val="0"/>
        <w:spacing w:before="0" w:beforeLines="0" w:line="400" w:lineRule="exact"/>
        <w:ind w:left="0" w:firstLine="220" w:firstLineChars="100"/>
        <w:jc w:val="both"/>
        <w:rPr>
          <w:rFonts w:hint="eastAsia"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12264E1C">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本合同是否为专门面向中小企业的采购合同（中小企业预留合同）：</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2606EDB6">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eastAsia="宋体"/>
          <w:kern w:val="2"/>
          <w:sz w:val="21"/>
          <w:lang w:eastAsia="zh-CN"/>
        </w:rPr>
        <w:t xml:space="preserve">         若本项目不专门面向中小企业采购，是否给予小微企业评审优惠：</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1C7D353F">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eastAsia="宋体"/>
          <w:kern w:val="2"/>
          <w:sz w:val="21"/>
          <w:lang w:eastAsia="zh-CN"/>
        </w:rPr>
        <w:t xml:space="preserve">         中标（成交）采购标的制造商是否为残疾人福利性单位：</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74B2A77B">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hint="eastAsia" w:eastAsia="宋体"/>
          <w:kern w:val="2"/>
          <w:sz w:val="21"/>
          <w:lang w:eastAsia="zh-CN"/>
        </w:rPr>
        <w:t xml:space="preserve">         中标（成交）采购标的制造商是否为监狱企业：</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3BB5420B">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w:t>
      </w:r>
      <w:r>
        <w:rPr>
          <w:rFonts w:ascii="宋体" w:hAnsi="宋体" w:eastAsia="宋体"/>
          <w:kern w:val="2"/>
          <w:sz w:val="21"/>
          <w:szCs w:val="21"/>
          <w:lang w:val="en" w:eastAsia="zh-CN"/>
        </w:rPr>
        <w:t>7</w:t>
      </w:r>
      <w:r>
        <w:rPr>
          <w:rFonts w:hint="eastAsia" w:ascii="宋体" w:hAnsi="宋体" w:eastAsia="宋体"/>
          <w:kern w:val="2"/>
          <w:sz w:val="21"/>
          <w:szCs w:val="21"/>
          <w:lang w:eastAsia="zh-CN"/>
        </w:rPr>
        <w:t>）合同是否分包：</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14:paraId="27FED08B">
      <w:pPr>
        <w:widowControl w:val="0"/>
        <w:adjustRightInd w:val="0"/>
        <w:snapToGrid w:val="0"/>
        <w:spacing w:before="0" w:beforeLines="0"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分包主要内容：</w:t>
      </w:r>
      <w:r>
        <w:rPr>
          <w:rFonts w:hint="eastAsia" w:ascii="宋体" w:hAnsi="宋体" w:eastAsia="宋体"/>
          <w:kern w:val="2"/>
          <w:sz w:val="21"/>
          <w:szCs w:val="21"/>
          <w:u w:val="single"/>
          <w:lang w:eastAsia="zh-CN"/>
        </w:rPr>
        <w:t xml:space="preserve">                                            </w:t>
      </w:r>
    </w:p>
    <w:p w14:paraId="241E2159">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分包供应商/制造商名称（如供应商和制造商不同，请分别填写）：</w:t>
      </w:r>
    </w:p>
    <w:p w14:paraId="59D8B2DD">
      <w:pPr>
        <w:widowControl w:val="0"/>
        <w:adjustRightInd w:val="0"/>
        <w:snapToGrid w:val="0"/>
        <w:spacing w:before="0" w:beforeLines="0"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p>
    <w:p w14:paraId="5A351F6A">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分包供应商/制造商类型（如果供应商和制造商不同，只填写制造商类型）：</w:t>
      </w:r>
    </w:p>
    <w:p w14:paraId="55CF94C7">
      <w:pPr>
        <w:widowControl w:val="0"/>
        <w:adjustRightInd w:val="0"/>
        <w:snapToGrid w:val="0"/>
        <w:spacing w:beforeLines="0" w:line="400" w:lineRule="exact"/>
        <w:ind w:firstLine="840" w:firstLineChars="40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大型企业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中型企业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小微型企业  </w:t>
      </w:r>
    </w:p>
    <w:p w14:paraId="7699E201">
      <w:pPr>
        <w:widowControl w:val="0"/>
        <w:adjustRightInd w:val="0"/>
        <w:snapToGrid w:val="0"/>
        <w:spacing w:beforeLines="0" w:line="400" w:lineRule="exact"/>
        <w:ind w:firstLine="840" w:firstLineChars="400"/>
        <w:jc w:val="both"/>
        <w:rPr>
          <w:rFonts w:eastAsia="华文楷体"/>
          <w:kern w:val="2"/>
          <w:sz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残疾人福利性单位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监狱企业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p>
    <w:p w14:paraId="1B11EE15">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cs="宋体"/>
          <w:iCs/>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3CB1FD47">
      <w:pPr>
        <w:widowControl w:val="0"/>
        <w:tabs>
          <w:tab w:val="left" w:pos="1340"/>
        </w:tabs>
        <w:autoSpaceDE w:val="0"/>
        <w:autoSpaceDN w:val="0"/>
        <w:adjustRightInd w:val="0"/>
        <w:spacing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74D6320B">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14:paraId="30735820">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1F6B43C3">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kern w:val="2"/>
          <w:sz w:val="21"/>
          <w:szCs w:val="21"/>
          <w:lang w:eastAsia="zh-CN"/>
        </w:rPr>
        <w:t xml:space="preserve">      </w:t>
      </w:r>
    </w:p>
    <w:p w14:paraId="3244E76D">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2B90D5A5">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0</w:t>
      </w:r>
      <w:r>
        <w:rPr>
          <w:rFonts w:hint="eastAsia" w:ascii="宋体" w:hAnsi="宋体" w:eastAsia="宋体"/>
          <w:kern w:val="2"/>
          <w:sz w:val="21"/>
          <w:szCs w:val="21"/>
          <w:lang w:eastAsia="zh-CN"/>
        </w:rPr>
        <w:t>）是否涉及节能产品：</w:t>
      </w:r>
    </w:p>
    <w:p w14:paraId="15B754C1">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是，《节能产品政府采购品目清单》的底级品目名称：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14:paraId="7D1951A0">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50CED56D">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11FB139A">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是否涉及环境标志产品：</w:t>
      </w:r>
    </w:p>
    <w:p w14:paraId="543EC8FA">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是，《环境标志产品政府采购品目清单》的底级品目名称：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14:paraId="4107BEAE">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50DBC745">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3A9C9FFE">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1A5E8FB1">
      <w:pPr>
        <w:widowControl w:val="0"/>
        <w:autoSpaceDE w:val="0"/>
        <w:autoSpaceDN w:val="0"/>
        <w:adjustRightInd w:val="0"/>
        <w:spacing w:beforeLines="0" w:line="400" w:lineRule="exact"/>
        <w:ind w:firstLine="420" w:firstLineChars="0"/>
        <w:jc w:val="both"/>
        <w:rPr>
          <w:rFonts w:hint="eastAsia"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56C6924E">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14:paraId="1D8975D6">
      <w:pPr>
        <w:widowControl w:val="0"/>
        <w:autoSpaceDE w:val="0"/>
        <w:autoSpaceDN w:val="0"/>
        <w:adjustRightInd w:val="0"/>
        <w:spacing w:beforeLines="0" w:line="400" w:lineRule="exact"/>
        <w:ind w:firstLine="420" w:firstLineChars="0"/>
        <w:jc w:val="both"/>
        <w:rPr>
          <w:rFonts w:hint="eastAsia"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52642522">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1</w:t>
      </w:r>
      <w:r>
        <w:rPr>
          <w:rFonts w:hint="eastAsia" w:ascii="宋体" w:hAnsi="宋体" w:eastAsia="宋体"/>
          <w:kern w:val="2"/>
          <w:sz w:val="21"/>
          <w:szCs w:val="21"/>
          <w:lang w:eastAsia="zh-CN"/>
        </w:rPr>
        <w:t>）涉及商品包装和快递包装的，是否参考《商品包装政府采购需求标准（试行）》、《快递包装政府采购需求标准（试行）》明确产品及相关快递服务的具体包装要求：</w:t>
      </w:r>
    </w:p>
    <w:p w14:paraId="313AE725">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否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不涉及</w:t>
      </w:r>
    </w:p>
    <w:p w14:paraId="74EF0B0E">
      <w:pPr>
        <w:widowControl w:val="0"/>
        <w:numPr>
          <w:ilvl w:val="0"/>
          <w:numId w:val="8"/>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合同金额</w:t>
      </w:r>
    </w:p>
    <w:p w14:paraId="763C43B1">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（1）合同金额小写：</w:t>
      </w:r>
      <w:r>
        <w:rPr>
          <w:rFonts w:hint="eastAsia" w:ascii="宋体" w:hAnsi="宋体" w:eastAsia="宋体"/>
          <w:kern w:val="2"/>
          <w:sz w:val="21"/>
          <w:szCs w:val="21"/>
          <w:u w:val="single"/>
          <w:lang w:eastAsia="zh-CN"/>
        </w:rPr>
        <w:t xml:space="preserve">                           </w:t>
      </w:r>
    </w:p>
    <w:p w14:paraId="5C368F01">
      <w:pPr>
        <w:widowControl w:val="0"/>
        <w:adjustRightInd w:val="0"/>
        <w:snapToGrid w:val="0"/>
        <w:spacing w:before="0" w:beforeLines="0" w:line="400" w:lineRule="exact"/>
        <w:ind w:left="0" w:firstLine="0" w:firstLineChars="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14:paraId="07CC568D">
      <w:pPr>
        <w:widowControl w:val="0"/>
        <w:adjustRightInd w:val="0"/>
        <w:snapToGrid w:val="0"/>
        <w:spacing w:before="0" w:beforeLines="0" w:line="400" w:lineRule="exact"/>
        <w:ind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分包金额（如有）小写：</w:t>
      </w:r>
      <w:r>
        <w:rPr>
          <w:rFonts w:hint="eastAsia" w:ascii="宋体" w:hAnsi="宋体" w:eastAsia="宋体"/>
          <w:kern w:val="2"/>
          <w:sz w:val="21"/>
          <w:szCs w:val="21"/>
          <w:u w:val="single"/>
          <w:lang w:eastAsia="zh-CN"/>
        </w:rPr>
        <w:t xml:space="preserve">                   </w:t>
      </w:r>
    </w:p>
    <w:p w14:paraId="1F4A9BAE">
      <w:pPr>
        <w:widowControl w:val="0"/>
        <w:adjustRightInd w:val="0"/>
        <w:snapToGrid w:val="0"/>
        <w:spacing w:before="0" w:beforeLines="0" w:line="400" w:lineRule="exact"/>
        <w:ind w:firstLine="0" w:firstLineChars="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14:paraId="478B0812">
      <w:pPr>
        <w:widowControl w:val="0"/>
        <w:adjustRightInd w:val="0"/>
        <w:snapToGrid w:val="0"/>
        <w:spacing w:before="0" w:beforeLines="0" w:line="400" w:lineRule="exact"/>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（注：固定单价合同应填写单价和最高限价）</w:t>
      </w:r>
    </w:p>
    <w:p w14:paraId="1D6E03CB">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（2）合同定价方式（采用组合定价方式的，可以勾选多项）：</w:t>
      </w:r>
    </w:p>
    <w:p w14:paraId="7BC63032">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固定总价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固定单价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固定费率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成本补偿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绩效激励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r>
        <w:rPr>
          <w:rFonts w:hint="eastAsia" w:ascii="宋体" w:hAnsi="宋体" w:eastAsia="宋体"/>
          <w:kern w:val="2"/>
          <w:sz w:val="21"/>
          <w:szCs w:val="21"/>
          <w:u w:val="single"/>
          <w:lang w:eastAsia="zh-CN"/>
        </w:rPr>
        <w:t xml:space="preserve">       </w:t>
      </w:r>
    </w:p>
    <w:p w14:paraId="385C6DDC">
      <w:pPr>
        <w:widowControl w:val="0"/>
        <w:spacing w:beforeLines="0"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145D7766">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全额付款：</w:t>
      </w:r>
      <w:r>
        <w:rPr>
          <w:rFonts w:hint="eastAsia" w:ascii="宋体" w:hAnsi="宋体" w:eastAsia="宋体"/>
          <w:kern w:val="2"/>
          <w:sz w:val="21"/>
          <w:szCs w:val="21"/>
          <w:u w:val="single"/>
          <w:lang w:eastAsia="zh-CN"/>
        </w:rPr>
        <w:t xml:space="preserve">     （应明确一次性支付合同款项的条件）                    </w:t>
      </w:r>
    </w:p>
    <w:p w14:paraId="3F7D61F6">
      <w:pPr>
        <w:widowControl w:val="0"/>
        <w:snapToGrid w:val="0"/>
        <w:spacing w:beforeLines="0" w:line="400" w:lineRule="exact"/>
        <w:ind w:firstLine="630" w:firstLineChars="300"/>
        <w:jc w:val="both"/>
        <w:rPr>
          <w:rFonts w:eastAsia="宋体"/>
          <w:kern w:val="2"/>
          <w:sz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分期付款：</w:t>
      </w:r>
      <w:r>
        <w:rPr>
          <w:rFonts w:hint="eastAsia" w:ascii="宋体" w:hAnsi="宋体" w:eastAsia="宋体"/>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kern w:val="2"/>
          <w:sz w:val="21"/>
          <w:szCs w:val="21"/>
          <w:lang w:eastAsia="zh-CN"/>
        </w:rPr>
        <w:t>，其中涉及预付款的：</w:t>
      </w:r>
      <w:r>
        <w:rPr>
          <w:rFonts w:hint="eastAsia" w:ascii="宋体" w:hAnsi="宋体" w:eastAsia="宋体"/>
          <w:kern w:val="2"/>
          <w:sz w:val="21"/>
          <w:szCs w:val="21"/>
          <w:u w:val="single"/>
          <w:lang w:eastAsia="zh-CN"/>
        </w:rPr>
        <w:t xml:space="preserve"> （应明确预付款的支付比例和支付条件） </w:t>
      </w:r>
    </w:p>
    <w:p w14:paraId="487B1FA6">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成本补偿：</w:t>
      </w:r>
      <w:r>
        <w:rPr>
          <w:rFonts w:hint="eastAsia" w:ascii="宋体" w:hAnsi="宋体" w:eastAsia="宋体"/>
          <w:kern w:val="2"/>
          <w:sz w:val="21"/>
          <w:szCs w:val="21"/>
          <w:u w:val="single"/>
          <w:lang w:eastAsia="zh-CN"/>
        </w:rPr>
        <w:t xml:space="preserve">      （应明确按照成本补偿方式的支付方式和支付条件）   </w:t>
      </w:r>
    </w:p>
    <w:p w14:paraId="142F761F">
      <w:pPr>
        <w:widowControl w:val="0"/>
        <w:adjustRightInd w:val="0"/>
        <w:snapToGrid w:val="0"/>
        <w:spacing w:before="0" w:beforeLines="0" w:line="400" w:lineRule="exact"/>
        <w:ind w:firstLine="630" w:firstLineChars="300"/>
        <w:jc w:val="both"/>
        <w:rPr>
          <w:rFonts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绩效激励：</w:t>
      </w:r>
      <w:r>
        <w:rPr>
          <w:rFonts w:hint="eastAsia" w:ascii="宋体" w:hAnsi="宋体" w:eastAsia="宋体"/>
          <w:kern w:val="2"/>
          <w:sz w:val="21"/>
          <w:szCs w:val="21"/>
          <w:u w:val="single"/>
          <w:lang w:eastAsia="zh-CN"/>
        </w:rPr>
        <w:t xml:space="preserve">      （应明确按照绩效激励方式的支付方式和支付条件）   </w:t>
      </w:r>
    </w:p>
    <w:p w14:paraId="7F69BB6A">
      <w:pPr>
        <w:widowControl w:val="0"/>
        <w:numPr>
          <w:ilvl w:val="0"/>
          <w:numId w:val="8"/>
        </w:numPr>
        <w:adjustRightInd w:val="0"/>
        <w:snapToGrid w:val="0"/>
        <w:spacing w:before="0" w:beforeLines="0"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b/>
          <w:kern w:val="2"/>
          <w:sz w:val="21"/>
          <w:szCs w:val="21"/>
          <w:lang w:eastAsia="zh-CN"/>
        </w:rPr>
        <w:t>合同履行</w:t>
      </w:r>
    </w:p>
    <w:p w14:paraId="6CC8EC60">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432E63FF">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14:paraId="56B3D85C">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1BED606A">
      <w:pPr>
        <w:widowControl w:val="0"/>
        <w:autoSpaceDE w:val="0"/>
        <w:autoSpaceDN w:val="0"/>
        <w:adjustRightInd w:val="0"/>
        <w:spacing w:beforeLines="0" w:line="400" w:lineRule="exact"/>
        <w:ind w:firstLine="440" w:firstLineChars="200"/>
        <w:jc w:val="both"/>
        <w:rPr>
          <w:rFonts w:hint="eastAsia"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5164ACF9">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0175C61E">
      <w:pPr>
        <w:widowControl w:val="0"/>
        <w:snapToGrid w:val="0"/>
        <w:spacing w:beforeLines="0" w:line="4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4D88C148">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36B576BE">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5567C147">
      <w:pPr>
        <w:widowControl w:val="0"/>
        <w:numPr>
          <w:ilvl w:val="0"/>
          <w:numId w:val="8"/>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合同验收</w:t>
      </w:r>
    </w:p>
    <w:p w14:paraId="32D7A53A">
      <w:pPr>
        <w:widowControl w:val="0"/>
        <w:numPr>
          <w:ilvl w:val="0"/>
          <w:numId w:val="10"/>
        </w:numPr>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委托第三方组织</w:t>
      </w:r>
    </w:p>
    <w:p w14:paraId="08221250">
      <w:pPr>
        <w:widowControl w:val="0"/>
        <w:numPr>
          <w:ilvl w:val="0"/>
          <w:numId w:val="0"/>
        </w:numPr>
        <w:adjustRightInd w:val="0"/>
        <w:snapToGrid w:val="0"/>
        <w:spacing w:before="0" w:beforeLines="0" w:line="400" w:lineRule="exact"/>
        <w:ind w:left="0" w:firstLine="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验收主体：</w:t>
      </w:r>
      <w:r>
        <w:rPr>
          <w:rFonts w:hint="eastAsia" w:ascii="宋体" w:hAnsi="宋体" w:eastAsia="宋体"/>
          <w:bCs/>
          <w:kern w:val="2"/>
          <w:sz w:val="21"/>
          <w:szCs w:val="21"/>
          <w:u w:val="single"/>
          <w:lang w:eastAsia="zh-CN"/>
        </w:rPr>
        <w:t xml:space="preserve">                  </w:t>
      </w:r>
    </w:p>
    <w:p w14:paraId="2CBBB848">
      <w:pPr>
        <w:widowControl w:val="0"/>
        <w:adjustRightInd w:val="0"/>
        <w:snapToGrid w:val="0"/>
        <w:spacing w:before="0" w:beforeLines="0" w:line="400" w:lineRule="exact"/>
        <w:ind w:firstLine="0" w:firstLineChars="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0272AC44">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4B9D5F45">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3540E2A2">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06DFEA8F">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是，抽查比例：</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2C4644BF">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w:t>
      </w:r>
      <w:r>
        <w:rPr>
          <w:rFonts w:hint="eastAsia" w:ascii="宋体" w:hAnsi="宋体" w:eastAsia="宋体"/>
          <w:bCs/>
          <w:kern w:val="2"/>
          <w:sz w:val="21"/>
          <w:szCs w:val="21"/>
          <w:u w:val="single"/>
          <w:lang w:eastAsia="zh-CN"/>
        </w:rPr>
        <w:t>（应明确对被破坏的检测产品的处理方式）</w:t>
      </w:r>
    </w:p>
    <w:p w14:paraId="2C94B59E">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14:paraId="568596B5">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验收组织的其他事项：</w:t>
      </w:r>
      <w:r>
        <w:rPr>
          <w:rFonts w:hint="eastAsia" w:ascii="宋体" w:hAnsi="宋体" w:eastAsia="宋体"/>
          <w:bCs/>
          <w:kern w:val="2"/>
          <w:sz w:val="21"/>
          <w:szCs w:val="21"/>
          <w:u w:val="single"/>
          <w:lang w:eastAsia="zh-CN"/>
        </w:rPr>
        <w:t xml:space="preserve">                </w:t>
      </w:r>
    </w:p>
    <w:p w14:paraId="674734A3">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（2）履约验收时间：</w:t>
      </w:r>
      <w:r>
        <w:rPr>
          <w:rFonts w:hint="eastAsia" w:ascii="宋体" w:hAnsi="宋体" w:eastAsia="宋体"/>
          <w:bCs/>
          <w:kern w:val="2"/>
          <w:sz w:val="21"/>
          <w:szCs w:val="21"/>
          <w:u w:val="single"/>
          <w:lang w:eastAsia="zh-CN"/>
        </w:rPr>
        <w:t xml:space="preserve">（计划于何时验收/供应商提出验收申请之日起   日内组织验收） </w:t>
      </w:r>
    </w:p>
    <w:p w14:paraId="709D5817">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一次性验收         </w:t>
      </w:r>
    </w:p>
    <w:p w14:paraId="1B6D4CAD">
      <w:pPr>
        <w:widowControl w:val="0"/>
        <w:adjustRightInd w:val="0"/>
        <w:snapToGrid w:val="0"/>
        <w:spacing w:before="0" w:beforeLines="0" w:line="400" w:lineRule="exact"/>
        <w:ind w:firstLine="0" w:firstLineChars="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分期/分项验收：</w:t>
      </w:r>
      <w:r>
        <w:rPr>
          <w:rFonts w:hint="eastAsia" w:ascii="宋体" w:hAnsi="宋体" w:eastAsia="宋体"/>
          <w:bCs/>
          <w:kern w:val="2"/>
          <w:sz w:val="21"/>
          <w:szCs w:val="21"/>
          <w:u w:val="single"/>
          <w:lang w:eastAsia="zh-CN"/>
        </w:rPr>
        <w:t xml:space="preserve"> （应明确分期</w:t>
      </w:r>
      <w:r>
        <w:rPr>
          <w:rFonts w:ascii="宋体" w:hAnsi="宋体" w:eastAsia="宋体"/>
          <w:bCs/>
          <w:kern w:val="2"/>
          <w:sz w:val="21"/>
          <w:szCs w:val="21"/>
          <w:u w:val="single"/>
          <w:lang w:val="en" w:eastAsia="zh-CN"/>
        </w:rPr>
        <w:t>/</w:t>
      </w:r>
      <w:r>
        <w:rPr>
          <w:rFonts w:hint="eastAsia" w:ascii="宋体" w:hAnsi="宋体" w:eastAsia="宋体"/>
          <w:bCs/>
          <w:kern w:val="2"/>
          <w:sz w:val="21"/>
          <w:szCs w:val="21"/>
          <w:u w:val="single"/>
          <w:lang w:val="en" w:eastAsia="zh-CN"/>
        </w:rPr>
        <w:t>分项验收的工作安排</w:t>
      </w:r>
      <w:r>
        <w:rPr>
          <w:rFonts w:hint="eastAsia" w:ascii="宋体" w:hAnsi="宋体" w:eastAsia="宋体"/>
          <w:bCs/>
          <w:kern w:val="2"/>
          <w:sz w:val="21"/>
          <w:szCs w:val="21"/>
          <w:u w:val="single"/>
          <w:lang w:eastAsia="zh-CN"/>
        </w:rPr>
        <w:t xml:space="preserve">）  </w:t>
      </w:r>
    </w:p>
    <w:p w14:paraId="1D91F6F1">
      <w:pPr>
        <w:widowControl w:val="0"/>
        <w:adjustRightInd w:val="0"/>
        <w:snapToGrid w:val="0"/>
        <w:spacing w:before="0" w:beforeLines="0"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（4）履约验收程序：</w:t>
      </w:r>
      <w:r>
        <w:rPr>
          <w:rFonts w:hint="eastAsia" w:ascii="宋体" w:hAnsi="宋体" w:eastAsia="宋体"/>
          <w:bCs/>
          <w:kern w:val="2"/>
          <w:sz w:val="21"/>
          <w:szCs w:val="21"/>
          <w:u w:val="single"/>
          <w:lang w:eastAsia="zh-CN"/>
        </w:rPr>
        <w:t xml:space="preserve">                                         </w:t>
      </w:r>
    </w:p>
    <w:p w14:paraId="6AA23BC6">
      <w:pPr>
        <w:widowControl w:val="0"/>
        <w:adjustRightInd w:val="0"/>
        <w:snapToGrid w:val="0"/>
        <w:spacing w:before="0" w:beforeLines="0"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（5）履约验收的内容：</w:t>
      </w:r>
      <w:r>
        <w:rPr>
          <w:rFonts w:hint="eastAsia" w:ascii="宋体" w:hAnsi="宋体" w:eastAsia="宋体"/>
          <w:bCs/>
          <w:kern w:val="2"/>
          <w:sz w:val="21"/>
          <w:szCs w:val="21"/>
          <w:u w:val="single"/>
          <w:lang w:eastAsia="zh-CN"/>
        </w:rPr>
        <w:t xml:space="preserve"> （应当包括每一项技术和商务要求的履约情况，特别是落实政府采购扶持中小企业，支持绿色发展和乡村振兴等政策情况）                                      </w:t>
      </w:r>
    </w:p>
    <w:p w14:paraId="4AD99374">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（6）履约验收标准：</w:t>
      </w:r>
      <w:r>
        <w:rPr>
          <w:rFonts w:hint="eastAsia" w:ascii="宋体" w:hAnsi="宋体" w:eastAsia="宋体"/>
          <w:bCs/>
          <w:kern w:val="2"/>
          <w:sz w:val="21"/>
          <w:szCs w:val="21"/>
          <w:u w:val="single"/>
          <w:lang w:eastAsia="zh-CN"/>
        </w:rPr>
        <w:t xml:space="preserve">                                         </w:t>
      </w:r>
    </w:p>
    <w:p w14:paraId="0FAEB439">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14:paraId="18BDBE94">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403D154E">
      <w:pPr>
        <w:widowControl w:val="0"/>
        <w:numPr>
          <w:ilvl w:val="0"/>
          <w:numId w:val="8"/>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组成合同的文件</w:t>
      </w:r>
    </w:p>
    <w:p w14:paraId="664F597A">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本协议书与下列文件一起构成合同文件，如下述文件之间有任何抵触、矛盾或歧义，应按以下顺序解释：</w:t>
      </w:r>
    </w:p>
    <w:p w14:paraId="7CE4FC1D">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（1）采购合同协议书及其变更、补充协议</w:t>
      </w:r>
    </w:p>
    <w:p w14:paraId="3330FD98">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（2）采购合同专用条款</w:t>
      </w:r>
    </w:p>
    <w:p w14:paraId="2E8AE466">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（3）采购合同通用条款</w:t>
      </w:r>
    </w:p>
    <w:p w14:paraId="4BA4F454">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043A767E">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6CC1EA5F">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（6）采购文件</w:t>
      </w:r>
    </w:p>
    <w:p w14:paraId="05AD48FA">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5929CA49">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5D2EADD9">
      <w:pPr>
        <w:widowControl w:val="0"/>
        <w:numPr>
          <w:ilvl w:val="0"/>
          <w:numId w:val="8"/>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合同生效</w:t>
      </w:r>
    </w:p>
    <w:p w14:paraId="1CA2610B">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本合同自</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生效。</w:t>
      </w:r>
    </w:p>
    <w:p w14:paraId="4E900CC4">
      <w:pPr>
        <w:widowControl w:val="0"/>
        <w:numPr>
          <w:ilvl w:val="0"/>
          <w:numId w:val="8"/>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合同份数</w:t>
      </w:r>
    </w:p>
    <w:p w14:paraId="64720E15">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份，甲方执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份，乙方执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份，均具有同等法律效力。</w:t>
      </w:r>
    </w:p>
    <w:p w14:paraId="6E5892A4">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合同订立时间：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14:paraId="6F9654B5">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合同订立地点：</w:t>
      </w:r>
      <w:r>
        <w:rPr>
          <w:rFonts w:hint="eastAsia" w:ascii="宋体" w:hAnsi="宋体" w:eastAsia="宋体"/>
          <w:kern w:val="2"/>
          <w:sz w:val="21"/>
          <w:szCs w:val="21"/>
          <w:u w:val="single"/>
          <w:lang w:eastAsia="zh-CN"/>
        </w:rPr>
        <w:t xml:space="preserve">                           </w:t>
      </w:r>
    </w:p>
    <w:p w14:paraId="51FD9B48">
      <w:pPr>
        <w:widowControl w:val="0"/>
        <w:adjustRightInd w:val="0"/>
        <w:snapToGrid w:val="0"/>
        <w:spacing w:before="0" w:beforeLines="0" w:line="400" w:lineRule="exact"/>
        <w:ind w:firstLine="420" w:firstLineChars="200"/>
        <w:jc w:val="both"/>
        <w:rPr>
          <w:rFonts w:eastAsia="宋体"/>
          <w:kern w:val="2"/>
          <w:sz w:val="21"/>
          <w:lang w:eastAsia="zh-CN"/>
        </w:rPr>
      </w:pPr>
      <w:r>
        <w:rPr>
          <w:rFonts w:hint="eastAsia" w:ascii="宋体" w:hAnsi="宋体" w:eastAsia="宋体"/>
          <w:kern w:val="2"/>
          <w:sz w:val="21"/>
          <w:szCs w:val="21"/>
          <w:lang w:eastAsia="zh-CN"/>
        </w:rPr>
        <w:t>附件：具体标的及其技术要求和商务要求、联合协议、分包意向协议等。</w:t>
      </w:r>
    </w:p>
    <w:p w14:paraId="290C87D1">
      <w:pPr>
        <w:widowControl w:val="0"/>
        <w:jc w:val="both"/>
        <w:rPr>
          <w:rFonts w:hint="eastAsia" w:eastAsia="宋体"/>
          <w:kern w:val="2"/>
          <w:sz w:val="21"/>
          <w:lang w:eastAsia="zh-CN"/>
        </w:rPr>
      </w:pPr>
      <w:r>
        <w:rPr>
          <w:rFonts w:hint="eastAsia" w:eastAsia="宋体"/>
          <w:kern w:val="2"/>
          <w:sz w:val="21"/>
          <w:lang w:eastAsia="zh-CN"/>
        </w:rPr>
        <w:br w:type="page"/>
      </w:r>
    </w:p>
    <w:p w14:paraId="7DFF1EE7">
      <w:pPr>
        <w:widowControl w:val="0"/>
        <w:ind w:firstLine="420" w:firstLineChars="200"/>
        <w:jc w:val="both"/>
        <w:rPr>
          <w:rFonts w:hint="eastAsia" w:eastAsia="宋体"/>
          <w:kern w:val="2"/>
          <w:sz w:val="21"/>
          <w:szCs w:val="21"/>
          <w:lang w:eastAsia="zh-CN"/>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0"/>
        <w:gridCol w:w="2450"/>
        <w:gridCol w:w="2010"/>
        <w:gridCol w:w="2149"/>
      </w:tblGrid>
      <w:tr w14:paraId="4BA0F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5488F3E9">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lang w:eastAsia="zh-CN"/>
              </w:rPr>
            </w:pPr>
            <w:r>
              <w:rPr>
                <w:rFonts w:eastAsia="宋体"/>
                <w:kern w:val="2"/>
                <w:sz w:val="21"/>
                <w:szCs w:val="21"/>
                <w:lang w:eastAsia="zh-CN"/>
              </w:rPr>
              <w:t>甲方</w:t>
            </w:r>
            <w:r>
              <w:rPr>
                <w:rFonts w:hint="eastAsia" w:eastAsia="宋体"/>
                <w:kern w:val="2"/>
                <w:sz w:val="21"/>
                <w:szCs w:val="21"/>
                <w:lang w:eastAsia="zh-CN"/>
              </w:rPr>
              <w:t>（采购人</w:t>
            </w:r>
            <w:r>
              <w:rPr>
                <w:rFonts w:hint="eastAsia" w:ascii="宋体" w:hAnsi="宋体" w:eastAsia="宋体"/>
                <w:kern w:val="2"/>
                <w:sz w:val="21"/>
                <w:szCs w:val="21"/>
                <w:lang w:eastAsia="zh-CN"/>
              </w:rPr>
              <w:t>、受采购人委托签订合同的单位或</w:t>
            </w:r>
            <w:r>
              <w:rPr>
                <w:rFonts w:hint="eastAsia" w:eastAsia="宋体"/>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528512C7">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lang w:eastAsia="zh-CN"/>
              </w:rPr>
            </w:pPr>
            <w:r>
              <w:rPr>
                <w:rFonts w:eastAsia="宋体"/>
                <w:kern w:val="2"/>
                <w:sz w:val="21"/>
                <w:szCs w:val="21"/>
                <w:lang w:eastAsia="zh-CN"/>
              </w:rPr>
              <w:t>乙方</w:t>
            </w:r>
            <w:r>
              <w:rPr>
                <w:rFonts w:hint="eastAsia" w:eastAsia="宋体"/>
                <w:kern w:val="2"/>
                <w:sz w:val="21"/>
                <w:szCs w:val="21"/>
                <w:lang w:eastAsia="zh-CN"/>
              </w:rPr>
              <w:t>（供应商）</w:t>
            </w:r>
          </w:p>
        </w:tc>
      </w:tr>
      <w:tr w14:paraId="704F7E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702EF74F">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7D6ABF53">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75A62F3">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0668E32A">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73A2D7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64C3D5FC">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法定代表人</w:t>
            </w:r>
          </w:p>
          <w:p w14:paraId="386E9BCE">
            <w:pPr>
              <w:keepNext w:val="0"/>
              <w:keepLines w:val="0"/>
              <w:widowControl w:val="0"/>
              <w:suppressLineNumbers w:val="0"/>
              <w:adjustRightInd w:val="0"/>
              <w:snapToGrid w:val="0"/>
              <w:spacing w:before="0" w:beforeAutospacing="0" w:after="0" w:afterAutospacing="0" w:line="300" w:lineRule="exact"/>
              <w:ind w:left="0" w:right="0" w:firstLine="100" w:firstLineChars="48"/>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1294BE16">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0237703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法定代表人</w:t>
            </w:r>
          </w:p>
          <w:p w14:paraId="1DB5F3A8">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35C46F31">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r>
      <w:tr w14:paraId="17FC1D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9C4D78C">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7AC6C2C5">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549509A">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1C970B81">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528DA9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2815607">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84644E5">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5D0C76F">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5341FACC">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311D7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6C65C73">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F4D734C">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9531E4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22075D60">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3D495D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1FA9EB6">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0ADDA73B">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29EE722">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577FB832">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556678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39CC7B">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317B0923">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1974691">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195B8D6">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5EFB6A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5F696F">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4254F70">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D7945E4">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6F303801">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30F5A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6D6986">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56318AB9">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4BF7599">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45892691">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56205D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D6B5A9">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01CCED26">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408B837">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373BA7B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4D17BE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F37534">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3A32BC4A">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295B3B9">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2D524B0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38F470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4A1851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13269CA1">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2CDEE1B">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46C91B6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16F178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FFBD1A">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1698ACC7">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1FB2A2E">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0F2E1545">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14:paraId="782932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2477C529">
            <w:pPr>
              <w:keepNext w:val="0"/>
              <w:keepLines w:val="0"/>
              <w:widowControl w:val="0"/>
              <w:suppressLineNumbers w:val="0"/>
              <w:adjustRightInd w:val="0"/>
              <w:snapToGrid w:val="0"/>
              <w:spacing w:before="120" w:beforeLines="50" w:beforeAutospacing="0" w:after="0" w:afterAutospacing="0" w:line="360" w:lineRule="auto"/>
              <w:ind w:left="0" w:leftChars="0" w:right="0"/>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43749A94">
      <w:pPr>
        <w:keepNext/>
        <w:keepLines/>
        <w:widowControl w:val="0"/>
        <w:adjustRightInd w:val="0"/>
        <w:snapToGrid w:val="0"/>
        <w:spacing w:before="120"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87" w:name="_Toc27624"/>
      <w:r>
        <w:rPr>
          <w:rFonts w:hint="eastAsia" w:ascii="黑体" w:hAnsi="黑体" w:eastAsia="黑体"/>
          <w:kern w:val="2"/>
          <w:sz w:val="28"/>
          <w:szCs w:val="28"/>
          <w:lang w:eastAsia="zh-CN"/>
        </w:rPr>
        <w:t>第二节 采购合同通用条款</w:t>
      </w:r>
      <w:bookmarkEnd w:id="87"/>
    </w:p>
    <w:p w14:paraId="054F1382">
      <w:pPr>
        <w:widowControl w:val="0"/>
        <w:tabs>
          <w:tab w:val="left" w:pos="8820"/>
          <w:tab w:val="left" w:pos="9345"/>
          <w:tab w:val="left" w:pos="9765"/>
        </w:tabs>
        <w:adjustRightInd w:val="0"/>
        <w:snapToGrid w:val="0"/>
        <w:spacing w:before="0" w:line="400" w:lineRule="exact"/>
        <w:jc w:val="left"/>
        <w:rPr>
          <w:rFonts w:ascii="宋体" w:hAnsi="宋体" w:eastAsia="宋体"/>
          <w:b/>
          <w:bCs/>
          <w:kern w:val="2"/>
          <w:lang w:eastAsia="zh-CN"/>
        </w:rPr>
      </w:pPr>
      <w:r>
        <w:rPr>
          <w:rFonts w:hint="eastAsia" w:ascii="宋体" w:hAnsi="宋体" w:eastAsia="宋体"/>
          <w:b/>
          <w:kern w:val="2"/>
          <w:lang w:eastAsia="zh-CN"/>
        </w:rPr>
        <w:t xml:space="preserve">1. </w:t>
      </w:r>
      <w:r>
        <w:rPr>
          <w:rFonts w:hint="eastAsia" w:ascii="宋体" w:hAnsi="宋体" w:eastAsia="宋体"/>
          <w:b/>
          <w:bCs/>
          <w:kern w:val="2"/>
          <w:lang w:eastAsia="zh-CN"/>
        </w:rPr>
        <w:t>定义</w:t>
      </w:r>
    </w:p>
    <w:p w14:paraId="5DBA30C0">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1.1合同当事人</w:t>
      </w:r>
    </w:p>
    <w:p w14:paraId="6001BEEA">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（1）采购人（以下称甲方）是指使用财政性资金，通过采购方式向供应商购买货物及其相关服务的国家机关、事业单位、团体组织。</w:t>
      </w:r>
    </w:p>
    <w:p w14:paraId="6508332C">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（2）供应商（以下称乙方）是指参加采购活动并且中标（成交），向采购人提供合同约定的货物及其相关服务的法人、非法人组织或者自然人。</w:t>
      </w:r>
    </w:p>
    <w:p w14:paraId="385670F2">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kern w:val="2"/>
          <w:sz w:val="21"/>
          <w:szCs w:val="21"/>
          <w:lang w:eastAsia="zh-CN"/>
        </w:rPr>
        <w:t>。</w:t>
      </w:r>
    </w:p>
    <w:p w14:paraId="7880396C">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1.2本合同下列术语应解释为：</w:t>
      </w:r>
    </w:p>
    <w:p w14:paraId="183A73F2">
      <w:pPr>
        <w:widowControl w:val="0"/>
        <w:adjustRightInd w:val="0"/>
        <w:snapToGrid w:val="0"/>
        <w:spacing w:before="0" w:beforeLines="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kern w:val="2"/>
          <w:sz w:val="21"/>
          <w:szCs w:val="21"/>
          <w:lang w:eastAsia="zh-CN"/>
        </w:rPr>
        <w:t>采购合同协议书及其变更、补充协议，采购合同专用条款，采购合同通用条款，中标（成交）通知书，投标（响应）文件，采购文件，有关技术文件和图纸，以及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kern w:val="2"/>
          <w:sz w:val="21"/>
          <w:szCs w:val="21"/>
          <w:lang w:eastAsia="zh-CN"/>
        </w:rPr>
        <w:t>。</w:t>
      </w:r>
    </w:p>
    <w:p w14:paraId="0438068D">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（2）“合同价款”系指根据本合同规定乙方在全面履行合同义务后甲方应支付给乙方的价款。</w:t>
      </w:r>
    </w:p>
    <w:p w14:paraId="043CE45B">
      <w:pPr>
        <w:widowControl w:val="0"/>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（3）“货物”系指乙方根据本合同规定须向甲方提供的各种形态和种类的物品，包括原材料、设备、产品（</w:t>
      </w:r>
      <w:r>
        <w:rPr>
          <w:rFonts w:hint="eastAsia" w:ascii="宋体" w:hAnsi="宋体" w:eastAsia="宋体"/>
          <w:color w:val="000000"/>
          <w:kern w:val="2"/>
          <w:sz w:val="21"/>
          <w:szCs w:val="21"/>
          <w:lang w:eastAsia="zh-CN"/>
        </w:rPr>
        <w:t>包括软件）及相关的其备品备件、工具、手册及</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技术资料和材料等。</w:t>
      </w:r>
    </w:p>
    <w:p w14:paraId="11DF89FE">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olor w:val="000000"/>
          <w:kern w:val="2"/>
          <w:sz w:val="21"/>
          <w:szCs w:val="21"/>
          <w:lang w:eastAsia="zh-CN"/>
        </w:rPr>
        <w:t>（4）“</w:t>
      </w:r>
      <w:r>
        <w:rPr>
          <w:rFonts w:hint="eastAsia" w:ascii="宋体" w:hAnsi="宋体" w:eastAsia="宋体"/>
          <w:kern w:val="2"/>
          <w:sz w:val="21"/>
          <w:szCs w:val="21"/>
          <w:lang w:eastAsia="zh-CN"/>
        </w:rPr>
        <w:t>相关</w:t>
      </w:r>
      <w:r>
        <w:rPr>
          <w:rFonts w:hint="eastAsia" w:ascii="宋体" w:hAnsi="宋体" w:eastAsia="宋体"/>
          <w:color w:val="000000"/>
          <w:kern w:val="2"/>
          <w:sz w:val="21"/>
          <w:szCs w:val="21"/>
          <w:lang w:eastAsia="zh-CN"/>
        </w:rPr>
        <w:t>服务”系指根据合同规定，乙方应提供的与货物有关的技术、管理和</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义务。</w:t>
      </w:r>
    </w:p>
    <w:p w14:paraId="653FDBEC">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highlight w:val="yellow"/>
          <w:lang w:eastAsia="zh-CN"/>
        </w:rPr>
      </w:pPr>
      <w:r>
        <w:rPr>
          <w:rFonts w:hint="eastAsia" w:ascii="宋体" w:hAnsi="宋体" w:eastAsia="宋体"/>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14:paraId="709FF442">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w:t>
      </w:r>
      <w:r>
        <w:rPr>
          <w:rFonts w:hint="eastAsia" w:ascii="宋体" w:hAnsi="宋体" w:eastAsia="宋体"/>
          <w:kern w:val="2"/>
          <w:sz w:val="21"/>
          <w:szCs w:val="21"/>
          <w:lang w:eastAsia="zh-CN"/>
        </w:rPr>
        <w:t>“联合体”系指由两个以上的自然人、法人或者非法人组织组成，以一个供应商的身份共同参加采购的主体</w:t>
      </w:r>
      <w:r>
        <w:rPr>
          <w:rFonts w:hint="eastAsia" w:ascii="宋体" w:hAnsi="宋体" w:eastAsia="宋体"/>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kern w:val="2"/>
          <w:sz w:val="21"/>
          <w:szCs w:val="21"/>
          <w:lang w:eastAsia="zh-CN"/>
        </w:rPr>
        <w:t>采购合同专用条款</w:t>
      </w:r>
      <w:r>
        <w:rPr>
          <w:rFonts w:hint="eastAsia" w:ascii="宋体" w:hAnsi="宋体" w:eastAsia="宋体"/>
          <w:color w:val="000000"/>
          <w:kern w:val="2"/>
          <w:sz w:val="21"/>
          <w:szCs w:val="21"/>
          <w:lang w:eastAsia="zh-CN"/>
        </w:rPr>
        <w:t>】。</w:t>
      </w:r>
    </w:p>
    <w:p w14:paraId="0C4F1005">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（7）其他术语解释，见【</w:t>
      </w:r>
      <w:r>
        <w:rPr>
          <w:rFonts w:hint="eastAsia" w:ascii="宋体" w:hAnsi="宋体" w:eastAsia="宋体"/>
          <w:b/>
          <w:bCs/>
          <w:color w:val="000000"/>
          <w:kern w:val="2"/>
          <w:sz w:val="21"/>
          <w:szCs w:val="21"/>
          <w:lang w:eastAsia="zh-CN"/>
        </w:rPr>
        <w:t>采购合同专用条款</w:t>
      </w:r>
      <w:r>
        <w:rPr>
          <w:rFonts w:hint="eastAsia" w:ascii="宋体" w:hAnsi="宋体" w:eastAsia="宋体"/>
          <w:color w:val="000000"/>
          <w:kern w:val="2"/>
          <w:sz w:val="21"/>
          <w:szCs w:val="21"/>
          <w:lang w:eastAsia="zh-CN"/>
        </w:rPr>
        <w:t>】。</w:t>
      </w:r>
    </w:p>
    <w:p w14:paraId="43272500">
      <w:pPr>
        <w:widowControl w:val="0"/>
        <w:numPr>
          <w:ilvl w:val="0"/>
          <w:numId w:val="11"/>
        </w:numPr>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color w:val="000000"/>
          <w:kern w:val="2"/>
          <w:lang w:eastAsia="zh-CN"/>
        </w:rPr>
        <w:t>合同标的及金额</w:t>
      </w:r>
    </w:p>
    <w:p w14:paraId="7747998C">
      <w:pPr>
        <w:widowControl w:val="0"/>
        <w:autoSpaceDE w:val="0"/>
        <w:autoSpaceDN w:val="0"/>
        <w:adjustRightInd w:val="0"/>
        <w:snapToGrid w:val="0"/>
        <w:spacing w:before="0"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任何费用。</w:t>
      </w:r>
    </w:p>
    <w:p w14:paraId="3A363B84">
      <w:pPr>
        <w:widowControl w:val="0"/>
        <w:adjustRightInd w:val="0"/>
        <w:snapToGrid w:val="0"/>
        <w:spacing w:before="0" w:line="400" w:lineRule="exact"/>
        <w:jc w:val="left"/>
        <w:rPr>
          <w:rFonts w:ascii="宋体" w:hAnsi="宋体" w:eastAsia="宋体"/>
          <w:b/>
          <w:color w:val="000000"/>
          <w:kern w:val="2"/>
          <w:lang w:eastAsia="zh-CN"/>
        </w:rPr>
      </w:pPr>
      <w:r>
        <w:rPr>
          <w:rFonts w:hint="eastAsia" w:ascii="宋体" w:hAnsi="宋体" w:eastAsia="宋体"/>
          <w:b/>
          <w:color w:val="000000"/>
          <w:kern w:val="2"/>
          <w:lang w:eastAsia="zh-CN"/>
        </w:rPr>
        <w:t>3. 履行合同的时间、地点和方式</w:t>
      </w:r>
    </w:p>
    <w:p w14:paraId="08894077">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6FBAF0D7">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4. 甲方的权利和义务</w:t>
      </w:r>
    </w:p>
    <w:p w14:paraId="4F61A391">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4.1</w:t>
      </w:r>
      <w:r>
        <w:rPr>
          <w:rFonts w:ascii="宋体" w:hAnsi="宋体" w:eastAsia="宋体"/>
          <w:color w:val="000000"/>
          <w:kern w:val="2"/>
          <w:sz w:val="21"/>
          <w:szCs w:val="21"/>
          <w:lang w:eastAsia="zh-CN"/>
        </w:rPr>
        <w:t xml:space="preserve"> 签署合同后，甲方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r>
        <w:rPr>
          <w:rFonts w:hint="eastAsia" w:ascii="宋体" w:hAnsi="宋体" w:eastAsia="宋体"/>
          <w:color w:val="000000"/>
          <w:kern w:val="2"/>
          <w:sz w:val="21"/>
          <w:szCs w:val="21"/>
          <w:lang w:eastAsia="zh-CN"/>
        </w:rPr>
        <w:t>甲方有权对乙方的履约行为进行检查，并</w:t>
      </w:r>
      <w:r>
        <w:rPr>
          <w:rFonts w:ascii="宋体" w:hAnsi="宋体" w:eastAsia="宋体"/>
          <w:color w:val="000000"/>
          <w:kern w:val="2"/>
          <w:sz w:val="21"/>
          <w:szCs w:val="21"/>
          <w:lang w:eastAsia="zh-CN"/>
        </w:rPr>
        <w:t>及时确认乙方提交的事项</w:t>
      </w:r>
      <w:r>
        <w:rPr>
          <w:rFonts w:hint="eastAsia" w:ascii="宋体" w:hAnsi="宋体" w:eastAsia="宋体"/>
          <w:color w:val="000000"/>
          <w:kern w:val="2"/>
          <w:sz w:val="21"/>
          <w:szCs w:val="21"/>
          <w:lang w:eastAsia="zh-CN"/>
        </w:rPr>
        <w:t>。甲方应当</w:t>
      </w:r>
      <w:r>
        <w:rPr>
          <w:rFonts w:ascii="宋体" w:hAnsi="宋体" w:eastAsia="宋体"/>
          <w:color w:val="000000"/>
          <w:kern w:val="2"/>
          <w:sz w:val="21"/>
          <w:szCs w:val="21"/>
          <w:lang w:eastAsia="zh-CN"/>
        </w:rPr>
        <w:t>配合乙方完成</w:t>
      </w:r>
      <w:r>
        <w:rPr>
          <w:rFonts w:hint="eastAsia" w:ascii="宋体" w:hAnsi="宋体" w:eastAsia="宋体"/>
          <w:color w:val="000000"/>
          <w:kern w:val="2"/>
          <w:sz w:val="21"/>
          <w:szCs w:val="21"/>
          <w:lang w:eastAsia="zh-CN"/>
        </w:rPr>
        <w:t>相关项目</w:t>
      </w:r>
      <w:r>
        <w:rPr>
          <w:rFonts w:ascii="宋体" w:hAnsi="宋体" w:eastAsia="宋体"/>
          <w:color w:val="000000"/>
          <w:kern w:val="2"/>
          <w:sz w:val="21"/>
          <w:szCs w:val="21"/>
          <w:lang w:eastAsia="zh-CN"/>
        </w:rPr>
        <w:t>实施工作。</w:t>
      </w:r>
    </w:p>
    <w:p w14:paraId="259A2E09">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4.2 </w:t>
      </w:r>
      <w:r>
        <w:rPr>
          <w:rFonts w:ascii="宋体" w:hAnsi="宋体" w:eastAsia="宋体"/>
          <w:color w:val="000000"/>
          <w:kern w:val="2"/>
          <w:sz w:val="21"/>
          <w:szCs w:val="21"/>
          <w:lang w:eastAsia="zh-CN"/>
        </w:rPr>
        <w:t>甲方有权要求乙方按时提交各阶段有关</w:t>
      </w:r>
      <w:r>
        <w:rPr>
          <w:rFonts w:hint="eastAsia" w:ascii="宋体" w:hAnsi="宋体" w:eastAsia="宋体"/>
          <w:color w:val="000000"/>
          <w:kern w:val="2"/>
          <w:sz w:val="21"/>
          <w:szCs w:val="21"/>
          <w:lang w:eastAsia="zh-CN"/>
        </w:rPr>
        <w:t>安排计划</w:t>
      </w:r>
      <w:r>
        <w:rPr>
          <w:rFonts w:ascii="宋体" w:hAnsi="宋体" w:eastAsia="宋体"/>
          <w:color w:val="000000"/>
          <w:kern w:val="2"/>
          <w:sz w:val="21"/>
          <w:szCs w:val="21"/>
          <w:lang w:eastAsia="zh-CN"/>
        </w:rPr>
        <w:t>，并有权</w:t>
      </w:r>
      <w:r>
        <w:rPr>
          <w:rFonts w:hint="eastAsia" w:ascii="宋体" w:hAnsi="宋体" w:eastAsia="宋体"/>
          <w:color w:val="000000"/>
          <w:kern w:val="2"/>
          <w:sz w:val="21"/>
          <w:szCs w:val="21"/>
          <w:lang w:eastAsia="zh-CN"/>
        </w:rPr>
        <w:t>定期核对乙方提供货物数量、规格、质量等内容。甲方</w:t>
      </w:r>
      <w:r>
        <w:rPr>
          <w:rFonts w:ascii="宋体" w:hAnsi="宋体" w:eastAsia="宋体"/>
          <w:color w:val="000000"/>
          <w:kern w:val="2"/>
          <w:sz w:val="21"/>
          <w:szCs w:val="21"/>
          <w:lang w:eastAsia="zh-CN"/>
        </w:rPr>
        <w:t>有权督促乙方工作并要求乙方</w:t>
      </w:r>
      <w:r>
        <w:rPr>
          <w:rFonts w:hint="eastAsia" w:ascii="宋体" w:hAnsi="宋体" w:eastAsia="宋体"/>
          <w:color w:val="000000"/>
          <w:kern w:val="2"/>
          <w:sz w:val="21"/>
          <w:szCs w:val="21"/>
          <w:lang w:eastAsia="zh-CN"/>
        </w:rPr>
        <w:t>更</w:t>
      </w:r>
      <w:r>
        <w:rPr>
          <w:rFonts w:ascii="宋体" w:hAnsi="宋体" w:eastAsia="宋体"/>
          <w:color w:val="000000"/>
          <w:kern w:val="2"/>
          <w:sz w:val="21"/>
          <w:szCs w:val="21"/>
          <w:lang w:eastAsia="zh-CN"/>
        </w:rPr>
        <w:t>换不符合要求的</w:t>
      </w:r>
      <w:r>
        <w:rPr>
          <w:rFonts w:hint="eastAsia" w:ascii="宋体" w:hAnsi="宋体" w:eastAsia="宋体"/>
          <w:color w:val="000000"/>
          <w:kern w:val="2"/>
          <w:sz w:val="21"/>
          <w:szCs w:val="21"/>
          <w:lang w:eastAsia="zh-CN"/>
        </w:rPr>
        <w:t>货物</w:t>
      </w:r>
      <w:r>
        <w:rPr>
          <w:rFonts w:ascii="宋体" w:hAnsi="宋体" w:eastAsia="宋体"/>
          <w:color w:val="000000"/>
          <w:kern w:val="2"/>
          <w:sz w:val="21"/>
          <w:szCs w:val="21"/>
          <w:lang w:eastAsia="zh-CN"/>
        </w:rPr>
        <w:t>。</w:t>
      </w:r>
    </w:p>
    <w:p w14:paraId="62701D92">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 xml:space="preserve"> </w:t>
      </w:r>
      <w:r>
        <w:rPr>
          <w:rFonts w:ascii="宋体" w:hAnsi="宋体" w:eastAsia="宋体"/>
          <w:color w:val="000000"/>
          <w:kern w:val="2"/>
          <w:sz w:val="21"/>
          <w:szCs w:val="21"/>
          <w:lang w:eastAsia="zh-CN"/>
        </w:rPr>
        <w:t>甲方</w:t>
      </w:r>
      <w:r>
        <w:rPr>
          <w:rFonts w:hint="eastAsia" w:ascii="宋体" w:hAnsi="宋体" w:eastAsia="宋体"/>
          <w:color w:val="000000"/>
          <w:kern w:val="2"/>
          <w:sz w:val="21"/>
          <w:szCs w:val="21"/>
          <w:lang w:eastAsia="zh-CN"/>
        </w:rPr>
        <w:t>有权要求乙方对缺陷部分予以修复，并按合同约定享有货物保修及其他合同约定的权利。</w:t>
      </w:r>
    </w:p>
    <w:p w14:paraId="21328BB5">
      <w:pPr>
        <w:widowControl w:val="0"/>
        <w:snapToGrid w:val="0"/>
        <w:spacing w:line="400" w:lineRule="exact"/>
        <w:ind w:firstLine="420" w:firstLineChars="200"/>
        <w:jc w:val="both"/>
        <w:rPr>
          <w:rFonts w:hint="eastAsia" w:eastAsia="华文楷体"/>
          <w:kern w:val="2"/>
          <w:sz w:val="21"/>
          <w:lang w:eastAsia="zh-CN"/>
        </w:rPr>
      </w:pPr>
      <w:r>
        <w:rPr>
          <w:rFonts w:ascii="宋体" w:hAnsi="宋体" w:eastAsia="宋体"/>
          <w:color w:val="000000"/>
          <w:kern w:val="2"/>
          <w:sz w:val="21"/>
          <w:szCs w:val="21"/>
          <w:lang w:eastAsia="zh-CN"/>
        </w:rPr>
        <w:t>4.4 甲方应当按照合同约定及时对交付的货物进行验收</w:t>
      </w:r>
      <w:r>
        <w:rPr>
          <w:rFonts w:hint="eastAsia" w:ascii="宋体" w:hAnsi="宋体" w:eastAsia="宋体"/>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olor w:val="000000"/>
          <w:kern w:val="2"/>
          <w:sz w:val="21"/>
          <w:szCs w:val="21"/>
          <w:lang w:eastAsia="zh-CN"/>
        </w:rPr>
        <w:t>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olor w:val="000000"/>
          <w:kern w:val="2"/>
          <w:sz w:val="21"/>
          <w:szCs w:val="21"/>
          <w:lang w:eastAsia="zh-CN"/>
        </w:rPr>
        <w:t>视为验收通过。</w:t>
      </w:r>
    </w:p>
    <w:p w14:paraId="4CA7BD5A">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 xml:space="preserve">5 </w:t>
      </w:r>
      <w:r>
        <w:rPr>
          <w:rFonts w:hint="eastAsia" w:ascii="宋体" w:hAnsi="宋体" w:eastAsia="宋体"/>
          <w:color w:val="000000"/>
          <w:kern w:val="2"/>
          <w:sz w:val="21"/>
          <w:szCs w:val="21"/>
          <w:lang w:eastAsia="zh-CN"/>
        </w:rPr>
        <w:t>甲方应当根据合同约定及时向乙方支付合同价款</w:t>
      </w:r>
      <w:r>
        <w:rPr>
          <w:rFonts w:ascii="宋体" w:hAnsi="宋体" w:eastAsia="宋体"/>
          <w:color w:val="000000"/>
          <w:kern w:val="2"/>
          <w:sz w:val="21"/>
          <w:szCs w:val="21"/>
          <w:lang w:eastAsia="zh-CN"/>
        </w:rPr>
        <w:t>，不得以内部人员变更、履行内部付款流程等为由，拒绝或迟延支付。</w:t>
      </w:r>
    </w:p>
    <w:p w14:paraId="13AB5292">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4.6</w:t>
      </w:r>
      <w:r>
        <w:rPr>
          <w:rFonts w:ascii="宋体" w:hAnsi="宋体" w:eastAsia="宋体"/>
          <w:color w:val="000000"/>
          <w:kern w:val="2"/>
          <w:sz w:val="21"/>
          <w:szCs w:val="21"/>
          <w:lang w:eastAsia="zh-CN"/>
        </w:rPr>
        <w:t xml:space="preserve"> </w:t>
      </w:r>
      <w:r>
        <w:rPr>
          <w:rFonts w:hint="eastAsia" w:ascii="宋体" w:hAnsi="宋体" w:eastAsia="宋体"/>
          <w:color w:val="000000"/>
          <w:kern w:val="2"/>
          <w:sz w:val="21"/>
          <w:szCs w:val="21"/>
          <w:lang w:eastAsia="zh-CN"/>
        </w:rPr>
        <w:t>国家法律法规规定及</w:t>
      </w:r>
      <w:r>
        <w:rPr>
          <w:rFonts w:hint="eastAsia" w:ascii="宋体" w:hAnsi="宋体" w:eastAsia="宋体" w:cs="宋体"/>
          <w:b/>
          <w:bCs/>
          <w:kern w:val="2"/>
          <w:sz w:val="21"/>
          <w:szCs w:val="21"/>
          <w:lang w:eastAsia="zh-CN"/>
        </w:rPr>
        <w:t>【采购合同专用条款】</w:t>
      </w:r>
      <w:r>
        <w:rPr>
          <w:rFonts w:hint="eastAsia" w:ascii="宋体" w:hAnsi="宋体" w:eastAsia="宋体"/>
          <w:color w:val="000000"/>
          <w:kern w:val="2"/>
          <w:sz w:val="21"/>
          <w:szCs w:val="21"/>
          <w:lang w:eastAsia="zh-CN"/>
        </w:rPr>
        <w:t>约定应由甲方承担的其他义务和责任。</w:t>
      </w:r>
    </w:p>
    <w:p w14:paraId="15A59DC5">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5. 乙方的权利和义务</w:t>
      </w:r>
    </w:p>
    <w:p w14:paraId="37B6F47C">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5.1 </w:t>
      </w:r>
      <w:r>
        <w:rPr>
          <w:rFonts w:ascii="宋体" w:hAnsi="宋体" w:eastAsia="宋体"/>
          <w:color w:val="000000"/>
          <w:kern w:val="2"/>
          <w:sz w:val="21"/>
          <w:szCs w:val="21"/>
          <w:lang w:eastAsia="zh-CN"/>
        </w:rPr>
        <w:t>签署合同后，乙方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p>
    <w:p w14:paraId="62BA36DC">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2 乙方应按照合同要求</w:t>
      </w:r>
      <w:r>
        <w:rPr>
          <w:rFonts w:hint="eastAsia" w:ascii="宋体" w:hAnsi="宋体" w:eastAsia="宋体"/>
          <w:color w:val="000000"/>
          <w:kern w:val="2"/>
          <w:sz w:val="21"/>
          <w:szCs w:val="21"/>
          <w:lang w:eastAsia="zh-CN"/>
        </w:rPr>
        <w:t>履约</w:t>
      </w:r>
      <w:r>
        <w:rPr>
          <w:rFonts w:ascii="宋体" w:hAnsi="宋体" w:eastAsia="宋体"/>
          <w:color w:val="000000"/>
          <w:kern w:val="2"/>
          <w:sz w:val="21"/>
          <w:szCs w:val="21"/>
          <w:lang w:eastAsia="zh-CN"/>
        </w:rPr>
        <w:t>，充分合理安排，确保</w:t>
      </w:r>
      <w:r>
        <w:rPr>
          <w:rFonts w:hint="eastAsia" w:ascii="宋体" w:hAnsi="宋体" w:eastAsia="宋体"/>
          <w:color w:val="000000"/>
          <w:kern w:val="2"/>
          <w:sz w:val="21"/>
          <w:szCs w:val="21"/>
          <w:lang w:eastAsia="zh-CN"/>
        </w:rPr>
        <w:t>提供的货物及相关服务符合合同有关</w:t>
      </w:r>
      <w:r>
        <w:rPr>
          <w:rFonts w:ascii="宋体" w:hAnsi="宋体" w:eastAsia="宋体"/>
          <w:color w:val="000000"/>
          <w:kern w:val="2"/>
          <w:sz w:val="21"/>
          <w:szCs w:val="21"/>
          <w:lang w:eastAsia="zh-CN"/>
        </w:rPr>
        <w:t>要求</w:t>
      </w:r>
      <w:r>
        <w:rPr>
          <w:rFonts w:hint="eastAsia" w:ascii="宋体" w:hAnsi="宋体" w:eastAsia="宋体"/>
          <w:color w:val="000000"/>
          <w:kern w:val="2"/>
          <w:sz w:val="21"/>
          <w:szCs w:val="21"/>
          <w:lang w:eastAsia="zh-CN"/>
        </w:rPr>
        <w:t>。接受项目行业管理部门及政府有关部门的指导，配合甲方的履约检查及验收，并</w:t>
      </w:r>
      <w:r>
        <w:rPr>
          <w:rFonts w:ascii="宋体" w:hAnsi="宋体" w:eastAsia="宋体"/>
          <w:color w:val="000000"/>
          <w:kern w:val="2"/>
          <w:sz w:val="21"/>
          <w:szCs w:val="21"/>
          <w:lang w:eastAsia="zh-CN"/>
        </w:rPr>
        <w:t>负责项目实施过程中的所有协调工作。</w:t>
      </w:r>
    </w:p>
    <w:p w14:paraId="04901F3F">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7C3CDE9B">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216C8C22">
      <w:pPr>
        <w:widowControl w:val="0"/>
        <w:numPr>
          <w:ilvl w:val="0"/>
          <w:numId w:val="12"/>
        </w:numPr>
        <w:autoSpaceDE w:val="0"/>
        <w:autoSpaceDN w:val="0"/>
        <w:adjustRightInd w:val="0"/>
        <w:snapToGrid w:val="0"/>
        <w:spacing w:before="0"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合同履行</w:t>
      </w:r>
    </w:p>
    <w:p w14:paraId="0F8E0AF6">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6.1 甲乙双方应当按照</w:t>
      </w:r>
      <w:r>
        <w:rPr>
          <w:rFonts w:hint="eastAsia" w:ascii="宋体" w:hAnsi="宋体" w:eastAsia="宋体" w:cs="宋体"/>
          <w:b/>
          <w:bCs/>
          <w:kern w:val="2"/>
          <w:sz w:val="21"/>
          <w:szCs w:val="21"/>
          <w:lang w:eastAsia="zh-CN"/>
        </w:rPr>
        <w:t>【采购合同专用条款】</w:t>
      </w:r>
      <w:r>
        <w:rPr>
          <w:rFonts w:hint="eastAsia" w:ascii="宋体" w:hAnsi="宋体" w:eastAsia="宋体"/>
          <w:color w:val="000000"/>
          <w:kern w:val="2"/>
          <w:sz w:val="21"/>
          <w:szCs w:val="21"/>
          <w:lang w:eastAsia="zh-CN"/>
        </w:rPr>
        <w:t>约定顺序履行合同义务；如果没有先后顺序的，应当同时履行。</w:t>
      </w:r>
    </w:p>
    <w:p w14:paraId="66E5DAB5">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hint="eastAsia" w:ascii="宋体" w:hAnsi="宋体" w:eastAsia="宋体"/>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33828988">
      <w:pPr>
        <w:widowControl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7. 货物包装、运输、保险和交付要求</w:t>
      </w:r>
    </w:p>
    <w:p w14:paraId="0BA61592">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7.1 本合同</w:t>
      </w:r>
      <w:r>
        <w:rPr>
          <w:rFonts w:hint="eastAsia" w:ascii="宋体" w:hAnsi="宋体" w:eastAsia="宋体"/>
          <w:bCs/>
          <w:color w:val="000000"/>
          <w:kern w:val="2"/>
          <w:sz w:val="21"/>
          <w:szCs w:val="21"/>
          <w:lang w:eastAsia="zh-CN"/>
        </w:rPr>
        <w:t>涉及商品包装、快递包装的，</w:t>
      </w:r>
      <w:r>
        <w:rPr>
          <w:rFonts w:hint="eastAsia" w:ascii="宋体" w:hAnsi="宋体" w:eastAsia="宋体"/>
          <w:color w:val="000000"/>
          <w:kern w:val="2"/>
          <w:sz w:val="21"/>
          <w:szCs w:val="21"/>
          <w:lang w:eastAsia="zh-CN"/>
        </w:rPr>
        <w:t>除</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包装应适应远距离运输、防潮、防震、防锈和防野蛮装卸等要求，确保货物安全无损地运抵</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约定的</w:t>
      </w:r>
      <w:r>
        <w:rPr>
          <w:rFonts w:hint="eastAsia" w:ascii="宋体" w:hAnsi="宋体" w:eastAsia="宋体"/>
          <w:color w:val="000000"/>
          <w:kern w:val="2"/>
          <w:sz w:val="21"/>
          <w:szCs w:val="21"/>
          <w:lang w:eastAsia="zh-CN"/>
        </w:rPr>
        <w:t>指定现场。</w:t>
      </w:r>
    </w:p>
    <w:p w14:paraId="62E612FE">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7.2 除</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乙方负责办理将货物运抵本合同规定的交货地点，并装卸、交付至甲方的一切运输事项，相关费用应包含在合同价款中。</w:t>
      </w:r>
    </w:p>
    <w:p w14:paraId="6A32348F">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7.3 货物保险要求按</w:t>
      </w:r>
      <w:r>
        <w:rPr>
          <w:rFonts w:hint="eastAsia" w:ascii="宋体" w:hAnsi="宋体" w:eastAsia="宋体"/>
          <w:b/>
          <w:color w:val="000000"/>
          <w:kern w:val="2"/>
          <w:sz w:val="21"/>
          <w:szCs w:val="21"/>
          <w:lang w:eastAsia="zh-CN"/>
        </w:rPr>
        <w:t>【采购合同专用条款】</w:t>
      </w:r>
      <w:r>
        <w:rPr>
          <w:rFonts w:hint="eastAsia" w:ascii="宋体" w:hAnsi="宋体" w:eastAsia="宋体"/>
          <w:bCs/>
          <w:color w:val="000000"/>
          <w:kern w:val="2"/>
          <w:sz w:val="21"/>
          <w:szCs w:val="21"/>
          <w:lang w:eastAsia="zh-CN"/>
        </w:rPr>
        <w:t>规定执行</w:t>
      </w:r>
      <w:r>
        <w:rPr>
          <w:rFonts w:hint="eastAsia" w:ascii="宋体" w:hAnsi="宋体" w:eastAsia="宋体"/>
          <w:color w:val="000000"/>
          <w:kern w:val="2"/>
          <w:sz w:val="21"/>
          <w:szCs w:val="21"/>
          <w:lang w:eastAsia="zh-CN"/>
        </w:rPr>
        <w:t>。</w:t>
      </w:r>
    </w:p>
    <w:p w14:paraId="1A28D750">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0BB1744">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0C1791A2">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22971E1A">
      <w:pPr>
        <w:widowControl w:val="0"/>
        <w:adjustRightInd w:val="0"/>
        <w:snapToGrid w:val="0"/>
        <w:spacing w:before="0" w:line="400" w:lineRule="exact"/>
        <w:jc w:val="left"/>
        <w:rPr>
          <w:rFonts w:ascii="宋体" w:hAnsi="宋体" w:eastAsia="宋体"/>
          <w:b/>
          <w:kern w:val="2"/>
          <w:lang w:eastAsia="zh-CN"/>
        </w:rPr>
      </w:pPr>
      <w:r>
        <w:rPr>
          <w:rFonts w:hint="eastAsia" w:ascii="宋体" w:hAnsi="宋体" w:eastAsia="宋体"/>
          <w:b/>
          <w:color w:val="000000"/>
          <w:kern w:val="2"/>
          <w:lang w:eastAsia="zh-CN"/>
        </w:rPr>
        <w:t xml:space="preserve">8. </w:t>
      </w:r>
      <w:r>
        <w:rPr>
          <w:rFonts w:hint="eastAsia" w:ascii="宋体" w:hAnsi="宋体" w:eastAsia="宋体"/>
          <w:b/>
          <w:kern w:val="2"/>
          <w:lang w:eastAsia="zh-CN"/>
        </w:rPr>
        <w:t>质量标准和保证</w:t>
      </w:r>
    </w:p>
    <w:p w14:paraId="6E7A641A">
      <w:pPr>
        <w:widowControl w:val="0"/>
        <w:adjustRightInd w:val="0"/>
        <w:snapToGrid w:val="0"/>
        <w:spacing w:before="0"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6DF1C5D7">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42BFC0A">
      <w:pPr>
        <w:widowControl w:val="0"/>
        <w:adjustRightInd w:val="0"/>
        <w:snapToGrid w:val="0"/>
        <w:spacing w:before="0"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06917CB0">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（3）乙方所提供的货物应符合国家有关安全、环保、卫生的规定。</w:t>
      </w:r>
    </w:p>
    <w:p w14:paraId="7C53E283">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77F8C869">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8.2 保证</w:t>
      </w:r>
    </w:p>
    <w:p w14:paraId="5BC1B34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kern w:val="2"/>
          <w:sz w:val="21"/>
          <w:szCs w:val="21"/>
          <w:lang w:eastAsia="zh-CN"/>
        </w:rPr>
        <w:t>。存在质量保证期的，货物最终交付验收合格后在</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规定或乙方书面承诺（两者以较长的为准）的质量保证期内，本保证保持有效。</w:t>
      </w:r>
    </w:p>
    <w:p w14:paraId="20D9C26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（2）在质量保证期内所发现的缺陷，甲方应尽快以书面形式通知乙方。</w:t>
      </w:r>
    </w:p>
    <w:p w14:paraId="52915CA2">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（3）乙方收到通知后，应在</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规定的响应时间内以合理的速度免费维修或更换有缺陷的货物或部件。</w:t>
      </w:r>
    </w:p>
    <w:p w14:paraId="260B68D2">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 w:val="21"/>
          <w:szCs w:val="21"/>
          <w:lang w:eastAsia="zh-CN"/>
        </w:rPr>
        <w:t>5</w:t>
      </w:r>
      <w:r>
        <w:rPr>
          <w:rFonts w:hint="eastAsia" w:ascii="宋体" w:hAnsi="宋体" w:eastAsia="宋体"/>
          <w:kern w:val="2"/>
          <w:sz w:val="21"/>
          <w:szCs w:val="21"/>
          <w:lang w:eastAsia="zh-CN"/>
        </w:rPr>
        <w:t>.1条规定以书面形式</w:t>
      </w:r>
      <w:r>
        <w:rPr>
          <w:rFonts w:hint="eastAsia" w:ascii="宋体" w:hAnsi="宋体" w:eastAsia="宋体"/>
          <w:color w:val="000000"/>
          <w:kern w:val="2"/>
          <w:sz w:val="21"/>
          <w:szCs w:val="21"/>
          <w:lang w:eastAsia="zh-CN"/>
        </w:rPr>
        <w:t>追究</w:t>
      </w:r>
      <w:r>
        <w:rPr>
          <w:rFonts w:hint="eastAsia" w:ascii="宋体" w:hAnsi="宋体" w:eastAsia="宋体"/>
          <w:kern w:val="2"/>
          <w:sz w:val="21"/>
          <w:szCs w:val="21"/>
          <w:lang w:eastAsia="zh-CN"/>
        </w:rPr>
        <w:t>乙方</w:t>
      </w:r>
      <w:r>
        <w:rPr>
          <w:rFonts w:hint="eastAsia" w:ascii="宋体" w:hAnsi="宋体" w:eastAsia="宋体"/>
          <w:color w:val="000000"/>
          <w:kern w:val="2"/>
          <w:sz w:val="21"/>
          <w:szCs w:val="21"/>
          <w:lang w:eastAsia="zh-CN"/>
        </w:rPr>
        <w:t>的违约责任</w:t>
      </w:r>
      <w:r>
        <w:rPr>
          <w:rFonts w:hint="eastAsia" w:ascii="宋体" w:hAnsi="宋体" w:eastAsia="宋体"/>
          <w:kern w:val="2"/>
          <w:sz w:val="21"/>
          <w:szCs w:val="21"/>
          <w:lang w:eastAsia="zh-CN"/>
        </w:rPr>
        <w:t>。</w:t>
      </w:r>
    </w:p>
    <w:p w14:paraId="401CE45F">
      <w:pPr>
        <w:widowControl w:val="0"/>
        <w:adjustRightInd w:val="0"/>
        <w:snapToGrid w:val="0"/>
        <w:spacing w:before="0"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（5）乙方在约定的时间内未能弥补缺陷，甲方可采取必要的补救措施，但其风险和费用将由乙方承担，甲方根据合同约定对乙方行使的其他权利不受影响。</w:t>
      </w:r>
    </w:p>
    <w:p w14:paraId="3D23C6F6">
      <w:pPr>
        <w:widowControl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color w:val="000000"/>
          <w:kern w:val="2"/>
          <w:lang w:eastAsia="zh-CN"/>
        </w:rPr>
        <w:t>9</w:t>
      </w:r>
      <w:r>
        <w:rPr>
          <w:rFonts w:hint="eastAsia" w:ascii="宋体" w:hAnsi="宋体" w:eastAsia="宋体"/>
          <w:b/>
          <w:bCs/>
          <w:kern w:val="2"/>
          <w:lang w:eastAsia="zh-CN"/>
        </w:rPr>
        <w:t>.</w:t>
      </w:r>
      <w:r>
        <w:rPr>
          <w:rFonts w:hint="eastAsia" w:ascii="宋体" w:hAnsi="宋体" w:eastAsia="宋体"/>
          <w:b/>
          <w:bCs/>
          <w:color w:val="000000"/>
          <w:kern w:val="2"/>
          <w:lang w:eastAsia="zh-CN"/>
        </w:rPr>
        <w:t xml:space="preserve"> </w:t>
      </w:r>
      <w:r>
        <w:rPr>
          <w:rFonts w:hint="eastAsia" w:ascii="宋体" w:hAnsi="宋体" w:eastAsia="宋体"/>
          <w:b/>
          <w:bCs/>
          <w:kern w:val="2"/>
          <w:lang w:eastAsia="zh-CN"/>
        </w:rPr>
        <w:t>权利瑕疵担保</w:t>
      </w:r>
    </w:p>
    <w:p w14:paraId="18C42F18">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9.1 乙方保证对其出售的货物享有合法的权利。</w:t>
      </w:r>
    </w:p>
    <w:p w14:paraId="704F9661">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24BECD1C">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9.3 如甲方使用上述货物构成对第三人侵权的，则由乙方承担全部责任。</w:t>
      </w:r>
    </w:p>
    <w:p w14:paraId="6D827EC5">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10. 知识产权保护</w:t>
      </w:r>
    </w:p>
    <w:p w14:paraId="0E44422A">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olor w:val="000000"/>
          <w:kern w:val="2"/>
          <w:sz w:val="21"/>
          <w:szCs w:val="21"/>
          <w:lang w:eastAsia="zh-CN"/>
        </w:rPr>
        <w:t>10.1 乙方对其所销售的货物应当享有知识产权或经权利人合法授权，保证没有侵犯任</w:t>
      </w:r>
      <w:r>
        <w:rPr>
          <w:rFonts w:hint="eastAsia" w:ascii="宋体" w:hAnsi="宋体" w:eastAsia="宋体"/>
          <w:kern w:val="2"/>
          <w:sz w:val="21"/>
          <w:szCs w:val="21"/>
          <w:lang w:eastAsia="zh-CN"/>
        </w:rPr>
        <w:t>何第三人的知识产权等权利。</w:t>
      </w:r>
      <w:bookmarkStart w:id="88"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88"/>
      <w:r>
        <w:rPr>
          <w:rFonts w:hint="eastAsia" w:ascii="宋体" w:hAnsi="宋体" w:eastAsia="宋体"/>
          <w:kern w:val="2"/>
          <w:sz w:val="21"/>
          <w:szCs w:val="21"/>
          <w:lang w:eastAsia="zh-CN"/>
        </w:rPr>
        <w:t>。</w:t>
      </w:r>
    </w:p>
    <w:p w14:paraId="5D8892DF">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11. 保密义务</w:t>
      </w:r>
    </w:p>
    <w:p w14:paraId="6A94F0E2">
      <w:pPr>
        <w:widowControl w:val="0"/>
        <w:autoSpaceDE w:val="0"/>
        <w:autoSpaceDN w:val="0"/>
        <w:adjustRightInd w:val="0"/>
        <w:snapToGrid w:val="0"/>
        <w:spacing w:before="0" w:line="400" w:lineRule="exact"/>
        <w:ind w:firstLine="420" w:firstLineChars="200"/>
        <w:jc w:val="left"/>
        <w:rPr>
          <w:rFonts w:hint="eastAsia"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【采购合同专用条款】</w:t>
      </w:r>
      <w:r>
        <w:rPr>
          <w:rFonts w:hint="eastAsia" w:ascii="宋体" w:hAnsi="宋体" w:eastAsia="宋体" w:cs="宋体"/>
          <w:kern w:val="2"/>
          <w:sz w:val="21"/>
          <w:szCs w:val="15"/>
          <w:lang w:eastAsia="zh-CN"/>
        </w:rPr>
        <w:t>中约定。</w:t>
      </w:r>
    </w:p>
    <w:p w14:paraId="72587FF5">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12. 合同价款支付</w:t>
      </w:r>
    </w:p>
    <w:p w14:paraId="02A6490E">
      <w:pPr>
        <w:widowControl w:val="0"/>
        <w:autoSpaceDE/>
        <w:autoSpaceDN/>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12.1 合同价款支付按照国库集中支付制度及财政管理相关规定执行。</w:t>
      </w:r>
    </w:p>
    <w:p w14:paraId="59B4ADBC">
      <w:pPr>
        <w:widowControl w:val="0"/>
        <w:autoSpaceDE w:val="0"/>
        <w:autoSpaceDN w:val="0"/>
        <w:adjustRightInd w:val="0"/>
        <w:snapToGrid w:val="0"/>
        <w:spacing w:before="0" w:line="400" w:lineRule="exact"/>
        <w:ind w:firstLine="420" w:firstLineChars="200"/>
        <w:jc w:val="left"/>
        <w:rPr>
          <w:rFonts w:hint="eastAsia"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w:t>
      </w:r>
      <w:r>
        <w:rPr>
          <w:rFonts w:hint="eastAsia" w:ascii="宋体" w:hAnsi="宋体" w:eastAsia="宋体" w:cs="宋体"/>
          <w:kern w:val="2"/>
          <w:sz w:val="21"/>
          <w:szCs w:val="15"/>
          <w:lang w:eastAsia="zh-CN"/>
        </w:rPr>
        <w:t>支付</w:t>
      </w:r>
      <w:r>
        <w:rPr>
          <w:rFonts w:hint="eastAsia" w:ascii="宋体" w:hAnsi="宋体" w:eastAsia="宋体"/>
          <w:kern w:val="2"/>
          <w:sz w:val="21"/>
          <w:szCs w:val="21"/>
          <w:lang w:eastAsia="zh-CN"/>
        </w:rPr>
        <w:t>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】中约定。</w:t>
      </w:r>
    </w:p>
    <w:p w14:paraId="21B0CD7B">
      <w:pPr>
        <w:widowControl w:val="0"/>
        <w:spacing w:after="0"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14:paraId="63BCAEDD">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22CBF15B">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13.2 如果乙方出现</w:t>
      </w:r>
      <w:r>
        <w:rPr>
          <w:rFonts w:hint="eastAsia" w:ascii="宋体" w:hAnsi="宋体" w:eastAsia="宋体" w:cs="宋体"/>
          <w:b/>
          <w:bCs/>
          <w:kern w:val="2"/>
          <w:sz w:val="21"/>
          <w:szCs w:val="15"/>
          <w:lang w:eastAsia="zh-CN"/>
        </w:rPr>
        <w:t>【采购合同专用条款】</w:t>
      </w:r>
      <w:r>
        <w:rPr>
          <w:rFonts w:hint="eastAsia" w:ascii="宋体" w:hAnsi="宋体" w:eastAsia="宋体" w:cs="宋体"/>
          <w:kern w:val="2"/>
          <w:sz w:val="21"/>
          <w:szCs w:val="15"/>
          <w:lang w:eastAsia="zh-CN"/>
        </w:rPr>
        <w:t>约定情形的</w:t>
      </w:r>
      <w:r>
        <w:rPr>
          <w:rFonts w:hint="eastAsia" w:ascii="宋体" w:hAnsi="宋体" w:eastAsia="宋体"/>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165B65F3">
      <w:pPr>
        <w:widowControl w:val="0"/>
        <w:spacing w:line="400" w:lineRule="exact"/>
        <w:ind w:firstLine="420"/>
        <w:jc w:val="both"/>
        <w:rPr>
          <w:rFonts w:eastAsia="宋体"/>
          <w:kern w:val="2"/>
          <w:sz w:val="21"/>
          <w:lang w:eastAsia="zh-CN"/>
        </w:rPr>
      </w:pPr>
      <w:r>
        <w:rPr>
          <w:rFonts w:hint="eastAsia" w:ascii="宋体" w:hAnsi="宋体" w:eastAsia="宋体"/>
          <w:kern w:val="2"/>
          <w:sz w:val="21"/>
          <w:szCs w:val="21"/>
          <w:lang w:eastAsia="zh-CN"/>
        </w:rPr>
        <w:t>13.3 甲方在项目通过验收后按照</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规定的时间内将履约保证金退还乙方；逾期退还的，乙方可要求甲方支付违约金，违约金按照</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规定支付。</w:t>
      </w:r>
    </w:p>
    <w:p w14:paraId="00A018D8">
      <w:pPr>
        <w:widowControl w:val="0"/>
        <w:autoSpaceDE w:val="0"/>
        <w:autoSpaceDN w:val="0"/>
        <w:adjustRightInd w:val="0"/>
        <w:snapToGrid w:val="0"/>
        <w:spacing w:before="0" w:line="400" w:lineRule="exact"/>
        <w:jc w:val="left"/>
        <w:rPr>
          <w:rFonts w:ascii="宋体" w:hAnsi="宋体" w:eastAsia="宋体"/>
          <w:b/>
          <w:kern w:val="2"/>
          <w:lang w:eastAsia="zh-CN"/>
        </w:rPr>
      </w:pPr>
      <w:r>
        <w:rPr>
          <w:rFonts w:hint="eastAsia" w:ascii="宋体" w:hAnsi="宋体" w:eastAsia="宋体"/>
          <w:b/>
          <w:bCs/>
          <w:kern w:val="2"/>
          <w:lang w:eastAsia="zh-CN"/>
        </w:rPr>
        <w:t xml:space="preserve">14. </w:t>
      </w:r>
      <w:r>
        <w:rPr>
          <w:rFonts w:hint="eastAsia" w:eastAsia="宋体"/>
          <w:b/>
          <w:kern w:val="2"/>
          <w:lang w:eastAsia="zh-CN"/>
        </w:rPr>
        <w:t>售后</w:t>
      </w:r>
      <w:r>
        <w:rPr>
          <w:rFonts w:hint="eastAsia" w:ascii="宋体" w:hAnsi="宋体" w:eastAsia="宋体"/>
          <w:b/>
          <w:kern w:val="2"/>
          <w:lang w:eastAsia="zh-CN"/>
        </w:rPr>
        <w:t>服务</w:t>
      </w:r>
    </w:p>
    <w:p w14:paraId="683F8E2E">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14.1 除项目不涉及或采购活动中明确约定无须承担外，乙方还应提供下列服务：</w:t>
      </w:r>
    </w:p>
    <w:p w14:paraId="5912804F">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（1）货物的现场移动、安装、调试、启动监督及技术支持；</w:t>
      </w:r>
    </w:p>
    <w:p w14:paraId="6019A5A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（2）提供货物组装和维修所需的专用工具和辅助材料；</w:t>
      </w:r>
    </w:p>
    <w:p w14:paraId="441C502E">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（3）在</w:t>
      </w:r>
      <w:r>
        <w:rPr>
          <w:rFonts w:hint="eastAsia" w:ascii="宋体" w:hAnsi="宋体" w:eastAsia="宋体" w:cs="宋体"/>
          <w:b/>
          <w:bCs/>
          <w:kern w:val="2"/>
          <w:sz w:val="21"/>
          <w:szCs w:val="15"/>
          <w:lang w:eastAsia="zh-CN"/>
        </w:rPr>
        <w:t>【采购合同专用条款】</w:t>
      </w:r>
      <w:r>
        <w:rPr>
          <w:rFonts w:hint="eastAsia" w:ascii="宋体" w:hAnsi="宋体" w:eastAsia="宋体"/>
          <w:kern w:val="2"/>
          <w:sz w:val="21"/>
          <w:szCs w:val="21"/>
          <w:lang w:eastAsia="zh-CN"/>
        </w:rPr>
        <w:t>约定的期限内对所有的货物实施运行监督、维修，但前提条件是该服务并不能免除乙方在质量保证期内所承担的义务；</w:t>
      </w:r>
    </w:p>
    <w:p w14:paraId="365D557C">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25B47599">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66C06EC5">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（6）</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规定由乙方提供的其他服务。</w:t>
      </w:r>
    </w:p>
    <w:p w14:paraId="019C87AD">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14.2 乙方提供的售后服务的费用已包含在合同价款中，甲方不再另行支付。</w:t>
      </w:r>
    </w:p>
    <w:p w14:paraId="48D2636E">
      <w:pPr>
        <w:widowControl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15. 违约责任</w:t>
      </w:r>
    </w:p>
    <w:p w14:paraId="09EA1C2A">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15.1质量瑕疵的违约责任</w:t>
      </w:r>
    </w:p>
    <w:p w14:paraId="599EF30C">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乙方提供的产品不符合合同约定的质量标准或存在产品质量缺陷，甲方有权要求乙方根据</w:t>
      </w:r>
      <w:r>
        <w:rPr>
          <w:rFonts w:hint="eastAsia" w:ascii="宋体" w:hAnsi="宋体" w:eastAsia="宋体"/>
          <w:b/>
          <w:kern w:val="2"/>
          <w:sz w:val="21"/>
          <w:szCs w:val="21"/>
          <w:lang w:eastAsia="zh-CN"/>
        </w:rPr>
        <w:t>【采购合同专用条款】</w:t>
      </w:r>
      <w:r>
        <w:rPr>
          <w:rFonts w:hint="eastAsia" w:ascii="宋体" w:hAnsi="宋体" w:eastAsia="宋体"/>
          <w:bCs/>
          <w:kern w:val="2"/>
          <w:sz w:val="21"/>
          <w:szCs w:val="21"/>
          <w:lang w:eastAsia="zh-CN"/>
        </w:rPr>
        <w:t>要求</w:t>
      </w:r>
      <w:r>
        <w:rPr>
          <w:rFonts w:hint="eastAsia" w:ascii="宋体" w:hAnsi="宋体" w:eastAsia="宋体"/>
          <w:kern w:val="2"/>
          <w:sz w:val="21"/>
          <w:szCs w:val="21"/>
          <w:lang w:eastAsia="zh-CN"/>
        </w:rPr>
        <w:t>及时修理、重作、更换，并承担由此给甲方造成的损失。</w:t>
      </w:r>
    </w:p>
    <w:p w14:paraId="1A3B06B3">
      <w:pPr>
        <w:widowControl w:val="0"/>
        <w:autoSpaceDE w:val="0"/>
        <w:autoSpaceDN w:val="0"/>
        <w:adjustRightInd w:val="0"/>
        <w:snapToGrid w:val="0"/>
        <w:spacing w:before="0"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15.2 迟延交货的违约责任</w:t>
      </w:r>
    </w:p>
    <w:p w14:paraId="5928F5B6">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79D3CA5">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b/>
          <w:kern w:val="2"/>
          <w:sz w:val="21"/>
          <w:szCs w:val="21"/>
          <w:lang w:eastAsia="zh-CN"/>
        </w:rPr>
        <w:t>【采购合同专用条款】</w:t>
      </w:r>
      <w:r>
        <w:rPr>
          <w:rFonts w:hint="eastAsia" w:ascii="宋体" w:hAnsi="宋体" w:eastAsia="宋体"/>
          <w:kern w:val="2"/>
          <w:sz w:val="21"/>
          <w:szCs w:val="21"/>
          <w:lang w:eastAsia="zh-CN"/>
        </w:rPr>
        <w:t>规定执行。如果涉及公共利益，且赔偿金额无法弥补公共利益损失，甲方可要求继续履行或者采取其他补救措施。</w:t>
      </w:r>
    </w:p>
    <w:p w14:paraId="4951A56F">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15.3 迟延支付的违约责任</w:t>
      </w:r>
    </w:p>
    <w:p w14:paraId="594AFE8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甲方存在迟延支付乙方合同款项的，应当承担</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规定的逾期付款利息。</w:t>
      </w:r>
    </w:p>
    <w:p w14:paraId="6DD88A09">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bCs/>
          <w:kern w:val="2"/>
          <w:sz w:val="21"/>
          <w:szCs w:val="21"/>
          <w:lang w:eastAsia="zh-CN"/>
        </w:rPr>
        <w:t>15.4其他违约责任根据项目实际需要按</w:t>
      </w:r>
      <w:r>
        <w:rPr>
          <w:rFonts w:hint="eastAsia" w:ascii="宋体" w:hAnsi="宋体" w:eastAsia="宋体"/>
          <w:b/>
          <w:bCs/>
          <w:kern w:val="2"/>
          <w:sz w:val="21"/>
          <w:szCs w:val="21"/>
          <w:lang w:eastAsia="zh-CN"/>
        </w:rPr>
        <w:t>【采购合同专用条款】</w:t>
      </w:r>
      <w:r>
        <w:rPr>
          <w:rFonts w:hint="eastAsia" w:ascii="宋体" w:hAnsi="宋体" w:eastAsia="宋体"/>
          <w:kern w:val="2"/>
          <w:sz w:val="21"/>
          <w:szCs w:val="21"/>
          <w:lang w:eastAsia="zh-CN"/>
        </w:rPr>
        <w:t>规定执行。</w:t>
      </w:r>
    </w:p>
    <w:p w14:paraId="0DE16C6B">
      <w:pPr>
        <w:widowControl w:val="0"/>
        <w:numPr>
          <w:ilvl w:val="0"/>
          <w:numId w:val="13"/>
        </w:numPr>
        <w:autoSpaceDE w:val="0"/>
        <w:autoSpaceDN w:val="0"/>
        <w:adjustRightInd w:val="0"/>
        <w:snapToGrid w:val="0"/>
        <w:spacing w:before="0" w:line="400" w:lineRule="exact"/>
        <w:jc w:val="left"/>
        <w:rPr>
          <w:rFonts w:ascii="宋体" w:hAnsi="宋体" w:eastAsia="宋体"/>
          <w:b/>
          <w:kern w:val="2"/>
          <w:lang w:eastAsia="zh-CN"/>
        </w:rPr>
      </w:pPr>
      <w:r>
        <w:rPr>
          <w:rFonts w:hint="eastAsia" w:ascii="宋体" w:hAnsi="宋体" w:eastAsia="宋体"/>
          <w:b/>
          <w:kern w:val="2"/>
          <w:lang w:eastAsia="zh-CN"/>
        </w:rPr>
        <w:t>合同变更、中止与终止</w:t>
      </w:r>
    </w:p>
    <w:p w14:paraId="613712C9">
      <w:pPr>
        <w:widowControl w:val="0"/>
        <w:autoSpaceDE/>
        <w:autoSpaceDN/>
        <w:adjustRightInd w:val="0"/>
        <w:snapToGrid w:val="0"/>
        <w:spacing w:before="0" w:line="400" w:lineRule="exact"/>
        <w:ind w:firstLine="0" w:firstLineChars="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16.1合同的变更</w:t>
      </w:r>
    </w:p>
    <w:p w14:paraId="691E0EBA">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采购合同履行中，在不改变合同其他条款的前提下，甲方可以在合同价款10%的范围内追加与合同标的相同的货物，并就此与乙方协商一致后签订补充协议。</w:t>
      </w:r>
    </w:p>
    <w:p w14:paraId="36B1DD59">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16.2合同的中止</w:t>
      </w:r>
    </w:p>
    <w:p w14:paraId="3323F154">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（1）合同履行过程中因供应商就采购文件、采购过程或结果提起投诉的，甲方认为有必要的，可以中止合同的履行。</w:t>
      </w:r>
    </w:p>
    <w:p w14:paraId="4C0B4CF3">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E933266">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06F92108">
      <w:pPr>
        <w:widowControl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（4）甲方不得以行政区划调整、政府换届、机构或者职能调整以及相关责任人更替为由中止合同。</w:t>
      </w:r>
    </w:p>
    <w:p w14:paraId="0D25F2A9">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16.3合同的终止</w:t>
      </w:r>
    </w:p>
    <w:p w14:paraId="76A4941F">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（1）合同因有效期限届满而终止；</w:t>
      </w:r>
    </w:p>
    <w:p w14:paraId="0F05EC77">
      <w:pPr>
        <w:widowControl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kern w:val="2"/>
          <w:sz w:val="21"/>
          <w:szCs w:val="21"/>
          <w:lang w:eastAsia="zh-CN"/>
        </w:rPr>
        <w:t>。</w:t>
      </w:r>
    </w:p>
    <w:p w14:paraId="5E732C59">
      <w:pPr>
        <w:widowControl w:val="0"/>
        <w:autoSpaceDE w:val="0"/>
        <w:autoSpaceDN w:val="0"/>
        <w:adjustRightInd w:val="0"/>
        <w:spacing w:line="400" w:lineRule="exact"/>
        <w:ind w:firstLine="440" w:firstLineChars="200"/>
        <w:jc w:val="both"/>
        <w:rPr>
          <w:rFonts w:hint="eastAsia"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27F92D05">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采购合同继续履行将损害国家利益和社会公共利益的，双方当事人应当变更、中止或者终止合同。有过错的一方应当承担赔偿责任，双方都有过错的，各自承担相应的责任。</w:t>
      </w:r>
    </w:p>
    <w:p w14:paraId="37487E47">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17. 合同分包</w:t>
      </w:r>
    </w:p>
    <w:p w14:paraId="5AE62F8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17.1 乙方不得将合同转包给其他供应商。涉及合同分包的，乙方应根据采购文件和投标（响应）文件规定进行合同分包。</w:t>
      </w:r>
    </w:p>
    <w:p w14:paraId="5ED23296">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17.2 乙方执行采购政策向中小企业依法分包的，乙方应当按采购文件和投标（响应）文件签订分包意向协议，分包意向协议属于本合同组成部分。</w:t>
      </w:r>
    </w:p>
    <w:p w14:paraId="4BA2355E">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18. 不可抗力</w:t>
      </w:r>
    </w:p>
    <w:p w14:paraId="7300A98B">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18.1 不可抗力是指合同双方不能预见、不能避免且不能克服的客观情况。</w:t>
      </w:r>
    </w:p>
    <w:p w14:paraId="04D4A880">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18.2 任何一方对由于不可抗力造成的部分或全部不能履行合同不承担违约责任。但迟延履行后发生不可抗力的，不能免除责任。</w:t>
      </w:r>
    </w:p>
    <w:p w14:paraId="637E1591">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09AE94B">
      <w:pPr>
        <w:widowControl w:val="0"/>
        <w:autoSpaceDE w:val="0"/>
        <w:autoSpaceDN w:val="0"/>
        <w:adjustRightInd w:val="0"/>
        <w:snapToGrid w:val="0"/>
        <w:spacing w:before="0" w:line="400" w:lineRule="exact"/>
        <w:jc w:val="left"/>
        <w:rPr>
          <w:rFonts w:hint="eastAsia" w:ascii="宋体" w:hAnsi="宋体" w:eastAsia="宋体"/>
          <w:b/>
          <w:bCs/>
          <w:kern w:val="2"/>
          <w:lang w:eastAsia="zh-CN"/>
        </w:rPr>
      </w:pPr>
      <w:r>
        <w:rPr>
          <w:rFonts w:hint="eastAsia" w:ascii="宋体" w:hAnsi="宋体" w:eastAsia="宋体"/>
          <w:b/>
          <w:bCs/>
          <w:kern w:val="2"/>
          <w:lang w:eastAsia="zh-CN"/>
        </w:rPr>
        <w:t>19. 解决争议的方法</w:t>
      </w:r>
    </w:p>
    <w:p w14:paraId="14567233">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380C48CC">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7F689BE9">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59C7F3DD">
      <w:pPr>
        <w:widowControl w:val="0"/>
        <w:autoSpaceDE w:val="0"/>
        <w:autoSpaceDN w:val="0"/>
        <w:adjustRightInd w:val="0"/>
        <w:snapToGrid w:val="0"/>
        <w:spacing w:before="0" w:line="400" w:lineRule="exact"/>
        <w:jc w:val="left"/>
        <w:rPr>
          <w:rFonts w:ascii="宋体" w:hAnsi="宋体" w:eastAsia="宋体"/>
          <w:kern w:val="2"/>
          <w:lang w:eastAsia="zh-CN"/>
        </w:rPr>
      </w:pPr>
      <w:r>
        <w:rPr>
          <w:rFonts w:hint="eastAsia" w:ascii="宋体" w:hAnsi="宋体" w:eastAsia="宋体"/>
          <w:b/>
          <w:kern w:val="2"/>
          <w:lang w:eastAsia="zh-CN"/>
        </w:rPr>
        <w:t>20. 采购政策</w:t>
      </w:r>
    </w:p>
    <w:p w14:paraId="11BFCF54">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20.1 </w:t>
      </w:r>
      <w:r>
        <w:rPr>
          <w:rFonts w:hint="eastAsia" w:ascii="宋体" w:hAnsi="宋体" w:eastAsia="宋体" w:cs="宋体"/>
          <w:kern w:val="2"/>
          <w:sz w:val="21"/>
          <w:lang w:val="en-GB" w:eastAsia="zh-CN"/>
        </w:rPr>
        <w:t>本合同应当按照规定执行政府采购政策。</w:t>
      </w:r>
    </w:p>
    <w:p w14:paraId="13A1E728">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0.2 本合同依法执行政府采购政策的方式和内容，属于合同履约验收的范围。</w:t>
      </w:r>
      <w:r>
        <w:rPr>
          <w:rFonts w:hint="eastAsia" w:ascii="宋体" w:hAnsi="宋体" w:eastAsia="宋体" w:cs="宋体"/>
          <w:kern w:val="2"/>
          <w:sz w:val="21"/>
          <w:lang w:eastAsia="zh-CN"/>
        </w:rPr>
        <w:t>甲乙双方</w:t>
      </w:r>
      <w:r>
        <w:rPr>
          <w:rFonts w:hint="eastAsia" w:ascii="宋体" w:hAnsi="宋体" w:eastAsia="宋体" w:cs="宋体"/>
          <w:kern w:val="2"/>
          <w:sz w:val="21"/>
          <w:lang w:val="en-GB" w:eastAsia="zh-CN"/>
        </w:rPr>
        <w:t>未按规定要求执行政府采购政策造成损失的</w:t>
      </w:r>
      <w:r>
        <w:rPr>
          <w:rFonts w:hint="eastAsia" w:ascii="宋体" w:hAnsi="宋体" w:eastAsia="宋体"/>
          <w:kern w:val="2"/>
          <w:sz w:val="21"/>
          <w:szCs w:val="21"/>
          <w:lang w:eastAsia="zh-CN"/>
        </w:rPr>
        <w:t>，有过错的一方应当承担赔偿责任，双方都有过错的，各自承担相应的责任。</w:t>
      </w:r>
    </w:p>
    <w:p w14:paraId="6A311DF2">
      <w:pPr>
        <w:widowControl w:val="0"/>
        <w:spacing w:after="0"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3B08D71">
      <w:pPr>
        <w:widowControl w:val="0"/>
        <w:autoSpaceDE w:val="0"/>
        <w:autoSpaceDN w:val="0"/>
        <w:adjustRightInd w:val="0"/>
        <w:snapToGrid w:val="0"/>
        <w:spacing w:before="0" w:line="400" w:lineRule="exact"/>
        <w:jc w:val="left"/>
        <w:rPr>
          <w:rFonts w:hint="eastAsia" w:ascii="宋体" w:hAnsi="宋体" w:eastAsia="宋体"/>
          <w:b/>
          <w:kern w:val="2"/>
          <w:lang w:eastAsia="zh-CN"/>
        </w:rPr>
      </w:pPr>
      <w:r>
        <w:rPr>
          <w:rFonts w:hint="eastAsia" w:ascii="宋体" w:hAnsi="宋体" w:eastAsia="宋体"/>
          <w:b/>
          <w:kern w:val="2"/>
          <w:lang w:eastAsia="zh-CN"/>
        </w:rPr>
        <w:t>21. 法律适用</w:t>
      </w:r>
    </w:p>
    <w:p w14:paraId="3AF66A96">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2E721479">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539D0A48">
      <w:pPr>
        <w:widowControl w:val="0"/>
        <w:numPr>
          <w:ilvl w:val="12"/>
          <w:numId w:val="0"/>
        </w:numPr>
        <w:autoSpaceDE w:val="0"/>
        <w:autoSpaceDN w:val="0"/>
        <w:adjustRightInd w:val="0"/>
        <w:snapToGrid w:val="0"/>
        <w:spacing w:before="0" w:line="400" w:lineRule="exact"/>
        <w:ind w:left="0" w:firstLine="0"/>
        <w:jc w:val="left"/>
        <w:rPr>
          <w:rFonts w:ascii="宋体" w:hAnsi="宋体" w:eastAsia="宋体"/>
          <w:b/>
          <w:kern w:val="2"/>
          <w:lang w:eastAsia="zh-CN"/>
        </w:rPr>
      </w:pPr>
      <w:r>
        <w:rPr>
          <w:rFonts w:hint="eastAsia" w:ascii="宋体" w:hAnsi="宋体" w:eastAsia="宋体"/>
          <w:b/>
          <w:kern w:val="2"/>
          <w:lang w:eastAsia="zh-CN"/>
        </w:rPr>
        <w:t>22. 通知</w:t>
      </w:r>
    </w:p>
    <w:p w14:paraId="543C2EF8">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本合同任何一方向对方发出的通知、信件、数据电文等，应当发送至本合同第一部分《采购合同协议书》所约定的通讯地址、联系人、联系电话或电子邮箱。</w:t>
      </w:r>
    </w:p>
    <w:p w14:paraId="2AD4F715">
      <w:pPr>
        <w:widowControl w:val="0"/>
        <w:autoSpaceDE w:val="0"/>
        <w:autoSpaceDN w:val="0"/>
        <w:adjustRightInd w:val="0"/>
        <w:spacing w:line="400" w:lineRule="exact"/>
        <w:ind w:firstLine="0" w:firstLineChars="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6C133034">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22.3本合同一方给另一方的通知均应采用书面形式，传真或快递送到本合同中规定的对方的地址和办理签收手续。</w:t>
      </w:r>
    </w:p>
    <w:p w14:paraId="53669845">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22.4通知以送达之日或通知书中规定的生效之日起生效，两者中以较迟之日为准。</w:t>
      </w:r>
    </w:p>
    <w:p w14:paraId="0F69A47C">
      <w:pPr>
        <w:widowControl w:val="0"/>
        <w:numPr>
          <w:ilvl w:val="0"/>
          <w:numId w:val="14"/>
        </w:numPr>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合同未尽事项</w:t>
      </w:r>
    </w:p>
    <w:p w14:paraId="589C6FE3">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23.1合同未尽事项见</w:t>
      </w:r>
      <w:r>
        <w:rPr>
          <w:rFonts w:hint="eastAsia" w:ascii="宋体" w:hAnsi="宋体" w:eastAsia="宋体"/>
          <w:b/>
          <w:kern w:val="2"/>
          <w:sz w:val="21"/>
          <w:szCs w:val="21"/>
          <w:lang w:eastAsia="zh-CN"/>
        </w:rPr>
        <w:t>【采购合同专用条款】</w:t>
      </w:r>
      <w:r>
        <w:rPr>
          <w:rFonts w:hint="eastAsia" w:ascii="宋体" w:hAnsi="宋体" w:eastAsia="宋体"/>
          <w:bCs/>
          <w:kern w:val="2"/>
          <w:sz w:val="21"/>
          <w:szCs w:val="21"/>
          <w:lang w:eastAsia="zh-CN"/>
        </w:rPr>
        <w:t>。</w:t>
      </w:r>
    </w:p>
    <w:p w14:paraId="266D56DE">
      <w:pPr>
        <w:widowControl w:val="0"/>
        <w:adjustRightInd w:val="0"/>
        <w:snapToGrid w:val="0"/>
        <w:spacing w:line="400" w:lineRule="exact"/>
        <w:ind w:firstLine="0" w:firstLineChars="0"/>
        <w:jc w:val="left"/>
        <w:rPr>
          <w:rFonts w:ascii="黑体" w:hAnsi="华文中宋" w:eastAsia="黑体"/>
          <w:kern w:val="2"/>
          <w:sz w:val="28"/>
          <w:szCs w:val="28"/>
          <w:lang w:eastAsia="zh-CN"/>
        </w:rPr>
      </w:pPr>
      <w:r>
        <w:rPr>
          <w:rFonts w:hint="eastAsia" w:ascii="宋体" w:hAnsi="宋体" w:eastAsia="宋体"/>
          <w:bCs/>
          <w:kern w:val="2"/>
          <w:sz w:val="21"/>
          <w:szCs w:val="21"/>
          <w:lang w:eastAsia="zh-CN"/>
        </w:rPr>
        <w:t xml:space="preserve">    23.2 合同附件与合同正文具有同等的法律效力。</w:t>
      </w:r>
      <w:bookmarkStart w:id="89" w:name="_Toc20313"/>
    </w:p>
    <w:p w14:paraId="0209A7F4">
      <w:pPr>
        <w:widowControl w:val="0"/>
        <w:adjustRightInd w:val="0"/>
        <w:snapToGrid w:val="0"/>
        <w:jc w:val="center"/>
        <w:rPr>
          <w:rFonts w:hint="eastAsia" w:ascii="黑体" w:hAnsi="华文中宋" w:eastAsia="黑体"/>
          <w:kern w:val="2"/>
          <w:sz w:val="28"/>
          <w:szCs w:val="28"/>
          <w:lang w:eastAsia="zh-CN"/>
        </w:rPr>
      </w:pPr>
      <w:r>
        <w:rPr>
          <w:rFonts w:hint="eastAsia" w:ascii="黑体" w:hAnsi="华文中宋" w:eastAsia="黑体"/>
          <w:kern w:val="2"/>
          <w:sz w:val="28"/>
          <w:szCs w:val="28"/>
          <w:lang w:eastAsia="zh-CN"/>
        </w:rPr>
        <w:br w:type="page"/>
      </w:r>
    </w:p>
    <w:p w14:paraId="6FD1BE6E">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采购合同专用条款</w:t>
      </w:r>
      <w:bookmarkEnd w:id="89"/>
    </w:p>
    <w:tbl>
      <w:tblPr>
        <w:tblStyle w:val="18"/>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744"/>
        <w:gridCol w:w="5176"/>
      </w:tblGrid>
      <w:tr w14:paraId="0ED1B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B4572C">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24B3441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第1.2（6）项</w:t>
            </w:r>
          </w:p>
        </w:tc>
        <w:tc>
          <w:tcPr>
            <w:tcW w:w="1742" w:type="dxa"/>
            <w:vAlign w:val="center"/>
          </w:tcPr>
          <w:p w14:paraId="17225AB9">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联合体具体要求</w:t>
            </w:r>
          </w:p>
        </w:tc>
        <w:tc>
          <w:tcPr>
            <w:tcW w:w="5170" w:type="dxa"/>
            <w:vAlign w:val="center"/>
          </w:tcPr>
          <w:p w14:paraId="323BD2AD">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57656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9348EED">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5DB47B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第1.2（7）项</w:t>
            </w:r>
          </w:p>
        </w:tc>
        <w:tc>
          <w:tcPr>
            <w:tcW w:w="1742" w:type="dxa"/>
            <w:vAlign w:val="center"/>
          </w:tcPr>
          <w:p w14:paraId="61CCC65A">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其他术语解释</w:t>
            </w:r>
          </w:p>
        </w:tc>
        <w:tc>
          <w:tcPr>
            <w:tcW w:w="5170" w:type="dxa"/>
            <w:vAlign w:val="center"/>
          </w:tcPr>
          <w:p w14:paraId="0B99E7BB">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403CB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3A738">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4C4EC779">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第4.4款</w:t>
            </w:r>
          </w:p>
        </w:tc>
        <w:tc>
          <w:tcPr>
            <w:tcW w:w="1742" w:type="dxa"/>
            <w:vAlign w:val="center"/>
          </w:tcPr>
          <w:p w14:paraId="4C61D75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履约验收中甲方提出异议或作出说明的期限</w:t>
            </w:r>
          </w:p>
        </w:tc>
        <w:tc>
          <w:tcPr>
            <w:tcW w:w="5170" w:type="dxa"/>
            <w:vAlign w:val="center"/>
          </w:tcPr>
          <w:p w14:paraId="471E9145">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1E4AF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95A9D">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FF208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第4.6款</w:t>
            </w:r>
          </w:p>
        </w:tc>
        <w:tc>
          <w:tcPr>
            <w:tcW w:w="1742" w:type="dxa"/>
            <w:vAlign w:val="center"/>
          </w:tcPr>
          <w:p w14:paraId="4286FA1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约定甲方承担的其他义务和责任</w:t>
            </w:r>
          </w:p>
        </w:tc>
        <w:tc>
          <w:tcPr>
            <w:tcW w:w="5170" w:type="dxa"/>
            <w:vAlign w:val="center"/>
          </w:tcPr>
          <w:p w14:paraId="405FE26E">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31095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E621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0801F22A">
            <w:pPr>
              <w:keepNext w:val="0"/>
              <w:keepLines w:val="0"/>
              <w:widowControl w:val="0"/>
              <w:suppressLineNumbers w:val="0"/>
              <w:snapToGrid w:val="0"/>
              <w:spacing w:before="0" w:beforeAutospacing="0" w:after="0" w:afterAutospacing="0"/>
              <w:ind w:left="0" w:right="0"/>
              <w:jc w:val="center"/>
              <w:rPr>
                <w:rFonts w:eastAsia="宋体"/>
                <w:kern w:val="2"/>
                <w:sz w:val="21"/>
                <w:lang w:eastAsia="zh-CN"/>
              </w:rPr>
            </w:pPr>
            <w:r>
              <w:rPr>
                <w:rFonts w:hint="eastAsia" w:ascii="宋体" w:hAnsi="宋体" w:eastAsia="宋体"/>
                <w:kern w:val="2"/>
                <w:sz w:val="21"/>
                <w:szCs w:val="21"/>
                <w:lang w:eastAsia="zh-CN"/>
              </w:rPr>
              <w:t>第5.4款</w:t>
            </w:r>
          </w:p>
        </w:tc>
        <w:tc>
          <w:tcPr>
            <w:tcW w:w="1742" w:type="dxa"/>
            <w:vAlign w:val="center"/>
          </w:tcPr>
          <w:p w14:paraId="5810ACA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约定乙方承担的其他义务和责任</w:t>
            </w:r>
          </w:p>
        </w:tc>
        <w:tc>
          <w:tcPr>
            <w:tcW w:w="5170" w:type="dxa"/>
            <w:vAlign w:val="center"/>
          </w:tcPr>
          <w:p w14:paraId="1BE2C4F3">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40170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D4EF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43B51AC0">
            <w:pPr>
              <w:keepNext w:val="0"/>
              <w:keepLines w:val="0"/>
              <w:widowControl w:val="0"/>
              <w:suppressLineNumbers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第6.1款</w:t>
            </w:r>
          </w:p>
        </w:tc>
        <w:tc>
          <w:tcPr>
            <w:tcW w:w="1742" w:type="dxa"/>
            <w:vAlign w:val="center"/>
          </w:tcPr>
          <w:p w14:paraId="026BD6F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履行合同义务的顺序</w:t>
            </w:r>
          </w:p>
        </w:tc>
        <w:tc>
          <w:tcPr>
            <w:tcW w:w="5170" w:type="dxa"/>
            <w:vAlign w:val="center"/>
          </w:tcPr>
          <w:p w14:paraId="5D1EA21C">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644EC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DA42406">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468D128">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第7.1款</w:t>
            </w:r>
          </w:p>
        </w:tc>
        <w:tc>
          <w:tcPr>
            <w:tcW w:w="1742" w:type="dxa"/>
            <w:vAlign w:val="center"/>
          </w:tcPr>
          <w:p w14:paraId="7FC1E0A1">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包装特殊要求</w:t>
            </w:r>
          </w:p>
        </w:tc>
        <w:tc>
          <w:tcPr>
            <w:tcW w:w="5170" w:type="dxa"/>
            <w:vAlign w:val="center"/>
          </w:tcPr>
          <w:p w14:paraId="17BFFB5C">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14:paraId="157DC5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1940D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p>
        </w:tc>
        <w:tc>
          <w:tcPr>
            <w:tcW w:w="1742" w:type="dxa"/>
            <w:vAlign w:val="center"/>
          </w:tcPr>
          <w:p w14:paraId="448A0CA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指定现场</w:t>
            </w:r>
          </w:p>
        </w:tc>
        <w:tc>
          <w:tcPr>
            <w:tcW w:w="5170" w:type="dxa"/>
            <w:vAlign w:val="center"/>
          </w:tcPr>
          <w:p w14:paraId="07EAC09F">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p>
        </w:tc>
      </w:tr>
      <w:tr w14:paraId="57B6A1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44FB820">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1B3EAC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第7.2款</w:t>
            </w:r>
          </w:p>
        </w:tc>
        <w:tc>
          <w:tcPr>
            <w:tcW w:w="1742" w:type="dxa"/>
            <w:vAlign w:val="center"/>
          </w:tcPr>
          <w:p w14:paraId="1C8F4F6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运输特殊要求</w:t>
            </w:r>
          </w:p>
        </w:tc>
        <w:tc>
          <w:tcPr>
            <w:tcW w:w="5170" w:type="dxa"/>
            <w:vAlign w:val="center"/>
          </w:tcPr>
          <w:p w14:paraId="40CD5A75">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p>
        </w:tc>
      </w:tr>
      <w:tr w14:paraId="13453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76FAE59">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455D43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第7.3款</w:t>
            </w:r>
          </w:p>
        </w:tc>
        <w:tc>
          <w:tcPr>
            <w:tcW w:w="1742" w:type="dxa"/>
            <w:vAlign w:val="center"/>
          </w:tcPr>
          <w:p w14:paraId="72C5AB6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保险要求</w:t>
            </w:r>
          </w:p>
        </w:tc>
        <w:tc>
          <w:tcPr>
            <w:tcW w:w="5170" w:type="dxa"/>
            <w:vAlign w:val="center"/>
          </w:tcPr>
          <w:p w14:paraId="47B8715E">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p>
        </w:tc>
      </w:tr>
      <w:tr w14:paraId="5AFD3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93A25">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1C8F8EC4">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第8.2（1）项</w:t>
            </w:r>
          </w:p>
        </w:tc>
        <w:tc>
          <w:tcPr>
            <w:tcW w:w="1742" w:type="dxa"/>
            <w:vAlign w:val="center"/>
          </w:tcPr>
          <w:p w14:paraId="2D307B46">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质量保证期</w:t>
            </w:r>
          </w:p>
        </w:tc>
        <w:tc>
          <w:tcPr>
            <w:tcW w:w="5170" w:type="dxa"/>
            <w:vAlign w:val="center"/>
          </w:tcPr>
          <w:p w14:paraId="3603C165">
            <w:pPr>
              <w:keepNext w:val="0"/>
              <w:keepLines w:val="0"/>
              <w:widowControl w:val="0"/>
              <w:suppressLineNumbers w:val="0"/>
              <w:autoSpaceDE w:val="0"/>
              <w:autoSpaceDN w:val="0"/>
              <w:adjustRightInd w:val="0"/>
              <w:snapToGrid w:val="0"/>
              <w:spacing w:before="0" w:beforeAutospacing="0" w:after="0" w:afterAutospacing="0"/>
              <w:ind w:left="0" w:right="0" w:firstLine="420" w:firstLineChars="200"/>
              <w:jc w:val="left"/>
              <w:rPr>
                <w:rFonts w:ascii="宋体" w:hAnsi="宋体" w:eastAsia="宋体"/>
                <w:kern w:val="2"/>
                <w:sz w:val="21"/>
                <w:szCs w:val="21"/>
                <w:lang w:eastAsia="zh-CN"/>
              </w:rPr>
            </w:pPr>
          </w:p>
        </w:tc>
      </w:tr>
      <w:tr w14:paraId="380561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E5C208">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45CD5C3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第8.2（3）项</w:t>
            </w:r>
          </w:p>
        </w:tc>
        <w:tc>
          <w:tcPr>
            <w:tcW w:w="1742" w:type="dxa"/>
            <w:vAlign w:val="center"/>
          </w:tcPr>
          <w:p w14:paraId="1A25236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货物质量缺陷</w:t>
            </w:r>
          </w:p>
          <w:p w14:paraId="3B5A61E3">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响应时间</w:t>
            </w:r>
          </w:p>
        </w:tc>
        <w:tc>
          <w:tcPr>
            <w:tcW w:w="5170" w:type="dxa"/>
            <w:vAlign w:val="center"/>
          </w:tcPr>
          <w:p w14:paraId="3535F3E1">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7CF4E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A6204F">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0D4CDDC8">
            <w:pPr>
              <w:keepNext w:val="0"/>
              <w:keepLines w:val="0"/>
              <w:widowControl w:val="0"/>
              <w:suppressLineNumbers w:val="0"/>
              <w:autoSpaceDE w:val="0"/>
              <w:autoSpaceDN w:val="0"/>
              <w:adjustRightInd w:val="0"/>
              <w:spacing w:before="0" w:beforeAutospacing="0" w:after="0" w:afterAutospacing="0" w:line="400" w:lineRule="exact"/>
              <w:ind w:left="0" w:right="0" w:firstLine="0" w:firstLineChars="0"/>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1B3290BF">
            <w:pPr>
              <w:keepNext w:val="0"/>
              <w:keepLines w:val="0"/>
              <w:widowControl w:val="0"/>
              <w:suppressLineNumbers w:val="0"/>
              <w:adjustRightInd w:val="0"/>
              <w:snapToGrid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其他应当保密的信息</w:t>
            </w:r>
          </w:p>
        </w:tc>
        <w:tc>
          <w:tcPr>
            <w:tcW w:w="5170" w:type="dxa"/>
            <w:vAlign w:val="center"/>
          </w:tcPr>
          <w:p w14:paraId="3361D32D">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43ECD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B2B352">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14707585">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第12.2款</w:t>
            </w:r>
          </w:p>
        </w:tc>
        <w:tc>
          <w:tcPr>
            <w:tcW w:w="1742" w:type="dxa"/>
            <w:vAlign w:val="center"/>
          </w:tcPr>
          <w:p w14:paraId="1090CE3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合同价款支付时间</w:t>
            </w:r>
          </w:p>
        </w:tc>
        <w:tc>
          <w:tcPr>
            <w:tcW w:w="5170" w:type="dxa"/>
            <w:vAlign w:val="center"/>
          </w:tcPr>
          <w:p w14:paraId="63F28159">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68948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C0560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15A3CAC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第13.2款</w:t>
            </w:r>
          </w:p>
        </w:tc>
        <w:tc>
          <w:tcPr>
            <w:tcW w:w="1742" w:type="dxa"/>
            <w:vAlign w:val="center"/>
          </w:tcPr>
          <w:p w14:paraId="0497928D">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履约保证金不予退还的情形</w:t>
            </w:r>
          </w:p>
        </w:tc>
        <w:tc>
          <w:tcPr>
            <w:tcW w:w="5170" w:type="dxa"/>
            <w:vAlign w:val="center"/>
          </w:tcPr>
          <w:p w14:paraId="1AC2D50F">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70B9EE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30EF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14:paraId="70344A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第13.3款</w:t>
            </w:r>
          </w:p>
        </w:tc>
        <w:tc>
          <w:tcPr>
            <w:tcW w:w="1742" w:type="dxa"/>
            <w:vAlign w:val="center"/>
          </w:tcPr>
          <w:p w14:paraId="30F7503A">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履约保证金退还时间及逾期退还的违约金</w:t>
            </w:r>
          </w:p>
        </w:tc>
        <w:tc>
          <w:tcPr>
            <w:tcW w:w="5170" w:type="dxa"/>
            <w:vAlign w:val="center"/>
          </w:tcPr>
          <w:p w14:paraId="5EE9509F">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35F42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A5C2D3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79D577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第14.1（3）项</w:t>
            </w:r>
          </w:p>
        </w:tc>
        <w:tc>
          <w:tcPr>
            <w:tcW w:w="1742" w:type="dxa"/>
            <w:vAlign w:val="center"/>
          </w:tcPr>
          <w:p w14:paraId="3259B41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运行监督、维修期限</w:t>
            </w:r>
          </w:p>
        </w:tc>
        <w:tc>
          <w:tcPr>
            <w:tcW w:w="5170" w:type="dxa"/>
            <w:vAlign w:val="center"/>
          </w:tcPr>
          <w:p w14:paraId="5CD660CD">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2F512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D6D661">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4AFA76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第14.1（5）项</w:t>
            </w:r>
          </w:p>
        </w:tc>
        <w:tc>
          <w:tcPr>
            <w:tcW w:w="1742" w:type="dxa"/>
            <w:vAlign w:val="center"/>
          </w:tcPr>
          <w:p w14:paraId="32B7D718">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货物回收的约定</w:t>
            </w:r>
          </w:p>
        </w:tc>
        <w:tc>
          <w:tcPr>
            <w:tcW w:w="5170" w:type="dxa"/>
            <w:vAlign w:val="center"/>
          </w:tcPr>
          <w:p w14:paraId="56CCB63E">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65972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406362">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E00C639">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第14.1（6）项</w:t>
            </w:r>
          </w:p>
        </w:tc>
        <w:tc>
          <w:tcPr>
            <w:tcW w:w="1742" w:type="dxa"/>
            <w:vAlign w:val="center"/>
          </w:tcPr>
          <w:p w14:paraId="29EA292E">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乙方提供的其他服务</w:t>
            </w:r>
          </w:p>
        </w:tc>
        <w:tc>
          <w:tcPr>
            <w:tcW w:w="5170" w:type="dxa"/>
            <w:vAlign w:val="center"/>
          </w:tcPr>
          <w:p w14:paraId="295B834B">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123F4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4630C3">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789460E5">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第15.1款</w:t>
            </w:r>
          </w:p>
        </w:tc>
        <w:tc>
          <w:tcPr>
            <w:tcW w:w="1742" w:type="dxa"/>
            <w:vAlign w:val="center"/>
          </w:tcPr>
          <w:p w14:paraId="153A6A3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修理、重作、更换相关具体规定</w:t>
            </w:r>
          </w:p>
        </w:tc>
        <w:tc>
          <w:tcPr>
            <w:tcW w:w="5170" w:type="dxa"/>
            <w:vAlign w:val="center"/>
          </w:tcPr>
          <w:p w14:paraId="36E6EF4A">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14:paraId="22E7E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DEE4E2">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567ED00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第15.2（2）项</w:t>
            </w:r>
          </w:p>
        </w:tc>
        <w:tc>
          <w:tcPr>
            <w:tcW w:w="1742" w:type="dxa"/>
            <w:vAlign w:val="center"/>
          </w:tcPr>
          <w:p w14:paraId="039DE1C6">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迟延交货赔偿费</w:t>
            </w:r>
          </w:p>
        </w:tc>
        <w:tc>
          <w:tcPr>
            <w:tcW w:w="5170" w:type="dxa"/>
            <w:vAlign w:val="center"/>
          </w:tcPr>
          <w:p w14:paraId="4FC5D4AE">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u w:val="single"/>
                <w:lang w:eastAsia="zh-CN"/>
              </w:rPr>
            </w:pPr>
          </w:p>
        </w:tc>
      </w:tr>
      <w:tr w14:paraId="2916C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A96C4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BE5D2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第15.3款</w:t>
            </w:r>
          </w:p>
        </w:tc>
        <w:tc>
          <w:tcPr>
            <w:tcW w:w="1742" w:type="dxa"/>
            <w:vAlign w:val="center"/>
          </w:tcPr>
          <w:p w14:paraId="14F9468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逾期付款利息</w:t>
            </w:r>
          </w:p>
        </w:tc>
        <w:tc>
          <w:tcPr>
            <w:tcW w:w="5170" w:type="dxa"/>
            <w:vAlign w:val="center"/>
          </w:tcPr>
          <w:p w14:paraId="7C44175B">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u w:val="single"/>
                <w:lang w:eastAsia="zh-CN"/>
              </w:rPr>
            </w:pPr>
          </w:p>
        </w:tc>
      </w:tr>
      <w:tr w14:paraId="6D3CF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3F46317">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3263E29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572B20F7">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其他违约责任</w:t>
            </w:r>
          </w:p>
        </w:tc>
        <w:tc>
          <w:tcPr>
            <w:tcW w:w="5170" w:type="dxa"/>
            <w:tcBorders>
              <w:left w:val="single" w:color="auto" w:sz="2" w:space="0"/>
              <w:bottom w:val="single" w:color="auto" w:sz="2" w:space="0"/>
            </w:tcBorders>
            <w:vAlign w:val="center"/>
          </w:tcPr>
          <w:p w14:paraId="15B67094">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u w:val="single"/>
                <w:lang w:eastAsia="zh-CN"/>
              </w:rPr>
            </w:pPr>
          </w:p>
        </w:tc>
      </w:tr>
      <w:tr w14:paraId="33975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6CBD0C6">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DACEC29">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64279EF7">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解决争议的方法</w:t>
            </w:r>
          </w:p>
        </w:tc>
        <w:tc>
          <w:tcPr>
            <w:tcW w:w="5170" w:type="dxa"/>
            <w:tcBorders>
              <w:top w:val="single" w:color="auto" w:sz="2" w:space="0"/>
              <w:left w:val="single" w:color="auto" w:sz="2" w:space="0"/>
            </w:tcBorders>
            <w:vAlign w:val="center"/>
          </w:tcPr>
          <w:p w14:paraId="36B0BF20">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14:paraId="75133D45">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74FD8475">
            <w:pPr>
              <w:keepNext w:val="0"/>
              <w:keepLines w:val="0"/>
              <w:widowControl w:val="0"/>
              <w:suppressLineNumbers w:val="0"/>
              <w:adjustRightInd w:val="0"/>
              <w:snapToGrid w:val="0"/>
              <w:spacing w:before="0" w:beforeAutospacing="0" w:after="0" w:afterAutospacing="0"/>
              <w:ind w:left="0" w:right="0" w:firstLine="0" w:firstLineChars="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14:paraId="27D62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34E0C3B">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14:paraId="68929107">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第23.1款</w:t>
            </w:r>
          </w:p>
        </w:tc>
        <w:tc>
          <w:tcPr>
            <w:tcW w:w="1742" w:type="dxa"/>
            <w:vAlign w:val="center"/>
          </w:tcPr>
          <w:p w14:paraId="6A04B874">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bCs/>
                <w:kern w:val="2"/>
                <w:sz w:val="21"/>
                <w:szCs w:val="21"/>
                <w:lang w:eastAsia="zh-CN"/>
              </w:rPr>
              <w:t>其他专用条款</w:t>
            </w:r>
          </w:p>
        </w:tc>
        <w:tc>
          <w:tcPr>
            <w:tcW w:w="5170" w:type="dxa"/>
            <w:vAlign w:val="center"/>
          </w:tcPr>
          <w:p w14:paraId="68BF2D10">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bl>
    <w:p w14:paraId="3531CE25">
      <w:pPr>
        <w:widowControl/>
        <w:jc w:val="left"/>
        <w:rPr>
          <w:rFonts w:ascii="宋体" w:hAnsi="宋体" w:eastAsia="宋体"/>
          <w:kern w:val="2"/>
          <w:sz w:val="21"/>
          <w:szCs w:val="21"/>
          <w:lang w:eastAsia="zh-CN"/>
        </w:rPr>
      </w:pPr>
      <w:r>
        <w:rPr>
          <w:rFonts w:ascii="宋体" w:hAnsi="宋体" w:eastAsia="宋体"/>
          <w:kern w:val="2"/>
          <w:sz w:val="21"/>
          <w:szCs w:val="21"/>
          <w:lang w:eastAsia="zh-CN"/>
        </w:rPr>
        <w:br w:type="page"/>
      </w:r>
    </w:p>
    <w:p w14:paraId="7F790160">
      <w:pPr>
        <w:pStyle w:val="7"/>
        <w:spacing w:before="120" w:beforeLines="50" w:after="120" w:afterLines="50"/>
        <w:ind w:left="562"/>
        <w:rPr>
          <w:rFonts w:hint="eastAsia"/>
          <w:sz w:val="28"/>
          <w:szCs w:val="28"/>
        </w:rPr>
      </w:pPr>
      <w:r>
        <w:rPr>
          <w:rFonts w:hint="eastAsia"/>
          <w:sz w:val="28"/>
          <w:szCs w:val="28"/>
        </w:rPr>
        <w:t>第二册  通用条款（公开招标）</w:t>
      </w:r>
    </w:p>
    <w:p w14:paraId="3CF71424">
      <w:pPr>
        <w:pStyle w:val="7"/>
        <w:numPr>
          <w:ilvl w:val="0"/>
          <w:numId w:val="15"/>
        </w:numPr>
        <w:spacing w:before="120" w:beforeLines="50" w:after="120" w:afterLines="50"/>
        <w:ind w:left="562" w:hanging="562"/>
        <w:rPr>
          <w:rFonts w:hint="eastAsia"/>
          <w:sz w:val="28"/>
          <w:szCs w:val="28"/>
        </w:rPr>
      </w:pPr>
      <w:bookmarkStart w:id="90" w:name="_Hlk72399513"/>
      <w:r>
        <w:rPr>
          <w:rFonts w:hint="eastAsia"/>
          <w:sz w:val="28"/>
          <w:szCs w:val="28"/>
        </w:rPr>
        <w:t>总则</w:t>
      </w:r>
    </w:p>
    <w:bookmarkEnd w:id="90"/>
    <w:p w14:paraId="793211BB">
      <w:pPr>
        <w:rPr>
          <w:rFonts w:hint="eastAsia" w:ascii="黑体" w:hAnsi="宋体" w:eastAsia="黑体"/>
        </w:rPr>
      </w:pPr>
      <w:r>
        <w:rPr>
          <w:rFonts w:hint="eastAsia" w:ascii="黑体" w:hAnsi="宋体" w:eastAsia="黑体"/>
        </w:rPr>
        <w:t>1. 通用条款说明</w:t>
      </w:r>
    </w:p>
    <w:p w14:paraId="20D6249C">
      <w:pPr>
        <w:ind w:firstLine="470" w:firstLineChars="196"/>
        <w:rPr>
          <w:rFonts w:ascii="宋体" w:hAnsi="宋体"/>
          <w:szCs w:val="21"/>
          <w:lang w:eastAsia="zh-CN"/>
        </w:rPr>
      </w:pPr>
      <w:r>
        <w:rPr>
          <w:rFonts w:hint="eastAsia" w:ascii="宋体" w:hAnsi="宋体"/>
          <w:szCs w:val="21"/>
          <w:lang w:eastAsia="zh-CN"/>
        </w:rPr>
        <w:t>1.1政府集中采购机构发出招标文件通用条款版本，列出深圳市政府采购项目进行招标采购所适用的通用条款内容。</w:t>
      </w:r>
      <w:bookmarkStart w:id="91" w:name="_Hlk72399729"/>
      <w:r>
        <w:rPr>
          <w:rFonts w:hint="eastAsia" w:ascii="宋体" w:hAnsi="宋体"/>
          <w:szCs w:val="21"/>
          <w:lang w:eastAsia="zh-CN"/>
        </w:rPr>
        <w:t>如有需要，政府集中采购机构可以对通用条款的内容进行补充。</w:t>
      </w:r>
      <w:bookmarkEnd w:id="91"/>
    </w:p>
    <w:p w14:paraId="00CBEDBB">
      <w:pPr>
        <w:ind w:firstLine="470" w:firstLineChars="196"/>
        <w:rPr>
          <w:rFonts w:ascii="宋体" w:hAnsi="宋体"/>
          <w:szCs w:val="21"/>
          <w:lang w:eastAsia="zh-CN"/>
        </w:rPr>
      </w:pPr>
      <w:r>
        <w:rPr>
          <w:rFonts w:hint="eastAsia" w:ascii="宋体" w:hAnsi="宋体"/>
          <w:szCs w:val="21"/>
          <w:lang w:eastAsia="zh-CN"/>
        </w:rPr>
        <w:t>1.2招标文件分为第一册“专用条款”和第二册“通用条款”。</w:t>
      </w:r>
    </w:p>
    <w:p w14:paraId="562F2FFB">
      <w:pPr>
        <w:ind w:firstLine="470" w:firstLineChars="196"/>
        <w:rPr>
          <w:rFonts w:ascii="宋体" w:hAnsi="宋体"/>
          <w:szCs w:val="21"/>
          <w:lang w:eastAsia="zh-CN"/>
        </w:rPr>
      </w:pPr>
      <w:r>
        <w:rPr>
          <w:rFonts w:hint="eastAsia" w:ascii="宋体" w:hAnsi="宋体"/>
          <w:szCs w:val="21"/>
          <w:lang w:eastAsia="zh-CN"/>
        </w:rPr>
        <w:t>1.3“专用条款”是对本次采购项目的具体要求，包含招标公告、对通用条款的补充内容及其他关键信息、用户需求书、投标文件格式及附件、合同条款及格式等内容。</w:t>
      </w:r>
    </w:p>
    <w:p w14:paraId="72E786F7">
      <w:pPr>
        <w:ind w:firstLine="470" w:firstLineChars="196"/>
        <w:rPr>
          <w:rFonts w:ascii="宋体" w:hAnsi="宋体"/>
          <w:szCs w:val="21"/>
          <w:lang w:eastAsia="zh-CN"/>
        </w:rPr>
      </w:pPr>
      <w:r>
        <w:rPr>
          <w:rFonts w:hint="eastAsia" w:ascii="宋体" w:hAnsi="宋体"/>
          <w:szCs w:val="21"/>
          <w:lang w:eastAsia="zh-CN"/>
        </w:rPr>
        <w:t>1.4“通用条款”是适用于政府采购公开招标项目的基础性条款，具有普遍性和通用性。</w:t>
      </w:r>
    </w:p>
    <w:p w14:paraId="024E160D">
      <w:pPr>
        <w:ind w:firstLine="470" w:firstLineChars="196"/>
        <w:rPr>
          <w:rFonts w:ascii="宋体" w:hAnsi="宋体"/>
          <w:szCs w:val="21"/>
          <w:lang w:eastAsia="zh-CN"/>
        </w:rPr>
      </w:pPr>
      <w:r>
        <w:rPr>
          <w:rFonts w:hint="eastAsia" w:ascii="宋体" w:hAnsi="宋体"/>
          <w:szCs w:val="21"/>
          <w:lang w:eastAsia="zh-CN"/>
        </w:rPr>
        <w:t>1.5 “专用条款”和“通用条款”表述不一致或有冲突时，以“专用条款”为准。</w:t>
      </w:r>
    </w:p>
    <w:p w14:paraId="6AE19319">
      <w:pPr>
        <w:rPr>
          <w:rFonts w:hint="eastAsia" w:ascii="黑体" w:hAnsi="宋体" w:eastAsia="黑体"/>
          <w:lang w:eastAsia="zh-CN"/>
        </w:rPr>
      </w:pPr>
      <w:r>
        <w:rPr>
          <w:rFonts w:hint="eastAsia" w:ascii="黑体" w:hAnsi="宋体" w:eastAsia="黑体"/>
          <w:lang w:eastAsia="zh-CN"/>
        </w:rPr>
        <w:t>2</w:t>
      </w:r>
      <w:r>
        <w:rPr>
          <w:rFonts w:ascii="黑体" w:hAnsi="宋体" w:eastAsia="黑体"/>
          <w:lang w:eastAsia="zh-CN"/>
        </w:rPr>
        <w:t>．</w:t>
      </w:r>
      <w:r>
        <w:rPr>
          <w:rFonts w:hint="eastAsia" w:ascii="黑体" w:hAnsi="宋体" w:eastAsia="黑体"/>
          <w:lang w:eastAsia="zh-CN"/>
        </w:rPr>
        <w:t>招标说明</w:t>
      </w:r>
    </w:p>
    <w:p w14:paraId="58CE4AD3">
      <w:pPr>
        <w:ind w:firstLine="470" w:firstLineChars="196"/>
        <w:rPr>
          <w:rFonts w:ascii="宋体" w:hAnsi="宋体"/>
          <w:szCs w:val="21"/>
          <w:lang w:eastAsia="zh-CN"/>
        </w:rPr>
      </w:pPr>
      <w:r>
        <w:rPr>
          <w:rFonts w:hint="eastAsia" w:ascii="宋体" w:hAnsi="宋体"/>
          <w:szCs w:val="21"/>
          <w:lang w:eastAsia="zh-CN"/>
        </w:rPr>
        <w:t>本项目按照《深圳经济特区政府采购条例》、《深圳经济特区政府采购条例实施细则》及政府采购其他法律法规，通过公开招标方式确定中标供应商。</w:t>
      </w:r>
    </w:p>
    <w:p w14:paraId="5749BEA8">
      <w:pPr>
        <w:rPr>
          <w:rFonts w:hint="eastAsia" w:ascii="黑体" w:hAnsi="宋体" w:eastAsia="黑体"/>
          <w:lang w:eastAsia="zh-CN"/>
        </w:rPr>
      </w:pPr>
      <w:r>
        <w:rPr>
          <w:rFonts w:hint="eastAsia" w:ascii="黑体" w:hAnsi="宋体" w:eastAsia="黑体"/>
          <w:lang w:eastAsia="zh-CN"/>
        </w:rPr>
        <w:t>3．定义</w:t>
      </w:r>
    </w:p>
    <w:p w14:paraId="37F1F097">
      <w:pPr>
        <w:ind w:firstLine="480" w:firstLineChars="200"/>
        <w:rPr>
          <w:rFonts w:ascii="宋体" w:hAnsi="宋体"/>
          <w:szCs w:val="21"/>
          <w:lang w:eastAsia="zh-CN"/>
        </w:rPr>
      </w:pPr>
      <w:r>
        <w:rPr>
          <w:rFonts w:ascii="宋体" w:hAnsi="宋体"/>
          <w:szCs w:val="21"/>
          <w:lang w:eastAsia="zh-CN"/>
        </w:rPr>
        <w:t>招标文件中下列术语应解释为：</w:t>
      </w:r>
    </w:p>
    <w:p w14:paraId="48C85D68">
      <w:pPr>
        <w:ind w:firstLine="470" w:firstLineChars="196"/>
        <w:rPr>
          <w:rFonts w:ascii="宋体" w:hAnsi="宋体"/>
          <w:szCs w:val="21"/>
          <w:lang w:eastAsia="zh-CN"/>
        </w:rPr>
      </w:pPr>
      <w:r>
        <w:rPr>
          <w:rFonts w:hint="eastAsia" w:ascii="宋体" w:hAnsi="宋体"/>
          <w:szCs w:val="21"/>
          <w:lang w:eastAsia="zh-CN"/>
        </w:rPr>
        <w:t>3.</w:t>
      </w:r>
      <w:r>
        <w:rPr>
          <w:rFonts w:ascii="宋体" w:hAnsi="宋体"/>
          <w:szCs w:val="21"/>
          <w:lang w:eastAsia="zh-CN"/>
        </w:rPr>
        <w:t>1</w:t>
      </w:r>
      <w:r>
        <w:rPr>
          <w:rFonts w:hint="eastAsia" w:ascii="宋体" w:hAnsi="宋体"/>
          <w:szCs w:val="21"/>
          <w:lang w:eastAsia="zh-CN"/>
        </w:rPr>
        <w:t>“采购人”：指利用财政性资金依法进行政府采购的国家机关、事业单位、团体组织；</w:t>
      </w:r>
      <w:r>
        <w:rPr>
          <w:rFonts w:ascii="宋体" w:hAnsi="宋体"/>
          <w:szCs w:val="21"/>
          <w:lang w:eastAsia="zh-CN"/>
        </w:rPr>
        <w:t xml:space="preserve"> </w:t>
      </w:r>
    </w:p>
    <w:p w14:paraId="298992AF">
      <w:pPr>
        <w:ind w:firstLine="470" w:firstLineChars="196"/>
        <w:rPr>
          <w:rFonts w:ascii="宋体" w:hAnsi="宋体"/>
          <w:szCs w:val="21"/>
          <w:lang w:eastAsia="zh-CN"/>
        </w:rPr>
      </w:pPr>
      <w:r>
        <w:rPr>
          <w:rFonts w:hint="eastAsia" w:ascii="宋体" w:hAnsi="宋体"/>
          <w:szCs w:val="21"/>
          <w:lang w:eastAsia="zh-CN"/>
        </w:rPr>
        <w:t>3.2 “政府集中采购机构”</w:t>
      </w:r>
      <w:r>
        <w:rPr>
          <w:rFonts w:hint="eastAsia" w:ascii="Arial" w:hAnsi="Arial" w:cs="Arial"/>
          <w:szCs w:val="21"/>
          <w:shd w:val="clear" w:color="auto" w:fill="FFFFFF"/>
          <w:lang w:eastAsia="zh-CN"/>
        </w:rPr>
        <w:t>是指市政府设立的，组织实施政府采购项目，并对政府采购活动提供服务的专门机构；</w:t>
      </w:r>
      <w:r>
        <w:rPr>
          <w:rFonts w:hint="eastAsia" w:ascii="宋体" w:hAnsi="宋体"/>
          <w:szCs w:val="21"/>
          <w:lang w:eastAsia="zh-CN"/>
        </w:rPr>
        <w:t>本文件所述的“政府集中采购机构”</w:t>
      </w:r>
      <w:r>
        <w:rPr>
          <w:rFonts w:ascii="宋体" w:hAnsi="宋体"/>
          <w:szCs w:val="21"/>
          <w:lang w:eastAsia="zh-CN"/>
        </w:rPr>
        <w:t>指</w:t>
      </w:r>
      <w:r>
        <w:rPr>
          <w:rFonts w:hint="eastAsia" w:ascii="宋体" w:hAnsi="宋体"/>
          <w:b/>
          <w:bCs/>
          <w:szCs w:val="21"/>
          <w:lang w:eastAsia="zh-CN"/>
        </w:rPr>
        <w:t>深圳公共资源交易中心</w:t>
      </w:r>
      <w:r>
        <w:rPr>
          <w:rFonts w:hint="eastAsia" w:ascii="宋体" w:hAnsi="宋体"/>
          <w:szCs w:val="21"/>
          <w:lang w:eastAsia="zh-CN"/>
        </w:rPr>
        <w:t>；</w:t>
      </w:r>
    </w:p>
    <w:p w14:paraId="28D99A41">
      <w:pPr>
        <w:ind w:firstLine="470" w:firstLineChars="196"/>
        <w:rPr>
          <w:rFonts w:ascii="宋体" w:hAnsi="宋体"/>
          <w:szCs w:val="21"/>
          <w:lang w:eastAsia="zh-CN"/>
        </w:rPr>
      </w:pPr>
      <w:r>
        <w:rPr>
          <w:rFonts w:hint="eastAsia" w:ascii="宋体" w:hAnsi="宋体"/>
          <w:szCs w:val="21"/>
          <w:lang w:eastAsia="zh-CN"/>
        </w:rPr>
        <w:t>3.3“投标人”，即供应商，指参加投标竞争并愿意按照招标文件要求向采购人提供货物、工程或者服务的依法成立的法人、其他组织或者自然人；</w:t>
      </w:r>
    </w:p>
    <w:p w14:paraId="387AAF0A">
      <w:pPr>
        <w:ind w:firstLine="470" w:firstLineChars="196"/>
        <w:rPr>
          <w:rFonts w:ascii="宋体" w:hAnsi="宋体"/>
          <w:szCs w:val="21"/>
          <w:lang w:eastAsia="zh-CN"/>
        </w:rPr>
      </w:pPr>
      <w:r>
        <w:rPr>
          <w:rFonts w:hint="eastAsia" w:ascii="宋体" w:hAnsi="宋体"/>
          <w:szCs w:val="21"/>
          <w:lang w:eastAsia="zh-CN"/>
        </w:rPr>
        <w:t>3.4“评审委员会”是依据《深圳经济特区政府采购条例》、《深圳经济特区政府采购条例实施细则》等有关规定组建的专门负责本次招标其评审工作的临时性机构；</w:t>
      </w:r>
    </w:p>
    <w:p w14:paraId="78D7C594">
      <w:pPr>
        <w:ind w:firstLine="470" w:firstLineChars="196"/>
        <w:rPr>
          <w:rFonts w:ascii="宋体" w:hAnsi="宋体"/>
          <w:szCs w:val="21"/>
          <w:lang w:eastAsia="zh-CN"/>
        </w:rPr>
      </w:pPr>
      <w:r>
        <w:rPr>
          <w:rFonts w:hint="eastAsia" w:ascii="宋体" w:hAnsi="宋体"/>
          <w:szCs w:val="21"/>
          <w:lang w:eastAsia="zh-CN"/>
        </w:rPr>
        <w:t>3.5“日期”</w:t>
      </w:r>
      <w:r>
        <w:rPr>
          <w:rFonts w:ascii="宋体" w:hAnsi="宋体"/>
          <w:szCs w:val="21"/>
          <w:lang w:eastAsia="zh-CN"/>
        </w:rPr>
        <w:t>指</w:t>
      </w:r>
      <w:r>
        <w:rPr>
          <w:rFonts w:hint="eastAsia" w:ascii="宋体" w:hAnsi="宋体"/>
          <w:szCs w:val="21"/>
          <w:lang w:eastAsia="zh-CN"/>
        </w:rPr>
        <w:t>公历日；</w:t>
      </w:r>
    </w:p>
    <w:p w14:paraId="2848E9BC">
      <w:pPr>
        <w:ind w:firstLine="470" w:firstLineChars="196"/>
        <w:rPr>
          <w:rFonts w:ascii="宋体" w:hAnsi="宋体"/>
          <w:szCs w:val="21"/>
          <w:lang w:eastAsia="zh-CN"/>
        </w:rPr>
      </w:pPr>
      <w:r>
        <w:rPr>
          <w:rFonts w:hint="eastAsia" w:ascii="宋体" w:hAnsi="宋体"/>
          <w:szCs w:val="21"/>
          <w:lang w:eastAsia="zh-CN"/>
        </w:rPr>
        <w:t>3.6“合同”指由本次招标所产生的合同或合约文件；</w:t>
      </w:r>
    </w:p>
    <w:p w14:paraId="5F3C9B62">
      <w:pPr>
        <w:ind w:firstLine="470"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政府采购业务分公司</w:t>
      </w:r>
      <w:r>
        <w:rPr>
          <w:rFonts w:hint="eastAsia" w:ascii="宋体" w:hAnsi="宋体"/>
          <w:b/>
          <w:bCs/>
          <w:color w:val="FF0000"/>
          <w:szCs w:val="21"/>
        </w:rPr>
        <w:t>）</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56E9C89">
      <w:pPr>
        <w:ind w:firstLine="470" w:firstLineChars="196"/>
        <w:rPr>
          <w:rFonts w:ascii="宋体" w:hAnsi="宋体"/>
          <w:szCs w:val="21"/>
          <w:lang w:eastAsia="zh-CN"/>
        </w:rPr>
      </w:pPr>
      <w:r>
        <w:rPr>
          <w:rFonts w:hint="eastAsia" w:ascii="宋体" w:hAnsi="宋体"/>
          <w:szCs w:val="21"/>
          <w:lang w:eastAsia="zh-CN"/>
        </w:rPr>
        <w:t>3.8“网上投标”指通过</w:t>
      </w:r>
      <w:r>
        <w:rPr>
          <w:rFonts w:hint="eastAsia" w:ascii="宋体" w:hAnsi="宋体"/>
          <w:b/>
          <w:bCs/>
          <w:color w:val="FF0000"/>
          <w:szCs w:val="21"/>
          <w:lang w:eastAsia="zh-CN"/>
        </w:rPr>
        <w:t>深圳公共资源交易中心（深圳交易集团有限公司政府采购业务分公司）</w:t>
      </w:r>
      <w:r>
        <w:rPr>
          <w:rFonts w:hint="eastAsia" w:ascii="宋体" w:hAnsi="宋体"/>
          <w:szCs w:val="21"/>
          <w:lang w:eastAsia="zh-CN"/>
        </w:rPr>
        <w:t>网站上传电子投标文件；</w:t>
      </w:r>
    </w:p>
    <w:p w14:paraId="32F3A7C7">
      <w:pPr>
        <w:ind w:firstLine="470" w:firstLineChars="196"/>
        <w:rPr>
          <w:rFonts w:ascii="宋体" w:hAnsi="宋体"/>
          <w:szCs w:val="21"/>
          <w:lang w:eastAsia="zh-CN"/>
        </w:rPr>
      </w:pPr>
      <w:r>
        <w:rPr>
          <w:rFonts w:hint="eastAsia" w:ascii="宋体" w:hAnsi="宋体"/>
          <w:szCs w:val="21"/>
          <w:lang w:eastAsia="zh-CN"/>
        </w:rPr>
        <w:t>3.9招标文件中的标题或题名仅起引导作用，而不应视为对招标文件内容的理解和解释。</w:t>
      </w:r>
    </w:p>
    <w:p w14:paraId="089E6028">
      <w:pPr>
        <w:rPr>
          <w:rFonts w:hint="eastAsia" w:ascii="黑体" w:hAnsi="宋体" w:eastAsia="黑体"/>
          <w:lang w:eastAsia="zh-CN"/>
        </w:rPr>
      </w:pPr>
      <w:r>
        <w:rPr>
          <w:rFonts w:hint="eastAsia" w:ascii="黑体" w:hAnsi="宋体" w:eastAsia="黑体"/>
          <w:lang w:eastAsia="zh-CN"/>
        </w:rPr>
        <w:t xml:space="preserve">4. </w:t>
      </w:r>
      <w:bookmarkStart w:id="92" w:name="_Hlk72398643"/>
      <w:r>
        <w:rPr>
          <w:rFonts w:hint="eastAsia" w:ascii="黑体" w:hAnsi="宋体" w:eastAsia="黑体"/>
          <w:lang w:eastAsia="zh-CN"/>
        </w:rPr>
        <w:t>政府采购供应商责任</w:t>
      </w:r>
    </w:p>
    <w:p w14:paraId="5B0EFD3E">
      <w:pPr>
        <w:ind w:firstLine="470" w:firstLineChars="196"/>
        <w:rPr>
          <w:rFonts w:ascii="宋体" w:hAnsi="宋体"/>
          <w:szCs w:val="21"/>
          <w:lang w:eastAsia="zh-CN"/>
        </w:rPr>
      </w:pPr>
      <w:r>
        <w:rPr>
          <w:rFonts w:hint="eastAsia" w:ascii="宋体" w:hAnsi="宋体"/>
          <w:szCs w:val="21"/>
          <w:lang w:eastAsia="zh-CN"/>
        </w:rPr>
        <w:t>4.1欢迎诚信、有实力和有社会责任心的供应商参与政府采购事业。</w:t>
      </w:r>
    </w:p>
    <w:p w14:paraId="7A586801">
      <w:pPr>
        <w:ind w:firstLine="470" w:firstLineChars="196"/>
        <w:rPr>
          <w:rFonts w:ascii="宋体" w:hAnsi="宋体"/>
          <w:szCs w:val="21"/>
          <w:lang w:eastAsia="zh-CN"/>
        </w:rPr>
      </w:pPr>
      <w:r>
        <w:rPr>
          <w:rFonts w:hint="eastAsia" w:ascii="宋体" w:hAnsi="宋体"/>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617F85AD">
      <w:pPr>
        <w:rPr>
          <w:rFonts w:hint="eastAsia" w:ascii="黑体" w:hAnsi="宋体" w:eastAsia="黑体"/>
          <w:lang w:eastAsia="zh-CN"/>
        </w:rPr>
      </w:pPr>
      <w:r>
        <w:rPr>
          <w:rFonts w:hint="eastAsia" w:ascii="黑体" w:hAnsi="宋体" w:eastAsia="黑体"/>
          <w:lang w:eastAsia="zh-CN"/>
        </w:rPr>
        <w:t>5．投标人参加政府采购的条件</w:t>
      </w:r>
    </w:p>
    <w:p w14:paraId="498C6400">
      <w:pPr>
        <w:ind w:firstLine="470" w:firstLineChars="196"/>
        <w:rPr>
          <w:rFonts w:ascii="宋体" w:hAnsi="宋体"/>
          <w:szCs w:val="21"/>
        </w:rPr>
      </w:pPr>
      <w:r>
        <w:rPr>
          <w:rFonts w:hint="eastAsia" w:ascii="宋体" w:hAnsi="宋体"/>
          <w:szCs w:val="21"/>
          <w:lang w:eastAsia="zh-CN"/>
        </w:rPr>
        <w:t>5.1投标人应在投标前到</w:t>
      </w:r>
      <w:r>
        <w:rPr>
          <w:rFonts w:hint="eastAsia" w:ascii="宋体" w:hAnsi="宋体"/>
          <w:b/>
          <w:bCs/>
          <w:szCs w:val="21"/>
          <w:lang w:eastAsia="zh-CN"/>
        </w:rPr>
        <w:t>深圳公共资源交易中心（具体在深圳交易集团有限公司政府采购业务分公司进行办理）</w:t>
      </w:r>
      <w:r>
        <w:rPr>
          <w:rFonts w:hint="eastAsia" w:ascii="宋体" w:hAnsi="宋体"/>
          <w:szCs w:val="21"/>
          <w:lang w:eastAsia="zh-CN"/>
        </w:rPr>
        <w:t>进行注册并办理电子密钥。</w:t>
      </w:r>
      <w:r>
        <w:rPr>
          <w:rFonts w:hint="eastAsia" w:ascii="宋体" w:hAnsi="宋体"/>
          <w:szCs w:val="21"/>
        </w:rPr>
        <w:t>《供应商注册及信息变更指引》详见www.szggzy.com网站“交易服务指南-政府采购”</w:t>
      </w:r>
      <w:r>
        <w:rPr>
          <w:rFonts w:hint="eastAsia" w:ascii="宋体" w:hAnsi="宋体"/>
          <w:szCs w:val="21"/>
          <w:lang w:eastAsia="zh-CN"/>
        </w:rPr>
        <w:t>。</w:t>
      </w:r>
      <w:r>
        <w:rPr>
          <w:rFonts w:hint="eastAsia" w:ascii="宋体" w:hAnsi="宋体"/>
          <w:szCs w:val="21"/>
        </w:rPr>
        <w:t>。</w:t>
      </w:r>
    </w:p>
    <w:p w14:paraId="396BE874">
      <w:pPr>
        <w:ind w:firstLine="470" w:firstLineChars="196"/>
        <w:rPr>
          <w:rFonts w:ascii="宋体" w:hAnsi="宋体"/>
          <w:szCs w:val="21"/>
          <w:lang w:eastAsia="zh-CN"/>
        </w:rPr>
      </w:pPr>
      <w:r>
        <w:rPr>
          <w:rFonts w:hint="eastAsia" w:ascii="宋体" w:hAnsi="宋体"/>
          <w:szCs w:val="21"/>
          <w:lang w:eastAsia="zh-CN"/>
        </w:rPr>
        <w:t>5.2投标人资格要求</w:t>
      </w:r>
    </w:p>
    <w:p w14:paraId="418D4FC6">
      <w:pPr>
        <w:ind w:firstLine="470" w:firstLineChars="196"/>
        <w:rPr>
          <w:rFonts w:ascii="宋体" w:hAnsi="宋体"/>
          <w:szCs w:val="21"/>
          <w:lang w:eastAsia="zh-CN"/>
        </w:rPr>
      </w:pPr>
      <w:r>
        <w:rPr>
          <w:rFonts w:hint="eastAsia" w:ascii="宋体" w:hAnsi="宋体"/>
          <w:szCs w:val="21"/>
          <w:lang w:eastAsia="zh-CN"/>
        </w:rPr>
        <w:t>参加本项目的投标人应具备的资格条件详见本项目招标公告中“投标人资格要求”（即申请人的资格要求）的内容。</w:t>
      </w:r>
    </w:p>
    <w:p w14:paraId="298BF733">
      <w:pPr>
        <w:ind w:firstLine="470" w:firstLineChars="196"/>
        <w:rPr>
          <w:rFonts w:ascii="宋体" w:hAnsi="宋体"/>
          <w:szCs w:val="21"/>
          <w:lang w:eastAsia="zh-CN"/>
        </w:rPr>
      </w:pPr>
      <w:r>
        <w:rPr>
          <w:rFonts w:hint="eastAsia" w:ascii="宋体" w:hAnsi="宋体"/>
          <w:szCs w:val="21"/>
          <w:lang w:eastAsia="zh-CN"/>
        </w:rPr>
        <w:t>5.3联合体投标</w:t>
      </w:r>
    </w:p>
    <w:p w14:paraId="3403047D">
      <w:pPr>
        <w:ind w:firstLine="470" w:firstLineChars="196"/>
        <w:rPr>
          <w:rFonts w:ascii="宋体" w:hAnsi="宋体"/>
          <w:szCs w:val="21"/>
          <w:lang w:eastAsia="zh-CN"/>
        </w:rPr>
      </w:pPr>
      <w:r>
        <w:rPr>
          <w:rFonts w:hint="eastAsia" w:ascii="宋体" w:hAnsi="宋体"/>
          <w:szCs w:val="21"/>
          <w:lang w:eastAsia="zh-CN"/>
        </w:rPr>
        <w:t>5.3.1　以下有关联合体投标的条款仅适用于允许投标人组成联合体投标的项目。</w:t>
      </w:r>
    </w:p>
    <w:p w14:paraId="71AE6691">
      <w:pPr>
        <w:ind w:firstLine="470" w:firstLineChars="196"/>
        <w:rPr>
          <w:rFonts w:ascii="宋体" w:hAnsi="宋体"/>
          <w:szCs w:val="21"/>
          <w:lang w:eastAsia="zh-CN"/>
        </w:rPr>
      </w:pPr>
      <w:r>
        <w:rPr>
          <w:rFonts w:hint="eastAsia" w:ascii="宋体" w:hAnsi="宋体"/>
          <w:szCs w:val="21"/>
          <w:lang w:eastAsia="zh-CN"/>
        </w:rPr>
        <w:t>5.3.2  由两个或两个以上的自然人、法人或者其他组织可以组成一个联合体，以一个供应商的身份共同投标时，应符合以下原则：</w:t>
      </w:r>
    </w:p>
    <w:p w14:paraId="6B1CCB7B">
      <w:pPr>
        <w:ind w:firstLine="470" w:firstLineChars="196"/>
        <w:rPr>
          <w:rFonts w:ascii="宋体" w:hAnsi="宋体"/>
          <w:lang w:eastAsia="zh-CN"/>
        </w:rPr>
      </w:pPr>
      <w:r>
        <w:rPr>
          <w:rFonts w:hint="eastAsia" w:ascii="宋体" w:hAnsi="宋体"/>
          <w:lang w:eastAsia="zh-CN"/>
        </w:rPr>
        <w:t>（1）投标联合体各方参加政府采购活动应当具备下列条件：</w:t>
      </w:r>
      <w:r>
        <w:rPr>
          <w:rFonts w:ascii="宋体" w:hAnsi="宋体"/>
          <w:lang w:eastAsia="zh-CN"/>
        </w:rPr>
        <w:t xml:space="preserve"> </w:t>
      </w:r>
    </w:p>
    <w:p w14:paraId="61B9CA6A">
      <w:pPr>
        <w:ind w:left="480" w:leftChars="200" w:firstLine="470" w:firstLineChars="196"/>
        <w:rPr>
          <w:rFonts w:ascii="宋体" w:hAnsi="宋体"/>
          <w:lang w:eastAsia="zh-CN"/>
        </w:rPr>
      </w:pPr>
      <w:r>
        <w:rPr>
          <w:rFonts w:hint="eastAsia" w:ascii="宋体" w:hAnsi="宋体"/>
          <w:lang w:eastAsia="zh-CN"/>
        </w:rPr>
        <w:t>1、具有独立承担民事责任的能力；</w:t>
      </w:r>
      <w:r>
        <w:rPr>
          <w:rFonts w:ascii="宋体" w:hAnsi="宋体"/>
          <w:lang w:eastAsia="zh-CN"/>
        </w:rPr>
        <w:t xml:space="preserve"> </w:t>
      </w:r>
    </w:p>
    <w:p w14:paraId="438F1F34">
      <w:pPr>
        <w:ind w:left="420" w:firstLine="470" w:firstLineChars="196"/>
        <w:rPr>
          <w:rFonts w:ascii="宋体" w:hAnsi="宋体"/>
          <w:lang w:eastAsia="zh-CN"/>
        </w:rPr>
      </w:pPr>
      <w:r>
        <w:rPr>
          <w:rFonts w:hint="eastAsia" w:ascii="宋体" w:hAnsi="宋体"/>
          <w:lang w:eastAsia="zh-CN"/>
        </w:rPr>
        <w:t>2、有良好的商业信誉和健全的财务会计制度；</w:t>
      </w:r>
      <w:r>
        <w:rPr>
          <w:rFonts w:ascii="宋体" w:hAnsi="宋体"/>
          <w:lang w:eastAsia="zh-CN"/>
        </w:rPr>
        <w:t xml:space="preserve"> </w:t>
      </w:r>
    </w:p>
    <w:p w14:paraId="534D70FF">
      <w:pPr>
        <w:ind w:left="480" w:leftChars="200" w:firstLine="470" w:firstLineChars="196"/>
        <w:rPr>
          <w:rFonts w:ascii="宋体" w:hAnsi="宋体"/>
          <w:lang w:eastAsia="zh-CN"/>
        </w:rPr>
      </w:pPr>
      <w:r>
        <w:rPr>
          <w:rFonts w:hint="eastAsia" w:ascii="宋体" w:hAnsi="宋体"/>
          <w:lang w:eastAsia="zh-CN"/>
        </w:rPr>
        <w:t>3、具有履行合同所必需的设备和专业技术能力；</w:t>
      </w:r>
      <w:r>
        <w:rPr>
          <w:rFonts w:ascii="宋体" w:hAnsi="宋体"/>
          <w:lang w:eastAsia="zh-CN"/>
        </w:rPr>
        <w:t xml:space="preserve"> </w:t>
      </w:r>
    </w:p>
    <w:p w14:paraId="459914D9">
      <w:pPr>
        <w:ind w:left="480" w:leftChars="200" w:firstLine="470" w:firstLineChars="196"/>
        <w:rPr>
          <w:rFonts w:ascii="宋体" w:hAnsi="宋体"/>
          <w:lang w:eastAsia="zh-CN"/>
        </w:rPr>
      </w:pPr>
      <w:r>
        <w:rPr>
          <w:rFonts w:hint="eastAsia" w:ascii="宋体" w:hAnsi="宋体"/>
          <w:lang w:eastAsia="zh-CN"/>
        </w:rPr>
        <w:t>4、有依法缴纳税收和社会保障资金的良好记录；</w:t>
      </w:r>
      <w:r>
        <w:rPr>
          <w:rFonts w:ascii="宋体" w:hAnsi="宋体"/>
          <w:lang w:eastAsia="zh-CN"/>
        </w:rPr>
        <w:t xml:space="preserve"> </w:t>
      </w:r>
    </w:p>
    <w:p w14:paraId="734325D2">
      <w:pPr>
        <w:ind w:left="480" w:leftChars="200" w:firstLine="470" w:firstLineChars="196"/>
        <w:rPr>
          <w:rFonts w:ascii="宋体" w:hAnsi="宋体"/>
          <w:lang w:eastAsia="zh-CN"/>
        </w:rPr>
      </w:pPr>
      <w:r>
        <w:rPr>
          <w:rFonts w:hint="eastAsia" w:ascii="宋体" w:hAnsi="宋体"/>
          <w:lang w:eastAsia="zh-CN"/>
        </w:rPr>
        <w:t>5、参加政府采购活动前三年内，在经营活动中没有重大违法记录；</w:t>
      </w:r>
      <w:r>
        <w:rPr>
          <w:rFonts w:ascii="宋体" w:hAnsi="宋体"/>
          <w:lang w:eastAsia="zh-CN"/>
        </w:rPr>
        <w:t xml:space="preserve"> </w:t>
      </w:r>
    </w:p>
    <w:p w14:paraId="7E28EBB5">
      <w:pPr>
        <w:ind w:left="480" w:leftChars="200" w:firstLine="470" w:firstLineChars="196"/>
        <w:rPr>
          <w:rFonts w:ascii="宋体" w:hAnsi="宋体"/>
          <w:lang w:eastAsia="zh-CN"/>
        </w:rPr>
      </w:pPr>
      <w:r>
        <w:rPr>
          <w:rFonts w:hint="eastAsia" w:ascii="宋体" w:hAnsi="宋体"/>
          <w:lang w:eastAsia="zh-CN"/>
        </w:rPr>
        <w:t>6、法律、行政法规规定的其他条件。</w:t>
      </w:r>
      <w:r>
        <w:rPr>
          <w:rFonts w:ascii="宋体" w:hAnsi="宋体"/>
          <w:lang w:eastAsia="zh-CN"/>
        </w:rPr>
        <w:t xml:space="preserve"> </w:t>
      </w:r>
    </w:p>
    <w:p w14:paraId="2CBE20F0">
      <w:pPr>
        <w:ind w:firstLine="470" w:firstLineChars="196"/>
        <w:rPr>
          <w:rFonts w:ascii="宋体" w:hAnsi="宋体"/>
          <w:lang w:eastAsia="zh-CN"/>
        </w:rPr>
      </w:pPr>
      <w:r>
        <w:rPr>
          <w:rFonts w:hint="eastAsia" w:ascii="宋体" w:hAnsi="宋体"/>
          <w:lang w:eastAsia="zh-CN"/>
        </w:rPr>
        <w:t>（2）在投标截止前，投标联合体各方均应注册成政府集中采购机构供应商；</w:t>
      </w:r>
    </w:p>
    <w:p w14:paraId="47986AD4">
      <w:pPr>
        <w:ind w:firstLine="470" w:firstLineChars="196"/>
        <w:rPr>
          <w:rFonts w:ascii="宋体" w:hAnsi="宋体"/>
          <w:lang w:eastAsia="zh-CN"/>
        </w:rPr>
      </w:pPr>
      <w:r>
        <w:rPr>
          <w:rFonts w:hint="eastAsia" w:ascii="宋体" w:hAnsi="宋体"/>
          <w:lang w:eastAsia="zh-CN"/>
        </w:rPr>
        <w:t>（3）联合体中有同类资质的供应商按照联合体分工承担相同工作的，应当按照资质等级较低的供应商确定资质等级；</w:t>
      </w:r>
    </w:p>
    <w:p w14:paraId="64EF0F7B">
      <w:pPr>
        <w:ind w:firstLine="470" w:firstLineChars="196"/>
        <w:rPr>
          <w:lang w:eastAsia="zh-CN"/>
        </w:rPr>
      </w:pPr>
      <w:r>
        <w:rPr>
          <w:rFonts w:hint="eastAsia"/>
          <w:lang w:eastAsia="zh-CN"/>
        </w:rPr>
        <w:t>（4）是否允许联合体参加投标，应当由采购人和采购代理机构根据项目的实际情况和潜在供应商的数量自主决定，如果决定接受联合体投标则应当在招标公告中明示；</w:t>
      </w:r>
    </w:p>
    <w:p w14:paraId="6179600E">
      <w:pPr>
        <w:ind w:firstLine="470" w:firstLineChars="196"/>
        <w:rPr>
          <w:rFonts w:ascii="宋体" w:hAnsi="宋体"/>
          <w:lang w:eastAsia="zh-CN"/>
        </w:rPr>
      </w:pPr>
      <w:r>
        <w:rPr>
          <w:rFonts w:hint="eastAsia" w:ascii="宋体" w:hAnsi="宋体"/>
          <w:lang w:eastAsia="zh-CN"/>
        </w:rPr>
        <w:t>（5）投标人的投标文件及中标后签署的合同协议对联合体各方均具法律约束力；</w:t>
      </w:r>
    </w:p>
    <w:p w14:paraId="686500EE">
      <w:pPr>
        <w:ind w:firstLine="470" w:firstLineChars="196"/>
        <w:rPr>
          <w:rFonts w:ascii="宋体" w:hAnsi="宋体"/>
          <w:lang w:eastAsia="zh-CN"/>
        </w:rPr>
      </w:pPr>
      <w:r>
        <w:rPr>
          <w:rFonts w:hint="eastAsia" w:ascii="宋体" w:hAnsi="宋体"/>
          <w:lang w:eastAsia="zh-CN"/>
        </w:rPr>
        <w:t>（6）联合体各方应当签订联合体投标协议，明确约定各方拟承担的工作和责任，并将该协议随投标文件一并递交给政府集中采购机构；</w:t>
      </w:r>
    </w:p>
    <w:p w14:paraId="3A161944">
      <w:pPr>
        <w:ind w:firstLine="470" w:firstLineChars="196"/>
        <w:rPr>
          <w:rFonts w:ascii="宋体" w:hAnsi="宋体"/>
          <w:lang w:eastAsia="zh-CN"/>
        </w:rPr>
      </w:pPr>
      <w:r>
        <w:rPr>
          <w:rFonts w:hint="eastAsia" w:ascii="宋体" w:hAnsi="宋体"/>
          <w:lang w:eastAsia="zh-CN"/>
        </w:rPr>
        <w:t>（7）联合体中标后，联合体各方应当共同与采购人签订合同，就中标项目向采购人承担连带责任；</w:t>
      </w:r>
    </w:p>
    <w:p w14:paraId="5180F531">
      <w:pPr>
        <w:ind w:firstLine="470" w:firstLineChars="196"/>
        <w:rPr>
          <w:rFonts w:ascii="宋体" w:hAnsi="宋体"/>
          <w:lang w:eastAsia="zh-CN"/>
        </w:rPr>
      </w:pPr>
      <w:r>
        <w:rPr>
          <w:rFonts w:hint="eastAsia" w:ascii="宋体" w:hAnsi="宋体"/>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52D609ED">
      <w:pPr>
        <w:ind w:firstLine="470" w:firstLineChars="196"/>
        <w:rPr>
          <w:rFonts w:ascii="宋体" w:hAnsi="宋体"/>
          <w:szCs w:val="21"/>
          <w:lang w:eastAsia="zh-CN"/>
        </w:rPr>
      </w:pPr>
      <w:r>
        <w:rPr>
          <w:rFonts w:hint="eastAsia" w:ascii="宋体" w:hAnsi="宋体"/>
          <w:lang w:eastAsia="zh-CN"/>
        </w:rPr>
        <w:t>（9）本通用条款中“投标人”一词亦指联合体各方，专用条款另有规定或说明的除外。</w:t>
      </w:r>
    </w:p>
    <w:p w14:paraId="782D71ED">
      <w:pPr>
        <w:rPr>
          <w:rFonts w:hint="eastAsia" w:ascii="黑体" w:hAnsi="宋体" w:eastAsia="黑体"/>
          <w:lang w:eastAsia="zh-CN"/>
        </w:rPr>
      </w:pPr>
      <w:r>
        <w:rPr>
          <w:rFonts w:hint="eastAsia" w:ascii="黑体" w:hAnsi="宋体" w:eastAsia="黑体"/>
          <w:lang w:eastAsia="zh-CN"/>
        </w:rPr>
        <w:t>6．政策导向</w:t>
      </w:r>
    </w:p>
    <w:p w14:paraId="054A62CF">
      <w:pPr>
        <w:ind w:firstLine="470" w:firstLineChars="196"/>
        <w:rPr>
          <w:rFonts w:ascii="宋体" w:hAnsi="宋体"/>
          <w:lang w:eastAsia="zh-CN"/>
        </w:rPr>
      </w:pPr>
      <w:r>
        <w:rPr>
          <w:rFonts w:hint="eastAsia" w:ascii="宋体" w:hAnsi="宋体"/>
          <w:lang w:eastAsia="zh-CN"/>
        </w:rPr>
        <w:t>6.1</w:t>
      </w:r>
      <w:r>
        <w:rPr>
          <w:rFonts w:ascii="宋体" w:hAnsi="宋体"/>
          <w:lang w:eastAsia="zh-CN"/>
        </w:rPr>
        <w:t xml:space="preserve">  </w:t>
      </w:r>
      <w:r>
        <w:rPr>
          <w:rFonts w:hint="eastAsia" w:ascii="宋体" w:hAnsi="宋体"/>
          <w:lang w:eastAsia="zh-CN"/>
        </w:rPr>
        <w:t>政府采购支持本国产品、支持中小企业、监狱企业和残疾人福利性单位发展，支持乡村产业振兴，支持创新、节能减排、绿色环保等。</w:t>
      </w:r>
    </w:p>
    <w:p w14:paraId="390D028C">
      <w:pPr>
        <w:ind w:firstLine="405"/>
        <w:rPr>
          <w:rFonts w:ascii="宋体" w:hAnsi="宋体"/>
          <w:lang w:eastAsia="zh-CN"/>
        </w:rPr>
      </w:pPr>
      <w:r>
        <w:rPr>
          <w:rFonts w:hint="eastAsia" w:ascii="宋体" w:hAnsi="宋体"/>
          <w:lang w:eastAsia="zh-CN"/>
        </w:rPr>
        <w:t>6.2</w:t>
      </w:r>
      <w:r>
        <w:rPr>
          <w:rFonts w:ascii="宋体" w:hAnsi="宋体"/>
          <w:lang w:eastAsia="zh-CN"/>
        </w:rPr>
        <w:t xml:space="preserve">  </w:t>
      </w:r>
      <w:r>
        <w:rPr>
          <w:rFonts w:hint="eastAsia" w:ascii="宋体" w:hAnsi="宋体"/>
          <w:lang w:eastAsia="zh-CN"/>
        </w:rPr>
        <w:t>本项目落实深圳市政府采购供应商诚信管理政策要求。</w:t>
      </w:r>
    </w:p>
    <w:p w14:paraId="7C713D2E">
      <w:pPr>
        <w:ind w:firstLine="405"/>
        <w:rPr>
          <w:rFonts w:eastAsia="宋体"/>
          <w:lang w:eastAsia="zh-CN"/>
        </w:rPr>
      </w:pPr>
      <w:r>
        <w:rPr>
          <w:rFonts w:hint="eastAsia" w:ascii="宋体" w:hAnsi="宋体"/>
          <w:lang w:eastAsia="zh-CN"/>
        </w:rPr>
        <w:t>6.3  本项目支持投标人性别平等的相关政策。</w:t>
      </w:r>
    </w:p>
    <w:p w14:paraId="2886913D">
      <w:pPr>
        <w:rPr>
          <w:rFonts w:hint="eastAsia" w:ascii="黑体" w:hAnsi="宋体" w:eastAsia="黑体"/>
          <w:lang w:eastAsia="zh-CN"/>
        </w:rPr>
      </w:pPr>
      <w:r>
        <w:rPr>
          <w:rFonts w:hint="eastAsia" w:ascii="黑体" w:hAnsi="宋体" w:eastAsia="黑体"/>
          <w:lang w:eastAsia="zh-CN"/>
        </w:rPr>
        <w:t>7. 本项目若涉及采购货物，则合格的货物及相应服务应满足以下要求：</w:t>
      </w:r>
    </w:p>
    <w:p w14:paraId="789FF608">
      <w:pPr>
        <w:ind w:firstLine="470" w:firstLineChars="196"/>
        <w:rPr>
          <w:rFonts w:ascii="宋体" w:hAnsi="宋体"/>
          <w:lang w:eastAsia="zh-CN"/>
        </w:rPr>
      </w:pPr>
      <w:r>
        <w:rPr>
          <w:rFonts w:hint="eastAsia" w:ascii="宋体" w:hAnsi="宋体"/>
          <w:lang w:eastAsia="zh-CN"/>
        </w:rPr>
        <w:t>7</w:t>
      </w:r>
      <w:r>
        <w:rPr>
          <w:rFonts w:ascii="宋体" w:hAnsi="宋体"/>
          <w:lang w:eastAsia="zh-CN"/>
        </w:rPr>
        <w:t xml:space="preserve">.1  </w:t>
      </w:r>
      <w:r>
        <w:rPr>
          <w:rFonts w:hint="eastAsia" w:ascii="宋体" w:hAnsi="宋体"/>
          <w:lang w:eastAsia="zh-CN"/>
        </w:rPr>
        <w:t>必须是全新、未使用过的原装合格正品（包括零部件），如安装或配置了软件的，须为正版软件。</w:t>
      </w:r>
    </w:p>
    <w:p w14:paraId="542AD2B0">
      <w:pPr>
        <w:ind w:firstLine="470" w:firstLineChars="196"/>
        <w:rPr>
          <w:rFonts w:ascii="宋体" w:hAnsi="宋体"/>
          <w:lang w:eastAsia="zh-CN"/>
        </w:rPr>
      </w:pPr>
      <w:r>
        <w:rPr>
          <w:rFonts w:hint="eastAsia" w:ascii="宋体" w:hAnsi="宋体"/>
          <w:lang w:eastAsia="zh-CN"/>
        </w:rPr>
        <w:t>7.2  国产的货物及其有关服务必须符合中华人民共和国的设计、制造生产标准及行业标准。招标公告有其他要求的，亦应符合其要求。</w:t>
      </w:r>
    </w:p>
    <w:p w14:paraId="536039FC">
      <w:pPr>
        <w:ind w:firstLine="470" w:firstLineChars="196"/>
        <w:rPr>
          <w:rFonts w:ascii="宋体" w:hAnsi="宋体"/>
          <w:lang w:eastAsia="zh-CN"/>
        </w:rPr>
      </w:pPr>
      <w:r>
        <w:rPr>
          <w:rFonts w:hint="eastAsia" w:ascii="宋体" w:hAnsi="宋体"/>
          <w:lang w:eastAsia="zh-CN"/>
        </w:rPr>
        <w:t>7</w:t>
      </w:r>
      <w:r>
        <w:rPr>
          <w:rFonts w:ascii="宋体" w:hAnsi="宋体"/>
          <w:lang w:eastAsia="zh-CN"/>
        </w:rPr>
        <w:t>.</w:t>
      </w:r>
      <w:r>
        <w:rPr>
          <w:rFonts w:hint="eastAsia" w:ascii="宋体" w:hAnsi="宋体"/>
          <w:lang w:eastAsia="zh-CN"/>
        </w:rPr>
        <w:t>3</w:t>
      </w:r>
      <w:r>
        <w:rPr>
          <w:rFonts w:ascii="宋体" w:hAnsi="宋体"/>
          <w:lang w:eastAsia="zh-CN"/>
        </w:rPr>
        <w:t xml:space="preserve">  </w:t>
      </w:r>
      <w:r>
        <w:rPr>
          <w:rFonts w:hint="eastAsia" w:ascii="宋体" w:hAnsi="宋体"/>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0EE3865">
      <w:pPr>
        <w:ind w:firstLine="470" w:firstLineChars="196"/>
        <w:rPr>
          <w:rFonts w:ascii="宋体" w:hAnsi="宋体"/>
          <w:lang w:eastAsia="zh-CN"/>
        </w:rPr>
      </w:pPr>
      <w:r>
        <w:rPr>
          <w:rFonts w:hint="eastAsia" w:ascii="宋体" w:hAnsi="宋体"/>
          <w:lang w:eastAsia="zh-CN"/>
        </w:rPr>
        <w:t>7</w:t>
      </w:r>
      <w:r>
        <w:rPr>
          <w:rFonts w:ascii="宋体" w:hAnsi="宋体"/>
          <w:lang w:eastAsia="zh-CN"/>
        </w:rPr>
        <w:t>.</w:t>
      </w:r>
      <w:r>
        <w:rPr>
          <w:rFonts w:hint="eastAsia" w:ascii="宋体" w:hAnsi="宋体"/>
          <w:lang w:eastAsia="zh-CN"/>
        </w:rPr>
        <w:t>4</w:t>
      </w:r>
      <w:r>
        <w:rPr>
          <w:rFonts w:ascii="宋体" w:hAnsi="宋体"/>
          <w:lang w:eastAsia="zh-CN"/>
        </w:rPr>
        <w:t xml:space="preserve">  </w:t>
      </w:r>
      <w:r>
        <w:rPr>
          <w:rFonts w:hint="eastAsia" w:ascii="宋体" w:hAnsi="宋体"/>
          <w:lang w:eastAsia="zh-CN"/>
        </w:rPr>
        <w:t>投标人</w:t>
      </w:r>
      <w:bookmarkStart w:id="93" w:name="_Hlk72152753"/>
      <w:r>
        <w:rPr>
          <w:rFonts w:hint="eastAsia" w:ascii="宋体" w:hAnsi="宋体"/>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3"/>
    </w:p>
    <w:p w14:paraId="6F4D1E1B">
      <w:pPr>
        <w:ind w:firstLine="470" w:firstLineChars="196"/>
        <w:rPr>
          <w:rFonts w:ascii="宋体" w:hAnsi="宋体"/>
          <w:lang w:eastAsia="zh-CN"/>
        </w:rPr>
      </w:pPr>
      <w:r>
        <w:rPr>
          <w:rFonts w:hint="eastAsia" w:ascii="宋体" w:hAnsi="宋体"/>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5B3727C">
      <w:pPr>
        <w:ind w:firstLine="470" w:firstLineChars="196"/>
        <w:rPr>
          <w:rFonts w:ascii="宋体" w:hAnsi="宋体"/>
          <w:lang w:eastAsia="zh-CN"/>
        </w:rPr>
      </w:pPr>
      <w:r>
        <w:rPr>
          <w:rFonts w:hint="eastAsia" w:ascii="宋体" w:hAnsi="宋体"/>
          <w:lang w:eastAsia="zh-CN"/>
        </w:rPr>
        <w:t>7.6  工期要求：投标人在投标时对其所投项目应提交交货进度、交货计划等，在合同规定的时间内完成项目实施工作。</w:t>
      </w:r>
    </w:p>
    <w:p w14:paraId="7158470E">
      <w:pPr>
        <w:ind w:firstLine="470" w:firstLineChars="196"/>
        <w:rPr>
          <w:rFonts w:ascii="宋体" w:hAnsi="宋体"/>
          <w:lang w:eastAsia="zh-CN"/>
        </w:rPr>
      </w:pPr>
      <w:r>
        <w:rPr>
          <w:rFonts w:hint="eastAsia" w:ascii="宋体" w:hAnsi="宋体"/>
          <w:lang w:eastAsia="zh-CN"/>
        </w:rPr>
        <w:t>7.7  投标人必须承担的设备运输、安装调试、验收检测和提供设备操作说明书、图纸等其他相关及类似的义务。</w:t>
      </w:r>
    </w:p>
    <w:p w14:paraId="2B501E24">
      <w:pPr>
        <w:rPr>
          <w:rFonts w:hint="eastAsia" w:ascii="黑体" w:hAnsi="宋体" w:eastAsia="黑体"/>
          <w:lang w:eastAsia="zh-CN"/>
        </w:rPr>
      </w:pPr>
      <w:r>
        <w:rPr>
          <w:rFonts w:hint="eastAsia" w:ascii="黑体" w:hAnsi="宋体" w:eastAsia="黑体"/>
          <w:lang w:eastAsia="zh-CN"/>
        </w:rPr>
        <w:t>8．投标费用</w:t>
      </w:r>
    </w:p>
    <w:p w14:paraId="4438AD92">
      <w:pPr>
        <w:ind w:firstLine="470" w:firstLineChars="196"/>
        <w:rPr>
          <w:rFonts w:ascii="宋体" w:hAnsi="宋体"/>
          <w:szCs w:val="21"/>
          <w:lang w:eastAsia="zh-CN"/>
        </w:rPr>
      </w:pPr>
      <w:r>
        <w:rPr>
          <w:rFonts w:hint="eastAsia" w:ascii="宋体" w:hAnsi="宋体"/>
          <w:szCs w:val="21"/>
          <w:lang w:eastAsia="zh-CN"/>
        </w:rPr>
        <w:t>不论投标结果如何，投标人应承担其编制投标文件与递交投标文件所涉及的一切费用。</w:t>
      </w:r>
    </w:p>
    <w:p w14:paraId="7D12871D">
      <w:pPr>
        <w:rPr>
          <w:rFonts w:hint="eastAsia" w:ascii="黑体" w:hAnsi="宋体" w:eastAsia="黑体"/>
          <w:lang w:eastAsia="zh-CN"/>
        </w:rPr>
      </w:pPr>
      <w:r>
        <w:rPr>
          <w:rFonts w:hint="eastAsia" w:ascii="黑体" w:hAnsi="宋体" w:eastAsia="黑体"/>
          <w:lang w:eastAsia="zh-CN"/>
        </w:rPr>
        <w:t>9．踏勘现场</w:t>
      </w:r>
    </w:p>
    <w:p w14:paraId="72E01202">
      <w:pPr>
        <w:ind w:firstLine="470" w:firstLineChars="196"/>
        <w:rPr>
          <w:rFonts w:ascii="宋体" w:hAnsi="宋体"/>
          <w:szCs w:val="21"/>
          <w:lang w:eastAsia="zh-CN"/>
        </w:rPr>
      </w:pPr>
      <w:r>
        <w:rPr>
          <w:rFonts w:hint="eastAsia" w:ascii="宋体" w:hAnsi="宋体"/>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A6A80B4">
      <w:pPr>
        <w:ind w:firstLine="470" w:firstLineChars="196"/>
        <w:rPr>
          <w:rFonts w:ascii="宋体" w:hAnsi="宋体"/>
          <w:lang w:eastAsia="zh-CN"/>
        </w:rPr>
      </w:pPr>
      <w:r>
        <w:rPr>
          <w:rFonts w:hint="eastAsia" w:ascii="宋体" w:hAnsi="宋体"/>
          <w:lang w:eastAsia="zh-CN"/>
        </w:rPr>
        <w:t>9.2投标人及其人员经过采购人的允许，可以进入采购人的项目现场踏勘。若招标文件要求投标人于统一时间地点踏勘现场的，投标人应当按时前往。</w:t>
      </w:r>
    </w:p>
    <w:p w14:paraId="369B4DC6">
      <w:pPr>
        <w:ind w:firstLine="470" w:firstLineChars="196"/>
        <w:rPr>
          <w:rFonts w:ascii="宋体" w:hAnsi="宋体"/>
          <w:lang w:eastAsia="zh-CN"/>
        </w:rPr>
      </w:pPr>
      <w:r>
        <w:rPr>
          <w:rFonts w:hint="eastAsia" w:ascii="宋体" w:hAnsi="宋体"/>
          <w:lang w:eastAsia="zh-CN"/>
        </w:rPr>
        <w:t>9.3采购人应当通过政府集中采购机构向投标人提供有关现场的书面资料和数据。</w:t>
      </w:r>
    </w:p>
    <w:p w14:paraId="38EFF00E">
      <w:pPr>
        <w:ind w:firstLine="470" w:firstLineChars="196"/>
        <w:rPr>
          <w:rFonts w:ascii="宋体" w:hAnsi="宋体"/>
          <w:lang w:eastAsia="zh-CN"/>
        </w:rPr>
      </w:pPr>
      <w:r>
        <w:rPr>
          <w:rFonts w:hint="eastAsia" w:ascii="宋体" w:hAnsi="宋体"/>
          <w:lang w:eastAsia="zh-CN"/>
        </w:rPr>
        <w:t>9.4任何人或任何组织在踏勘现场时向投标人提供的任何书面资料或口头承诺，未经政府集中采购机构在网上发布或书面通知，均作无效处理。</w:t>
      </w:r>
    </w:p>
    <w:p w14:paraId="1B7747EE">
      <w:pPr>
        <w:ind w:firstLine="470" w:firstLineChars="196"/>
        <w:rPr>
          <w:rFonts w:ascii="宋体" w:hAnsi="宋体"/>
          <w:lang w:eastAsia="zh-CN"/>
        </w:rPr>
      </w:pPr>
      <w:r>
        <w:rPr>
          <w:rFonts w:ascii="宋体" w:hAnsi="宋体"/>
          <w:szCs w:val="21"/>
          <w:lang w:eastAsia="zh-CN"/>
        </w:rPr>
        <w:t>9</w:t>
      </w:r>
      <w:r>
        <w:rPr>
          <w:rFonts w:hint="eastAsia" w:ascii="宋体" w:hAnsi="宋体"/>
          <w:szCs w:val="21"/>
          <w:lang w:eastAsia="zh-CN"/>
        </w:rPr>
        <w:t>.</w:t>
      </w:r>
      <w:r>
        <w:rPr>
          <w:rFonts w:ascii="宋体" w:hAnsi="宋体"/>
          <w:szCs w:val="21"/>
          <w:lang w:eastAsia="zh-CN"/>
        </w:rPr>
        <w:t>5</w:t>
      </w:r>
      <w:r>
        <w:rPr>
          <w:rFonts w:hint="eastAsia" w:ascii="宋体" w:hAnsi="宋体"/>
          <w:szCs w:val="21"/>
          <w:lang w:eastAsia="zh-CN"/>
        </w:rPr>
        <w:t>未参与踏勘现场不作为否定投标人资格的理由。</w:t>
      </w:r>
    </w:p>
    <w:p w14:paraId="202FA8E1">
      <w:pPr>
        <w:rPr>
          <w:rFonts w:ascii="宋体" w:hAnsi="宋体"/>
          <w:szCs w:val="21"/>
          <w:lang w:eastAsia="zh-CN"/>
        </w:rPr>
      </w:pPr>
      <w:r>
        <w:rPr>
          <w:rFonts w:hint="eastAsia" w:ascii="黑体" w:hAnsi="宋体" w:eastAsia="黑体"/>
          <w:lang w:eastAsia="zh-CN"/>
        </w:rPr>
        <w:t>1</w:t>
      </w:r>
      <w:r>
        <w:rPr>
          <w:rFonts w:ascii="黑体" w:hAnsi="宋体" w:eastAsia="黑体"/>
          <w:lang w:eastAsia="zh-CN"/>
        </w:rPr>
        <w:t>0</w:t>
      </w:r>
      <w:r>
        <w:rPr>
          <w:rFonts w:hint="eastAsia" w:ascii="黑体" w:hAnsi="宋体" w:eastAsia="黑体"/>
          <w:lang w:eastAsia="zh-CN"/>
        </w:rPr>
        <w:t>．标前会议</w:t>
      </w:r>
    </w:p>
    <w:p w14:paraId="56911A6E">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0</w:t>
      </w: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B039736">
      <w:pPr>
        <w:ind w:firstLine="470" w:firstLineChars="196"/>
        <w:rPr>
          <w:rFonts w:ascii="宋体" w:hAnsi="宋体"/>
          <w:szCs w:val="21"/>
          <w:lang w:eastAsia="zh-CN"/>
        </w:rPr>
      </w:pPr>
      <w:r>
        <w:rPr>
          <w:rFonts w:ascii="宋体" w:hAnsi="宋体"/>
          <w:lang w:eastAsia="zh-CN"/>
        </w:rPr>
        <w:t>10</w:t>
      </w:r>
      <w:r>
        <w:rPr>
          <w:rFonts w:hint="eastAsia" w:ascii="宋体" w:hAnsi="宋体"/>
          <w:lang w:eastAsia="zh-CN"/>
        </w:rPr>
        <w:t>.</w:t>
      </w:r>
      <w:r>
        <w:rPr>
          <w:rFonts w:ascii="宋体" w:hAnsi="宋体"/>
          <w:lang w:eastAsia="zh-CN"/>
        </w:rPr>
        <w:t>2</w:t>
      </w:r>
      <w:r>
        <w:rPr>
          <w:rFonts w:hint="eastAsia" w:ascii="宋体" w:hAnsi="宋体"/>
          <w:lang w:eastAsia="zh-CN"/>
        </w:rPr>
        <w:t>任何人或任何组织在标前会议时向投标人提供的任何书面资料或口头承诺，未经政府集中采购机构在网上发布或书面通知，均作无效处理。</w:t>
      </w:r>
    </w:p>
    <w:p w14:paraId="796162A3">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0</w:t>
      </w: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未参与标前会议不作为否定投标人资格的理由。</w:t>
      </w:r>
    </w:p>
    <w:bookmarkEnd w:id="92"/>
    <w:p w14:paraId="002BA3D4">
      <w:pPr>
        <w:ind w:firstLine="470" w:firstLineChars="196"/>
        <w:rPr>
          <w:rFonts w:ascii="宋体" w:hAnsi="宋体"/>
          <w:lang w:eastAsia="zh-CN"/>
        </w:rPr>
      </w:pPr>
    </w:p>
    <w:p w14:paraId="1B927ADE">
      <w:pPr>
        <w:pStyle w:val="7"/>
        <w:numPr>
          <w:ilvl w:val="0"/>
          <w:numId w:val="15"/>
        </w:numPr>
        <w:spacing w:before="120" w:beforeLines="50" w:after="120" w:afterLines="50"/>
        <w:ind w:left="562" w:hanging="562"/>
        <w:rPr>
          <w:rFonts w:hint="eastAsia"/>
          <w:sz w:val="28"/>
          <w:szCs w:val="28"/>
        </w:rPr>
      </w:pPr>
      <w:r>
        <w:rPr>
          <w:rFonts w:hint="eastAsia"/>
          <w:sz w:val="28"/>
          <w:szCs w:val="28"/>
        </w:rPr>
        <w:t>招标文件</w:t>
      </w:r>
    </w:p>
    <w:p w14:paraId="042D551B">
      <w:pPr>
        <w:rPr>
          <w:rFonts w:hint="eastAsia" w:ascii="黑体" w:hAnsi="宋体" w:eastAsia="黑体"/>
          <w:lang w:eastAsia="zh-CN"/>
        </w:rPr>
      </w:pPr>
      <w:r>
        <w:rPr>
          <w:rFonts w:hint="eastAsia" w:ascii="黑体" w:hAnsi="宋体" w:eastAsia="黑体"/>
          <w:lang w:eastAsia="zh-CN"/>
        </w:rPr>
        <w:t>1</w:t>
      </w:r>
      <w:r>
        <w:rPr>
          <w:rFonts w:ascii="黑体" w:hAnsi="宋体" w:eastAsia="黑体"/>
          <w:lang w:eastAsia="zh-CN"/>
        </w:rPr>
        <w:t>1</w:t>
      </w:r>
      <w:r>
        <w:rPr>
          <w:rFonts w:hint="eastAsia" w:ascii="黑体" w:hAnsi="宋体" w:eastAsia="黑体"/>
          <w:lang w:eastAsia="zh-CN"/>
        </w:rPr>
        <w:t>．</w:t>
      </w:r>
      <w:bookmarkStart w:id="94" w:name="_Hlk72399819"/>
      <w:r>
        <w:rPr>
          <w:rFonts w:hint="eastAsia" w:ascii="黑体" w:hAnsi="宋体" w:eastAsia="黑体"/>
          <w:lang w:eastAsia="zh-CN"/>
        </w:rPr>
        <w:t>招标文件的编制与组成</w:t>
      </w:r>
    </w:p>
    <w:p w14:paraId="189D8351">
      <w:pPr>
        <w:snapToGrid w:val="0"/>
        <w:ind w:firstLine="480" w:firstLineChars="200"/>
        <w:rPr>
          <w:rFonts w:ascii="宋体" w:hAnsi="宋体"/>
          <w:szCs w:val="21"/>
          <w:lang w:eastAsia="zh-CN"/>
        </w:rPr>
      </w:pP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.1招标文件除以下内容外，政府集中采购机构在招标期间发出的澄清或修改等相关公告或通知内容，均是招标文件的组成部分，对投标人起约束作用；</w:t>
      </w:r>
    </w:p>
    <w:p w14:paraId="3F40858A">
      <w:pPr>
        <w:ind w:firstLine="470" w:firstLineChars="196"/>
        <w:rPr>
          <w:rFonts w:ascii="宋体" w:hAnsi="宋体"/>
          <w:szCs w:val="21"/>
          <w:lang w:eastAsia="zh-CN"/>
        </w:rPr>
      </w:pPr>
      <w:r>
        <w:rPr>
          <w:rFonts w:hint="eastAsia" w:ascii="宋体" w:hAnsi="宋体"/>
          <w:szCs w:val="21"/>
          <w:lang w:eastAsia="zh-CN"/>
        </w:rPr>
        <w:t>招标文件包括下列内容：</w:t>
      </w:r>
    </w:p>
    <w:p w14:paraId="6A674DB7">
      <w:pPr>
        <w:ind w:left="480" w:leftChars="200" w:firstLine="471" w:firstLineChars="196"/>
        <w:rPr>
          <w:rFonts w:ascii="宋体" w:hAnsi="宋体"/>
          <w:b/>
          <w:szCs w:val="21"/>
          <w:lang w:eastAsia="zh-CN"/>
        </w:rPr>
      </w:pPr>
      <w:r>
        <w:rPr>
          <w:rFonts w:hint="eastAsia" w:ascii="宋体" w:hAnsi="宋体"/>
          <w:b/>
          <w:szCs w:val="21"/>
          <w:lang w:eastAsia="zh-CN"/>
        </w:rPr>
        <w:t>第一册  专用条款</w:t>
      </w:r>
    </w:p>
    <w:p w14:paraId="5947E53F">
      <w:pPr>
        <w:ind w:left="1234" w:leftChars="514"/>
        <w:rPr>
          <w:rFonts w:ascii="宋体" w:hAnsi="宋体"/>
          <w:b/>
          <w:szCs w:val="21"/>
          <w:lang w:eastAsia="zh-CN"/>
        </w:rPr>
      </w:pPr>
      <w:r>
        <w:rPr>
          <w:rFonts w:hint="eastAsia" w:ascii="宋体" w:hAnsi="宋体"/>
          <w:b/>
          <w:szCs w:val="21"/>
          <w:lang w:eastAsia="zh-CN"/>
        </w:rPr>
        <w:t>关键信息</w:t>
      </w:r>
    </w:p>
    <w:p w14:paraId="51FF7344">
      <w:pPr>
        <w:ind w:left="720" w:leftChars="300" w:firstLine="470" w:firstLineChars="196"/>
        <w:rPr>
          <w:rFonts w:ascii="宋体" w:hAnsi="宋体"/>
          <w:szCs w:val="21"/>
          <w:lang w:eastAsia="zh-CN"/>
        </w:rPr>
      </w:pPr>
      <w:r>
        <w:rPr>
          <w:rFonts w:hint="eastAsia" w:ascii="宋体" w:hAnsi="宋体"/>
          <w:szCs w:val="21"/>
          <w:lang w:eastAsia="zh-CN"/>
        </w:rPr>
        <w:t>第一章  招标公告</w:t>
      </w:r>
    </w:p>
    <w:p w14:paraId="5B36D7C5">
      <w:pPr>
        <w:ind w:left="720" w:leftChars="300" w:firstLine="470" w:firstLineChars="196"/>
        <w:rPr>
          <w:rFonts w:ascii="宋体" w:hAnsi="宋体"/>
          <w:szCs w:val="21"/>
          <w:lang w:eastAsia="zh-CN"/>
        </w:rPr>
      </w:pPr>
      <w:r>
        <w:rPr>
          <w:rFonts w:hint="eastAsia" w:ascii="宋体" w:hAnsi="宋体"/>
          <w:szCs w:val="21"/>
          <w:lang w:eastAsia="zh-CN"/>
        </w:rPr>
        <w:t>第二章  对通用条款的补充内容及其他关键信息</w:t>
      </w:r>
    </w:p>
    <w:p w14:paraId="228F9A89">
      <w:pPr>
        <w:ind w:left="720" w:leftChars="300" w:firstLine="470" w:firstLineChars="196"/>
        <w:rPr>
          <w:rFonts w:ascii="宋体" w:hAnsi="宋体"/>
          <w:szCs w:val="21"/>
          <w:lang w:eastAsia="zh-CN"/>
        </w:rPr>
      </w:pPr>
      <w:r>
        <w:rPr>
          <w:rFonts w:hint="eastAsia" w:ascii="宋体" w:hAnsi="宋体"/>
          <w:szCs w:val="21"/>
          <w:lang w:eastAsia="zh-CN"/>
        </w:rPr>
        <w:t>第三章  用户需求书</w:t>
      </w:r>
    </w:p>
    <w:p w14:paraId="4C5B9E3A">
      <w:pPr>
        <w:ind w:left="720" w:leftChars="300" w:firstLine="470" w:firstLineChars="196"/>
        <w:rPr>
          <w:rFonts w:ascii="宋体" w:hAnsi="宋体"/>
          <w:szCs w:val="21"/>
          <w:lang w:eastAsia="zh-CN"/>
        </w:rPr>
      </w:pPr>
      <w:r>
        <w:rPr>
          <w:rFonts w:hint="eastAsia"/>
          <w:lang w:eastAsia="zh-CN"/>
        </w:rPr>
        <w:t xml:space="preserve">第四章 </w:t>
      </w:r>
      <w:r>
        <w:rPr>
          <w:lang w:eastAsia="zh-CN"/>
        </w:rPr>
        <w:t xml:space="preserve"> </w:t>
      </w:r>
      <w:r>
        <w:rPr>
          <w:rFonts w:hint="eastAsia"/>
          <w:lang w:eastAsia="zh-CN"/>
        </w:rPr>
        <w:t>投标文件格式及附件</w:t>
      </w:r>
    </w:p>
    <w:p w14:paraId="617F124D">
      <w:pPr>
        <w:ind w:left="720" w:leftChars="300" w:firstLine="470" w:firstLineChars="196"/>
        <w:rPr>
          <w:rFonts w:ascii="宋体" w:hAnsi="宋体"/>
          <w:szCs w:val="21"/>
          <w:lang w:eastAsia="zh-CN"/>
        </w:rPr>
      </w:pPr>
      <w:r>
        <w:rPr>
          <w:rFonts w:hint="eastAsia" w:ascii="宋体" w:hAnsi="宋体"/>
          <w:szCs w:val="21"/>
          <w:lang w:eastAsia="zh-CN"/>
        </w:rPr>
        <w:t>第五章  合同条款及格式</w:t>
      </w:r>
    </w:p>
    <w:p w14:paraId="0337F666">
      <w:pPr>
        <w:ind w:left="480" w:leftChars="200" w:firstLine="471" w:firstLineChars="196"/>
        <w:rPr>
          <w:rFonts w:ascii="宋体" w:hAnsi="宋体"/>
          <w:b/>
          <w:szCs w:val="21"/>
          <w:lang w:eastAsia="zh-CN"/>
        </w:rPr>
      </w:pPr>
      <w:r>
        <w:rPr>
          <w:rFonts w:hint="eastAsia" w:ascii="宋体" w:hAnsi="宋体"/>
          <w:b/>
          <w:szCs w:val="21"/>
          <w:lang w:eastAsia="zh-CN"/>
        </w:rPr>
        <w:t>第二册  通用条款</w:t>
      </w:r>
    </w:p>
    <w:p w14:paraId="084FE20B">
      <w:pPr>
        <w:ind w:left="720" w:leftChars="300" w:firstLine="470" w:firstLineChars="196"/>
        <w:rPr>
          <w:rFonts w:ascii="宋体" w:hAnsi="宋体"/>
          <w:szCs w:val="21"/>
          <w:lang w:eastAsia="zh-CN"/>
        </w:rPr>
      </w:pPr>
      <w:r>
        <w:rPr>
          <w:rFonts w:hint="eastAsia" w:ascii="宋体" w:hAnsi="宋体"/>
          <w:szCs w:val="21"/>
          <w:lang w:eastAsia="zh-CN"/>
        </w:rPr>
        <w:t>第一章  总则</w:t>
      </w:r>
    </w:p>
    <w:p w14:paraId="56F6D5BD">
      <w:pPr>
        <w:ind w:left="720" w:leftChars="300" w:firstLine="470" w:firstLineChars="196"/>
        <w:rPr>
          <w:rFonts w:ascii="宋体" w:hAnsi="宋体"/>
          <w:szCs w:val="21"/>
          <w:lang w:eastAsia="zh-CN"/>
        </w:rPr>
      </w:pPr>
      <w:r>
        <w:rPr>
          <w:rFonts w:hint="eastAsia" w:ascii="宋体" w:hAnsi="宋体"/>
          <w:szCs w:val="21"/>
          <w:lang w:eastAsia="zh-CN"/>
        </w:rPr>
        <w:t>第二章  招标文件</w:t>
      </w:r>
    </w:p>
    <w:p w14:paraId="7EA8DD7B">
      <w:pPr>
        <w:ind w:left="720" w:leftChars="300" w:firstLine="470" w:firstLineChars="196"/>
        <w:rPr>
          <w:rFonts w:ascii="宋体" w:hAnsi="宋体"/>
          <w:szCs w:val="21"/>
          <w:lang w:eastAsia="zh-CN"/>
        </w:rPr>
      </w:pPr>
      <w:r>
        <w:rPr>
          <w:rFonts w:hint="eastAsia" w:ascii="宋体" w:hAnsi="宋体"/>
          <w:szCs w:val="21"/>
          <w:lang w:eastAsia="zh-CN"/>
        </w:rPr>
        <w:t>第三章  投标文件的编制</w:t>
      </w:r>
    </w:p>
    <w:p w14:paraId="33C6476C">
      <w:pPr>
        <w:ind w:left="720" w:leftChars="300" w:firstLine="470" w:firstLineChars="196"/>
        <w:rPr>
          <w:rFonts w:ascii="宋体" w:hAnsi="宋体"/>
          <w:szCs w:val="21"/>
          <w:lang w:eastAsia="zh-CN"/>
        </w:rPr>
      </w:pPr>
      <w:r>
        <w:rPr>
          <w:rFonts w:hint="eastAsia" w:ascii="宋体" w:hAnsi="宋体"/>
          <w:szCs w:val="21"/>
          <w:lang w:eastAsia="zh-CN"/>
        </w:rPr>
        <w:t>第四章  投标文件的递交</w:t>
      </w:r>
    </w:p>
    <w:p w14:paraId="0292DF47">
      <w:pPr>
        <w:ind w:left="720" w:leftChars="300" w:firstLine="470" w:firstLineChars="196"/>
        <w:rPr>
          <w:rFonts w:ascii="宋体" w:hAnsi="宋体"/>
          <w:szCs w:val="21"/>
          <w:lang w:eastAsia="zh-CN"/>
        </w:rPr>
      </w:pPr>
      <w:r>
        <w:rPr>
          <w:rFonts w:hint="eastAsia" w:ascii="宋体" w:hAnsi="宋体"/>
          <w:szCs w:val="21"/>
          <w:lang w:eastAsia="zh-CN"/>
        </w:rPr>
        <w:t>第五章  开标</w:t>
      </w:r>
    </w:p>
    <w:p w14:paraId="13FBA0EB">
      <w:pPr>
        <w:ind w:left="720" w:leftChars="300" w:firstLine="470" w:firstLineChars="196"/>
        <w:rPr>
          <w:rFonts w:ascii="宋体" w:hAnsi="宋体"/>
          <w:szCs w:val="21"/>
          <w:lang w:eastAsia="zh-CN"/>
        </w:rPr>
      </w:pPr>
      <w:r>
        <w:rPr>
          <w:rFonts w:hint="eastAsia" w:ascii="宋体" w:hAnsi="宋体"/>
          <w:szCs w:val="21"/>
          <w:lang w:eastAsia="zh-CN"/>
        </w:rPr>
        <w:t>第六章  评审要求</w:t>
      </w:r>
    </w:p>
    <w:p w14:paraId="31E9C6F9">
      <w:pPr>
        <w:ind w:left="720" w:leftChars="300" w:firstLine="470" w:firstLineChars="196"/>
        <w:rPr>
          <w:rFonts w:ascii="宋体" w:hAnsi="宋体"/>
          <w:szCs w:val="21"/>
          <w:lang w:eastAsia="zh-CN"/>
        </w:rPr>
      </w:pPr>
      <w:r>
        <w:rPr>
          <w:rFonts w:hint="eastAsia" w:ascii="宋体" w:hAnsi="宋体"/>
          <w:szCs w:val="21"/>
          <w:lang w:eastAsia="zh-CN"/>
        </w:rPr>
        <w:t>第七章  评审程序及评审方法</w:t>
      </w:r>
    </w:p>
    <w:p w14:paraId="15EC638A">
      <w:pPr>
        <w:ind w:left="720" w:leftChars="300" w:firstLine="470" w:firstLineChars="196"/>
        <w:rPr>
          <w:rFonts w:ascii="宋体" w:hAnsi="宋体"/>
          <w:szCs w:val="21"/>
          <w:lang w:eastAsia="zh-CN"/>
        </w:rPr>
      </w:pPr>
      <w:r>
        <w:rPr>
          <w:rFonts w:hint="eastAsia" w:ascii="宋体" w:hAnsi="宋体"/>
          <w:szCs w:val="21"/>
          <w:lang w:eastAsia="zh-CN"/>
        </w:rPr>
        <w:t>第八章  定标及公示</w:t>
      </w:r>
    </w:p>
    <w:p w14:paraId="6D838199">
      <w:pPr>
        <w:ind w:left="720" w:leftChars="300" w:firstLine="470" w:firstLineChars="196"/>
        <w:rPr>
          <w:rFonts w:ascii="宋体" w:hAnsi="宋体"/>
          <w:szCs w:val="21"/>
          <w:lang w:eastAsia="zh-CN"/>
        </w:rPr>
      </w:pPr>
      <w:r>
        <w:rPr>
          <w:rFonts w:hint="eastAsia" w:ascii="宋体" w:hAnsi="宋体"/>
          <w:szCs w:val="21"/>
          <w:lang w:eastAsia="zh-CN"/>
        </w:rPr>
        <w:t>第九章  公开招标失败的后续处理</w:t>
      </w:r>
    </w:p>
    <w:p w14:paraId="1724AF91">
      <w:pPr>
        <w:ind w:left="720" w:leftChars="300" w:firstLine="470" w:firstLineChars="196"/>
        <w:rPr>
          <w:rFonts w:ascii="宋体" w:hAnsi="宋体"/>
          <w:szCs w:val="21"/>
          <w:lang w:eastAsia="zh-CN"/>
        </w:rPr>
      </w:pPr>
      <w:r>
        <w:rPr>
          <w:rFonts w:hint="eastAsia" w:ascii="宋体" w:hAnsi="宋体"/>
          <w:szCs w:val="21"/>
          <w:lang w:eastAsia="zh-CN"/>
        </w:rPr>
        <w:t>第十章  合同的授予与备案</w:t>
      </w:r>
    </w:p>
    <w:p w14:paraId="07B36AE0">
      <w:pPr>
        <w:ind w:left="720" w:leftChars="300" w:firstLine="470" w:firstLineChars="196"/>
        <w:rPr>
          <w:rFonts w:ascii="宋体" w:hAnsi="宋体"/>
          <w:szCs w:val="21"/>
          <w:lang w:eastAsia="zh-CN"/>
        </w:rPr>
      </w:pPr>
      <w:r>
        <w:rPr>
          <w:rFonts w:hint="eastAsia" w:ascii="宋体" w:hAnsi="宋体"/>
          <w:szCs w:val="21"/>
          <w:lang w:eastAsia="zh-CN"/>
        </w:rPr>
        <w:t>第十一章  质疑处理</w:t>
      </w:r>
    </w:p>
    <w:p w14:paraId="359C8B20">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1</w:t>
      </w:r>
      <w:r>
        <w:rPr>
          <w:rFonts w:hint="eastAsia" w:ascii="宋体" w:hAnsi="宋体"/>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6AAB926">
      <w:pPr>
        <w:ind w:firstLine="470" w:firstLineChars="196"/>
        <w:rPr>
          <w:rFonts w:ascii="宋体" w:hAnsi="宋体"/>
          <w:szCs w:val="21"/>
          <w:lang w:eastAsia="zh-CN"/>
        </w:rPr>
      </w:pPr>
      <w:r>
        <w:rPr>
          <w:rFonts w:hint="eastAsia" w:ascii="宋体" w:hAnsi="宋体"/>
          <w:szCs w:val="21"/>
          <w:lang w:eastAsia="zh-CN"/>
        </w:rPr>
        <w:t>11.3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7D2FCB6F">
      <w:pPr>
        <w:ind w:firstLine="470" w:firstLineChars="196"/>
        <w:rPr>
          <w:rFonts w:ascii="宋体" w:hAnsi="宋体"/>
          <w:szCs w:val="21"/>
          <w:lang w:eastAsia="zh-CN"/>
        </w:rPr>
      </w:pPr>
      <w:r>
        <w:rPr>
          <w:rFonts w:hint="eastAsia" w:ascii="宋体" w:hAnsi="宋体"/>
          <w:szCs w:val="21"/>
          <w:lang w:eastAsia="zh-CN"/>
        </w:rPr>
        <w:t>11.4招标文件所称“原件备查”，是指在项目产生质疑、投诉等阶段，主管部门、采购人、代理机构、评审委员会等可以要求供应商提供原件进行核查。</w:t>
      </w:r>
    </w:p>
    <w:p w14:paraId="2D040105">
      <w:pPr>
        <w:rPr>
          <w:rFonts w:hint="eastAsia" w:ascii="黑体" w:hAnsi="宋体" w:eastAsia="黑体"/>
          <w:lang w:eastAsia="zh-CN"/>
        </w:rPr>
      </w:pPr>
      <w:r>
        <w:rPr>
          <w:rFonts w:hint="eastAsia" w:ascii="黑体" w:hAnsi="宋体" w:eastAsia="黑体"/>
          <w:lang w:eastAsia="zh-CN"/>
        </w:rPr>
        <w:t>1</w:t>
      </w:r>
      <w:r>
        <w:rPr>
          <w:rFonts w:ascii="黑体" w:hAnsi="宋体" w:eastAsia="黑体"/>
          <w:lang w:eastAsia="zh-CN"/>
        </w:rPr>
        <w:t>2</w:t>
      </w:r>
      <w:r>
        <w:rPr>
          <w:rFonts w:hint="eastAsia" w:ascii="黑体" w:hAnsi="宋体" w:eastAsia="黑体"/>
          <w:lang w:eastAsia="zh-CN"/>
        </w:rPr>
        <w:t>．招标文件的澄清</w:t>
      </w:r>
    </w:p>
    <w:p w14:paraId="6FD7CFA1">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2</w:t>
      </w:r>
      <w:r>
        <w:rPr>
          <w:rFonts w:hint="eastAsia" w:ascii="宋体" w:hAnsi="宋体"/>
          <w:szCs w:val="21"/>
          <w:lang w:eastAsia="zh-CN"/>
        </w:rPr>
        <w:t>.1招标文件澄清的目的是澄清、解答投标人在查阅招标文件后或现场踏勘中可能提出的与投标有关的疑问或询问。</w:t>
      </w:r>
    </w:p>
    <w:p w14:paraId="7D57E9E6">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2</w:t>
      </w:r>
      <w:r>
        <w:rPr>
          <w:rFonts w:hint="eastAsia" w:ascii="宋体" w:hAnsi="宋体"/>
          <w:szCs w:val="21"/>
          <w:lang w:eastAsia="zh-CN"/>
        </w:rPr>
        <w:t>.2投标人如对招标文件内容有疑问，应当在招标公告规定的澄清（提问）截止时间前以网上提问的形式通过网上政府采购系统提交政府集中采购机构。</w:t>
      </w:r>
    </w:p>
    <w:p w14:paraId="258D594C">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2</w:t>
      </w:r>
      <w:r>
        <w:rPr>
          <w:rFonts w:hint="eastAsia" w:ascii="宋体" w:hAnsi="宋体"/>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lang w:eastAsia="zh-CN"/>
        </w:rPr>
        <w:t>3.3</w:t>
      </w:r>
      <w:r>
        <w:rPr>
          <w:rFonts w:hint="eastAsia" w:ascii="宋体" w:hAnsi="宋体"/>
          <w:szCs w:val="21"/>
          <w:lang w:eastAsia="zh-CN"/>
        </w:rPr>
        <w:t>、1</w:t>
      </w:r>
      <w:r>
        <w:rPr>
          <w:rFonts w:ascii="宋体" w:hAnsi="宋体"/>
          <w:szCs w:val="21"/>
          <w:lang w:eastAsia="zh-CN"/>
        </w:rPr>
        <w:t>3.4</w:t>
      </w:r>
      <w:r>
        <w:rPr>
          <w:rFonts w:hint="eastAsia" w:ascii="宋体" w:hAnsi="宋体"/>
          <w:szCs w:val="21"/>
          <w:lang w:eastAsia="zh-CN"/>
        </w:rPr>
        <w:t>款规定执行。</w:t>
      </w:r>
    </w:p>
    <w:p w14:paraId="13691D76">
      <w:pPr>
        <w:rPr>
          <w:rFonts w:hint="eastAsia" w:ascii="黑体" w:hAnsi="宋体" w:eastAsia="黑体"/>
          <w:lang w:eastAsia="zh-CN"/>
        </w:rPr>
      </w:pPr>
      <w:r>
        <w:rPr>
          <w:rFonts w:ascii="黑体" w:hAnsi="宋体" w:eastAsia="黑体"/>
          <w:lang w:eastAsia="zh-CN"/>
        </w:rPr>
        <w:t>1</w:t>
      </w:r>
      <w:r>
        <w:rPr>
          <w:rFonts w:hint="eastAsia" w:ascii="黑体" w:hAnsi="宋体" w:eastAsia="黑体"/>
          <w:lang w:eastAsia="zh-CN"/>
        </w:rPr>
        <w:t>3．招标文件的修改</w:t>
      </w:r>
    </w:p>
    <w:p w14:paraId="4DB5D31D">
      <w:pPr>
        <w:ind w:firstLine="470" w:firstLineChars="196"/>
        <w:rPr>
          <w:rFonts w:ascii="宋体" w:hAnsi="宋体"/>
          <w:szCs w:val="21"/>
          <w:lang w:eastAsia="zh-CN"/>
        </w:rPr>
      </w:pPr>
      <w:r>
        <w:rPr>
          <w:rFonts w:ascii="宋体" w:hAnsi="宋体"/>
          <w:szCs w:val="21"/>
          <w:lang w:eastAsia="zh-CN"/>
        </w:rPr>
        <w:t>1</w:t>
      </w:r>
      <w:r>
        <w:rPr>
          <w:rFonts w:hint="eastAsia" w:ascii="宋体" w:hAnsi="宋体"/>
          <w:szCs w:val="21"/>
          <w:lang w:eastAsia="zh-CN"/>
        </w:rPr>
        <w:t>3.1招标文件发出后，在投标截止日期前任何时候，确需要变更招标文件内容的，政府集中采购机构可主动或在解答投标人提出的澄清问题时对招标文件进行修改。</w:t>
      </w:r>
    </w:p>
    <w:p w14:paraId="7BA98117">
      <w:pPr>
        <w:ind w:firstLine="470" w:firstLineChars="196"/>
        <w:rPr>
          <w:rFonts w:ascii="宋体" w:hAnsi="宋体"/>
          <w:szCs w:val="21"/>
          <w:lang w:eastAsia="zh-CN"/>
        </w:rPr>
      </w:pPr>
      <w:r>
        <w:rPr>
          <w:rFonts w:ascii="宋体" w:hAnsi="宋体"/>
          <w:szCs w:val="21"/>
          <w:lang w:eastAsia="zh-CN"/>
        </w:rPr>
        <w:t>1</w:t>
      </w:r>
      <w:r>
        <w:rPr>
          <w:rFonts w:hint="eastAsia" w:ascii="宋体" w:hAnsi="宋体"/>
          <w:szCs w:val="21"/>
          <w:lang w:eastAsia="zh-CN"/>
        </w:rPr>
        <w:t>3.2招标文件的修改以书面形式（包括政府集中采购机构网站发布方式，如更正公告等）发送给所有投标人，招标文件的修改内容作为招标文件的组成部分，并具有约束力。</w:t>
      </w:r>
    </w:p>
    <w:p w14:paraId="26F24674">
      <w:pPr>
        <w:ind w:firstLine="470" w:firstLineChars="196"/>
        <w:rPr>
          <w:rFonts w:ascii="宋体" w:hAnsi="宋体"/>
          <w:szCs w:val="21"/>
          <w:lang w:eastAsia="zh-CN"/>
        </w:rPr>
      </w:pPr>
      <w:r>
        <w:rPr>
          <w:rFonts w:ascii="宋体" w:hAnsi="宋体"/>
          <w:szCs w:val="21"/>
          <w:lang w:eastAsia="zh-CN"/>
        </w:rPr>
        <w:t>1</w:t>
      </w:r>
      <w:r>
        <w:rPr>
          <w:rFonts w:hint="eastAsia" w:ascii="宋体" w:hAnsi="宋体"/>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1CE01A2">
      <w:pPr>
        <w:ind w:firstLine="470" w:firstLineChars="196"/>
        <w:rPr>
          <w:rFonts w:ascii="宋体" w:hAnsi="宋体"/>
          <w:szCs w:val="21"/>
          <w:lang w:eastAsia="zh-CN"/>
        </w:rPr>
      </w:pPr>
      <w:r>
        <w:rPr>
          <w:rFonts w:ascii="宋体" w:hAnsi="宋体"/>
          <w:szCs w:val="21"/>
          <w:lang w:eastAsia="zh-CN"/>
        </w:rPr>
        <w:t>1</w:t>
      </w:r>
      <w:r>
        <w:rPr>
          <w:rFonts w:hint="eastAsia" w:ascii="宋体" w:hAnsi="宋体"/>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4"/>
    </w:p>
    <w:p w14:paraId="345EBF17">
      <w:pPr>
        <w:rPr>
          <w:rFonts w:ascii="宋体" w:hAnsi="宋体"/>
          <w:szCs w:val="21"/>
          <w:lang w:eastAsia="zh-CN"/>
        </w:rPr>
      </w:pPr>
    </w:p>
    <w:p w14:paraId="1FC1FD23">
      <w:pPr>
        <w:pStyle w:val="7"/>
        <w:numPr>
          <w:ilvl w:val="0"/>
          <w:numId w:val="15"/>
        </w:numPr>
        <w:spacing w:before="120" w:beforeLines="50" w:after="120" w:afterLines="50"/>
        <w:ind w:left="562" w:hanging="562"/>
        <w:rPr>
          <w:rFonts w:hint="eastAsia"/>
          <w:sz w:val="28"/>
          <w:szCs w:val="28"/>
        </w:rPr>
      </w:pPr>
      <w:r>
        <w:rPr>
          <w:rFonts w:hint="eastAsia"/>
          <w:sz w:val="28"/>
          <w:szCs w:val="28"/>
        </w:rPr>
        <w:t>投标文件的编制</w:t>
      </w:r>
    </w:p>
    <w:p w14:paraId="1A182BC5">
      <w:pPr>
        <w:rPr>
          <w:rFonts w:hint="eastAsia" w:ascii="黑体" w:hAnsi="宋体" w:eastAsia="黑体"/>
          <w:lang w:eastAsia="zh-CN"/>
        </w:rPr>
      </w:pPr>
      <w:r>
        <w:rPr>
          <w:rFonts w:hint="eastAsia" w:ascii="黑体" w:hAnsi="宋体" w:eastAsia="黑体"/>
          <w:lang w:eastAsia="zh-CN"/>
        </w:rPr>
        <w:t>14．</w:t>
      </w:r>
      <w:bookmarkStart w:id="95" w:name="_Hlk72400236"/>
      <w:r>
        <w:rPr>
          <w:rFonts w:hint="eastAsia" w:ascii="黑体" w:hAnsi="宋体" w:eastAsia="黑体"/>
          <w:lang w:eastAsia="zh-CN"/>
        </w:rPr>
        <w:t>投标文件的语言及度量单位</w:t>
      </w:r>
    </w:p>
    <w:p w14:paraId="55AE2125">
      <w:pPr>
        <w:ind w:firstLine="470" w:firstLineChars="196"/>
        <w:rPr>
          <w:rFonts w:ascii="宋体" w:hAnsi="宋体"/>
          <w:szCs w:val="21"/>
          <w:lang w:eastAsia="zh-CN"/>
        </w:rPr>
      </w:pPr>
      <w:r>
        <w:rPr>
          <w:rFonts w:hint="eastAsia" w:ascii="宋体" w:hAnsi="宋体"/>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369CEF6">
      <w:pPr>
        <w:ind w:firstLine="470" w:firstLineChars="196"/>
        <w:rPr>
          <w:rFonts w:ascii="宋体" w:hAnsi="宋体"/>
          <w:szCs w:val="21"/>
          <w:lang w:eastAsia="zh-CN"/>
        </w:rPr>
      </w:pPr>
      <w:r>
        <w:rPr>
          <w:rFonts w:hint="eastAsia" w:ascii="宋体" w:hAnsi="宋体"/>
          <w:szCs w:val="21"/>
          <w:lang w:eastAsia="zh-CN"/>
        </w:rPr>
        <w:t>14.2 除技术规范另有规定外，投标文件使用的度量单位，均采用中华人民共和国法定计量单位。</w:t>
      </w:r>
    </w:p>
    <w:bookmarkEnd w:id="95"/>
    <w:p w14:paraId="7431A991">
      <w:pPr>
        <w:rPr>
          <w:rFonts w:hint="eastAsia" w:ascii="黑体" w:hAnsi="宋体" w:eastAsia="黑体"/>
          <w:lang w:eastAsia="zh-CN"/>
        </w:rPr>
      </w:pPr>
      <w:r>
        <w:rPr>
          <w:rFonts w:hint="eastAsia" w:ascii="黑体" w:hAnsi="宋体" w:eastAsia="黑体"/>
          <w:lang w:eastAsia="zh-CN"/>
        </w:rPr>
        <w:t>15．</w:t>
      </w:r>
      <w:bookmarkStart w:id="96" w:name="_Hlk72401567"/>
      <w:r>
        <w:rPr>
          <w:rFonts w:hint="eastAsia" w:ascii="黑体" w:hAnsi="宋体" w:eastAsia="黑体"/>
          <w:lang w:eastAsia="zh-CN"/>
        </w:rPr>
        <w:t>投标文件的组成</w:t>
      </w:r>
    </w:p>
    <w:p w14:paraId="0354EFC1">
      <w:pPr>
        <w:ind w:firstLine="470" w:firstLineChars="196"/>
        <w:rPr>
          <w:rFonts w:ascii="宋体" w:hAnsi="宋体"/>
          <w:szCs w:val="21"/>
          <w:lang w:eastAsia="zh-CN"/>
        </w:rPr>
      </w:pPr>
      <w:r>
        <w:rPr>
          <w:rFonts w:hint="eastAsia" w:ascii="宋体" w:hAnsi="宋体"/>
          <w:szCs w:val="21"/>
          <w:lang w:eastAsia="zh-CN"/>
        </w:rPr>
        <w:t>具体内容在招标文件专用条款中进行规定。</w:t>
      </w:r>
    </w:p>
    <w:p w14:paraId="3A58DD46">
      <w:pPr>
        <w:rPr>
          <w:rFonts w:hint="eastAsia" w:ascii="黑体" w:hAnsi="宋体" w:eastAsia="黑体"/>
          <w:lang w:eastAsia="zh-CN"/>
        </w:rPr>
      </w:pPr>
      <w:r>
        <w:rPr>
          <w:rFonts w:ascii="黑体" w:hAnsi="宋体" w:eastAsia="黑体"/>
          <w:lang w:eastAsia="zh-CN"/>
        </w:rPr>
        <w:t>16．投标文件格式</w:t>
      </w:r>
    </w:p>
    <w:p w14:paraId="6EBB9188">
      <w:pPr>
        <w:ind w:firstLine="470" w:firstLineChars="196"/>
        <w:rPr>
          <w:rFonts w:ascii="宋体" w:hAnsi="宋体"/>
          <w:szCs w:val="21"/>
          <w:lang w:eastAsia="zh-CN"/>
        </w:rPr>
      </w:pPr>
      <w:r>
        <w:rPr>
          <w:rFonts w:hint="eastAsia" w:ascii="宋体" w:hAnsi="宋体"/>
          <w:szCs w:val="21"/>
          <w:lang w:eastAsia="zh-CN"/>
        </w:rPr>
        <w:t>投标文件包括本通用条款第</w:t>
      </w:r>
      <w:r>
        <w:rPr>
          <w:rFonts w:ascii="宋体" w:hAnsi="宋体"/>
          <w:szCs w:val="21"/>
          <w:lang w:eastAsia="zh-CN"/>
        </w:rPr>
        <w:t>15条中规定的内容。如招标文件提供了投标文件格式，则</w:t>
      </w:r>
      <w:r>
        <w:rPr>
          <w:rFonts w:hint="eastAsia" w:ascii="宋体" w:hAnsi="宋体"/>
          <w:b/>
          <w:bCs/>
          <w:szCs w:val="21"/>
          <w:lang w:eastAsia="zh-CN"/>
        </w:rPr>
        <w:t>投标人提交的投标文件应毫无例外地使用招标文件所提供的相应格式</w:t>
      </w:r>
      <w:r>
        <w:rPr>
          <w:rFonts w:hint="eastAsia" w:ascii="宋体" w:hAnsi="宋体"/>
          <w:szCs w:val="21"/>
          <w:lang w:eastAsia="zh-CN"/>
        </w:rPr>
        <w:t>（表格均可按同样格式扩展）。</w:t>
      </w:r>
    </w:p>
    <w:p w14:paraId="3B46B20A">
      <w:pPr>
        <w:rPr>
          <w:rFonts w:hint="eastAsia" w:ascii="黑体" w:hAnsi="宋体" w:eastAsia="黑体"/>
          <w:lang w:eastAsia="zh-CN"/>
        </w:rPr>
      </w:pPr>
      <w:r>
        <w:rPr>
          <w:rFonts w:hint="eastAsia" w:ascii="黑体" w:hAnsi="宋体" w:eastAsia="黑体"/>
          <w:lang w:eastAsia="zh-CN"/>
        </w:rPr>
        <w:t>17．投标货币</w:t>
      </w:r>
    </w:p>
    <w:p w14:paraId="2AA09C44">
      <w:pPr>
        <w:ind w:firstLine="470" w:firstLineChars="196"/>
        <w:rPr>
          <w:rFonts w:ascii="宋体" w:hAnsi="宋体"/>
          <w:szCs w:val="21"/>
          <w:lang w:eastAsia="zh-CN"/>
        </w:rPr>
      </w:pPr>
      <w:r>
        <w:rPr>
          <w:rFonts w:hint="eastAsia" w:ascii="宋体" w:hAnsi="宋体"/>
          <w:szCs w:val="21"/>
          <w:lang w:eastAsia="zh-CN"/>
        </w:rPr>
        <w:t>本项目的投标报价应以人民币计。</w:t>
      </w:r>
    </w:p>
    <w:bookmarkEnd w:id="96"/>
    <w:p w14:paraId="5A1F047B">
      <w:pPr>
        <w:rPr>
          <w:rFonts w:hint="eastAsia" w:ascii="黑体" w:hAnsi="宋体" w:eastAsia="黑体"/>
          <w:lang w:eastAsia="zh-CN"/>
        </w:rPr>
      </w:pPr>
      <w:r>
        <w:rPr>
          <w:rFonts w:hint="eastAsia" w:ascii="黑体" w:hAnsi="宋体" w:eastAsia="黑体"/>
          <w:lang w:eastAsia="zh-CN"/>
        </w:rPr>
        <w:t>18．</w:t>
      </w:r>
      <w:bookmarkStart w:id="97" w:name="_Hlk72401735"/>
      <w:r>
        <w:rPr>
          <w:rFonts w:hint="eastAsia" w:ascii="黑体" w:hAnsi="宋体" w:eastAsia="黑体"/>
          <w:lang w:eastAsia="zh-CN"/>
        </w:rPr>
        <w:t>证明投标文件投标技术方案的合格性和符合招标文件规定的文件要求</w:t>
      </w:r>
    </w:p>
    <w:p w14:paraId="3E3A6B9D">
      <w:pPr>
        <w:ind w:firstLine="470" w:firstLineChars="196"/>
        <w:rPr>
          <w:rFonts w:ascii="宋体" w:hAnsi="宋体"/>
          <w:szCs w:val="21"/>
          <w:lang w:eastAsia="zh-CN"/>
        </w:rPr>
      </w:pPr>
      <w:r>
        <w:rPr>
          <w:rFonts w:hint="eastAsia" w:ascii="宋体" w:hAnsi="宋体"/>
          <w:szCs w:val="21"/>
          <w:lang w:eastAsia="zh-CN"/>
        </w:rPr>
        <w:t>18</w:t>
      </w:r>
      <w:r>
        <w:rPr>
          <w:rFonts w:ascii="宋体" w:hAnsi="宋体"/>
          <w:szCs w:val="21"/>
          <w:lang w:eastAsia="zh-CN"/>
        </w:rPr>
        <w:t xml:space="preserve">.1 </w:t>
      </w:r>
      <w:r>
        <w:rPr>
          <w:rFonts w:hint="eastAsia" w:ascii="宋体" w:hAnsi="宋体"/>
          <w:szCs w:val="21"/>
          <w:lang w:eastAsia="zh-CN"/>
        </w:rPr>
        <w:t>投标人应提交证明文件，证明其投标技术方案项下的货物和服务的合格性符合招标文件规定。该投标技术方案及其证明文件均作为投标文件组成部分。</w:t>
      </w:r>
    </w:p>
    <w:p w14:paraId="60065ED0">
      <w:pPr>
        <w:ind w:firstLine="470" w:firstLineChars="196"/>
        <w:rPr>
          <w:rFonts w:ascii="宋体" w:hAnsi="宋体"/>
          <w:szCs w:val="21"/>
          <w:lang w:eastAsia="zh-CN"/>
        </w:rPr>
      </w:pPr>
      <w:r>
        <w:rPr>
          <w:rFonts w:ascii="宋体" w:hAnsi="宋体"/>
          <w:szCs w:val="21"/>
          <w:lang w:eastAsia="zh-CN"/>
        </w:rPr>
        <w:t>1</w:t>
      </w:r>
      <w:r>
        <w:rPr>
          <w:rFonts w:hint="eastAsia" w:ascii="宋体" w:hAnsi="宋体"/>
          <w:szCs w:val="21"/>
          <w:lang w:eastAsia="zh-CN"/>
        </w:rPr>
        <w:t>8</w:t>
      </w:r>
      <w:r>
        <w:rPr>
          <w:rFonts w:ascii="宋体" w:hAnsi="宋体"/>
          <w:szCs w:val="21"/>
          <w:lang w:eastAsia="zh-CN"/>
        </w:rPr>
        <w:t xml:space="preserve">.2 </w:t>
      </w:r>
      <w:r>
        <w:rPr>
          <w:rFonts w:hint="eastAsia" w:ascii="宋体" w:hAnsi="宋体"/>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B9A5BE8">
      <w:pPr>
        <w:ind w:firstLine="470" w:firstLineChars="196"/>
        <w:rPr>
          <w:rFonts w:ascii="宋体" w:hAnsi="宋体"/>
          <w:szCs w:val="21"/>
          <w:lang w:eastAsia="zh-CN"/>
        </w:rPr>
      </w:pPr>
      <w:r>
        <w:rPr>
          <w:rFonts w:hint="eastAsia" w:ascii="宋体" w:hAnsi="宋体"/>
          <w:szCs w:val="21"/>
          <w:lang w:eastAsia="zh-CN"/>
        </w:rPr>
        <w:t>18.2.1主要技术指标和性能的详细说明。</w:t>
      </w:r>
    </w:p>
    <w:p w14:paraId="5BB445EF">
      <w:pPr>
        <w:ind w:firstLine="470" w:firstLineChars="196"/>
        <w:rPr>
          <w:rFonts w:ascii="宋体" w:hAnsi="宋体"/>
          <w:szCs w:val="21"/>
          <w:lang w:eastAsia="zh-CN"/>
        </w:rPr>
      </w:pPr>
      <w:r>
        <w:rPr>
          <w:rFonts w:hint="eastAsia" w:ascii="宋体" w:hAnsi="宋体"/>
          <w:szCs w:val="21"/>
          <w:lang w:eastAsia="zh-CN"/>
        </w:rPr>
        <w:t>18.2.</w:t>
      </w:r>
      <w:r>
        <w:rPr>
          <w:rFonts w:ascii="宋体" w:hAnsi="宋体"/>
          <w:szCs w:val="21"/>
          <w:lang w:eastAsia="zh-CN"/>
        </w:rPr>
        <w:t>2</w:t>
      </w:r>
      <w:r>
        <w:rPr>
          <w:rFonts w:hint="eastAsia" w:ascii="宋体" w:hAnsi="宋体"/>
          <w:szCs w:val="21"/>
          <w:lang w:eastAsia="zh-CN"/>
        </w:rPr>
        <w:t>投标产品从采购人开始使用至招标文件中规定的周期内正常、连续地使用所必须的备件和专用工具清单，包括备件和专用工具的货源及现行价格。</w:t>
      </w:r>
    </w:p>
    <w:p w14:paraId="28F47740">
      <w:pPr>
        <w:ind w:firstLine="470" w:firstLineChars="196"/>
        <w:rPr>
          <w:rFonts w:ascii="宋体" w:hAnsi="宋体"/>
          <w:szCs w:val="21"/>
          <w:lang w:eastAsia="zh-CN"/>
        </w:rPr>
      </w:pPr>
      <w:r>
        <w:rPr>
          <w:rFonts w:hint="eastAsia" w:ascii="宋体" w:hAnsi="宋体"/>
          <w:szCs w:val="21"/>
          <w:lang w:eastAsia="zh-CN"/>
        </w:rPr>
        <w:t>18.2.</w:t>
      </w:r>
      <w:r>
        <w:rPr>
          <w:rFonts w:ascii="宋体" w:hAnsi="宋体"/>
          <w:szCs w:val="21"/>
          <w:lang w:eastAsia="zh-CN"/>
        </w:rPr>
        <w:t>3</w:t>
      </w:r>
      <w:r>
        <w:rPr>
          <w:rFonts w:hint="eastAsia" w:ascii="宋体" w:hAnsi="宋体"/>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03EFDF8">
      <w:pPr>
        <w:ind w:firstLine="470" w:firstLineChars="196"/>
        <w:rPr>
          <w:rFonts w:ascii="宋体" w:hAnsi="宋体"/>
          <w:szCs w:val="21"/>
          <w:lang w:eastAsia="zh-CN"/>
        </w:rPr>
      </w:pPr>
      <w:r>
        <w:rPr>
          <w:rFonts w:hint="eastAsia" w:ascii="宋体" w:hAnsi="宋体"/>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lang w:eastAsia="zh-CN"/>
        </w:rPr>
        <w:t>清晰度要求能够使用电脑阅读、识别和判断</w:t>
      </w:r>
      <w:r>
        <w:rPr>
          <w:rFonts w:hint="eastAsia" w:ascii="宋体" w:hAnsi="宋体"/>
          <w:szCs w:val="21"/>
          <w:lang w:eastAsia="zh-CN"/>
        </w:rPr>
        <w:t>；</w:t>
      </w:r>
    </w:p>
    <w:p w14:paraId="5633883D">
      <w:pPr>
        <w:ind w:firstLine="470" w:firstLineChars="196"/>
        <w:rPr>
          <w:rFonts w:ascii="宋体" w:hAnsi="宋体"/>
          <w:szCs w:val="21"/>
          <w:lang w:eastAsia="zh-CN"/>
        </w:rPr>
      </w:pPr>
      <w:r>
        <w:rPr>
          <w:rFonts w:hint="eastAsia" w:ascii="宋体" w:hAnsi="宋体"/>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9A6C8C6">
      <w:pPr>
        <w:ind w:firstLine="470" w:firstLineChars="196"/>
        <w:rPr>
          <w:rFonts w:ascii="宋体" w:hAnsi="宋体"/>
          <w:szCs w:val="21"/>
          <w:lang w:eastAsia="zh-CN"/>
        </w:rPr>
      </w:pPr>
      <w:r>
        <w:rPr>
          <w:rFonts w:hint="eastAsia" w:ascii="宋体" w:hAnsi="宋体"/>
          <w:szCs w:val="21"/>
          <w:lang w:eastAsia="zh-CN"/>
        </w:rPr>
        <w:t>18.3相关资料不符合18.2款要求的，评审委员会有权认定为投标技术方案不合格响应，其相关分数予以扣减或作投标无效处理。</w:t>
      </w:r>
    </w:p>
    <w:p w14:paraId="3008A81C">
      <w:pPr>
        <w:ind w:firstLine="470" w:firstLineChars="196"/>
        <w:rPr>
          <w:rFonts w:ascii="宋体" w:hAnsi="宋体"/>
          <w:szCs w:val="21"/>
          <w:lang w:eastAsia="zh-CN"/>
        </w:rPr>
      </w:pPr>
      <w:r>
        <w:rPr>
          <w:rFonts w:ascii="宋体" w:hAnsi="宋体"/>
          <w:szCs w:val="21"/>
          <w:lang w:eastAsia="zh-CN"/>
        </w:rPr>
        <w:t>1</w:t>
      </w:r>
      <w:r>
        <w:rPr>
          <w:rFonts w:hint="eastAsia" w:ascii="宋体" w:hAnsi="宋体"/>
          <w:szCs w:val="21"/>
          <w:lang w:eastAsia="zh-CN"/>
        </w:rPr>
        <w:t>8</w:t>
      </w:r>
      <w:r>
        <w:rPr>
          <w:rFonts w:ascii="宋体" w:hAnsi="宋体"/>
          <w:szCs w:val="21"/>
          <w:lang w:eastAsia="zh-CN"/>
        </w:rPr>
        <w:t>.</w:t>
      </w:r>
      <w:r>
        <w:rPr>
          <w:rFonts w:hint="eastAsia" w:ascii="宋体" w:hAnsi="宋体"/>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lang w:eastAsia="zh-CN"/>
        </w:rPr>
        <w:t>满足要求</w:t>
      </w:r>
      <w:r>
        <w:rPr>
          <w:rFonts w:hint="eastAsia" w:ascii="宋体" w:hAnsi="宋体"/>
          <w:szCs w:val="21"/>
          <w:lang w:eastAsia="zh-CN"/>
        </w:rPr>
        <w:t>，由评审委员会来评判。</w:t>
      </w:r>
    </w:p>
    <w:p w14:paraId="1E16DDE6">
      <w:pPr>
        <w:ind w:firstLine="470" w:firstLineChars="196"/>
        <w:rPr>
          <w:rFonts w:ascii="宋体" w:hAnsi="宋体"/>
          <w:szCs w:val="21"/>
          <w:lang w:eastAsia="zh-CN"/>
        </w:rPr>
      </w:pPr>
      <w:r>
        <w:rPr>
          <w:rFonts w:hint="eastAsia" w:ascii="宋体" w:hAnsi="宋体"/>
          <w:szCs w:val="21"/>
          <w:lang w:eastAsia="zh-CN"/>
        </w:rPr>
        <w:t>18.5除非另有规定或说明，投标人对同一项目投标时，不得同时提供两套或两套以上的投标方案。</w:t>
      </w:r>
    </w:p>
    <w:bookmarkEnd w:id="97"/>
    <w:p w14:paraId="5C75C53E">
      <w:pPr>
        <w:rPr>
          <w:rFonts w:hint="eastAsia" w:ascii="黑体" w:hAnsi="宋体" w:eastAsia="黑体"/>
          <w:lang w:eastAsia="zh-CN"/>
        </w:rPr>
      </w:pPr>
      <w:r>
        <w:rPr>
          <w:rFonts w:hint="eastAsia" w:ascii="黑体" w:hAnsi="宋体" w:eastAsia="黑体"/>
          <w:lang w:eastAsia="zh-CN"/>
        </w:rPr>
        <w:t>19．</w:t>
      </w:r>
      <w:bookmarkStart w:id="98" w:name="_Hlk72402034"/>
      <w:r>
        <w:rPr>
          <w:rFonts w:hint="eastAsia" w:ascii="黑体" w:hAnsi="宋体" w:eastAsia="黑体"/>
          <w:lang w:eastAsia="zh-CN"/>
        </w:rPr>
        <w:t>投标文件其他证明文件的要求</w:t>
      </w:r>
    </w:p>
    <w:p w14:paraId="3C0F1403">
      <w:pPr>
        <w:rPr>
          <w:rFonts w:ascii="宋体" w:hAnsi="宋体"/>
          <w:color w:val="FF0000"/>
          <w:szCs w:val="21"/>
          <w:lang w:eastAsia="zh-CN"/>
        </w:rPr>
      </w:pPr>
      <w:r>
        <w:rPr>
          <w:rFonts w:hint="eastAsia" w:ascii="黑体" w:hAnsi="宋体" w:eastAsia="黑体"/>
          <w:lang w:eastAsia="zh-CN"/>
        </w:rPr>
        <w:t xml:space="preserve">    </w:t>
      </w:r>
      <w:r>
        <w:rPr>
          <w:rFonts w:hint="eastAsia" w:ascii="宋体" w:hAnsi="宋体"/>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9" w:name="_Hlk71407299"/>
      <w:r>
        <w:rPr>
          <w:rFonts w:hint="eastAsia" w:ascii="宋体" w:hAnsi="宋体"/>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9"/>
    <w:p w14:paraId="74B44174">
      <w:pPr>
        <w:ind w:firstLine="470" w:firstLineChars="196"/>
        <w:rPr>
          <w:rFonts w:ascii="宋体" w:hAnsi="宋体"/>
          <w:szCs w:val="21"/>
          <w:lang w:eastAsia="zh-CN"/>
        </w:rPr>
      </w:pPr>
      <w:r>
        <w:rPr>
          <w:rFonts w:hint="eastAsia" w:ascii="宋体" w:hAnsi="宋体"/>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2E0FD81">
      <w:pPr>
        <w:rPr>
          <w:rFonts w:hint="eastAsia" w:ascii="黑体" w:hAnsi="宋体" w:eastAsia="黑体"/>
          <w:lang w:eastAsia="zh-CN"/>
        </w:rPr>
      </w:pPr>
      <w:r>
        <w:rPr>
          <w:rFonts w:hint="eastAsia" w:ascii="黑体" w:hAnsi="宋体" w:eastAsia="黑体"/>
          <w:lang w:eastAsia="zh-CN"/>
        </w:rPr>
        <w:t>20．投标有效期</w:t>
      </w:r>
    </w:p>
    <w:bookmarkEnd w:id="98"/>
    <w:p w14:paraId="48499070">
      <w:pPr>
        <w:ind w:firstLine="470" w:firstLineChars="196"/>
        <w:rPr>
          <w:rFonts w:ascii="宋体" w:hAnsi="宋体"/>
          <w:szCs w:val="21"/>
          <w:lang w:eastAsia="zh-CN"/>
        </w:rPr>
      </w:pPr>
      <w:bookmarkStart w:id="100" w:name="_Hlk72402214"/>
      <w:r>
        <w:rPr>
          <w:rFonts w:hint="eastAsia" w:ascii="宋体" w:hAnsi="宋体"/>
          <w:szCs w:val="21"/>
          <w:lang w:eastAsia="zh-CN"/>
        </w:rPr>
        <w:t>20.1 投标有效期为</w:t>
      </w:r>
      <w:r>
        <w:rPr>
          <w:rFonts w:hint="eastAsia" w:ascii="Arial" w:hAnsi="Arial" w:cs="Arial"/>
          <w:szCs w:val="21"/>
          <w:lang w:eastAsia="zh-CN"/>
        </w:rPr>
        <w:t>从投标截止之日算起的日历天数。</w:t>
      </w:r>
      <w:r>
        <w:rPr>
          <w:rFonts w:hint="eastAsia" w:ascii="宋体" w:hAnsi="宋体"/>
          <w:szCs w:val="21"/>
          <w:lang w:eastAsia="zh-CN"/>
        </w:rPr>
        <w:t>在此期限内，所有投标文件均保持有效。</w:t>
      </w:r>
    </w:p>
    <w:p w14:paraId="217D1504">
      <w:pPr>
        <w:ind w:firstLine="470" w:firstLineChars="196"/>
        <w:rPr>
          <w:rFonts w:ascii="宋体" w:hAnsi="宋体"/>
          <w:szCs w:val="21"/>
          <w:lang w:eastAsia="zh-CN"/>
        </w:rPr>
      </w:pPr>
      <w:r>
        <w:rPr>
          <w:rFonts w:hint="eastAsia" w:ascii="宋体" w:hAnsi="宋体"/>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B681D67">
      <w:pPr>
        <w:ind w:firstLine="470" w:firstLineChars="196"/>
        <w:rPr>
          <w:rFonts w:ascii="宋体" w:hAnsi="宋体"/>
          <w:szCs w:val="21"/>
          <w:lang w:eastAsia="zh-CN"/>
        </w:rPr>
      </w:pPr>
      <w:r>
        <w:rPr>
          <w:rFonts w:hint="eastAsia" w:ascii="宋体" w:hAnsi="宋体"/>
          <w:szCs w:val="21"/>
          <w:lang w:eastAsia="zh-CN"/>
        </w:rPr>
        <w:t>20</w:t>
      </w:r>
      <w:r>
        <w:rPr>
          <w:rFonts w:ascii="宋体" w:hAnsi="宋体"/>
          <w:szCs w:val="21"/>
          <w:lang w:eastAsia="zh-CN"/>
        </w:rPr>
        <w:t>.3</w:t>
      </w:r>
      <w:r>
        <w:rPr>
          <w:rFonts w:hint="eastAsia" w:ascii="宋体" w:hAnsi="宋体"/>
          <w:szCs w:val="21"/>
          <w:lang w:eastAsia="zh-CN"/>
        </w:rPr>
        <w:t xml:space="preserve"> 中标供应商的投标文件有效期，截止于完成本招标文件规定的全部项目内容，并通过竣工验收及保修期结束。</w:t>
      </w:r>
    </w:p>
    <w:bookmarkEnd w:id="100"/>
    <w:p w14:paraId="1243C6D9">
      <w:pPr>
        <w:rPr>
          <w:rFonts w:hint="eastAsia" w:ascii="黑体" w:hAnsi="宋体" w:eastAsia="黑体"/>
          <w:lang w:eastAsia="zh-CN"/>
        </w:rPr>
      </w:pPr>
      <w:r>
        <w:rPr>
          <w:rFonts w:hint="eastAsia" w:ascii="黑体" w:hAnsi="宋体" w:eastAsia="黑体"/>
          <w:lang w:eastAsia="zh-CN"/>
        </w:rPr>
        <w:t>21．</w:t>
      </w:r>
      <w:bookmarkStart w:id="101" w:name="_Hlk72402325"/>
      <w:r>
        <w:rPr>
          <w:rFonts w:hint="eastAsia" w:ascii="黑体" w:hAnsi="宋体" w:eastAsia="黑体"/>
          <w:lang w:eastAsia="zh-CN"/>
        </w:rPr>
        <w:t xml:space="preserve">关于投标保证金 </w:t>
      </w:r>
    </w:p>
    <w:p w14:paraId="68C2C3D0">
      <w:pPr>
        <w:rPr>
          <w:rFonts w:ascii="宋体" w:hAnsi="宋体"/>
          <w:szCs w:val="21"/>
          <w:lang w:eastAsia="zh-CN"/>
        </w:rPr>
      </w:pPr>
      <w:r>
        <w:rPr>
          <w:rFonts w:hint="eastAsia" w:ascii="宋体" w:hAnsi="宋体"/>
          <w:szCs w:val="21"/>
          <w:lang w:eastAsia="zh-CN"/>
        </w:rPr>
        <w:t xml:space="preserve">    21.1</w:t>
      </w:r>
      <w:r>
        <w:rPr>
          <w:rFonts w:hint="eastAsia"/>
          <w:lang w:eastAsia="zh-CN"/>
        </w:rPr>
        <w:t>根据《深圳市财政局关于调整政府采购投标（响应）保证金管理政策的通知》（深财购〔2021〕51号）文的规定，本项目不收取投标保证金。</w:t>
      </w:r>
    </w:p>
    <w:p w14:paraId="07180151">
      <w:pPr>
        <w:rPr>
          <w:rFonts w:hint="eastAsia" w:ascii="黑体" w:hAnsi="宋体" w:eastAsia="黑体"/>
          <w:lang w:eastAsia="zh-CN"/>
        </w:rPr>
      </w:pPr>
      <w:r>
        <w:rPr>
          <w:rFonts w:hint="eastAsia" w:ascii="黑体" w:hAnsi="宋体" w:eastAsia="黑体"/>
          <w:lang w:eastAsia="zh-CN"/>
        </w:rPr>
        <w:t>22．投标人的替代方案</w:t>
      </w:r>
    </w:p>
    <w:p w14:paraId="4E328544">
      <w:pPr>
        <w:ind w:firstLine="470" w:firstLineChars="196"/>
        <w:rPr>
          <w:rFonts w:ascii="宋体" w:hAnsi="宋体"/>
          <w:szCs w:val="21"/>
          <w:lang w:eastAsia="zh-CN"/>
        </w:rPr>
      </w:pPr>
      <w:r>
        <w:rPr>
          <w:rFonts w:hint="eastAsia" w:ascii="宋体" w:hAnsi="宋体"/>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96DC3BA">
      <w:pPr>
        <w:ind w:firstLine="470" w:firstLineChars="196"/>
        <w:rPr>
          <w:rFonts w:ascii="宋体" w:hAnsi="宋体"/>
          <w:szCs w:val="21"/>
          <w:lang w:eastAsia="zh-CN"/>
        </w:rPr>
      </w:pPr>
      <w:r>
        <w:rPr>
          <w:rFonts w:hint="eastAsia" w:ascii="宋体" w:hAnsi="宋体"/>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1"/>
    <w:p w14:paraId="7F6358BD">
      <w:pPr>
        <w:rPr>
          <w:rFonts w:hint="eastAsia" w:ascii="黑体" w:hAnsi="宋体" w:eastAsia="黑体"/>
          <w:lang w:eastAsia="zh-CN"/>
        </w:rPr>
      </w:pPr>
      <w:r>
        <w:rPr>
          <w:rFonts w:hint="eastAsia" w:ascii="黑体" w:hAnsi="宋体" w:eastAsia="黑体"/>
          <w:lang w:eastAsia="zh-CN"/>
        </w:rPr>
        <w:t>23．</w:t>
      </w:r>
      <w:bookmarkStart w:id="102" w:name="_Hlk72402860"/>
      <w:r>
        <w:rPr>
          <w:rFonts w:ascii="黑体" w:hAnsi="宋体" w:eastAsia="黑体"/>
          <w:lang w:eastAsia="zh-CN"/>
        </w:rPr>
        <w:t>投标文件的</w:t>
      </w:r>
      <w:r>
        <w:rPr>
          <w:rFonts w:hint="eastAsia" w:ascii="黑体" w:hAnsi="宋体" w:eastAsia="黑体"/>
          <w:lang w:eastAsia="zh-CN"/>
        </w:rPr>
        <w:t>制作</w:t>
      </w:r>
      <w:r>
        <w:rPr>
          <w:rFonts w:ascii="黑体" w:hAnsi="宋体" w:eastAsia="黑体"/>
          <w:lang w:eastAsia="zh-CN"/>
        </w:rPr>
        <w:t>要求</w:t>
      </w:r>
    </w:p>
    <w:p w14:paraId="7D90D146">
      <w:pPr>
        <w:ind w:firstLine="470" w:firstLineChars="196"/>
        <w:rPr>
          <w:rFonts w:ascii="宋体" w:hAnsi="宋体"/>
          <w:lang w:eastAsia="zh-CN"/>
        </w:rPr>
      </w:pPr>
      <w:r>
        <w:rPr>
          <w:rFonts w:hint="eastAsia" w:ascii="宋体" w:hAnsi="宋体"/>
          <w:lang w:eastAsia="zh-CN"/>
        </w:rPr>
        <w:t>23.1投标人应准备所投项目的电子投标文件一份。此电子投标文件须由投标人根据政府集中采购机构提供的后缀名为.</w:t>
      </w:r>
      <w:r>
        <w:rPr>
          <w:lang w:eastAsia="zh-CN"/>
        </w:rPr>
        <w:t xml:space="preserve"> </w:t>
      </w:r>
      <w:r>
        <w:rPr>
          <w:rFonts w:ascii="宋体" w:hAnsi="宋体"/>
          <w:lang w:eastAsia="zh-CN"/>
        </w:rPr>
        <w:t>szczf</w:t>
      </w:r>
      <w:r>
        <w:rPr>
          <w:rFonts w:hint="eastAsia" w:ascii="宋体" w:hAnsi="宋体"/>
          <w:lang w:eastAsia="zh-CN"/>
        </w:rPr>
        <w:t>的电子招标文件，下载并使用相应的深圳智慧采购平台投标文件制作专用软件打开招标文件（.szczf格式）【下载地址：</w:t>
      </w:r>
      <w:r>
        <w:rPr>
          <w:rFonts w:ascii="宋体" w:hAnsi="宋体"/>
          <w:lang w:eastAsia="zh-CN"/>
        </w:rPr>
        <w:t>http://zfcg.szggzy.com:8081/cgxy/013002/list.html</w:t>
      </w:r>
      <w:r>
        <w:rPr>
          <w:rFonts w:hint="eastAsia" w:ascii="宋体" w:hAnsi="宋体"/>
          <w:lang w:eastAsia="zh-CN"/>
        </w:rPr>
        <w:t>】。</w:t>
      </w:r>
    </w:p>
    <w:p w14:paraId="26624BE5">
      <w:pPr>
        <w:ind w:firstLine="470" w:firstLineChars="196"/>
        <w:rPr>
          <w:rFonts w:ascii="宋体" w:hAnsi="宋体"/>
          <w:lang w:eastAsia="zh-CN"/>
        </w:rPr>
      </w:pPr>
      <w:r>
        <w:rPr>
          <w:rFonts w:hint="eastAsia" w:ascii="宋体" w:hAnsi="宋体"/>
          <w:lang w:eastAsia="zh-CN"/>
        </w:rPr>
        <w:t>23.2投标人在使用《投标书编制软件》编制投标书时须注意：</w:t>
      </w:r>
    </w:p>
    <w:p w14:paraId="3B2F0568">
      <w:pPr>
        <w:ind w:firstLine="470" w:firstLineChars="196"/>
        <w:rPr>
          <w:rFonts w:ascii="宋体" w:hAnsi="宋体"/>
          <w:lang w:eastAsia="zh-CN"/>
        </w:rPr>
      </w:pPr>
      <w:r>
        <w:rPr>
          <w:rFonts w:hint="eastAsia" w:ascii="宋体" w:hAnsi="宋体"/>
          <w:lang w:eastAsia="zh-CN"/>
        </w:rPr>
        <w:t>23.2.1导入《投标书编制软件》的招标文件项目编号、包号应与以此制作的投标文件项目编号、包号一致。例如，不能将甲项目A包的招标书导入《投标书编制软件》，制作乙项目B包的投标书。</w:t>
      </w:r>
    </w:p>
    <w:p w14:paraId="66E09CEF">
      <w:pPr>
        <w:ind w:firstLine="470" w:firstLineChars="196"/>
        <w:rPr>
          <w:rFonts w:ascii="宋体" w:hAnsi="宋体"/>
          <w:lang w:eastAsia="zh-CN"/>
        </w:rPr>
      </w:pPr>
      <w:r>
        <w:rPr>
          <w:rFonts w:hint="eastAsia" w:ascii="宋体" w:hAnsi="宋体"/>
          <w:lang w:eastAsia="zh-CN"/>
        </w:rPr>
        <w:t>23.2.2不能用非本公司的电子密钥加密本公司的投标文件，或者用其它公司的登录用户上传本公司的投标文件。</w:t>
      </w:r>
    </w:p>
    <w:p w14:paraId="5201FC50">
      <w:pPr>
        <w:ind w:firstLine="470" w:firstLineChars="196"/>
        <w:rPr>
          <w:rFonts w:ascii="宋体" w:hAnsi="宋体"/>
          <w:lang w:eastAsia="zh-CN"/>
        </w:rPr>
      </w:pPr>
      <w:r>
        <w:rPr>
          <w:rFonts w:hint="eastAsia" w:ascii="宋体" w:hAnsi="宋体"/>
          <w:lang w:eastAsia="zh-CN"/>
        </w:rPr>
        <w:t>23.2.3要求用《投标书编制软件》编制投标书的包，不能用其它方式编制投标书。编制投标文件时，电脑须连通互联网。</w:t>
      </w:r>
    </w:p>
    <w:p w14:paraId="5E58FD49">
      <w:pPr>
        <w:ind w:firstLine="470" w:firstLineChars="196"/>
        <w:rPr>
          <w:rFonts w:ascii="宋体" w:hAnsi="宋体"/>
          <w:lang w:eastAsia="zh-CN"/>
        </w:rPr>
      </w:pPr>
      <w:r>
        <w:rPr>
          <w:rFonts w:hint="eastAsia" w:ascii="宋体" w:hAnsi="宋体"/>
          <w:lang w:eastAsia="zh-CN"/>
        </w:rPr>
        <w:t>23.2.4投标文件不能带病毒。政府集中采购机构将用专业杀毒软件对投标文件进行病毒检测，如果这两种软件均报告发现病毒，则政府集中采购机构认为该投标文件带病毒。</w:t>
      </w:r>
    </w:p>
    <w:p w14:paraId="39708530">
      <w:pPr>
        <w:ind w:firstLine="470" w:firstLineChars="196"/>
        <w:rPr>
          <w:rFonts w:ascii="宋体" w:hAnsi="宋体"/>
          <w:lang w:eastAsia="zh-CN"/>
        </w:rPr>
      </w:pPr>
      <w:r>
        <w:rPr>
          <w:rFonts w:hint="eastAsia" w:ascii="宋体" w:hAnsi="宋体"/>
          <w:lang w:eastAsia="zh-CN"/>
        </w:rPr>
        <w:t>23.2.5完整填写“投标关键信息”，如下图所示：</w:t>
      </w:r>
    </w:p>
    <w:p w14:paraId="74FD6E6C">
      <w:pPr>
        <w:ind w:firstLine="470" w:firstLineChars="196"/>
        <w:rPr>
          <w:rFonts w:ascii="宋体" w:hAnsi="宋体"/>
        </w:rPr>
      </w:pPr>
      <w:r>
        <w:rPr>
          <w:rFonts w:ascii="宋体" w:hAnsi="宋体"/>
        </w:rPr>
        <w:drawing>
          <wp:inline distT="0" distB="0" distL="0" distR="0">
            <wp:extent cx="5278755" cy="2721610"/>
            <wp:effectExtent l="0" t="0" r="17145" b="2540"/>
            <wp:docPr id="2"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应用程序&#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58E6BE01">
      <w:pPr>
        <w:ind w:firstLine="471" w:firstLineChars="196"/>
        <w:rPr>
          <w:rFonts w:ascii="宋体" w:hAnsi="宋体"/>
          <w:b/>
          <w:lang w:eastAsia="zh-CN"/>
        </w:rPr>
      </w:pPr>
      <w:r>
        <w:rPr>
          <w:rFonts w:hint="eastAsia" w:ascii="宋体" w:hAnsi="宋体"/>
          <w:b/>
          <w:lang w:eastAsia="zh-CN"/>
        </w:rPr>
        <w:t>备注：上述“开标一览表”中的“投标报价”将作为价格分计算依据；其它信息仅是对投标文件相关内容的概括性表述，不作为评审依据。</w:t>
      </w:r>
    </w:p>
    <w:p w14:paraId="476355D2">
      <w:pPr>
        <w:ind w:firstLine="470" w:firstLineChars="196"/>
        <w:rPr>
          <w:rFonts w:ascii="宋体" w:hAnsi="宋体"/>
          <w:lang w:eastAsia="zh-CN"/>
        </w:rPr>
      </w:pPr>
      <w:r>
        <w:rPr>
          <w:rFonts w:hint="eastAsia" w:ascii="宋体" w:hAnsi="宋体"/>
          <w:lang w:eastAsia="zh-CN"/>
        </w:rPr>
        <w:t>23.2.6投标人在编辑投标文件时，</w:t>
      </w:r>
      <w:r>
        <w:rPr>
          <w:rFonts w:hint="eastAsia" w:ascii="宋体" w:hAnsi="宋体"/>
          <w:b/>
          <w:lang w:eastAsia="zh-CN"/>
        </w:rPr>
        <w:t>在投标文件目录中属于本节点内容的必须在本节点中填写，填写到其他节点或附件，</w:t>
      </w:r>
      <w:r>
        <w:rPr>
          <w:rFonts w:hint="eastAsia" w:ascii="宋体" w:hAnsi="宋体"/>
          <w:lang w:eastAsia="zh-CN"/>
        </w:rPr>
        <w:t>一切后果由供应商自行承担。</w:t>
      </w:r>
    </w:p>
    <w:p w14:paraId="2994C265">
      <w:pPr>
        <w:ind w:firstLine="470" w:firstLineChars="196"/>
        <w:rPr>
          <w:rFonts w:ascii="宋体" w:hAnsi="宋体"/>
          <w:lang w:eastAsia="zh-CN"/>
        </w:rPr>
      </w:pPr>
      <w:r>
        <w:rPr>
          <w:rFonts w:hint="eastAsia" w:ascii="宋体" w:hAnsi="宋体"/>
          <w:lang w:eastAsia="zh-CN"/>
        </w:rPr>
        <w:t>23.2.7投标文件编写完成后，</w:t>
      </w:r>
      <w:r>
        <w:rPr>
          <w:rFonts w:hint="eastAsia" w:ascii="宋体" w:hAnsi="宋体"/>
          <w:b/>
          <w:lang w:eastAsia="zh-CN"/>
        </w:rPr>
        <w:t>必须用属于投标人的电子密钥或电子营业执照进行加密，否则视同未盖公章，将导致投标文件无效。</w:t>
      </w:r>
    </w:p>
    <w:p w14:paraId="1B005A74">
      <w:pPr>
        <w:ind w:firstLine="470" w:firstLineChars="196"/>
        <w:rPr>
          <w:rFonts w:ascii="宋体" w:hAnsi="宋体"/>
          <w:lang w:eastAsia="zh-CN"/>
        </w:rPr>
      </w:pPr>
      <w:r>
        <w:rPr>
          <w:rFonts w:hint="eastAsia" w:ascii="宋体" w:hAnsi="宋体"/>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6E6FF4A">
      <w:pPr>
        <w:ind w:firstLine="470" w:firstLineChars="196"/>
        <w:rPr>
          <w:rFonts w:ascii="宋体" w:hAnsi="宋体"/>
          <w:lang w:eastAsia="zh-CN"/>
        </w:rPr>
      </w:pPr>
      <w:r>
        <w:rPr>
          <w:rFonts w:hint="eastAsia" w:ascii="宋体" w:hAnsi="宋体"/>
          <w:lang w:eastAsia="zh-CN"/>
        </w:rPr>
        <w:t>23.2.9如果开标时出现网络故障、技术故障，影响了政府采购活动，政府集中采购机构有权采取措施如延期、接受无法从网上上传的投标书等，以保障政府采购活动的公开、公平和公正。</w:t>
      </w:r>
    </w:p>
    <w:p w14:paraId="5785CD81">
      <w:pPr>
        <w:ind w:firstLine="470" w:firstLineChars="196"/>
        <w:rPr>
          <w:rFonts w:ascii="宋体" w:hAnsi="宋体"/>
          <w:lang w:eastAsia="zh-CN"/>
        </w:rPr>
      </w:pPr>
      <w:r>
        <w:rPr>
          <w:rFonts w:hint="eastAsia" w:ascii="宋体" w:hAnsi="宋体"/>
          <w:lang w:eastAsia="zh-CN"/>
        </w:rPr>
        <w:t>23.3电报、电话、传真形式的投标概不接受。</w:t>
      </w:r>
    </w:p>
    <w:p w14:paraId="2E4F4C1B">
      <w:pPr>
        <w:ind w:firstLine="471" w:firstLineChars="196"/>
        <w:rPr>
          <w:rFonts w:ascii="宋体" w:hAnsi="宋体"/>
          <w:b/>
          <w:lang w:eastAsia="zh-CN"/>
        </w:rPr>
      </w:pPr>
      <w:r>
        <w:rPr>
          <w:rFonts w:hint="eastAsia" w:ascii="宋体" w:hAnsi="宋体"/>
          <w:b/>
          <w:lang w:eastAsia="zh-CN"/>
        </w:rPr>
        <w:t>23.4经投标人电子密钥或电子营业执照加密的投标文件无须盖章或签字，</w:t>
      </w:r>
      <w:r>
        <w:rPr>
          <w:rFonts w:hint="eastAsia" w:ascii="宋体" w:hAnsi="宋体"/>
          <w:lang w:eastAsia="zh-CN"/>
        </w:rPr>
        <w:t>专用条款另有要求的除外。</w:t>
      </w:r>
    </w:p>
    <w:p w14:paraId="68753B8A">
      <w:pPr>
        <w:ind w:firstLine="470" w:firstLineChars="196"/>
        <w:rPr>
          <w:rFonts w:ascii="宋体" w:hAnsi="宋体"/>
          <w:lang w:eastAsia="zh-CN"/>
        </w:rPr>
      </w:pPr>
      <w:r>
        <w:rPr>
          <w:rFonts w:hint="eastAsia" w:ascii="宋体" w:hAnsi="宋体"/>
          <w:bCs/>
          <w:lang w:eastAsia="zh-CN"/>
        </w:rPr>
        <w:t xml:space="preserve">23.5 </w:t>
      </w:r>
      <w:r>
        <w:rPr>
          <w:rFonts w:hint="eastAsia" w:ascii="宋体" w:hAnsi="宋体"/>
          <w:lang w:eastAsia="zh-CN"/>
        </w:rPr>
        <w:t>各类资格（资质）文件提供扫描件，专用条款另有要求的除外。</w:t>
      </w:r>
      <w:bookmarkEnd w:id="102"/>
    </w:p>
    <w:p w14:paraId="4553D41B">
      <w:pPr>
        <w:ind w:firstLine="470" w:firstLineChars="196"/>
        <w:rPr>
          <w:rFonts w:ascii="宋体" w:hAnsi="宋体"/>
          <w:szCs w:val="21"/>
          <w:lang w:eastAsia="zh-CN"/>
        </w:rPr>
      </w:pPr>
    </w:p>
    <w:p w14:paraId="03E86D6A">
      <w:pPr>
        <w:pStyle w:val="7"/>
        <w:numPr>
          <w:ilvl w:val="0"/>
          <w:numId w:val="15"/>
        </w:numPr>
        <w:spacing w:before="120" w:beforeLines="50" w:after="120" w:afterLines="50"/>
        <w:ind w:left="562" w:hanging="562"/>
        <w:rPr>
          <w:rFonts w:hint="eastAsia"/>
          <w:sz w:val="28"/>
          <w:szCs w:val="28"/>
        </w:rPr>
      </w:pPr>
      <w:r>
        <w:rPr>
          <w:rFonts w:hint="eastAsia"/>
          <w:sz w:val="28"/>
          <w:szCs w:val="28"/>
        </w:rPr>
        <w:t>投标文件的递交</w:t>
      </w:r>
    </w:p>
    <w:p w14:paraId="082695A0">
      <w:pPr>
        <w:rPr>
          <w:rFonts w:hint="eastAsia" w:ascii="黑体" w:hAnsi="宋体" w:eastAsia="黑体"/>
        </w:rPr>
      </w:pPr>
      <w:bookmarkStart w:id="103" w:name="_Hlk72405459"/>
      <w:r>
        <w:rPr>
          <w:rFonts w:hint="eastAsia" w:ascii="黑体" w:hAnsi="宋体" w:eastAsia="黑体"/>
        </w:rPr>
        <w:t>24．投标文件的保密</w:t>
      </w:r>
    </w:p>
    <w:p w14:paraId="055E2202">
      <w:pPr>
        <w:ind w:firstLine="470" w:firstLineChars="196"/>
        <w:rPr>
          <w:rFonts w:ascii="宋体" w:hAnsi="宋体"/>
          <w:lang w:eastAsia="zh-CN"/>
        </w:rPr>
      </w:pPr>
      <w:r>
        <w:rPr>
          <w:rFonts w:hint="eastAsia" w:ascii="宋体" w:hAnsi="宋体"/>
          <w:lang w:eastAsia="zh-CN"/>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投标截止时间后才能解密查看。在加密过程中，请按照软件提示进行操作。加密界面如下图所示：</w:t>
      </w:r>
    </w:p>
    <w:p w14:paraId="258C0D6A">
      <w:pPr>
        <w:rPr>
          <w:rFonts w:ascii="宋体" w:hAnsi="宋体" w:cs="宋体"/>
        </w:rPr>
      </w:pPr>
      <w:r>
        <w:rPr>
          <w:rFonts w:ascii="宋体" w:hAnsi="宋体"/>
        </w:rPr>
        <w:drawing>
          <wp:inline distT="0" distB="0" distL="0" distR="0">
            <wp:extent cx="5278755" cy="2721610"/>
            <wp:effectExtent l="0" t="0" r="17145" b="2540"/>
            <wp:docPr id="5" name="图片 5"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用户界面, 应用程序&#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1C1B6252">
      <w:pPr>
        <w:ind w:firstLine="480" w:firstLineChars="200"/>
      </w:pPr>
    </w:p>
    <w:p w14:paraId="1013E140">
      <w:r>
        <w:rPr>
          <w:rFonts w:ascii="宋体" w:hAnsi="宋体"/>
        </w:rPr>
        <w:drawing>
          <wp:inline distT="0" distB="0" distL="0" distR="0">
            <wp:extent cx="5278755" cy="2732405"/>
            <wp:effectExtent l="0" t="0" r="17145" b="10795"/>
            <wp:docPr id="9" name="图片 9"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10;&#10;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34BA5961">
      <w:pPr>
        <w:ind w:firstLine="470" w:firstLineChars="196"/>
        <w:rPr>
          <w:rFonts w:ascii="宋体" w:hAnsi="宋体"/>
        </w:rPr>
      </w:pPr>
    </w:p>
    <w:p w14:paraId="73E17782">
      <w:pPr>
        <w:rPr>
          <w:rFonts w:ascii="宋体" w:hAnsi="宋体"/>
          <w:b/>
          <w:lang w:eastAsia="zh-CN"/>
        </w:rPr>
      </w:pPr>
      <w:r>
        <w:rPr>
          <w:rFonts w:hint="eastAsia" w:ascii="黑体" w:hAnsi="宋体" w:eastAsia="黑体"/>
          <w:lang w:eastAsia="zh-CN"/>
        </w:rPr>
        <w:t>24.2若采购项目出现延期情况：</w:t>
      </w:r>
    </w:p>
    <w:p w14:paraId="30829E75">
      <w:pPr>
        <w:ind w:firstLine="480" w:firstLineChars="200"/>
        <w:rPr>
          <w:rFonts w:hint="eastAsia" w:ascii="黑体" w:hAnsi="宋体" w:eastAsia="黑体"/>
          <w:b/>
          <w:lang w:eastAsia="zh-CN"/>
        </w:rPr>
      </w:pPr>
      <w:r>
        <w:rPr>
          <w:rFonts w:hint="eastAsia" w:ascii="宋体" w:hAnsi="宋体"/>
          <w:lang w:eastAsia="zh-CN"/>
        </w:rPr>
        <w:t>如果供下载的招标文件（后缀名为. szczf）有更新，</w:t>
      </w:r>
      <w:r>
        <w:rPr>
          <w:rFonts w:hint="eastAsia" w:ascii="宋体" w:hAnsi="宋体"/>
          <w:b/>
          <w:bCs/>
          <w:lang w:eastAsia="zh-CN"/>
        </w:rPr>
        <w:t>投标人必须重新下载招标文件、重新制作投标文件、重新加密投标文件、重新上传投标文件</w:t>
      </w:r>
      <w:r>
        <w:rPr>
          <w:rFonts w:hint="eastAsia" w:ascii="宋体" w:hAnsi="宋体"/>
          <w:lang w:eastAsia="zh-CN"/>
        </w:rPr>
        <w:t>；如果供下载的招标文件（后缀名为. szczf）没有更新，</w:t>
      </w:r>
      <w:r>
        <w:rPr>
          <w:rFonts w:hint="eastAsia" w:ascii="宋体" w:hAnsi="宋体"/>
          <w:b/>
          <w:bCs/>
          <w:lang w:eastAsia="zh-CN"/>
        </w:rPr>
        <w:t>投标人必须重新加密投标文件、重新上传投标文件</w:t>
      </w:r>
      <w:r>
        <w:rPr>
          <w:rFonts w:hint="eastAsia" w:ascii="宋体" w:hAnsi="宋体"/>
          <w:lang w:eastAsia="zh-CN"/>
        </w:rPr>
        <w:t>（是否重新制作投标文件根据项目实际情况定）。否则，投标人自行承担投标文件无法解密导致投标无效的后果。</w:t>
      </w:r>
    </w:p>
    <w:p w14:paraId="57CAF8CB">
      <w:pPr>
        <w:rPr>
          <w:rFonts w:hint="eastAsia" w:ascii="黑体" w:hAnsi="宋体" w:eastAsia="黑体"/>
          <w:lang w:eastAsia="zh-CN"/>
        </w:rPr>
      </w:pPr>
      <w:r>
        <w:rPr>
          <w:rFonts w:hint="eastAsia" w:ascii="黑体" w:hAnsi="宋体" w:eastAsia="黑体"/>
          <w:lang w:eastAsia="zh-CN"/>
        </w:rPr>
        <w:t>25．上传投标文件及投标截止日期</w:t>
      </w:r>
    </w:p>
    <w:p w14:paraId="15F6D545">
      <w:pPr>
        <w:widowControl w:val="0"/>
        <w:wordWrap w:val="0"/>
        <w:ind w:firstLine="470" w:firstLineChars="196"/>
        <w:rPr>
          <w:rFonts w:ascii="宋体" w:hAnsi="宋体"/>
          <w:lang w:eastAsia="zh-CN"/>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用电子密钥登录“深圳政府采购智慧平台用户网上办事子系统（http://zfcg.szggzy.com/TPBidder/memberLogin）”，用“【我的项目】→【项目流程】→【递交投标(应答)文件】”功能点上传投标文件。</w:t>
      </w:r>
      <w:r>
        <w:rPr>
          <w:rFonts w:hint="eastAsia" w:ascii="宋体" w:hAnsi="宋体"/>
          <w:lang w:eastAsia="zh-CN"/>
        </w:rPr>
        <w:t>如上传过程中遇到问题，可拨打采购公告中的技术支持电话。如多次上传均告失败，请在投标截止时间之前携带加密后的电子投标文件送达至</w:t>
      </w:r>
      <w:r>
        <w:rPr>
          <w:rFonts w:hint="eastAsia" w:ascii="宋体" w:hAnsi="宋体"/>
          <w:b/>
          <w:bCs/>
          <w:szCs w:val="21"/>
          <w:lang w:eastAsia="zh-CN"/>
        </w:rPr>
        <w:t>深圳公共资源交易中心（深圳交易集团有限公司政府采购业务分公司）</w:t>
      </w:r>
      <w:r>
        <w:rPr>
          <w:rFonts w:hint="eastAsia" w:ascii="宋体" w:hAnsi="宋体"/>
          <w:b/>
          <w:bCs/>
          <w:lang w:eastAsia="zh-CN"/>
        </w:rPr>
        <w:t>（地址：深圳市南山区沙河西路3185号南山智谷A座（深圳交易集团总部大楼）3楼）</w:t>
      </w:r>
      <w:r>
        <w:rPr>
          <w:rFonts w:ascii="宋体" w:hAnsi="宋体"/>
          <w:b/>
          <w:bCs/>
          <w:lang w:eastAsia="zh-CN"/>
        </w:rPr>
        <w:t>协助上传</w:t>
      </w:r>
      <w:r>
        <w:rPr>
          <w:rFonts w:hint="eastAsia" w:ascii="宋体" w:hAnsi="宋体"/>
          <w:b/>
          <w:bCs/>
          <w:lang w:eastAsia="zh-CN"/>
        </w:rPr>
        <w:t>，</w:t>
      </w:r>
      <w:r>
        <w:rPr>
          <w:rFonts w:ascii="宋体" w:hAnsi="宋体"/>
          <w:b/>
          <w:bCs/>
          <w:lang w:eastAsia="zh-CN"/>
        </w:rPr>
        <w:t>但上传过程</w:t>
      </w:r>
      <w:r>
        <w:rPr>
          <w:rFonts w:hint="eastAsia" w:ascii="宋体" w:hAnsi="宋体"/>
          <w:b/>
          <w:bCs/>
          <w:lang w:eastAsia="zh-CN"/>
        </w:rPr>
        <w:t>中</w:t>
      </w:r>
      <w:r>
        <w:rPr>
          <w:rFonts w:ascii="宋体" w:hAnsi="宋体"/>
          <w:b/>
          <w:bCs/>
          <w:lang w:eastAsia="zh-CN"/>
        </w:rPr>
        <w:t>投标截止时间到达仍无法上传成功的，由投标人自行负责</w:t>
      </w:r>
      <w:r>
        <w:rPr>
          <w:rFonts w:hint="eastAsia" w:ascii="宋体" w:hAnsi="宋体"/>
          <w:lang w:eastAsia="zh-CN"/>
        </w:rPr>
        <w:t>。</w:t>
      </w:r>
    </w:p>
    <w:p w14:paraId="218E0457">
      <w:pPr>
        <w:ind w:firstLine="470" w:firstLineChars="196"/>
        <w:rPr>
          <w:rFonts w:ascii="宋体" w:hAnsi="宋体"/>
          <w:lang w:eastAsia="zh-CN"/>
        </w:rPr>
      </w:pPr>
      <w:r>
        <w:rPr>
          <w:rFonts w:hint="eastAsia" w:ascii="宋体" w:hAnsi="宋体"/>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8829A36">
      <w:pPr>
        <w:ind w:firstLine="470" w:firstLineChars="196"/>
        <w:rPr>
          <w:rFonts w:ascii="宋体" w:hAnsi="宋体"/>
          <w:lang w:eastAsia="zh-CN"/>
        </w:rPr>
      </w:pPr>
      <w:r>
        <w:rPr>
          <w:rFonts w:hint="eastAsia" w:ascii="宋体" w:hAnsi="宋体"/>
          <w:lang w:eastAsia="zh-CN"/>
        </w:rPr>
        <w:t>25</w:t>
      </w:r>
      <w:r>
        <w:rPr>
          <w:rFonts w:ascii="宋体" w:hAnsi="宋体"/>
          <w:lang w:eastAsia="zh-CN"/>
        </w:rPr>
        <w:t>.</w:t>
      </w:r>
      <w:r>
        <w:rPr>
          <w:rFonts w:hint="eastAsia" w:ascii="宋体" w:hAnsi="宋体"/>
          <w:lang w:eastAsia="zh-CN"/>
        </w:rPr>
        <w:t>3投标截止时间以后不得上传投标文件。</w:t>
      </w:r>
    </w:p>
    <w:p w14:paraId="37BAF622">
      <w:pPr>
        <w:ind w:firstLine="470" w:firstLineChars="196"/>
        <w:rPr>
          <w:rFonts w:ascii="宋体" w:hAnsi="宋体"/>
          <w:lang w:eastAsia="zh-CN"/>
        </w:rPr>
      </w:pPr>
    </w:p>
    <w:p w14:paraId="56EFD0A1">
      <w:pPr>
        <w:ind w:firstLine="470" w:firstLineChars="196"/>
        <w:rPr>
          <w:rFonts w:ascii="宋体" w:hAnsi="宋体"/>
          <w:lang w:eastAsia="zh-CN"/>
        </w:rPr>
      </w:pPr>
    </w:p>
    <w:bookmarkEnd w:id="103"/>
    <w:p w14:paraId="5A8ED6E7">
      <w:pPr>
        <w:rPr>
          <w:rFonts w:hint="eastAsia" w:ascii="黑体" w:hAnsi="宋体" w:eastAsia="黑体"/>
          <w:lang w:eastAsia="zh-CN"/>
        </w:rPr>
      </w:pPr>
      <w:r>
        <w:rPr>
          <w:rFonts w:hint="eastAsia" w:ascii="黑体" w:hAnsi="宋体" w:eastAsia="黑体"/>
          <w:lang w:eastAsia="zh-CN"/>
        </w:rPr>
        <w:t>26. 样品、现场演示、方案讲解</w:t>
      </w:r>
    </w:p>
    <w:p w14:paraId="381A183A">
      <w:pPr>
        <w:ind w:firstLine="470" w:firstLineChars="196"/>
        <w:rPr>
          <w:rFonts w:ascii="宋体" w:hAnsi="宋体"/>
          <w:szCs w:val="21"/>
          <w:lang w:eastAsia="zh-CN"/>
        </w:rPr>
      </w:pPr>
      <w:r>
        <w:rPr>
          <w:rFonts w:hint="eastAsia" w:ascii="宋体" w:hAnsi="宋体"/>
          <w:szCs w:val="21"/>
          <w:lang w:eastAsia="zh-CN"/>
        </w:rPr>
        <w:t>26.1 样品、现场演示、方案讲解等事项在招标文件专用条款中进行规定。</w:t>
      </w:r>
    </w:p>
    <w:p w14:paraId="0A8F619A">
      <w:pPr>
        <w:rPr>
          <w:rFonts w:hint="eastAsia" w:ascii="黑体" w:hAnsi="宋体" w:eastAsia="黑体"/>
          <w:lang w:eastAsia="zh-CN"/>
        </w:rPr>
      </w:pPr>
      <w:bookmarkStart w:id="104" w:name="_Hlk72428346"/>
      <w:r>
        <w:rPr>
          <w:rFonts w:ascii="黑体" w:hAnsi="宋体" w:eastAsia="黑体"/>
          <w:lang w:eastAsia="zh-CN"/>
        </w:rPr>
        <w:t>2</w:t>
      </w:r>
      <w:r>
        <w:rPr>
          <w:rFonts w:hint="eastAsia" w:ascii="黑体" w:hAnsi="宋体" w:eastAsia="黑体"/>
          <w:lang w:eastAsia="zh-CN"/>
        </w:rPr>
        <w:t>7．</w:t>
      </w:r>
      <w:r>
        <w:rPr>
          <w:rFonts w:ascii="黑体" w:hAnsi="宋体" w:eastAsia="黑体"/>
          <w:lang w:eastAsia="zh-CN"/>
        </w:rPr>
        <w:t>投标文件的修改和撤销</w:t>
      </w:r>
    </w:p>
    <w:p w14:paraId="329CD9E0">
      <w:pPr>
        <w:ind w:firstLine="470" w:firstLineChars="196"/>
        <w:rPr>
          <w:rFonts w:ascii="宋体" w:hAnsi="宋体"/>
          <w:lang w:eastAsia="zh-CN"/>
        </w:rPr>
      </w:pPr>
      <w:r>
        <w:rPr>
          <w:rFonts w:ascii="宋体" w:hAnsi="宋体"/>
          <w:lang w:eastAsia="zh-CN"/>
        </w:rPr>
        <w:t>2</w:t>
      </w:r>
      <w:r>
        <w:rPr>
          <w:rFonts w:hint="eastAsia" w:ascii="宋体" w:hAnsi="宋体"/>
          <w:lang w:eastAsia="zh-CN"/>
        </w:rPr>
        <w:t>7</w:t>
      </w:r>
      <w:r>
        <w:rPr>
          <w:rFonts w:ascii="宋体" w:hAnsi="宋体"/>
          <w:lang w:eastAsia="zh-CN"/>
        </w:rPr>
        <w:t>.</w:t>
      </w:r>
      <w:r>
        <w:rPr>
          <w:rFonts w:hint="eastAsia" w:ascii="宋体" w:hAnsi="宋体"/>
          <w:lang w:eastAsia="zh-CN"/>
        </w:rPr>
        <w:t>1</w:t>
      </w:r>
      <w:r>
        <w:rPr>
          <w:rFonts w:ascii="宋体" w:hAnsi="宋体"/>
          <w:lang w:eastAsia="zh-CN"/>
        </w:rPr>
        <w:t>投标方在提交投标文件后可对其投标文件进行修改</w:t>
      </w:r>
      <w:r>
        <w:rPr>
          <w:rFonts w:hint="eastAsia" w:ascii="宋体" w:hAnsi="宋体"/>
          <w:lang w:eastAsia="zh-CN"/>
        </w:rPr>
        <w:t>并重新上传投标文件</w:t>
      </w:r>
      <w:r>
        <w:rPr>
          <w:rFonts w:ascii="宋体" w:hAnsi="宋体"/>
          <w:lang w:eastAsia="zh-CN"/>
        </w:rPr>
        <w:t>或</w:t>
      </w:r>
      <w:r>
        <w:rPr>
          <w:rFonts w:hint="eastAsia" w:ascii="宋体" w:hAnsi="宋体"/>
          <w:lang w:eastAsia="zh-CN"/>
        </w:rPr>
        <w:t>在网上进行</w:t>
      </w:r>
      <w:r>
        <w:rPr>
          <w:rFonts w:ascii="宋体" w:hAnsi="宋体"/>
          <w:lang w:eastAsia="zh-CN"/>
        </w:rPr>
        <w:t>撤销</w:t>
      </w:r>
      <w:r>
        <w:rPr>
          <w:rFonts w:hint="eastAsia" w:ascii="宋体" w:hAnsi="宋体"/>
          <w:lang w:eastAsia="zh-CN"/>
        </w:rPr>
        <w:t>投标的操作</w:t>
      </w:r>
      <w:r>
        <w:rPr>
          <w:rFonts w:ascii="宋体" w:hAnsi="宋体"/>
          <w:lang w:eastAsia="zh-CN"/>
        </w:rPr>
        <w:t>。</w:t>
      </w:r>
    </w:p>
    <w:p w14:paraId="1ABE26EE">
      <w:pPr>
        <w:ind w:firstLine="470" w:firstLineChars="196"/>
        <w:rPr>
          <w:rFonts w:ascii="宋体" w:hAnsi="宋体"/>
          <w:lang w:eastAsia="zh-CN"/>
        </w:rPr>
      </w:pPr>
      <w:r>
        <w:rPr>
          <w:rFonts w:ascii="宋体" w:hAnsi="宋体"/>
          <w:lang w:eastAsia="zh-CN"/>
        </w:rPr>
        <w:t>2</w:t>
      </w:r>
      <w:r>
        <w:rPr>
          <w:rFonts w:hint="eastAsia" w:ascii="宋体" w:hAnsi="宋体"/>
          <w:lang w:eastAsia="zh-CN"/>
        </w:rPr>
        <w:t>7</w:t>
      </w:r>
      <w:r>
        <w:rPr>
          <w:rFonts w:ascii="宋体" w:hAnsi="宋体"/>
          <w:lang w:eastAsia="zh-CN"/>
        </w:rPr>
        <w:t>.</w:t>
      </w:r>
      <w:r>
        <w:rPr>
          <w:rFonts w:hint="eastAsia" w:ascii="宋体" w:hAnsi="宋体"/>
          <w:lang w:eastAsia="zh-CN"/>
        </w:rPr>
        <w:t>2</w:t>
      </w:r>
      <w:r>
        <w:rPr>
          <w:rFonts w:ascii="宋体" w:hAnsi="宋体"/>
          <w:lang w:eastAsia="zh-CN"/>
        </w:rPr>
        <w:t>投标截止时间以后不得修改投标文件。</w:t>
      </w:r>
    </w:p>
    <w:p w14:paraId="246D65AB">
      <w:pPr>
        <w:ind w:firstLine="470" w:firstLineChars="196"/>
        <w:rPr>
          <w:rFonts w:ascii="宋体" w:hAnsi="宋体"/>
          <w:lang w:eastAsia="zh-CN"/>
        </w:rPr>
      </w:pPr>
      <w:r>
        <w:rPr>
          <w:rFonts w:ascii="宋体" w:hAnsi="宋体"/>
          <w:lang w:eastAsia="zh-CN"/>
        </w:rPr>
        <w:t>2</w:t>
      </w:r>
      <w:r>
        <w:rPr>
          <w:rFonts w:hint="eastAsia" w:ascii="宋体" w:hAnsi="宋体"/>
          <w:lang w:eastAsia="zh-CN"/>
        </w:rPr>
        <w:t>7</w:t>
      </w:r>
      <w:r>
        <w:rPr>
          <w:rFonts w:ascii="宋体" w:hAnsi="宋体"/>
          <w:lang w:eastAsia="zh-CN"/>
        </w:rPr>
        <w:t>.</w:t>
      </w:r>
      <w:r>
        <w:rPr>
          <w:rFonts w:hint="eastAsia" w:ascii="宋体" w:hAnsi="宋体"/>
          <w:lang w:eastAsia="zh-CN"/>
        </w:rPr>
        <w:t>3从投标截止期至投标人在投标文件中确定的投标有效期之间的这段时间内，投标人不得撤回其投标。</w:t>
      </w:r>
    </w:p>
    <w:p w14:paraId="07CDF74D">
      <w:pPr>
        <w:ind w:firstLine="470" w:firstLineChars="196"/>
        <w:rPr>
          <w:rFonts w:ascii="宋体" w:hAnsi="宋体"/>
          <w:szCs w:val="21"/>
          <w:lang w:eastAsia="zh-CN"/>
        </w:rPr>
      </w:pPr>
      <w:r>
        <w:rPr>
          <w:rFonts w:hint="eastAsia" w:ascii="宋体" w:hAnsi="宋体"/>
          <w:szCs w:val="21"/>
          <w:lang w:eastAsia="zh-CN"/>
        </w:rPr>
        <w:t>27.4政府集中采购机构不退还投标文件，专用条款另有规定的除外。</w:t>
      </w:r>
    </w:p>
    <w:bookmarkEnd w:id="104"/>
    <w:p w14:paraId="63015FDA">
      <w:pPr>
        <w:pStyle w:val="7"/>
        <w:numPr>
          <w:ilvl w:val="0"/>
          <w:numId w:val="15"/>
        </w:numPr>
        <w:spacing w:before="120" w:beforeLines="50" w:after="120" w:afterLines="50"/>
        <w:ind w:left="562" w:hanging="562"/>
        <w:rPr>
          <w:rFonts w:hint="eastAsia"/>
          <w:sz w:val="28"/>
          <w:szCs w:val="28"/>
        </w:rPr>
      </w:pPr>
      <w:r>
        <w:rPr>
          <w:rFonts w:hint="eastAsia"/>
          <w:sz w:val="28"/>
          <w:szCs w:val="28"/>
        </w:rPr>
        <w:t>开标</w:t>
      </w:r>
    </w:p>
    <w:p w14:paraId="29D84B60">
      <w:pPr>
        <w:rPr>
          <w:rFonts w:hint="eastAsia" w:ascii="黑体" w:hAnsi="宋体" w:eastAsia="黑体"/>
        </w:rPr>
      </w:pPr>
      <w:r>
        <w:rPr>
          <w:rFonts w:hint="eastAsia" w:ascii="黑体" w:hAnsi="宋体" w:eastAsia="黑体"/>
        </w:rPr>
        <w:t>28．开标</w:t>
      </w:r>
    </w:p>
    <w:p w14:paraId="6304FC28">
      <w:pPr>
        <w:ind w:firstLine="410" w:firstLineChars="171"/>
        <w:rPr>
          <w:rFonts w:ascii="宋体" w:hAnsi="宋体"/>
          <w:szCs w:val="21"/>
        </w:rPr>
      </w:pPr>
      <w:r>
        <w:rPr>
          <w:rFonts w:ascii="宋体" w:hAnsi="宋体"/>
          <w:szCs w:val="21"/>
          <w:lang w:eastAsia="zh-CN"/>
        </w:rPr>
        <w:t>2</w:t>
      </w:r>
      <w:r>
        <w:rPr>
          <w:rFonts w:hint="eastAsia" w:ascii="宋体" w:hAnsi="宋体"/>
          <w:szCs w:val="21"/>
          <w:lang w:eastAsia="zh-CN"/>
        </w:rPr>
        <w:t>8</w:t>
      </w:r>
      <w:r>
        <w:rPr>
          <w:rFonts w:ascii="宋体" w:hAnsi="宋体"/>
          <w:szCs w:val="21"/>
          <w:lang w:eastAsia="zh-CN"/>
        </w:rPr>
        <w:t>.</w:t>
      </w:r>
      <w:r>
        <w:rPr>
          <w:rFonts w:hint="eastAsia" w:ascii="宋体" w:hAnsi="宋体"/>
          <w:szCs w:val="21"/>
          <w:lang w:eastAsia="zh-CN"/>
        </w:rPr>
        <w:t>1投标人须在开标当日的开标时间至解密截止时间内进行解密，逾期未解密的作无效处理。</w:t>
      </w:r>
      <w:r>
        <w:rPr>
          <w:rFonts w:hint="eastAsia" w:ascii="宋体" w:hAnsi="宋体"/>
          <w:szCs w:val="21"/>
        </w:rPr>
        <w:t>解密方法：登录“深圳政府采购智慧平台用户网上办事子系统（http://zfcg.szggzy.com/TPBidder/memberLogin）”，使用本单位制作电子投标文件同一个电子密钥，在“【我的项目】→【项目流程】→【开标及解密】”进行在线解密、查询开标情况。</w:t>
      </w:r>
    </w:p>
    <w:p w14:paraId="6F50BE28">
      <w:pPr>
        <w:ind w:firstLine="360" w:firstLineChars="150"/>
        <w:rPr>
          <w:rFonts w:ascii="宋体" w:hAnsi="宋体"/>
          <w:szCs w:val="21"/>
          <w:lang w:eastAsia="zh-CN"/>
        </w:rPr>
      </w:pPr>
      <w:r>
        <w:rPr>
          <w:rFonts w:hint="eastAsia" w:ascii="宋体" w:hAnsi="宋体"/>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3A2FFB3">
      <w:pPr>
        <w:ind w:firstLine="360" w:firstLineChars="150"/>
        <w:rPr>
          <w:rFonts w:ascii="宋体" w:hAnsi="宋体"/>
          <w:szCs w:val="21"/>
          <w:lang w:eastAsia="zh-CN"/>
        </w:rPr>
      </w:pPr>
    </w:p>
    <w:p w14:paraId="6E7F6ABE">
      <w:pPr>
        <w:pStyle w:val="7"/>
        <w:numPr>
          <w:ilvl w:val="0"/>
          <w:numId w:val="15"/>
        </w:numPr>
        <w:spacing w:before="120" w:beforeLines="50" w:after="120" w:afterLines="50"/>
        <w:ind w:left="562" w:hanging="562"/>
        <w:rPr>
          <w:rFonts w:hint="eastAsia"/>
          <w:sz w:val="28"/>
          <w:szCs w:val="28"/>
        </w:rPr>
      </w:pPr>
      <w:r>
        <w:rPr>
          <w:rFonts w:hint="eastAsia"/>
          <w:sz w:val="28"/>
          <w:szCs w:val="28"/>
        </w:rPr>
        <w:t>评审要求</w:t>
      </w:r>
    </w:p>
    <w:p w14:paraId="685387D5">
      <w:pPr>
        <w:rPr>
          <w:rFonts w:hint="eastAsia" w:ascii="黑体" w:hAnsi="宋体" w:eastAsia="黑体"/>
        </w:rPr>
      </w:pPr>
      <w:r>
        <w:rPr>
          <w:rFonts w:hint="eastAsia" w:ascii="黑体" w:hAnsi="宋体" w:eastAsia="黑体"/>
        </w:rPr>
        <w:t>29．评审委员会组成</w:t>
      </w:r>
    </w:p>
    <w:p w14:paraId="43AA6075">
      <w:pPr>
        <w:ind w:firstLine="470" w:firstLineChars="196"/>
        <w:rPr>
          <w:rFonts w:ascii="宋体" w:hAnsi="宋体"/>
          <w:lang w:eastAsia="zh-CN"/>
        </w:rPr>
      </w:pPr>
      <w:r>
        <w:rPr>
          <w:rFonts w:hint="eastAsia" w:ascii="宋体" w:hAnsi="宋体"/>
          <w:lang w:eastAsia="zh-CN"/>
        </w:rPr>
        <w:t>29.1网上开标结束后召开评审会议，</w:t>
      </w:r>
      <w:r>
        <w:rPr>
          <w:rFonts w:hint="eastAsia" w:ascii="宋体" w:hAnsi="宋体"/>
          <w:szCs w:val="21"/>
          <w:lang w:eastAsia="zh-CN"/>
        </w:rPr>
        <w:t>评审委员会</w:t>
      </w:r>
      <w:r>
        <w:rPr>
          <w:rFonts w:hint="eastAsia" w:ascii="宋体" w:hAnsi="宋体"/>
          <w:lang w:eastAsia="zh-CN"/>
        </w:rPr>
        <w:t>由政府集中采购机构依法组建，负责评审活动。</w:t>
      </w:r>
    </w:p>
    <w:p w14:paraId="2C28651F">
      <w:pPr>
        <w:ind w:firstLine="470" w:firstLineChars="196"/>
        <w:rPr>
          <w:rFonts w:ascii="宋体" w:hAnsi="宋体"/>
          <w:lang w:eastAsia="zh-CN"/>
        </w:rPr>
      </w:pPr>
      <w:bookmarkStart w:id="105" w:name="_Hlk72436580"/>
      <w:r>
        <w:rPr>
          <w:rFonts w:hint="eastAsia" w:ascii="宋体" w:hAnsi="宋体"/>
          <w:lang w:eastAsia="zh-CN"/>
        </w:rPr>
        <w:t>评审委员会由采购人代表和评审专家组成，成员人数应当为5人以上单数（部分条件下为7人以上单数），其中评审专家不得少于成员总数的三分之二。</w:t>
      </w:r>
      <w:bookmarkEnd w:id="105"/>
      <w:r>
        <w:rPr>
          <w:rFonts w:hint="eastAsia" w:ascii="宋体" w:hAnsi="宋体"/>
          <w:lang w:eastAsia="zh-CN"/>
        </w:rPr>
        <w:t>评定</w:t>
      </w:r>
      <w:r>
        <w:rPr>
          <w:rFonts w:hint="eastAsia"/>
          <w:lang w:eastAsia="zh-CN"/>
        </w:rPr>
        <w:t>分离项目</w:t>
      </w:r>
      <w:r>
        <w:rPr>
          <w:lang w:eastAsia="zh-CN"/>
        </w:rPr>
        <w:t>评审专家</w:t>
      </w:r>
      <w:r>
        <w:rPr>
          <w:rFonts w:hint="eastAsia"/>
          <w:lang w:eastAsia="zh-CN"/>
        </w:rPr>
        <w:t>均</w:t>
      </w:r>
      <w:r>
        <w:rPr>
          <w:lang w:eastAsia="zh-CN"/>
        </w:rPr>
        <w:t>由</w:t>
      </w:r>
      <w:r>
        <w:rPr>
          <w:rFonts w:hint="eastAsia"/>
          <w:lang w:eastAsia="zh-CN"/>
        </w:rPr>
        <w:t>评审专家组成。</w:t>
      </w:r>
      <w:r>
        <w:rPr>
          <w:rFonts w:hint="eastAsia" w:ascii="宋体" w:hAnsi="宋体"/>
          <w:szCs w:val="21"/>
          <w:lang w:eastAsia="zh-CN"/>
        </w:rPr>
        <w:t>评审专家一般是</w:t>
      </w:r>
      <w:r>
        <w:rPr>
          <w:rFonts w:hint="eastAsia" w:ascii="宋体" w:hAnsi="宋体"/>
          <w:lang w:eastAsia="zh-CN"/>
        </w:rPr>
        <w:t>从深圳市政府采购评审专家库中随机抽取。采购人代表须持本单位签发的《评审授权书》参加评审。</w:t>
      </w:r>
    </w:p>
    <w:p w14:paraId="19B821A5">
      <w:pPr>
        <w:ind w:firstLine="470" w:firstLineChars="196"/>
        <w:rPr>
          <w:rFonts w:ascii="宋体" w:hAnsi="宋体"/>
          <w:lang w:eastAsia="zh-CN"/>
        </w:rPr>
      </w:pPr>
      <w:r>
        <w:rPr>
          <w:rFonts w:hint="eastAsia" w:ascii="宋体" w:hAnsi="宋体"/>
          <w:lang w:eastAsia="zh-CN"/>
        </w:rPr>
        <w:t>29.2评审定标应当遵循公平、公正、科学、择优的原则。</w:t>
      </w:r>
    </w:p>
    <w:p w14:paraId="0EE62EAC">
      <w:pPr>
        <w:ind w:firstLine="470" w:firstLineChars="196"/>
        <w:rPr>
          <w:rFonts w:ascii="宋体" w:hAnsi="宋体"/>
          <w:lang w:eastAsia="zh-CN"/>
        </w:rPr>
      </w:pPr>
      <w:r>
        <w:rPr>
          <w:rFonts w:hint="eastAsia" w:ascii="宋体" w:hAnsi="宋体"/>
          <w:lang w:eastAsia="zh-CN"/>
        </w:rPr>
        <w:t>29.3评审活动依法进行，任何单位和个人不得非法干预评标过程和结果。</w:t>
      </w:r>
    </w:p>
    <w:p w14:paraId="2E1FAAB4">
      <w:pPr>
        <w:ind w:firstLine="470" w:firstLineChars="196"/>
        <w:rPr>
          <w:rFonts w:ascii="宋体" w:hAnsi="宋体"/>
          <w:lang w:eastAsia="zh-CN"/>
        </w:rPr>
      </w:pPr>
      <w:r>
        <w:rPr>
          <w:rFonts w:hint="eastAsia" w:ascii="宋体" w:hAnsi="宋体"/>
          <w:lang w:eastAsia="zh-CN"/>
        </w:rPr>
        <w:t>29.4评审过程中不允许违背评标程序或采用招标文件未载明的评标方法或评标因素进行评标。</w:t>
      </w:r>
    </w:p>
    <w:p w14:paraId="72192734">
      <w:pPr>
        <w:ind w:firstLine="470" w:firstLineChars="196"/>
        <w:rPr>
          <w:rFonts w:ascii="宋体" w:hAnsi="宋体"/>
          <w:bCs/>
          <w:lang w:eastAsia="zh-CN"/>
        </w:rPr>
      </w:pPr>
      <w:r>
        <w:rPr>
          <w:rFonts w:hint="eastAsia" w:ascii="宋体" w:hAnsi="宋体"/>
          <w:bCs/>
          <w:lang w:eastAsia="zh-CN"/>
        </w:rPr>
        <w:t>29.5 开标后，直到签订合同为止，凡属于对投标文件的审查、澄清、评价和比较的有关资料以及中标候选人的推荐情况、与评审有关的其他任何情况均严格保密（</w:t>
      </w:r>
      <w:r>
        <w:rPr>
          <w:rFonts w:hint="eastAsia"/>
          <w:lang w:eastAsia="zh-CN"/>
        </w:rPr>
        <w:t>信息公开的内容除外</w:t>
      </w:r>
      <w:r>
        <w:rPr>
          <w:rFonts w:hint="eastAsia" w:ascii="宋体" w:hAnsi="宋体"/>
          <w:bCs/>
          <w:lang w:eastAsia="zh-CN"/>
        </w:rPr>
        <w:t>）。</w:t>
      </w:r>
    </w:p>
    <w:p w14:paraId="6193CC70">
      <w:pPr>
        <w:rPr>
          <w:rFonts w:hint="eastAsia" w:ascii="黑体" w:hAnsi="宋体" w:eastAsia="黑体"/>
          <w:lang w:eastAsia="zh-CN"/>
        </w:rPr>
      </w:pPr>
      <w:r>
        <w:rPr>
          <w:rFonts w:hint="eastAsia" w:ascii="黑体" w:hAnsi="宋体" w:eastAsia="黑体"/>
          <w:lang w:eastAsia="zh-CN"/>
        </w:rPr>
        <w:t>30．向评审委员会提供的资料</w:t>
      </w:r>
    </w:p>
    <w:p w14:paraId="3DC3EC4A">
      <w:pPr>
        <w:ind w:firstLine="470" w:firstLineChars="196"/>
        <w:rPr>
          <w:rFonts w:ascii="宋体" w:hAnsi="宋体"/>
          <w:lang w:eastAsia="zh-CN"/>
        </w:rPr>
      </w:pPr>
      <w:r>
        <w:rPr>
          <w:rFonts w:hint="eastAsia" w:ascii="宋体" w:hAnsi="宋体"/>
          <w:lang w:eastAsia="zh-CN"/>
        </w:rPr>
        <w:t>30.1公开发布的招标文件，包括图纸、服务清单、答疑文件等；</w:t>
      </w:r>
    </w:p>
    <w:p w14:paraId="6B2A744B">
      <w:pPr>
        <w:ind w:firstLine="470" w:firstLineChars="196"/>
        <w:rPr>
          <w:rFonts w:ascii="宋体" w:hAnsi="宋体"/>
          <w:lang w:eastAsia="zh-CN"/>
        </w:rPr>
      </w:pPr>
      <w:r>
        <w:rPr>
          <w:rFonts w:hint="eastAsia" w:ascii="宋体" w:hAnsi="宋体"/>
          <w:lang w:eastAsia="zh-CN"/>
        </w:rPr>
        <w:t>30.2其他评标必须的资料。</w:t>
      </w:r>
    </w:p>
    <w:p w14:paraId="0091EA7D">
      <w:pPr>
        <w:ind w:firstLine="470" w:firstLineChars="196"/>
        <w:rPr>
          <w:rFonts w:ascii="宋体" w:hAnsi="宋体"/>
          <w:lang w:eastAsia="zh-CN"/>
        </w:rPr>
      </w:pPr>
      <w:r>
        <w:rPr>
          <w:rFonts w:hint="eastAsia" w:ascii="宋体" w:hAnsi="宋体"/>
          <w:lang w:eastAsia="zh-CN"/>
        </w:rPr>
        <w:t>30.3</w:t>
      </w:r>
      <w:r>
        <w:rPr>
          <w:rFonts w:hint="eastAsia" w:ascii="宋体" w:hAnsi="宋体"/>
          <w:szCs w:val="21"/>
          <w:lang w:eastAsia="zh-CN"/>
        </w:rPr>
        <w:t>评审委员会</w:t>
      </w:r>
      <w:r>
        <w:rPr>
          <w:rFonts w:hint="eastAsia" w:ascii="宋体" w:hAnsi="宋体"/>
          <w:lang w:eastAsia="zh-CN"/>
        </w:rPr>
        <w:t>应当认真研究招标文件，至少应了解熟悉以下内容：</w:t>
      </w:r>
    </w:p>
    <w:p w14:paraId="1D016048">
      <w:pPr>
        <w:ind w:firstLine="470" w:firstLineChars="196"/>
        <w:rPr>
          <w:rFonts w:ascii="宋体" w:hAnsi="宋体"/>
          <w:lang w:eastAsia="zh-CN"/>
        </w:rPr>
      </w:pPr>
      <w:r>
        <w:rPr>
          <w:rFonts w:hint="eastAsia" w:ascii="宋体" w:hAnsi="宋体"/>
          <w:lang w:eastAsia="zh-CN"/>
        </w:rPr>
        <w:t>（1）招标的目的；</w:t>
      </w:r>
    </w:p>
    <w:p w14:paraId="37AF3917">
      <w:pPr>
        <w:ind w:firstLine="470" w:firstLineChars="196"/>
        <w:rPr>
          <w:rFonts w:ascii="宋体" w:hAnsi="宋体"/>
          <w:lang w:eastAsia="zh-CN"/>
        </w:rPr>
      </w:pPr>
      <w:r>
        <w:rPr>
          <w:rFonts w:hint="eastAsia" w:ascii="宋体" w:hAnsi="宋体"/>
          <w:lang w:eastAsia="zh-CN"/>
        </w:rPr>
        <w:t>（2）招标项目需求的范围和性质；</w:t>
      </w:r>
    </w:p>
    <w:p w14:paraId="1F1C34FA">
      <w:pPr>
        <w:ind w:firstLine="470" w:firstLineChars="196"/>
        <w:rPr>
          <w:rFonts w:ascii="宋体" w:hAnsi="宋体"/>
          <w:lang w:eastAsia="zh-CN"/>
        </w:rPr>
      </w:pPr>
      <w:r>
        <w:rPr>
          <w:rFonts w:hint="eastAsia" w:ascii="宋体" w:hAnsi="宋体"/>
          <w:lang w:eastAsia="zh-CN"/>
        </w:rPr>
        <w:t>（3）招标文件规定的投标人的资格、财政预算限额、商务条款；</w:t>
      </w:r>
    </w:p>
    <w:p w14:paraId="2C85F21C">
      <w:pPr>
        <w:ind w:firstLine="470" w:firstLineChars="196"/>
        <w:rPr>
          <w:rFonts w:ascii="宋体" w:hAnsi="宋体"/>
          <w:lang w:eastAsia="zh-CN"/>
        </w:rPr>
      </w:pPr>
      <w:r>
        <w:rPr>
          <w:rFonts w:hint="eastAsia" w:ascii="宋体" w:hAnsi="宋体"/>
          <w:lang w:eastAsia="zh-CN"/>
        </w:rPr>
        <w:t>（4）招标文件规定的评标程序、评标方法和评标因素；</w:t>
      </w:r>
    </w:p>
    <w:p w14:paraId="439FE61B">
      <w:pPr>
        <w:ind w:firstLine="470" w:firstLineChars="196"/>
        <w:rPr>
          <w:rFonts w:ascii="宋体" w:hAnsi="宋体"/>
          <w:lang w:eastAsia="zh-CN"/>
        </w:rPr>
      </w:pPr>
      <w:r>
        <w:rPr>
          <w:rFonts w:hint="eastAsia" w:ascii="宋体" w:hAnsi="宋体"/>
          <w:lang w:eastAsia="zh-CN"/>
        </w:rPr>
        <w:t>（5）招标文件所列示的资格性审查表及符合性审查表。</w:t>
      </w:r>
    </w:p>
    <w:p w14:paraId="231AF1A8">
      <w:pPr>
        <w:rPr>
          <w:rFonts w:hint="eastAsia" w:ascii="黑体" w:hAnsi="宋体" w:eastAsia="黑体"/>
          <w:lang w:eastAsia="zh-CN"/>
        </w:rPr>
      </w:pPr>
      <w:r>
        <w:rPr>
          <w:rFonts w:hint="eastAsia" w:ascii="黑体" w:hAnsi="宋体" w:eastAsia="黑体"/>
          <w:lang w:eastAsia="zh-CN"/>
        </w:rPr>
        <w:t>31．独立评审</w:t>
      </w:r>
    </w:p>
    <w:p w14:paraId="4AD3DAEA">
      <w:pPr>
        <w:ind w:firstLine="470" w:firstLineChars="196"/>
        <w:rPr>
          <w:rFonts w:ascii="宋体" w:hAnsi="宋体"/>
          <w:bCs/>
          <w:lang w:eastAsia="zh-CN"/>
        </w:rPr>
      </w:pPr>
      <w:r>
        <w:rPr>
          <w:rFonts w:hint="eastAsia" w:ascii="宋体" w:hAnsi="宋体"/>
          <w:bCs/>
          <w:lang w:eastAsia="zh-CN"/>
        </w:rPr>
        <w:t>3</w:t>
      </w:r>
      <w:r>
        <w:rPr>
          <w:rFonts w:ascii="宋体" w:hAnsi="宋体"/>
          <w:bCs/>
          <w:lang w:eastAsia="zh-CN"/>
        </w:rPr>
        <w:t>1</w:t>
      </w:r>
      <w:r>
        <w:rPr>
          <w:rFonts w:hint="eastAsia" w:ascii="宋体" w:hAnsi="宋体"/>
          <w:bCs/>
          <w:lang w:eastAsia="zh-CN"/>
        </w:rPr>
        <w:t>.1</w:t>
      </w:r>
      <w:r>
        <w:rPr>
          <w:rFonts w:hint="eastAsia" w:ascii="宋体" w:hAnsi="宋体"/>
          <w:szCs w:val="21"/>
          <w:lang w:eastAsia="zh-CN"/>
        </w:rPr>
        <w:t>评审委员会</w:t>
      </w:r>
      <w:r>
        <w:rPr>
          <w:rFonts w:hint="eastAsia" w:ascii="宋体" w:hAnsi="宋体"/>
          <w:bCs/>
          <w:lang w:eastAsia="zh-CN"/>
        </w:rPr>
        <w:t>成员的评标活动应当独立进行，并应遵循投标文件初审、澄清有关问题、比较与评价、确定中标供应商、编写评审报告的工作程序。</w:t>
      </w:r>
    </w:p>
    <w:p w14:paraId="21A2FDF2">
      <w:pPr>
        <w:ind w:firstLine="470" w:firstLineChars="196"/>
        <w:rPr>
          <w:rFonts w:ascii="宋体" w:hAnsi="宋体"/>
          <w:bCs/>
          <w:szCs w:val="21"/>
          <w:lang w:eastAsia="zh-CN"/>
        </w:rPr>
      </w:pPr>
    </w:p>
    <w:p w14:paraId="5F3B94DD">
      <w:pPr>
        <w:pStyle w:val="7"/>
        <w:numPr>
          <w:ilvl w:val="0"/>
          <w:numId w:val="15"/>
        </w:numPr>
        <w:spacing w:before="120" w:beforeLines="50" w:after="120" w:afterLines="50"/>
        <w:ind w:left="562" w:hanging="562"/>
        <w:rPr>
          <w:rFonts w:hint="eastAsia"/>
          <w:sz w:val="28"/>
          <w:szCs w:val="28"/>
        </w:rPr>
      </w:pPr>
      <w:r>
        <w:rPr>
          <w:rFonts w:hint="eastAsia"/>
          <w:sz w:val="28"/>
          <w:szCs w:val="28"/>
        </w:rPr>
        <w:t>评审程序及评审方法</w:t>
      </w:r>
    </w:p>
    <w:p w14:paraId="16399A70">
      <w:pPr>
        <w:rPr>
          <w:rFonts w:hint="eastAsia" w:ascii="黑体" w:hAnsi="宋体" w:eastAsia="黑体"/>
        </w:rPr>
      </w:pPr>
      <w:r>
        <w:rPr>
          <w:rFonts w:hint="eastAsia" w:ascii="黑体" w:hAnsi="宋体" w:eastAsia="黑体"/>
        </w:rPr>
        <w:t>32．投标文件初审</w:t>
      </w:r>
    </w:p>
    <w:p w14:paraId="07183374">
      <w:pPr>
        <w:ind w:firstLine="470" w:firstLineChars="196"/>
        <w:rPr>
          <w:rFonts w:ascii="宋体" w:hAnsi="宋体"/>
          <w:lang w:eastAsia="zh-CN"/>
        </w:rPr>
      </w:pPr>
      <w:r>
        <w:rPr>
          <w:rFonts w:hint="eastAsia" w:ascii="宋体" w:hAnsi="宋体"/>
          <w:lang w:eastAsia="zh-CN"/>
        </w:rPr>
        <w:t>32.1投标文件初审包括资格性审查和符合性审查。</w:t>
      </w:r>
    </w:p>
    <w:p w14:paraId="0E4AC3D8">
      <w:pPr>
        <w:ind w:firstLine="470" w:firstLineChars="196"/>
        <w:rPr>
          <w:rFonts w:ascii="宋体" w:hAnsi="宋体"/>
          <w:lang w:eastAsia="zh-CN"/>
        </w:rPr>
      </w:pPr>
      <w:r>
        <w:rPr>
          <w:rFonts w:hint="eastAsia" w:ascii="宋体" w:hAnsi="宋体"/>
          <w:lang w:eastAsia="zh-CN"/>
        </w:rPr>
        <w:t>资格性审查：依据法律法规和招标文件的规定，对投标文件中的资格证明等进行审查，以确定投标供应商是否具备投标资格。</w:t>
      </w:r>
    </w:p>
    <w:p w14:paraId="2416EE85">
      <w:pPr>
        <w:ind w:firstLine="470" w:firstLineChars="196"/>
        <w:rPr>
          <w:rFonts w:ascii="宋体" w:hAnsi="宋体"/>
          <w:lang w:eastAsia="zh-CN"/>
        </w:rPr>
      </w:pPr>
      <w:r>
        <w:rPr>
          <w:rFonts w:hint="eastAsia" w:ascii="宋体" w:hAnsi="宋体"/>
          <w:lang w:eastAsia="zh-CN"/>
        </w:rPr>
        <w:t>符合性审查：依据招标文件的规定，对投标文件的有效性、完整性和对招标文件的响应程度进行审查，以确定是否满足符合性审查的要求。</w:t>
      </w:r>
    </w:p>
    <w:p w14:paraId="0D243E3E">
      <w:pPr>
        <w:ind w:firstLine="470" w:firstLineChars="196"/>
        <w:rPr>
          <w:rFonts w:ascii="宋体" w:hAnsi="宋体"/>
          <w:lang w:eastAsia="zh-CN"/>
        </w:rPr>
      </w:pPr>
      <w:r>
        <w:rPr>
          <w:rFonts w:hint="eastAsia" w:ascii="宋体" w:hAnsi="宋体"/>
          <w:lang w:eastAsia="zh-CN"/>
        </w:rPr>
        <w:t>32.2 投标文件初审内容请详见《资格性审查表》和《符合性审查表》部分。投标人若有一条审查不通过则按投标无效处理。</w:t>
      </w:r>
    </w:p>
    <w:p w14:paraId="129AD26F">
      <w:pPr>
        <w:ind w:firstLine="470" w:firstLineChars="196"/>
        <w:rPr>
          <w:rFonts w:ascii="宋体" w:hAnsi="宋体"/>
          <w:bCs/>
          <w:lang w:eastAsia="zh-CN"/>
        </w:rPr>
      </w:pPr>
      <w:r>
        <w:rPr>
          <w:rFonts w:hint="eastAsia" w:ascii="宋体" w:hAnsi="宋体"/>
          <w:bCs/>
          <w:lang w:eastAsia="zh-CN"/>
        </w:rPr>
        <w:t>32.3 投标文件初审中关于供应商家数的计算:</w:t>
      </w:r>
    </w:p>
    <w:p w14:paraId="23E8D5E1">
      <w:pPr>
        <w:ind w:firstLine="470" w:firstLineChars="196"/>
        <w:rPr>
          <w:rFonts w:ascii="宋体" w:hAnsi="宋体"/>
          <w:bCs/>
          <w:lang w:eastAsia="zh-CN"/>
        </w:rPr>
      </w:pPr>
      <w:r>
        <w:rPr>
          <w:rFonts w:hint="eastAsia" w:ascii="宋体" w:hAnsi="宋体"/>
          <w:bCs/>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685ACC9">
      <w:pPr>
        <w:ind w:firstLine="470" w:firstLineChars="196"/>
        <w:rPr>
          <w:rFonts w:ascii="宋体" w:hAnsi="宋体"/>
          <w:bCs/>
          <w:lang w:eastAsia="zh-CN"/>
        </w:rPr>
      </w:pPr>
      <w:r>
        <w:rPr>
          <w:rFonts w:hint="eastAsia" w:ascii="宋体" w:hAnsi="宋体"/>
          <w:bCs/>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lang w:eastAsia="zh-CN"/>
        </w:rPr>
        <w:t>评审委员会</w:t>
      </w:r>
      <w:r>
        <w:rPr>
          <w:rFonts w:hint="eastAsia" w:ascii="宋体" w:hAnsi="宋体"/>
          <w:bCs/>
          <w:lang w:eastAsia="zh-CN"/>
        </w:rPr>
        <w:t>按照招标文件规定的方式确定一个投标人获得中标人推荐资格，招标文件未规定的采取随机抽取方式确定，其他同品牌投标人不作为中标候选人。</w:t>
      </w:r>
    </w:p>
    <w:p w14:paraId="638ED903">
      <w:pPr>
        <w:ind w:firstLine="470" w:firstLineChars="196"/>
        <w:rPr>
          <w:rFonts w:ascii="宋体" w:hAnsi="宋体"/>
          <w:bCs/>
          <w:lang w:eastAsia="zh-CN"/>
        </w:rPr>
      </w:pPr>
      <w:r>
        <w:rPr>
          <w:rFonts w:hint="eastAsia" w:ascii="宋体" w:hAnsi="宋体"/>
          <w:bCs/>
          <w:lang w:eastAsia="zh-CN"/>
        </w:rPr>
        <w:t>32.3.3非单一产品采购项目，采购人应当根据采购项目技术构成、产品价格比重等合理确定核心产品，并在招标文件中载明。多家投标人提供的核心产品品牌相同的，按前两款规定处理。</w:t>
      </w:r>
    </w:p>
    <w:p w14:paraId="45245430">
      <w:pPr>
        <w:ind w:firstLine="470" w:firstLineChars="196"/>
        <w:rPr>
          <w:rFonts w:ascii="宋体" w:hAnsi="宋体"/>
          <w:lang w:eastAsia="zh-CN"/>
        </w:rPr>
      </w:pPr>
      <w:r>
        <w:rPr>
          <w:rFonts w:hint="eastAsia" w:ascii="宋体" w:hAnsi="宋体"/>
          <w:lang w:eastAsia="zh-CN"/>
        </w:rPr>
        <w:t>32.4投标人投标文件作无效处理的情形，具体包括但不限于以下：</w:t>
      </w:r>
    </w:p>
    <w:p w14:paraId="5F71B2BB">
      <w:pPr>
        <w:ind w:firstLine="470" w:firstLineChars="196"/>
        <w:rPr>
          <w:lang w:eastAsia="zh-CN"/>
        </w:rPr>
      </w:pPr>
      <w:r>
        <w:rPr>
          <w:rFonts w:hint="eastAsia" w:ascii="宋体" w:hAnsi="宋体"/>
          <w:lang w:eastAsia="zh-CN"/>
        </w:rPr>
        <w:t>32.4.1</w:t>
      </w:r>
      <w:r>
        <w:rPr>
          <w:rFonts w:hint="eastAsia"/>
          <w:lang w:eastAsia="zh-CN"/>
        </w:rPr>
        <w:t>不同投标人的投标文件由同一单位或者同一个人编制，或者由同一个人分阶段参与编制；</w:t>
      </w:r>
    </w:p>
    <w:p w14:paraId="641E5C98">
      <w:pPr>
        <w:ind w:firstLine="470" w:firstLineChars="196"/>
        <w:rPr>
          <w:lang w:eastAsia="zh-CN"/>
        </w:rPr>
      </w:pPr>
      <w:r>
        <w:rPr>
          <w:rFonts w:ascii="宋体" w:hAnsi="宋体"/>
          <w:lang w:eastAsia="zh-CN"/>
        </w:rPr>
        <w:t>32.4.</w:t>
      </w:r>
      <w:r>
        <w:rPr>
          <w:rFonts w:hint="eastAsia" w:ascii="宋体" w:hAnsi="宋体"/>
          <w:lang w:eastAsia="zh-CN"/>
        </w:rPr>
        <w:t>2</w:t>
      </w:r>
      <w:r>
        <w:rPr>
          <w:rFonts w:hint="eastAsia"/>
          <w:lang w:eastAsia="zh-CN"/>
        </w:rPr>
        <w:t>不同投标人委托同一单位或者个人办理投标事宜；</w:t>
      </w:r>
    </w:p>
    <w:p w14:paraId="4880A8E1">
      <w:pPr>
        <w:ind w:firstLine="470" w:firstLineChars="196"/>
        <w:rPr>
          <w:rFonts w:ascii="宋体" w:hAnsi="宋体"/>
          <w:lang w:eastAsia="zh-CN"/>
        </w:rPr>
      </w:pPr>
      <w:r>
        <w:rPr>
          <w:rFonts w:hint="eastAsia" w:ascii="宋体" w:hAnsi="宋体"/>
          <w:lang w:eastAsia="zh-CN"/>
        </w:rPr>
        <w:t>32.4.3不同投标人的投标文件载明的项目管理成员或者联系人员为同一人；</w:t>
      </w:r>
    </w:p>
    <w:p w14:paraId="3FD6115B">
      <w:pPr>
        <w:ind w:firstLine="470" w:firstLineChars="196"/>
        <w:rPr>
          <w:rFonts w:ascii="宋体" w:hAnsi="宋体"/>
          <w:lang w:eastAsia="zh-CN"/>
        </w:rPr>
      </w:pPr>
      <w:r>
        <w:rPr>
          <w:rFonts w:hint="eastAsia" w:ascii="宋体" w:hAnsi="宋体"/>
          <w:lang w:eastAsia="zh-CN"/>
        </w:rPr>
        <w:t>32.4.4不同投标人的投标文件异常一致或者投标报价呈规律性差异；</w:t>
      </w:r>
    </w:p>
    <w:p w14:paraId="2C941E7E">
      <w:pPr>
        <w:ind w:firstLine="470" w:firstLineChars="196"/>
        <w:rPr>
          <w:rFonts w:ascii="宋体" w:hAnsi="宋体"/>
          <w:lang w:eastAsia="zh-CN"/>
        </w:rPr>
      </w:pPr>
      <w:r>
        <w:rPr>
          <w:rFonts w:hint="eastAsia" w:ascii="宋体" w:hAnsi="宋体"/>
          <w:lang w:eastAsia="zh-CN"/>
        </w:rPr>
        <w:t>32.4.5</w:t>
      </w:r>
      <w:r>
        <w:rPr>
          <w:rFonts w:ascii="宋体" w:hAnsi="宋体"/>
          <w:lang w:eastAsia="zh-CN"/>
        </w:rPr>
        <w:t>不同投标供应商的投标文件或部分投标文件相互混装</w:t>
      </w:r>
      <w:r>
        <w:rPr>
          <w:rFonts w:hint="eastAsia" w:ascii="宋体" w:hAnsi="宋体"/>
          <w:lang w:eastAsia="zh-CN"/>
        </w:rPr>
        <w:t>；</w:t>
      </w:r>
    </w:p>
    <w:p w14:paraId="10A3EC5F">
      <w:pPr>
        <w:ind w:firstLine="470" w:firstLineChars="196"/>
        <w:rPr>
          <w:rFonts w:ascii="宋体" w:hAnsi="宋体"/>
          <w:lang w:eastAsia="zh-CN"/>
        </w:rPr>
      </w:pPr>
      <w:r>
        <w:rPr>
          <w:rFonts w:hint="eastAsia" w:ascii="宋体" w:hAnsi="宋体"/>
          <w:lang w:eastAsia="zh-CN"/>
        </w:rPr>
        <w:t>32.4.6投标供应商之间相互约定给予未中标的供应商利益补偿；</w:t>
      </w:r>
    </w:p>
    <w:p w14:paraId="617DFF42">
      <w:pPr>
        <w:ind w:firstLine="470" w:firstLineChars="196"/>
        <w:rPr>
          <w:rFonts w:ascii="宋体" w:hAnsi="宋体"/>
          <w:lang w:eastAsia="zh-CN"/>
        </w:rPr>
      </w:pPr>
      <w:r>
        <w:rPr>
          <w:rFonts w:hint="eastAsia" w:ascii="宋体" w:hAnsi="宋体"/>
          <w:lang w:eastAsia="zh-CN"/>
        </w:rPr>
        <w:t>32.4.7不同投标供应商的法定代表人、主要经营负责人、项目投标授权代表人、项目负责人、主要技术人员为同一人、属同一单位或者同一单位缴纳社会保险；</w:t>
      </w:r>
    </w:p>
    <w:p w14:paraId="029223C7">
      <w:pPr>
        <w:ind w:firstLine="470" w:firstLineChars="196"/>
        <w:rPr>
          <w:rFonts w:ascii="宋体" w:hAnsi="宋体"/>
          <w:lang w:eastAsia="zh-CN"/>
        </w:rPr>
      </w:pPr>
      <w:r>
        <w:rPr>
          <w:rFonts w:hint="eastAsia" w:ascii="宋体" w:hAnsi="宋体"/>
          <w:lang w:eastAsia="zh-CN"/>
        </w:rPr>
        <w:t>32.4.8不同投标供应商的投标文件内容存在非正常一致；</w:t>
      </w:r>
    </w:p>
    <w:p w14:paraId="5ECDB73F">
      <w:pPr>
        <w:ind w:firstLine="470" w:firstLineChars="196"/>
        <w:rPr>
          <w:rFonts w:ascii="宋体" w:hAnsi="宋体"/>
          <w:lang w:eastAsia="zh-CN"/>
        </w:rPr>
      </w:pPr>
      <w:r>
        <w:rPr>
          <w:rFonts w:hint="eastAsia" w:ascii="宋体" w:hAnsi="宋体"/>
          <w:lang w:eastAsia="zh-CN"/>
        </w:rPr>
        <w:t>32.4.9在同一单位工作人员为两家以上（含两家）供应商进行同一项投标活动；</w:t>
      </w:r>
    </w:p>
    <w:p w14:paraId="3AEF694C">
      <w:pPr>
        <w:ind w:firstLine="470" w:firstLineChars="196"/>
        <w:rPr>
          <w:rFonts w:ascii="宋体" w:hAnsi="宋体"/>
          <w:lang w:eastAsia="zh-CN"/>
        </w:rPr>
      </w:pPr>
      <w:r>
        <w:rPr>
          <w:rFonts w:hint="eastAsia" w:ascii="宋体" w:hAnsi="宋体"/>
          <w:lang w:eastAsia="zh-CN"/>
        </w:rPr>
        <w:t>32.4.10主管部门依照法律、法规认定的其他情形。</w:t>
      </w:r>
    </w:p>
    <w:p w14:paraId="1321814B">
      <w:pPr>
        <w:rPr>
          <w:rFonts w:ascii="宋体" w:hAnsi="宋体"/>
          <w:lang w:eastAsia="zh-CN"/>
        </w:rPr>
      </w:pPr>
      <w:r>
        <w:rPr>
          <w:rFonts w:hint="eastAsia" w:ascii="宋体" w:hAnsi="宋体"/>
          <w:lang w:eastAsia="zh-CN"/>
        </w:rPr>
        <w:t>32.5对不属于《资格性审查表》和《符合性审查表》所列的其他情形，除专用条款另有规定和32.4条款所列情形外，不得作为投标无效的理由。</w:t>
      </w:r>
    </w:p>
    <w:p w14:paraId="2F3478CF">
      <w:pPr>
        <w:rPr>
          <w:rFonts w:hint="eastAsia" w:ascii="黑体" w:hAnsi="宋体" w:eastAsia="黑体"/>
          <w:lang w:eastAsia="zh-CN"/>
        </w:rPr>
      </w:pPr>
      <w:r>
        <w:rPr>
          <w:rFonts w:hint="eastAsia" w:ascii="黑体" w:hAnsi="宋体" w:eastAsia="黑体"/>
          <w:lang w:eastAsia="zh-CN"/>
        </w:rPr>
        <w:t>33．澄清有关问题</w:t>
      </w:r>
    </w:p>
    <w:p w14:paraId="64F37AF0">
      <w:pPr>
        <w:ind w:firstLine="470" w:firstLineChars="196"/>
        <w:rPr>
          <w:rFonts w:ascii="宋体" w:hAnsi="宋体"/>
          <w:lang w:eastAsia="zh-CN"/>
        </w:rPr>
      </w:pPr>
      <w:bookmarkStart w:id="106" w:name="_Hlk71407321"/>
      <w:r>
        <w:rPr>
          <w:rFonts w:hint="eastAsia" w:ascii="宋体" w:hAnsi="宋体"/>
          <w:lang w:eastAsia="zh-CN"/>
        </w:rPr>
        <w:t>3</w:t>
      </w:r>
      <w:r>
        <w:rPr>
          <w:rFonts w:ascii="宋体" w:hAnsi="宋体"/>
          <w:lang w:eastAsia="zh-CN"/>
        </w:rPr>
        <w:t>3.1</w:t>
      </w:r>
      <w:r>
        <w:rPr>
          <w:rFonts w:hint="eastAsia" w:ascii="宋体" w:hAnsi="宋体"/>
          <w:lang w:eastAsia="zh-CN"/>
        </w:rPr>
        <w:t>对招标文件中描述有歧义或前后不一致的地方（不含</w:t>
      </w:r>
      <w:r>
        <w:rPr>
          <w:szCs w:val="21"/>
          <w:lang w:eastAsia="zh-CN"/>
        </w:rPr>
        <w:t>招标文件存在歧义、重大缺陷导致评</w:t>
      </w:r>
      <w:r>
        <w:rPr>
          <w:rFonts w:hint="eastAsia"/>
          <w:szCs w:val="21"/>
          <w:lang w:eastAsia="zh-CN"/>
        </w:rPr>
        <w:t>审</w:t>
      </w:r>
      <w:r>
        <w:rPr>
          <w:szCs w:val="21"/>
          <w:lang w:eastAsia="zh-CN"/>
        </w:rPr>
        <w:t>工作无法进行</w:t>
      </w:r>
      <w:r>
        <w:rPr>
          <w:rFonts w:hint="eastAsia"/>
          <w:szCs w:val="21"/>
          <w:lang w:eastAsia="zh-CN"/>
        </w:rPr>
        <w:t>的情况）</w:t>
      </w:r>
      <w:r>
        <w:rPr>
          <w:rFonts w:hint="eastAsia" w:ascii="宋体" w:hAnsi="宋体"/>
          <w:lang w:eastAsia="zh-CN"/>
        </w:rPr>
        <w:t>，评审委员会有权进行评判，但对同一条款的评判应适用于每个投标人。</w:t>
      </w:r>
      <w:bookmarkEnd w:id="106"/>
    </w:p>
    <w:p w14:paraId="7B3EB56D">
      <w:pPr>
        <w:ind w:firstLine="470" w:firstLineChars="196"/>
        <w:rPr>
          <w:rFonts w:ascii="宋体" w:hAnsi="宋体"/>
          <w:lang w:eastAsia="zh-CN"/>
        </w:rPr>
      </w:pPr>
      <w:r>
        <w:rPr>
          <w:rFonts w:hint="eastAsia" w:ascii="宋体" w:hAnsi="宋体"/>
          <w:lang w:eastAsia="zh-CN"/>
        </w:rPr>
        <w:t>3</w:t>
      </w:r>
      <w:r>
        <w:rPr>
          <w:rFonts w:ascii="宋体" w:hAnsi="宋体"/>
          <w:lang w:eastAsia="zh-CN"/>
        </w:rPr>
        <w:t>3.2</w:t>
      </w:r>
      <w:r>
        <w:rPr>
          <w:szCs w:val="21"/>
          <w:lang w:eastAsia="zh-CN"/>
        </w:rPr>
        <w:t>评</w:t>
      </w:r>
      <w:r>
        <w:rPr>
          <w:rFonts w:hint="eastAsia"/>
          <w:szCs w:val="21"/>
          <w:lang w:eastAsia="zh-CN"/>
        </w:rPr>
        <w:t>审</w:t>
      </w:r>
      <w:r>
        <w:rPr>
          <w:szCs w:val="21"/>
          <w:lang w:eastAsia="zh-CN"/>
        </w:rPr>
        <w:t>委员会发现招标文件存在歧义、重大缺陷导致评</w:t>
      </w:r>
      <w:r>
        <w:rPr>
          <w:rFonts w:hint="eastAsia"/>
          <w:szCs w:val="21"/>
          <w:lang w:eastAsia="zh-CN"/>
        </w:rPr>
        <w:t>审</w:t>
      </w:r>
      <w:r>
        <w:rPr>
          <w:szCs w:val="21"/>
          <w:lang w:eastAsia="zh-CN"/>
        </w:rPr>
        <w:t>工作无法进行，或者招标文件内容违反国家有关强制性规定的，应当停止评</w:t>
      </w:r>
      <w:r>
        <w:rPr>
          <w:rFonts w:hint="eastAsia"/>
          <w:szCs w:val="21"/>
          <w:lang w:eastAsia="zh-CN"/>
        </w:rPr>
        <w:t>审</w:t>
      </w:r>
      <w:r>
        <w:rPr>
          <w:szCs w:val="21"/>
          <w:lang w:eastAsia="zh-CN"/>
        </w:rPr>
        <w:t>工作，与</w:t>
      </w:r>
      <w:r>
        <w:rPr>
          <w:rFonts w:hint="eastAsia"/>
          <w:szCs w:val="21"/>
          <w:lang w:eastAsia="zh-CN"/>
        </w:rPr>
        <w:t>政府集中采购机构</w:t>
      </w:r>
      <w:r>
        <w:rPr>
          <w:szCs w:val="21"/>
          <w:lang w:eastAsia="zh-CN"/>
        </w:rPr>
        <w:t>沟通并作书面记录。</w:t>
      </w:r>
      <w:r>
        <w:rPr>
          <w:rFonts w:hint="eastAsia"/>
          <w:szCs w:val="21"/>
          <w:lang w:eastAsia="zh-CN"/>
        </w:rPr>
        <w:t>经</w:t>
      </w:r>
      <w:r>
        <w:rPr>
          <w:szCs w:val="21"/>
          <w:lang w:eastAsia="zh-CN"/>
        </w:rPr>
        <w:t>确认后，</w:t>
      </w:r>
      <w:r>
        <w:rPr>
          <w:rFonts w:hint="eastAsia"/>
          <w:szCs w:val="21"/>
          <w:lang w:eastAsia="zh-CN"/>
        </w:rPr>
        <w:t>项目</w:t>
      </w:r>
      <w:r>
        <w:rPr>
          <w:szCs w:val="21"/>
          <w:lang w:eastAsia="zh-CN"/>
        </w:rPr>
        <w:t>应当修改招标文件，重新组织采购活动。</w:t>
      </w:r>
    </w:p>
    <w:p w14:paraId="2DE25C2D">
      <w:pPr>
        <w:ind w:firstLine="470" w:firstLineChars="196"/>
        <w:rPr>
          <w:rFonts w:ascii="宋体" w:hAnsi="宋体"/>
          <w:lang w:eastAsia="zh-CN"/>
        </w:rPr>
      </w:pPr>
      <w:r>
        <w:rPr>
          <w:rFonts w:ascii="宋体" w:hAnsi="宋体"/>
          <w:lang w:eastAsia="zh-CN"/>
        </w:rPr>
        <w:t>33.3</w:t>
      </w:r>
      <w:r>
        <w:rPr>
          <w:rFonts w:hint="eastAsia" w:ascii="宋体" w:hAnsi="宋体"/>
          <w:lang w:eastAsia="zh-CN"/>
        </w:rPr>
        <w:t>对于投标文件中含义不明确、同类问题表述不一致或者有明显文字和计算错误的内容，评审委员会应当以书面形式要求投标人作出必要的澄清、说明或者补正。</w:t>
      </w:r>
    </w:p>
    <w:p w14:paraId="7B0F5326">
      <w:pPr>
        <w:ind w:firstLine="470" w:firstLineChars="196"/>
        <w:rPr>
          <w:rFonts w:ascii="宋体" w:hAnsi="宋体"/>
          <w:lang w:eastAsia="zh-CN"/>
        </w:rPr>
      </w:pPr>
      <w:r>
        <w:rPr>
          <w:rFonts w:hint="eastAsia" w:ascii="宋体" w:hAnsi="宋体"/>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08F2672">
      <w:pPr>
        <w:ind w:firstLine="470" w:firstLineChars="196"/>
        <w:rPr>
          <w:rFonts w:ascii="宋体" w:hAnsi="宋体"/>
          <w:szCs w:val="21"/>
          <w:lang w:eastAsia="zh-CN"/>
        </w:rPr>
      </w:pPr>
      <w:r>
        <w:rPr>
          <w:rFonts w:hint="eastAsia" w:ascii="宋体" w:hAnsi="宋体"/>
          <w:szCs w:val="21"/>
          <w:lang w:eastAsia="zh-CN"/>
        </w:rPr>
        <w:t>根据本通用条款第34条，凡属于评审委员会在评审中发现的算术错误进行核实的修改不在此列。</w:t>
      </w:r>
    </w:p>
    <w:p w14:paraId="419CA36C">
      <w:pPr>
        <w:rPr>
          <w:rFonts w:hint="eastAsia" w:ascii="黑体" w:hAnsi="宋体" w:eastAsia="黑体"/>
          <w:lang w:eastAsia="zh-CN"/>
        </w:rPr>
      </w:pPr>
      <w:bookmarkStart w:id="107" w:name="_Toc73521669"/>
      <w:bookmarkStart w:id="108" w:name="_Toc73517673"/>
      <w:bookmarkStart w:id="109" w:name="_Toc73518151"/>
      <w:bookmarkStart w:id="110" w:name="_Toc73521581"/>
      <w:bookmarkStart w:id="111" w:name="_Toc100052400"/>
      <w:r>
        <w:rPr>
          <w:rFonts w:hint="eastAsia" w:ascii="黑体" w:hAnsi="宋体" w:eastAsia="黑体"/>
          <w:lang w:eastAsia="zh-CN"/>
        </w:rPr>
        <w:t>34．错误的修正</w:t>
      </w:r>
      <w:bookmarkEnd w:id="107"/>
      <w:bookmarkEnd w:id="108"/>
      <w:bookmarkEnd w:id="109"/>
      <w:bookmarkEnd w:id="110"/>
      <w:bookmarkEnd w:id="111"/>
    </w:p>
    <w:p w14:paraId="70B697D5">
      <w:pPr>
        <w:ind w:firstLine="470" w:firstLineChars="196"/>
        <w:rPr>
          <w:rFonts w:ascii="宋体" w:hAnsi="宋体"/>
          <w:szCs w:val="21"/>
          <w:lang w:eastAsia="zh-CN"/>
        </w:rPr>
      </w:pPr>
      <w:r>
        <w:rPr>
          <w:rFonts w:hint="eastAsia" w:ascii="宋体" w:hAnsi="宋体"/>
          <w:szCs w:val="21"/>
          <w:lang w:eastAsia="zh-CN"/>
        </w:rPr>
        <w:t>投标文件报价出现前后不一致的，除专用条款另有规定外，按照下列规定修正：</w:t>
      </w:r>
    </w:p>
    <w:p w14:paraId="07C8EF46">
      <w:pPr>
        <w:ind w:firstLine="470" w:firstLineChars="196"/>
        <w:rPr>
          <w:rFonts w:ascii="宋体" w:hAnsi="宋体"/>
          <w:szCs w:val="21"/>
          <w:lang w:eastAsia="zh-CN"/>
        </w:rPr>
      </w:pPr>
      <w:r>
        <w:rPr>
          <w:rFonts w:hint="eastAsia" w:ascii="宋体" w:hAnsi="宋体"/>
          <w:szCs w:val="21"/>
          <w:lang w:eastAsia="zh-CN"/>
        </w:rPr>
        <w:t>34.1投标文件中开标一览表投标报价内容与投标文件中投标报价相应内容不一致的，以开标一览表为准；</w:t>
      </w:r>
    </w:p>
    <w:p w14:paraId="33362A82">
      <w:pPr>
        <w:ind w:firstLine="470" w:firstLineChars="196"/>
        <w:rPr>
          <w:rFonts w:ascii="宋体" w:hAnsi="宋体"/>
          <w:szCs w:val="21"/>
          <w:lang w:eastAsia="zh-CN"/>
        </w:rPr>
      </w:pPr>
      <w:r>
        <w:rPr>
          <w:rFonts w:hint="eastAsia" w:ascii="宋体" w:hAnsi="宋体"/>
          <w:szCs w:val="21"/>
          <w:lang w:eastAsia="zh-CN"/>
        </w:rPr>
        <w:t>34.2大写金额和小写金额不一致的，以大写金额为准；</w:t>
      </w:r>
    </w:p>
    <w:p w14:paraId="696BF472">
      <w:pPr>
        <w:ind w:firstLine="470" w:firstLineChars="196"/>
        <w:rPr>
          <w:rFonts w:ascii="宋体" w:hAnsi="宋体"/>
          <w:szCs w:val="21"/>
          <w:lang w:eastAsia="zh-CN"/>
        </w:rPr>
      </w:pPr>
      <w:r>
        <w:rPr>
          <w:rFonts w:hint="eastAsia" w:ascii="宋体" w:hAnsi="宋体"/>
          <w:szCs w:val="21"/>
          <w:lang w:eastAsia="zh-CN"/>
        </w:rPr>
        <w:t>34.3单价金额小数点或者百分比有明显错位，以开标一览表的总价为准，并修改单价；</w:t>
      </w:r>
    </w:p>
    <w:p w14:paraId="5085D3CD">
      <w:pPr>
        <w:ind w:firstLine="470" w:firstLineChars="196"/>
        <w:rPr>
          <w:rFonts w:ascii="宋体" w:hAnsi="宋体"/>
          <w:szCs w:val="21"/>
          <w:lang w:eastAsia="zh-CN"/>
        </w:rPr>
      </w:pPr>
      <w:r>
        <w:rPr>
          <w:rFonts w:hint="eastAsia" w:ascii="宋体" w:hAnsi="宋体"/>
          <w:szCs w:val="21"/>
          <w:lang w:eastAsia="zh-CN"/>
        </w:rPr>
        <w:t>34.4总价金额与按单价汇总金额不一致的，以单价金额计算结果为准。</w:t>
      </w:r>
    </w:p>
    <w:p w14:paraId="3BB7A4B6">
      <w:pPr>
        <w:ind w:firstLine="470" w:firstLineChars="196"/>
        <w:rPr>
          <w:rFonts w:ascii="宋体" w:hAnsi="宋体"/>
          <w:szCs w:val="21"/>
          <w:lang w:eastAsia="zh-CN"/>
        </w:rPr>
      </w:pPr>
      <w:r>
        <w:rPr>
          <w:rFonts w:hint="eastAsia" w:ascii="宋体" w:hAnsi="宋体"/>
          <w:szCs w:val="21"/>
          <w:lang w:eastAsia="zh-CN"/>
        </w:rPr>
        <w:t>34.5同时出现两种以上不一致的，按照前款规定的顺序修正。修正后的报价按照本通用条款33条的规定，经投标人确认后产生约束力，投标人不确认的，其投标无效。</w:t>
      </w:r>
    </w:p>
    <w:p w14:paraId="29A75401">
      <w:pPr>
        <w:rPr>
          <w:rFonts w:hint="eastAsia" w:ascii="黑体" w:hAnsi="宋体" w:eastAsia="黑体"/>
          <w:lang w:eastAsia="zh-CN"/>
        </w:rPr>
      </w:pPr>
      <w:r>
        <w:rPr>
          <w:rFonts w:hint="eastAsia" w:ascii="黑体" w:hAnsi="宋体" w:eastAsia="黑体"/>
          <w:lang w:eastAsia="zh-CN"/>
        </w:rPr>
        <w:t>35．投标文件的比较与评价</w:t>
      </w:r>
    </w:p>
    <w:p w14:paraId="5E6CEF2F">
      <w:pPr>
        <w:ind w:firstLine="470" w:firstLineChars="196"/>
        <w:rPr>
          <w:rFonts w:ascii="宋体" w:hAnsi="宋体"/>
          <w:szCs w:val="21"/>
          <w:lang w:eastAsia="zh-CN"/>
        </w:rPr>
      </w:pPr>
      <w:r>
        <w:rPr>
          <w:rFonts w:hint="eastAsia" w:ascii="宋体" w:hAnsi="宋体"/>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5368B11">
      <w:pPr>
        <w:ind w:firstLine="470" w:firstLineChars="196"/>
        <w:rPr>
          <w:rFonts w:ascii="宋体" w:hAnsi="宋体"/>
          <w:szCs w:val="21"/>
          <w:lang w:eastAsia="zh-CN"/>
        </w:rPr>
      </w:pPr>
      <w:r>
        <w:rPr>
          <w:rFonts w:hint="eastAsia" w:ascii="宋体" w:hAnsi="宋体"/>
          <w:szCs w:val="21"/>
          <w:lang w:eastAsia="zh-CN"/>
        </w:rPr>
        <w:t>评审委员会成员对需要共同认定的事项存在争议的，应当按照少数服从多数的原则作出结论。持不同意见的评审委员会成员应当书面作出说明，否则视为无异议。</w:t>
      </w:r>
    </w:p>
    <w:p w14:paraId="25056B57">
      <w:pPr>
        <w:rPr>
          <w:rFonts w:hint="eastAsia" w:ascii="黑体" w:hAnsi="宋体" w:eastAsia="黑体"/>
          <w:lang w:eastAsia="zh-CN"/>
        </w:rPr>
      </w:pPr>
      <w:r>
        <w:rPr>
          <w:rFonts w:hint="eastAsia" w:ascii="黑体" w:hAnsi="宋体" w:eastAsia="黑体"/>
          <w:lang w:eastAsia="zh-CN"/>
        </w:rPr>
        <w:t>36. 实地考察</w:t>
      </w:r>
    </w:p>
    <w:p w14:paraId="547E1D02">
      <w:pPr>
        <w:ind w:firstLine="470" w:firstLineChars="196"/>
        <w:rPr>
          <w:rFonts w:ascii="宋体" w:hAnsi="宋体"/>
          <w:szCs w:val="21"/>
          <w:lang w:eastAsia="zh-CN"/>
        </w:rPr>
      </w:pPr>
      <w:r>
        <w:rPr>
          <w:rFonts w:hint="eastAsia" w:ascii="宋体" w:hAnsi="宋体"/>
          <w:szCs w:val="21"/>
          <w:lang w:eastAsia="zh-CN"/>
        </w:rPr>
        <w:t>36.1在评审期间，评审委员会根据招标文件规定（详见“一、对通用条款的补充内容”），有权对本项目的投标人开展实地考察，投标人需时刻做好接收实地考察的准备。</w:t>
      </w:r>
    </w:p>
    <w:p w14:paraId="0845DA73">
      <w:pPr>
        <w:rPr>
          <w:rFonts w:hint="eastAsia" w:ascii="黑体" w:hAnsi="宋体" w:eastAsia="黑体"/>
          <w:lang w:eastAsia="zh-CN"/>
        </w:rPr>
      </w:pPr>
      <w:r>
        <w:rPr>
          <w:rFonts w:hint="eastAsia" w:ascii="黑体" w:hAnsi="宋体" w:eastAsia="黑体"/>
          <w:lang w:eastAsia="zh-CN"/>
        </w:rPr>
        <w:t>37．评审方法</w:t>
      </w:r>
    </w:p>
    <w:p w14:paraId="16EC698D">
      <w:pPr>
        <w:ind w:firstLine="471" w:firstLineChars="196"/>
        <w:rPr>
          <w:rFonts w:ascii="宋体" w:hAnsi="宋体"/>
          <w:b/>
          <w:bCs/>
          <w:szCs w:val="21"/>
          <w:lang w:eastAsia="zh-CN"/>
        </w:rPr>
      </w:pPr>
      <w:r>
        <w:rPr>
          <w:rFonts w:hint="eastAsia" w:ascii="宋体" w:hAnsi="宋体"/>
          <w:b/>
          <w:bCs/>
          <w:szCs w:val="21"/>
          <w:lang w:eastAsia="zh-CN"/>
        </w:rPr>
        <w:t>37.1.1最低价法</w:t>
      </w:r>
    </w:p>
    <w:p w14:paraId="13D7C4BE">
      <w:pPr>
        <w:ind w:firstLine="470" w:firstLineChars="196"/>
        <w:rPr>
          <w:rFonts w:ascii="ˎ̥" w:hAnsi="ˎ̥"/>
          <w:lang w:eastAsia="zh-CN"/>
        </w:rPr>
      </w:pPr>
      <w:bookmarkStart w:id="112" w:name="_Hlk72438142"/>
      <w:r>
        <w:rPr>
          <w:rFonts w:ascii="ˎ̥" w:hAnsi="ˎ̥"/>
          <w:lang w:eastAsia="zh-CN"/>
        </w:rPr>
        <w:t>最低价法，</w:t>
      </w:r>
      <w:r>
        <w:rPr>
          <w:rFonts w:hint="eastAsia" w:ascii="ˎ̥" w:hAnsi="ˎ̥"/>
          <w:lang w:eastAsia="zh-CN"/>
        </w:rPr>
        <w:t>是指投标文件满足招标文件全部实质性要求，且投标报价最低的投标人为中标候选人的评标方法。</w:t>
      </w:r>
    </w:p>
    <w:p w14:paraId="6A1B415C">
      <w:pPr>
        <w:ind w:firstLine="470"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4EB817D9">
      <w:pPr>
        <w:ind w:firstLine="471" w:firstLineChars="196"/>
        <w:rPr>
          <w:rFonts w:ascii="宋体" w:hAnsi="宋体"/>
          <w:b/>
          <w:bCs/>
          <w:szCs w:val="21"/>
          <w:lang w:eastAsia="zh-CN"/>
        </w:rPr>
      </w:pPr>
      <w:r>
        <w:rPr>
          <w:rFonts w:hint="eastAsia" w:ascii="宋体" w:hAnsi="宋体"/>
          <w:b/>
          <w:bCs/>
          <w:szCs w:val="21"/>
          <w:lang w:eastAsia="zh-CN"/>
        </w:rPr>
        <w:t>37.1.2综合评分法</w:t>
      </w:r>
    </w:p>
    <w:p w14:paraId="2CD7DF53">
      <w:pPr>
        <w:ind w:firstLine="470" w:firstLineChars="196"/>
        <w:rPr>
          <w:rFonts w:ascii="ˎ̥" w:hAnsi="ˎ̥"/>
          <w:lang w:eastAsia="zh-CN"/>
        </w:rPr>
      </w:pPr>
      <w:r>
        <w:rPr>
          <w:rFonts w:ascii="ˎ̥" w:hAnsi="ˎ̥"/>
          <w:lang w:eastAsia="zh-CN"/>
        </w:rPr>
        <w:t>综合评分法，是指</w:t>
      </w:r>
      <w:r>
        <w:rPr>
          <w:rFonts w:hint="eastAsia" w:ascii="ˎ̥" w:hAnsi="ˎ̥"/>
          <w:lang w:eastAsia="zh-CN"/>
        </w:rPr>
        <w:t>在</w:t>
      </w:r>
      <w:r>
        <w:rPr>
          <w:rFonts w:ascii="ˎ̥" w:hAnsi="ˎ̥"/>
          <w:lang w:eastAsia="zh-CN"/>
        </w:rPr>
        <w:t>满足招标文件全部实质性要求</w:t>
      </w:r>
      <w:r>
        <w:rPr>
          <w:rFonts w:hint="eastAsia" w:ascii="ˎ̥" w:hAnsi="ˎ̥"/>
          <w:lang w:eastAsia="zh-CN"/>
        </w:rPr>
        <w:t>的前提下</w:t>
      </w:r>
      <w:r>
        <w:rPr>
          <w:rFonts w:ascii="ˎ̥" w:hAnsi="ˎ̥"/>
          <w:lang w:eastAsia="zh-CN"/>
        </w:rPr>
        <w:t>，</w:t>
      </w:r>
      <w:r>
        <w:rPr>
          <w:rFonts w:hint="eastAsia" w:ascii="ˎ̥" w:hAnsi="ˎ̥"/>
          <w:lang w:eastAsia="zh-CN"/>
        </w:rPr>
        <w:t>按照招标文件中规定的各项因素进行综合评审，评审总得分排名前列的投标人，作为推荐的候选中标供应商</w:t>
      </w:r>
      <w:bookmarkEnd w:id="112"/>
      <w:r>
        <w:rPr>
          <w:rFonts w:hint="eastAsia" w:ascii="ˎ̥" w:hAnsi="ˎ̥"/>
          <w:lang w:eastAsia="zh-CN"/>
        </w:rPr>
        <w:t>。</w:t>
      </w:r>
    </w:p>
    <w:p w14:paraId="2167B8A0">
      <w:pPr>
        <w:ind w:firstLine="470" w:firstLineChars="196"/>
        <w:rPr>
          <w:rFonts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63CB63C6">
      <w:pPr>
        <w:ind w:firstLine="471" w:firstLineChars="196"/>
        <w:rPr>
          <w:rFonts w:ascii="宋体" w:hAnsi="宋体"/>
          <w:b/>
          <w:bCs/>
          <w:szCs w:val="21"/>
          <w:lang w:eastAsia="zh-CN"/>
        </w:rPr>
      </w:pPr>
      <w:r>
        <w:rPr>
          <w:rFonts w:hint="eastAsia" w:ascii="宋体" w:hAnsi="宋体"/>
          <w:b/>
          <w:bCs/>
          <w:szCs w:val="21"/>
          <w:lang w:eastAsia="zh-CN"/>
        </w:rPr>
        <w:t>37.2本项目采用的评审方法见本项目招标文件第一册“专用条款”的相关内容。</w:t>
      </w:r>
    </w:p>
    <w:p w14:paraId="65435A3E">
      <w:pPr>
        <w:ind w:firstLine="471" w:firstLineChars="196"/>
        <w:rPr>
          <w:rFonts w:ascii="宋体" w:hAnsi="宋体"/>
          <w:b/>
          <w:bCs/>
          <w:szCs w:val="21"/>
          <w:lang w:eastAsia="zh-CN"/>
        </w:rPr>
      </w:pPr>
      <w:r>
        <w:rPr>
          <w:rFonts w:hint="eastAsia" w:ascii="宋体" w:hAnsi="宋体"/>
          <w:b/>
          <w:bCs/>
          <w:szCs w:val="21"/>
          <w:lang w:eastAsia="zh-CN"/>
        </w:rPr>
        <w:t>37.3重新评审的情形</w:t>
      </w:r>
    </w:p>
    <w:p w14:paraId="14CDE9A4">
      <w:pPr>
        <w:ind w:firstLine="470" w:firstLineChars="196"/>
        <w:rPr>
          <w:rFonts w:ascii="宋体" w:hAnsi="宋体"/>
          <w:b/>
          <w:bCs/>
          <w:szCs w:val="21"/>
          <w:lang w:eastAsia="zh-CN"/>
        </w:rPr>
      </w:pPr>
      <w:r>
        <w:rPr>
          <w:rFonts w:hint="eastAsia" w:ascii="宋体" w:hAnsi="宋体" w:cs="宋体"/>
          <w:szCs w:val="21"/>
          <w:lang w:eastAsia="zh-CN"/>
        </w:rPr>
        <w:t>评审结果汇总完成后，除下列情形外，任何人不得修改评审结果：</w:t>
      </w:r>
    </w:p>
    <w:p w14:paraId="1E65CF09">
      <w:pPr>
        <w:ind w:firstLine="470" w:firstLineChars="196"/>
        <w:rPr>
          <w:rFonts w:ascii="宋体" w:hAnsi="宋体" w:cs="宋体"/>
          <w:szCs w:val="21"/>
          <w:lang w:eastAsia="zh-CN"/>
        </w:rPr>
      </w:pPr>
      <w:r>
        <w:rPr>
          <w:rFonts w:hint="eastAsia" w:ascii="宋体" w:hAnsi="宋体" w:cs="宋体"/>
          <w:szCs w:val="21"/>
          <w:lang w:eastAsia="zh-CN"/>
        </w:rPr>
        <w:t>37.3.1分值汇总计算错误的；</w:t>
      </w:r>
    </w:p>
    <w:p w14:paraId="19FC7740">
      <w:pPr>
        <w:ind w:firstLine="470" w:firstLineChars="196"/>
        <w:rPr>
          <w:rFonts w:ascii="宋体" w:hAnsi="宋体" w:cs="宋体"/>
          <w:szCs w:val="21"/>
          <w:lang w:eastAsia="zh-CN"/>
        </w:rPr>
      </w:pPr>
      <w:r>
        <w:rPr>
          <w:rFonts w:hint="eastAsia" w:ascii="宋体" w:hAnsi="宋体" w:cs="宋体"/>
          <w:szCs w:val="21"/>
          <w:lang w:eastAsia="zh-CN"/>
        </w:rPr>
        <w:t>37.3.2分项评分超出评分标准范围的；</w:t>
      </w:r>
    </w:p>
    <w:p w14:paraId="4F998E0F">
      <w:pPr>
        <w:ind w:firstLine="470" w:firstLineChars="196"/>
        <w:rPr>
          <w:rFonts w:ascii="宋体" w:hAnsi="宋体" w:cs="宋体"/>
          <w:szCs w:val="21"/>
          <w:lang w:eastAsia="zh-CN"/>
        </w:rPr>
      </w:pPr>
      <w:r>
        <w:rPr>
          <w:rFonts w:hint="eastAsia" w:ascii="宋体" w:hAnsi="宋体" w:cs="宋体"/>
          <w:szCs w:val="21"/>
          <w:lang w:eastAsia="zh-CN"/>
        </w:rPr>
        <w:t>37.3.3评审委员会成员对客观评审因素评分不一致的；</w:t>
      </w:r>
    </w:p>
    <w:p w14:paraId="718B6E4F">
      <w:pPr>
        <w:ind w:firstLine="470" w:firstLineChars="196"/>
        <w:rPr>
          <w:rFonts w:ascii="宋体" w:hAnsi="宋体" w:cs="宋体"/>
          <w:szCs w:val="21"/>
          <w:lang w:eastAsia="zh-CN"/>
        </w:rPr>
      </w:pPr>
      <w:r>
        <w:rPr>
          <w:rFonts w:hint="eastAsia" w:ascii="宋体" w:hAnsi="宋体" w:cs="宋体"/>
          <w:szCs w:val="21"/>
          <w:lang w:eastAsia="zh-CN"/>
        </w:rPr>
        <w:t>37.3.4经评审委员会认定评分畸高、畸低的。</w:t>
      </w:r>
    </w:p>
    <w:p w14:paraId="52148440">
      <w:pPr>
        <w:ind w:firstLine="470" w:firstLineChars="196"/>
        <w:rPr>
          <w:rFonts w:ascii="宋体" w:hAnsi="宋体" w:cs="宋体"/>
          <w:szCs w:val="21"/>
          <w:lang w:eastAsia="zh-CN"/>
        </w:rPr>
      </w:pPr>
      <w:r>
        <w:rPr>
          <w:rFonts w:hint="eastAsia" w:ascii="宋体" w:hAnsi="宋体" w:cs="宋体"/>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2EB334">
      <w:pPr>
        <w:ind w:firstLine="470" w:firstLineChars="196"/>
        <w:rPr>
          <w:rFonts w:ascii="宋体" w:hAnsi="宋体" w:cs="宋体"/>
          <w:szCs w:val="21"/>
          <w:lang w:eastAsia="zh-CN"/>
        </w:rPr>
      </w:pPr>
      <w:r>
        <w:rPr>
          <w:rFonts w:hint="eastAsia" w:ascii="宋体" w:hAnsi="宋体" w:cs="宋体"/>
          <w:szCs w:val="21"/>
          <w:lang w:eastAsia="zh-CN"/>
        </w:rPr>
        <w:t>投标人对本条第一款情形提出质疑的，采购人或者采购代理机构可以组织原评审委员会进行重新评审，重新评审改变评审结果的，应当书面报告本级财政部门。</w:t>
      </w:r>
    </w:p>
    <w:p w14:paraId="4A3B6838">
      <w:pPr>
        <w:ind w:firstLine="471" w:firstLineChars="196"/>
        <w:rPr>
          <w:rFonts w:ascii="宋体" w:hAnsi="宋体"/>
          <w:b/>
          <w:bCs/>
          <w:szCs w:val="21"/>
          <w:lang w:eastAsia="zh-CN"/>
        </w:rPr>
      </w:pPr>
      <w:r>
        <w:rPr>
          <w:rFonts w:hint="eastAsia" w:ascii="宋体" w:hAnsi="宋体"/>
          <w:b/>
          <w:bCs/>
          <w:szCs w:val="21"/>
          <w:lang w:eastAsia="zh-CN"/>
        </w:rPr>
        <w:t>37.4重新组建评审委员会的情形</w:t>
      </w:r>
    </w:p>
    <w:p w14:paraId="1E78091A">
      <w:pPr>
        <w:ind w:firstLine="470" w:firstLineChars="196"/>
        <w:rPr>
          <w:rFonts w:ascii="宋体" w:hAnsi="宋体" w:cs="宋体"/>
          <w:szCs w:val="21"/>
          <w:lang w:eastAsia="zh-CN"/>
        </w:rPr>
      </w:pPr>
      <w:r>
        <w:rPr>
          <w:rFonts w:hint="eastAsia" w:ascii="宋体" w:hAnsi="宋体" w:cs="宋体"/>
          <w:szCs w:val="21"/>
          <w:lang w:eastAsia="zh-CN"/>
        </w:rPr>
        <w:t>评审委员会或者其成员存在下列情形导致评审结果无效的，重新组建评审委员会进行评标，并书面报告本级财政部门：</w:t>
      </w:r>
    </w:p>
    <w:p w14:paraId="3791D83B">
      <w:pPr>
        <w:ind w:firstLine="470" w:firstLineChars="196"/>
        <w:rPr>
          <w:rFonts w:ascii="宋体" w:hAnsi="宋体" w:cs="宋体"/>
          <w:szCs w:val="21"/>
          <w:lang w:eastAsia="zh-CN"/>
        </w:rPr>
      </w:pPr>
      <w:r>
        <w:rPr>
          <w:rFonts w:hint="eastAsia" w:ascii="宋体" w:hAnsi="宋体" w:cs="宋体"/>
          <w:szCs w:val="21"/>
          <w:lang w:eastAsia="zh-CN"/>
        </w:rPr>
        <w:t>37.4.1评审委员会组成不符合《政府采购货物和服务招标投标管理办法》规定的；</w:t>
      </w:r>
    </w:p>
    <w:p w14:paraId="38147DEC">
      <w:pPr>
        <w:ind w:firstLine="470" w:firstLineChars="196"/>
        <w:rPr>
          <w:rFonts w:ascii="宋体" w:hAnsi="宋体" w:cs="宋体"/>
          <w:szCs w:val="21"/>
          <w:lang w:eastAsia="zh-CN"/>
        </w:rPr>
      </w:pPr>
      <w:r>
        <w:rPr>
          <w:rFonts w:hint="eastAsia" w:ascii="宋体" w:hAnsi="宋体" w:cs="宋体"/>
          <w:szCs w:val="21"/>
          <w:lang w:eastAsia="zh-CN"/>
        </w:rPr>
        <w:t>37.4.2有《政府采购货物和服务招标投标管理办法》第六十二条第一至五项情形的；</w:t>
      </w:r>
    </w:p>
    <w:p w14:paraId="7BB917C6">
      <w:pPr>
        <w:ind w:firstLine="470" w:firstLineChars="196"/>
        <w:rPr>
          <w:rFonts w:ascii="宋体" w:hAnsi="宋体" w:cs="宋体"/>
          <w:szCs w:val="21"/>
          <w:lang w:eastAsia="zh-CN"/>
        </w:rPr>
      </w:pPr>
      <w:r>
        <w:rPr>
          <w:rFonts w:hint="eastAsia" w:ascii="宋体" w:hAnsi="宋体" w:cs="宋体"/>
          <w:szCs w:val="21"/>
          <w:lang w:eastAsia="zh-CN"/>
        </w:rPr>
        <w:t>37.4.3评审委员会及其成员独立评标受到非法干预的；</w:t>
      </w:r>
    </w:p>
    <w:p w14:paraId="3BDC2369">
      <w:pPr>
        <w:ind w:firstLine="470" w:firstLineChars="196"/>
        <w:rPr>
          <w:rFonts w:ascii="宋体" w:hAnsi="宋体" w:cs="宋体"/>
          <w:szCs w:val="21"/>
          <w:lang w:eastAsia="zh-CN"/>
        </w:rPr>
      </w:pPr>
      <w:r>
        <w:rPr>
          <w:rFonts w:hint="eastAsia" w:ascii="宋体" w:hAnsi="宋体" w:cs="宋体"/>
          <w:szCs w:val="21"/>
          <w:lang w:eastAsia="zh-CN"/>
        </w:rPr>
        <w:t>37.4.4有政府采购法实施条例第七十五条规定的违法行为的。</w:t>
      </w:r>
    </w:p>
    <w:p w14:paraId="2066E238">
      <w:pPr>
        <w:ind w:firstLine="470" w:firstLineChars="196"/>
        <w:rPr>
          <w:rFonts w:ascii="宋体" w:hAnsi="宋体" w:cs="宋体"/>
          <w:szCs w:val="21"/>
          <w:lang w:eastAsia="zh-CN"/>
        </w:rPr>
      </w:pPr>
      <w:r>
        <w:rPr>
          <w:rFonts w:hint="eastAsia" w:ascii="宋体" w:hAnsi="宋体" w:cs="宋体"/>
          <w:szCs w:val="21"/>
          <w:lang w:eastAsia="zh-CN"/>
        </w:rPr>
        <w:t>有违法违规行为的原评审委员会成员不得参加重新组建的评审委员会。</w:t>
      </w:r>
    </w:p>
    <w:p w14:paraId="6D0958B4">
      <w:pPr>
        <w:ind w:firstLine="470" w:firstLineChars="196"/>
        <w:rPr>
          <w:rFonts w:ascii="宋体" w:hAnsi="宋体"/>
          <w:szCs w:val="21"/>
          <w:lang w:eastAsia="zh-CN"/>
        </w:rPr>
      </w:pPr>
    </w:p>
    <w:p w14:paraId="68367452">
      <w:pPr>
        <w:pStyle w:val="7"/>
        <w:numPr>
          <w:ilvl w:val="0"/>
          <w:numId w:val="15"/>
        </w:numPr>
        <w:spacing w:before="120" w:beforeLines="50" w:after="120" w:afterLines="50"/>
        <w:ind w:left="562" w:hanging="562"/>
        <w:rPr>
          <w:rFonts w:hint="eastAsia"/>
          <w:sz w:val="28"/>
          <w:szCs w:val="28"/>
        </w:rPr>
      </w:pPr>
      <w:r>
        <w:rPr>
          <w:rFonts w:hint="eastAsia"/>
          <w:sz w:val="28"/>
          <w:szCs w:val="28"/>
        </w:rPr>
        <w:t>定标及公示</w:t>
      </w:r>
    </w:p>
    <w:p w14:paraId="478279E7">
      <w:pPr>
        <w:rPr>
          <w:rFonts w:hint="eastAsia" w:ascii="黑体" w:hAnsi="宋体" w:eastAsia="黑体"/>
        </w:rPr>
      </w:pPr>
      <w:r>
        <w:rPr>
          <w:rFonts w:hint="eastAsia" w:ascii="黑体" w:hAnsi="宋体" w:eastAsia="黑体"/>
        </w:rPr>
        <w:t>38．定标方法</w:t>
      </w:r>
    </w:p>
    <w:p w14:paraId="54D9B6C3">
      <w:pPr>
        <w:ind w:firstLine="470" w:firstLineChars="196"/>
        <w:rPr>
          <w:rFonts w:ascii="宋体" w:hAnsi="宋体"/>
          <w:szCs w:val="21"/>
          <w:lang w:eastAsia="zh-CN"/>
        </w:rPr>
      </w:pPr>
      <w:bookmarkStart w:id="113" w:name="_Hlk73782795"/>
      <w:r>
        <w:rPr>
          <w:rFonts w:hint="eastAsia" w:ascii="宋体" w:hAnsi="宋体"/>
          <w:szCs w:val="21"/>
          <w:lang w:eastAsia="zh-CN"/>
        </w:rPr>
        <w:t>38.1非评定分离项目定标方法</w:t>
      </w:r>
    </w:p>
    <w:p w14:paraId="741C4309">
      <w:pPr>
        <w:ind w:firstLine="470" w:firstLineChars="196"/>
        <w:rPr>
          <w:rFonts w:ascii="宋体" w:hAnsi="宋体"/>
          <w:szCs w:val="21"/>
          <w:lang w:eastAsia="zh-CN"/>
        </w:rPr>
      </w:pPr>
      <w:r>
        <w:rPr>
          <w:rFonts w:hint="eastAsia" w:ascii="宋体" w:hAnsi="宋体"/>
          <w:szCs w:val="21"/>
          <w:lang w:eastAsia="zh-CN"/>
        </w:rPr>
        <w:t>38</w:t>
      </w:r>
      <w:r>
        <w:rPr>
          <w:rFonts w:ascii="宋体" w:hAnsi="宋体"/>
          <w:szCs w:val="21"/>
          <w:lang w:eastAsia="zh-CN"/>
        </w:rPr>
        <w:t>.</w:t>
      </w:r>
      <w:r>
        <w:rPr>
          <w:rFonts w:hint="eastAsia" w:ascii="宋体" w:hAnsi="宋体"/>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4EE24761">
      <w:pPr>
        <w:ind w:firstLine="470" w:firstLineChars="196"/>
        <w:rPr>
          <w:rFonts w:ascii="ˎ̥" w:hAnsi="ˎ̥"/>
          <w:lang w:eastAsia="zh-CN"/>
        </w:rPr>
      </w:pPr>
      <w:r>
        <w:rPr>
          <w:rFonts w:hint="eastAsia" w:ascii="宋体" w:hAnsi="宋体"/>
          <w:szCs w:val="21"/>
          <w:lang w:eastAsia="zh-CN"/>
        </w:rPr>
        <w:t>38</w:t>
      </w:r>
      <w:r>
        <w:rPr>
          <w:rFonts w:ascii="宋体" w:hAnsi="宋体"/>
          <w:szCs w:val="21"/>
          <w:lang w:eastAsia="zh-CN"/>
        </w:rPr>
        <w:t>.</w:t>
      </w:r>
      <w:r>
        <w:rPr>
          <w:rFonts w:hint="eastAsia" w:ascii="宋体" w:hAnsi="宋体"/>
          <w:szCs w:val="21"/>
          <w:lang w:eastAsia="zh-CN"/>
        </w:rPr>
        <w:t>1.2</w:t>
      </w:r>
      <w:r>
        <w:rPr>
          <w:rFonts w:ascii="ˎ̥" w:hAnsi="ˎ̥"/>
          <w:lang w:eastAsia="zh-CN"/>
        </w:rPr>
        <w:t>采用最低价法的，评</w:t>
      </w:r>
      <w:r>
        <w:rPr>
          <w:rFonts w:hint="eastAsia" w:ascii="ˎ̥" w:hAnsi="ˎ̥"/>
          <w:lang w:eastAsia="zh-CN"/>
        </w:rPr>
        <w:t>审</w:t>
      </w:r>
      <w:r>
        <w:rPr>
          <w:rFonts w:ascii="ˎ̥" w:hAnsi="ˎ̥"/>
          <w:lang w:eastAsia="zh-CN"/>
        </w:rPr>
        <w:t>结果按投标报价由低到高顺序排列。投标报价相同的并列。投标文件满足招标文件全部实质性要求且投标报价最低的</w:t>
      </w:r>
      <w:r>
        <w:rPr>
          <w:rFonts w:hint="eastAsia" w:ascii="ˎ̥" w:hAnsi="ˎ̥"/>
          <w:lang w:eastAsia="zh-CN"/>
        </w:rPr>
        <w:t>投标人为</w:t>
      </w:r>
      <w:bookmarkStart w:id="114" w:name="_Hlk73821177"/>
      <w:r>
        <w:rPr>
          <w:rFonts w:hint="eastAsia" w:ascii="ˎ̥" w:hAnsi="ˎ̥"/>
          <w:lang w:eastAsia="zh-CN"/>
        </w:rPr>
        <w:t>中标供应商</w:t>
      </w:r>
      <w:r>
        <w:rPr>
          <w:rFonts w:ascii="ˎ̥" w:hAnsi="ˎ̥"/>
          <w:lang w:eastAsia="zh-CN"/>
        </w:rPr>
        <w:t>（</w:t>
      </w:r>
      <w:r>
        <w:rPr>
          <w:rFonts w:hint="eastAsia" w:ascii="ˎ̥" w:hAnsi="ˎ̥"/>
          <w:lang w:eastAsia="zh-CN"/>
        </w:rPr>
        <w:t>排名</w:t>
      </w:r>
      <w:r>
        <w:rPr>
          <w:rFonts w:ascii="ˎ̥" w:hAnsi="ˎ̥"/>
          <w:lang w:eastAsia="zh-CN"/>
        </w:rPr>
        <w:t>第二</w:t>
      </w:r>
      <w:r>
        <w:rPr>
          <w:rFonts w:hint="eastAsia" w:ascii="ˎ̥" w:hAnsi="ˎ̥"/>
          <w:lang w:eastAsia="zh-CN"/>
        </w:rPr>
        <w:t>的投标人为第一替补中标候选人、排名</w:t>
      </w:r>
      <w:r>
        <w:rPr>
          <w:rFonts w:ascii="ˎ̥" w:hAnsi="ˎ̥"/>
          <w:lang w:eastAsia="zh-CN"/>
        </w:rPr>
        <w:t>第</w:t>
      </w:r>
      <w:r>
        <w:rPr>
          <w:rFonts w:hint="eastAsia" w:ascii="ˎ̥" w:hAnsi="ˎ̥"/>
          <w:lang w:eastAsia="zh-CN"/>
        </w:rPr>
        <w:t>三的投标人为第二替补中标候选人</w:t>
      </w:r>
      <w:bookmarkEnd w:id="114"/>
      <w:r>
        <w:rPr>
          <w:rFonts w:ascii="ˎ̥" w:hAnsi="ˎ̥"/>
          <w:lang w:eastAsia="zh-CN"/>
        </w:rPr>
        <w:t>）。</w:t>
      </w:r>
    </w:p>
    <w:p w14:paraId="7C002600">
      <w:pPr>
        <w:ind w:firstLine="470" w:firstLineChars="196"/>
        <w:rPr>
          <w:rFonts w:ascii="ˎ̥" w:hAnsi="ˎ̥"/>
          <w:lang w:eastAsia="zh-CN"/>
        </w:rPr>
      </w:pPr>
      <w:r>
        <w:rPr>
          <w:rFonts w:hint="eastAsia" w:ascii="宋体" w:hAnsi="宋体"/>
          <w:szCs w:val="21"/>
          <w:lang w:eastAsia="zh-CN"/>
        </w:rPr>
        <w:t>38</w:t>
      </w:r>
      <w:r>
        <w:rPr>
          <w:rFonts w:ascii="宋体" w:hAnsi="宋体"/>
          <w:szCs w:val="21"/>
          <w:lang w:eastAsia="zh-CN"/>
        </w:rPr>
        <w:t>.</w:t>
      </w:r>
      <w:r>
        <w:rPr>
          <w:rFonts w:hint="eastAsia" w:ascii="宋体" w:hAnsi="宋体"/>
          <w:szCs w:val="21"/>
          <w:lang w:eastAsia="zh-CN"/>
        </w:rPr>
        <w:t>1.3</w:t>
      </w:r>
      <w:r>
        <w:rPr>
          <w:rFonts w:ascii="宋体" w:hAnsi="宋体"/>
          <w:szCs w:val="21"/>
          <w:lang w:eastAsia="zh-CN"/>
        </w:rPr>
        <w:t>采</w:t>
      </w:r>
      <w:r>
        <w:rPr>
          <w:rFonts w:ascii="ˎ̥" w:hAnsi="ˎ̥"/>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lang w:eastAsia="zh-CN"/>
        </w:rPr>
        <w:t>为中标供应商</w:t>
      </w:r>
      <w:r>
        <w:rPr>
          <w:rFonts w:ascii="ˎ̥" w:hAnsi="ˎ̥"/>
          <w:lang w:eastAsia="zh-CN"/>
        </w:rPr>
        <w:t>（</w:t>
      </w:r>
      <w:r>
        <w:rPr>
          <w:rFonts w:hint="eastAsia" w:ascii="ˎ̥" w:hAnsi="ˎ̥"/>
          <w:lang w:eastAsia="zh-CN"/>
        </w:rPr>
        <w:t>排名</w:t>
      </w:r>
      <w:r>
        <w:rPr>
          <w:rFonts w:ascii="ˎ̥" w:hAnsi="ˎ̥"/>
          <w:lang w:eastAsia="zh-CN"/>
        </w:rPr>
        <w:t>第二</w:t>
      </w:r>
      <w:r>
        <w:rPr>
          <w:rFonts w:hint="eastAsia" w:ascii="ˎ̥" w:hAnsi="ˎ̥"/>
          <w:lang w:eastAsia="zh-CN"/>
        </w:rPr>
        <w:t>的投标人为第一替补中标候选人、排名</w:t>
      </w:r>
      <w:r>
        <w:rPr>
          <w:rFonts w:ascii="ˎ̥" w:hAnsi="ˎ̥"/>
          <w:lang w:eastAsia="zh-CN"/>
        </w:rPr>
        <w:t>第</w:t>
      </w:r>
      <w:r>
        <w:rPr>
          <w:rFonts w:hint="eastAsia" w:ascii="ˎ̥" w:hAnsi="ˎ̥"/>
          <w:lang w:eastAsia="zh-CN"/>
        </w:rPr>
        <w:t>三的投标人为第二替补中标候选人</w:t>
      </w:r>
      <w:r>
        <w:rPr>
          <w:rFonts w:ascii="ˎ̥" w:hAnsi="ˎ̥"/>
          <w:lang w:eastAsia="zh-CN"/>
        </w:rPr>
        <w:t>）。</w:t>
      </w:r>
      <w:r>
        <w:rPr>
          <w:rFonts w:hint="eastAsia" w:ascii="ˎ̥" w:hAnsi="ˎ̥"/>
          <w:lang w:eastAsia="zh-CN"/>
        </w:rPr>
        <w:t>出现</w:t>
      </w:r>
      <w:r>
        <w:rPr>
          <w:rFonts w:ascii="ˎ̥" w:hAnsi="ˎ̥"/>
          <w:lang w:eastAsia="zh-CN"/>
        </w:rPr>
        <w:t>得分且投标报价相同的并列</w:t>
      </w:r>
      <w:r>
        <w:rPr>
          <w:rFonts w:hint="eastAsia" w:ascii="ˎ̥" w:hAnsi="ˎ̥"/>
          <w:lang w:eastAsia="zh-CN"/>
        </w:rPr>
        <w:t>情况时，采取随机抽取的方式确定，具体操作办法及流程由评审委员会确定。</w:t>
      </w:r>
    </w:p>
    <w:p w14:paraId="70A36697">
      <w:pPr>
        <w:ind w:firstLine="470" w:firstLineChars="196"/>
        <w:rPr>
          <w:rFonts w:ascii="宋体" w:hAnsi="宋体"/>
          <w:szCs w:val="21"/>
          <w:lang w:eastAsia="zh-CN"/>
        </w:rPr>
      </w:pPr>
      <w:r>
        <w:rPr>
          <w:rFonts w:hint="eastAsia" w:ascii="宋体" w:hAnsi="宋体"/>
          <w:szCs w:val="21"/>
          <w:lang w:eastAsia="zh-CN"/>
        </w:rPr>
        <w:t>38.2评定分离项目定标方法</w:t>
      </w:r>
    </w:p>
    <w:p w14:paraId="5A774AB9">
      <w:pPr>
        <w:ind w:firstLine="470" w:firstLineChars="196"/>
        <w:rPr>
          <w:rFonts w:ascii="宋体" w:hAnsi="宋体"/>
          <w:szCs w:val="21"/>
          <w:lang w:eastAsia="zh-CN"/>
        </w:rPr>
      </w:pPr>
      <w:r>
        <w:rPr>
          <w:rFonts w:hint="eastAsia" w:ascii="宋体" w:hAnsi="宋体"/>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BB12346">
      <w:pPr>
        <w:ind w:firstLine="470" w:firstLineChars="196"/>
        <w:rPr>
          <w:lang w:eastAsia="zh-CN"/>
        </w:rPr>
      </w:pPr>
      <w:r>
        <w:rPr>
          <w:rFonts w:ascii="宋体" w:hAnsi="宋体"/>
          <w:szCs w:val="21"/>
          <w:lang w:eastAsia="zh-CN"/>
        </w:rPr>
        <w:t xml:space="preserve">38.2.2 </w:t>
      </w:r>
      <w:bookmarkStart w:id="115" w:name="_Hlk71469733"/>
      <w:r>
        <w:rPr>
          <w:lang w:eastAsia="zh-CN"/>
        </w:rPr>
        <w:t>适用评定分离的政府采购项目，采用综合评分法评</w:t>
      </w:r>
      <w:r>
        <w:rPr>
          <w:rFonts w:hint="eastAsia"/>
          <w:lang w:eastAsia="zh-CN"/>
        </w:rPr>
        <w:t>审。</w:t>
      </w:r>
      <w:r>
        <w:rPr>
          <w:rFonts w:hint="eastAsia" w:ascii="宋体" w:hAnsi="宋体"/>
          <w:szCs w:val="21"/>
          <w:lang w:eastAsia="zh-CN"/>
        </w:rPr>
        <w:t>评审委员会按照评审结果，推荐</w:t>
      </w:r>
      <w:r>
        <w:rPr>
          <w:lang w:eastAsia="zh-CN"/>
        </w:rPr>
        <w:t>三个合格的候选中标供应商。</w:t>
      </w:r>
    </w:p>
    <w:p w14:paraId="35C380A5">
      <w:pPr>
        <w:ind w:firstLine="470" w:firstLineChars="196"/>
        <w:rPr>
          <w:rFonts w:ascii="宋体" w:hAnsi="宋体"/>
          <w:szCs w:val="21"/>
          <w:lang w:eastAsia="zh-CN"/>
        </w:rPr>
      </w:pPr>
      <w:r>
        <w:rPr>
          <w:rFonts w:hint="eastAsia" w:ascii="宋体" w:hAnsi="宋体"/>
          <w:szCs w:val="21"/>
          <w:lang w:eastAsia="zh-CN"/>
        </w:rPr>
        <w:t>38.2.3</w:t>
      </w:r>
      <w:bookmarkStart w:id="116" w:name="_Hlk71469688"/>
      <w:r>
        <w:rPr>
          <w:lang w:eastAsia="zh-CN"/>
        </w:rPr>
        <w:t>适用评定分离的政府采购项目，</w:t>
      </w:r>
      <w:r>
        <w:rPr>
          <w:rFonts w:hint="eastAsia" w:ascii="宋体" w:hAnsi="宋体"/>
          <w:szCs w:val="21"/>
          <w:lang w:eastAsia="zh-CN"/>
        </w:rPr>
        <w:t>按照自定法确定中标供应商：自定法是指采购人组织定标委员会，由定标委员会在三家候选中标供应商中确定中标供应商。</w:t>
      </w:r>
      <w:bookmarkEnd w:id="115"/>
      <w:bookmarkEnd w:id="116"/>
    </w:p>
    <w:p w14:paraId="7CFA1F66">
      <w:pPr>
        <w:ind w:firstLine="470" w:firstLineChars="196"/>
        <w:rPr>
          <w:rFonts w:ascii="宋体" w:hAnsi="宋体"/>
          <w:szCs w:val="21"/>
          <w:lang w:eastAsia="zh-CN"/>
        </w:rPr>
      </w:pPr>
      <w:r>
        <w:rPr>
          <w:rFonts w:ascii="宋体" w:hAnsi="宋体"/>
          <w:szCs w:val="21"/>
          <w:lang w:eastAsia="zh-CN"/>
        </w:rPr>
        <w:t>38.2.4</w:t>
      </w:r>
      <w:r>
        <w:rPr>
          <w:rFonts w:hint="eastAsia" w:ascii="宋体" w:hAnsi="宋体"/>
          <w:szCs w:val="21"/>
          <w:lang w:eastAsia="zh-CN"/>
        </w:rPr>
        <w:t>政府集中采购机构</w:t>
      </w:r>
      <w:r>
        <w:rPr>
          <w:lang w:eastAsia="zh-CN"/>
        </w:rPr>
        <w:t>应当自评审结束之日起两个工作日内将候选中标供应商名单及其投标文件、评审报告送交采购人</w:t>
      </w:r>
      <w:r>
        <w:rPr>
          <w:rFonts w:hint="eastAsia" w:ascii="宋体" w:hAnsi="宋体"/>
          <w:szCs w:val="21"/>
          <w:lang w:eastAsia="zh-CN"/>
        </w:rPr>
        <w:t>。</w:t>
      </w:r>
      <w:r>
        <w:rPr>
          <w:lang w:eastAsia="zh-CN"/>
        </w:rPr>
        <w:t>采购人应当安排专人对定标过程进行书面记录，形成定标报告，作为采购文件的组成部分存档，并及时将定标结果反馈</w:t>
      </w:r>
      <w:r>
        <w:rPr>
          <w:rFonts w:hint="eastAsia"/>
          <w:lang w:eastAsia="zh-CN"/>
        </w:rPr>
        <w:t>政府集中采购机构。具体定标程序及相关要求以按照《深圳市财政局关于&lt;深圳市政府采购评标定标分离管理办法&gt;续期的通知》（深财规〔2023〕1号）执行。</w:t>
      </w:r>
    </w:p>
    <w:p w14:paraId="070E72A1">
      <w:pPr>
        <w:ind w:firstLine="470" w:firstLineChars="196"/>
        <w:rPr>
          <w:rFonts w:ascii="宋体" w:hAnsi="宋体"/>
          <w:szCs w:val="21"/>
          <w:lang w:eastAsia="zh-CN"/>
        </w:rPr>
      </w:pPr>
      <w:r>
        <w:rPr>
          <w:rFonts w:hint="eastAsia" w:ascii="宋体" w:hAnsi="宋体"/>
          <w:szCs w:val="21"/>
          <w:lang w:eastAsia="zh-CN"/>
        </w:rPr>
        <w:t>说明：采购人及投标供应商应按照上述方法提前做好相关准备。</w:t>
      </w:r>
    </w:p>
    <w:p w14:paraId="0F7F714B">
      <w:pPr>
        <w:ind w:firstLine="470" w:firstLineChars="196"/>
        <w:rPr>
          <w:rFonts w:ascii="宋体" w:hAnsi="宋体"/>
          <w:szCs w:val="21"/>
          <w:lang w:eastAsia="zh-CN"/>
        </w:rPr>
      </w:pPr>
      <w:r>
        <w:rPr>
          <w:rFonts w:hint="eastAsia" w:ascii="宋体" w:hAnsi="宋体"/>
          <w:szCs w:val="21"/>
          <w:lang w:eastAsia="zh-CN"/>
        </w:rPr>
        <w:t>38.3专用条款另有规定的，按专用条款相关要求定标。</w:t>
      </w:r>
      <w:bookmarkEnd w:id="113"/>
    </w:p>
    <w:p w14:paraId="514BDC70">
      <w:pPr>
        <w:rPr>
          <w:rFonts w:hint="eastAsia" w:ascii="黑体" w:hAnsi="宋体" w:eastAsia="黑体"/>
          <w:lang w:eastAsia="zh-CN"/>
        </w:rPr>
      </w:pPr>
      <w:r>
        <w:rPr>
          <w:rFonts w:hint="eastAsia" w:ascii="黑体" w:hAnsi="宋体" w:eastAsia="黑体"/>
          <w:lang w:eastAsia="zh-CN"/>
        </w:rPr>
        <w:t>39．编写评审报告</w:t>
      </w:r>
    </w:p>
    <w:p w14:paraId="40808272">
      <w:pPr>
        <w:ind w:firstLine="470" w:firstLineChars="196"/>
        <w:rPr>
          <w:rFonts w:ascii="宋体" w:hAnsi="宋体"/>
          <w:szCs w:val="21"/>
          <w:lang w:eastAsia="zh-CN"/>
        </w:rPr>
      </w:pPr>
      <w:r>
        <w:rPr>
          <w:rFonts w:hint="eastAsia" w:ascii="宋体" w:hAnsi="宋体"/>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87D5F7D">
      <w:pPr>
        <w:rPr>
          <w:rFonts w:hint="eastAsia" w:ascii="黑体" w:hAnsi="宋体" w:eastAsia="黑体"/>
        </w:rPr>
      </w:pPr>
      <w:r>
        <w:rPr>
          <w:rFonts w:hint="eastAsia" w:ascii="黑体" w:hAnsi="宋体" w:eastAsia="黑体"/>
        </w:rPr>
        <w:t>40．中标公告</w:t>
      </w:r>
    </w:p>
    <w:p w14:paraId="0C6C1963">
      <w:pPr>
        <w:ind w:firstLine="470" w:firstLineChars="196"/>
        <w:rPr>
          <w:rFonts w:ascii="宋体" w:hAnsi="宋体"/>
          <w:szCs w:val="21"/>
          <w:lang w:eastAsia="zh-CN"/>
        </w:rPr>
      </w:pPr>
      <w:r>
        <w:rPr>
          <w:rFonts w:hint="eastAsia" w:ascii="宋体" w:hAnsi="宋体"/>
          <w:szCs w:val="21"/>
        </w:rPr>
        <w:t>40.1</w:t>
      </w:r>
      <w:bookmarkStart w:id="11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117"/>
      <w:bookmarkStart w:id="118" w:name="_Hlk72438751"/>
      <w:r>
        <w:rPr>
          <w:rFonts w:hint="eastAsia" w:ascii="宋体" w:hAnsi="宋体"/>
          <w:szCs w:val="21"/>
          <w:lang w:eastAsia="zh-CN"/>
        </w:rPr>
        <w:t>供应商如对评审结果有异议，</w:t>
      </w:r>
      <w:r>
        <w:rPr>
          <w:rFonts w:ascii="宋体" w:hAnsi="宋体"/>
          <w:szCs w:val="21"/>
          <w:lang w:eastAsia="zh-CN"/>
        </w:rPr>
        <w:t>可在发布公示日期起</w:t>
      </w:r>
      <w:r>
        <w:rPr>
          <w:rFonts w:hint="eastAsia" w:ascii="宋体" w:hAnsi="宋体"/>
          <w:szCs w:val="21"/>
          <w:lang w:eastAsia="zh-CN"/>
        </w:rPr>
        <w:t>七</w:t>
      </w:r>
      <w:r>
        <w:rPr>
          <w:rFonts w:ascii="宋体" w:hAnsi="宋体"/>
          <w:szCs w:val="21"/>
          <w:lang w:eastAsia="zh-CN"/>
        </w:rPr>
        <w:t>个工作日内向</w:t>
      </w:r>
      <w:r>
        <w:rPr>
          <w:rFonts w:hint="eastAsia" w:ascii="宋体" w:hAnsi="宋体"/>
          <w:szCs w:val="21"/>
          <w:lang w:eastAsia="zh-CN"/>
        </w:rPr>
        <w:t>政府集中采购机构</w:t>
      </w:r>
      <w:r>
        <w:rPr>
          <w:rFonts w:ascii="宋体" w:hAnsi="宋体"/>
          <w:szCs w:val="21"/>
          <w:lang w:eastAsia="zh-CN"/>
        </w:rPr>
        <w:t>提出。 监督电话：0755-83948143。</w:t>
      </w:r>
      <w:r>
        <w:rPr>
          <w:rFonts w:hint="eastAsia" w:ascii="宋体" w:hAnsi="宋体"/>
          <w:szCs w:val="21"/>
          <w:lang w:eastAsia="zh-CN"/>
        </w:rPr>
        <w:t>若在公示期内未提出质疑，则视为认同该评审结果。</w:t>
      </w:r>
    </w:p>
    <w:bookmarkEnd w:id="118"/>
    <w:p w14:paraId="46BB5700">
      <w:pPr>
        <w:ind w:firstLine="470" w:firstLineChars="196"/>
        <w:rPr>
          <w:rFonts w:ascii="宋体" w:hAnsi="宋体"/>
          <w:szCs w:val="21"/>
          <w:lang w:eastAsia="zh-CN"/>
        </w:rPr>
      </w:pPr>
      <w:r>
        <w:rPr>
          <w:rFonts w:hint="eastAsia" w:ascii="宋体" w:hAnsi="宋体"/>
          <w:szCs w:val="21"/>
          <w:lang w:eastAsia="zh-CN"/>
        </w:rPr>
        <w:t>40.2质疑、投诉供应商应保证质疑、投诉内容的真实性和可靠性，并承担相应的法律责任。</w:t>
      </w:r>
    </w:p>
    <w:p w14:paraId="388E7E30">
      <w:pPr>
        <w:rPr>
          <w:rFonts w:hint="eastAsia" w:ascii="黑体" w:hAnsi="宋体" w:eastAsia="黑体"/>
        </w:rPr>
      </w:pPr>
      <w:r>
        <w:rPr>
          <w:rFonts w:hint="eastAsia" w:ascii="黑体" w:hAnsi="宋体" w:eastAsia="黑体"/>
        </w:rPr>
        <w:t>41．中标通知书</w:t>
      </w:r>
    </w:p>
    <w:p w14:paraId="19CDABF6">
      <w:pPr>
        <w:ind w:firstLine="470"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9" w:name="_Hlk72438863"/>
      <w:r>
        <w:rPr>
          <w:rFonts w:hint="eastAsia" w:ascii="宋体" w:hAnsi="宋体"/>
          <w:szCs w:val="21"/>
        </w:rPr>
        <w:t>中标公告公布以后无异常的情况下,中标供应商和采购人可自行在</w:t>
      </w:r>
      <w:r>
        <w:rPr>
          <w:rFonts w:hint="eastAsia" w:ascii="宋体" w:hAnsi="宋体"/>
          <w:b/>
          <w:bCs/>
          <w:szCs w:val="21"/>
        </w:rPr>
        <w:t>“深圳政府采购智慧平台（http://zfcg.szggzy.com/）”</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9"/>
    </w:p>
    <w:p w14:paraId="7B8B0690">
      <w:pPr>
        <w:ind w:firstLine="470" w:firstLineChars="196"/>
        <w:rPr>
          <w:rFonts w:ascii="宋体" w:hAnsi="宋体"/>
          <w:szCs w:val="21"/>
          <w:lang w:eastAsia="zh-CN"/>
        </w:rPr>
      </w:pPr>
      <w:r>
        <w:rPr>
          <w:rFonts w:hint="eastAsia" w:ascii="宋体" w:hAnsi="宋体"/>
          <w:szCs w:val="21"/>
          <w:lang w:eastAsia="zh-CN"/>
        </w:rPr>
        <w:t>41</w:t>
      </w:r>
      <w:r>
        <w:rPr>
          <w:rFonts w:ascii="宋体" w:hAnsi="宋体"/>
          <w:szCs w:val="21"/>
          <w:lang w:eastAsia="zh-CN"/>
        </w:rPr>
        <w:t>.2</w:t>
      </w:r>
      <w:r>
        <w:rPr>
          <w:rFonts w:hint="eastAsia" w:ascii="宋体" w:hAnsi="宋体"/>
          <w:szCs w:val="21"/>
          <w:lang w:eastAsia="zh-CN"/>
        </w:rPr>
        <w:t>中标通知书是合同的重要组成部分。</w:t>
      </w:r>
    </w:p>
    <w:p w14:paraId="39DFFBF4">
      <w:pPr>
        <w:ind w:firstLine="470" w:firstLineChars="196"/>
        <w:rPr>
          <w:rFonts w:ascii="宋体" w:hAnsi="宋体"/>
          <w:szCs w:val="21"/>
          <w:lang w:eastAsia="zh-CN"/>
        </w:rPr>
      </w:pPr>
      <w:bookmarkStart w:id="120" w:name="_Hlk71407340"/>
      <w:r>
        <w:rPr>
          <w:rFonts w:hint="eastAsia" w:ascii="宋体" w:hAnsi="宋体"/>
          <w:szCs w:val="21"/>
          <w:lang w:eastAsia="zh-CN"/>
        </w:rPr>
        <w:t>41.3因质疑投诉或其它原因导致项目结果变更或采购终止的，政府集中采购机构有权吊销中标通知书。</w:t>
      </w:r>
    </w:p>
    <w:bookmarkEnd w:id="120"/>
    <w:p w14:paraId="0AD03AA5">
      <w:pPr>
        <w:ind w:firstLine="470" w:firstLineChars="196"/>
        <w:rPr>
          <w:rFonts w:ascii="宋体" w:hAnsi="宋体"/>
          <w:szCs w:val="21"/>
          <w:lang w:eastAsia="zh-CN"/>
        </w:rPr>
      </w:pPr>
    </w:p>
    <w:p w14:paraId="7A0FEA49">
      <w:pPr>
        <w:pStyle w:val="7"/>
        <w:numPr>
          <w:ilvl w:val="0"/>
          <w:numId w:val="15"/>
        </w:numPr>
        <w:spacing w:before="120" w:beforeLines="50" w:after="120" w:afterLines="50"/>
        <w:ind w:left="562" w:hanging="562"/>
        <w:rPr>
          <w:rFonts w:hint="eastAsia"/>
          <w:sz w:val="28"/>
          <w:szCs w:val="28"/>
        </w:rPr>
      </w:pPr>
      <w:r>
        <w:rPr>
          <w:rFonts w:hint="eastAsia"/>
          <w:sz w:val="28"/>
          <w:szCs w:val="28"/>
        </w:rPr>
        <w:t>公开招标失败的后续处理</w:t>
      </w:r>
    </w:p>
    <w:p w14:paraId="222A8B41">
      <w:pPr>
        <w:rPr>
          <w:rFonts w:hint="eastAsia" w:ascii="黑体" w:hAnsi="宋体" w:eastAsia="黑体"/>
          <w:lang w:eastAsia="zh-CN"/>
        </w:rPr>
      </w:pPr>
      <w:r>
        <w:rPr>
          <w:rFonts w:hint="eastAsia" w:ascii="黑体" w:hAnsi="宋体" w:eastAsia="黑体"/>
          <w:lang w:eastAsia="zh-CN"/>
        </w:rPr>
        <w:t>42．公开招标失败的处理</w:t>
      </w:r>
    </w:p>
    <w:p w14:paraId="5B218C40">
      <w:pPr>
        <w:ind w:firstLine="470" w:firstLineChars="196"/>
        <w:rPr>
          <w:rFonts w:ascii="宋体" w:hAnsi="宋体"/>
          <w:lang w:eastAsia="zh-CN"/>
        </w:rPr>
      </w:pPr>
      <w:r>
        <w:rPr>
          <w:rFonts w:hint="eastAsia" w:ascii="宋体" w:hAnsi="宋体"/>
          <w:szCs w:val="21"/>
          <w:lang w:eastAsia="zh-CN"/>
        </w:rPr>
        <w:t>42.1本项目公开招标过程中若由于投标截止后</w:t>
      </w:r>
      <w:r>
        <w:rPr>
          <w:rFonts w:hint="eastAsia" w:ascii="宋体" w:hAnsi="宋体"/>
          <w:lang w:eastAsia="zh-CN"/>
        </w:rPr>
        <w:t>实际递交</w:t>
      </w:r>
      <w:r>
        <w:rPr>
          <w:rFonts w:ascii="宋体" w:hAnsi="宋体"/>
          <w:lang w:eastAsia="zh-CN"/>
        </w:rPr>
        <w:t>投标</w:t>
      </w:r>
      <w:r>
        <w:rPr>
          <w:rFonts w:hint="eastAsia" w:ascii="宋体" w:hAnsi="宋体"/>
          <w:lang w:eastAsia="zh-CN"/>
        </w:rPr>
        <w:t>文件的供应商数量不足、经</w:t>
      </w:r>
      <w:r>
        <w:rPr>
          <w:rFonts w:hint="eastAsia" w:ascii="宋体" w:hAnsi="宋体"/>
          <w:szCs w:val="21"/>
          <w:lang w:eastAsia="zh-CN"/>
        </w:rPr>
        <w:t>评审委员会</w:t>
      </w:r>
      <w:r>
        <w:rPr>
          <w:rFonts w:hint="eastAsia" w:ascii="宋体" w:hAnsi="宋体"/>
          <w:lang w:eastAsia="zh-CN"/>
        </w:rPr>
        <w:t>评审对招标文件作实质响应的供应商不足等原因造成公开招标失败，可由</w:t>
      </w:r>
      <w:r>
        <w:rPr>
          <w:rFonts w:hint="eastAsia" w:ascii="宋体" w:hAnsi="宋体" w:cs="宋体"/>
          <w:lang w:eastAsia="zh-CN"/>
        </w:rPr>
        <w:t>政府集中采购机构</w:t>
      </w:r>
      <w:r>
        <w:rPr>
          <w:rFonts w:hint="eastAsia" w:ascii="宋体" w:hAnsi="宋体"/>
          <w:lang w:eastAsia="zh-CN"/>
        </w:rPr>
        <w:t>重新组织采购。</w:t>
      </w:r>
    </w:p>
    <w:p w14:paraId="6C3AC6CF">
      <w:pPr>
        <w:ind w:firstLine="470" w:firstLineChars="196"/>
        <w:rPr>
          <w:rFonts w:ascii="宋体" w:hAnsi="宋体"/>
          <w:szCs w:val="21"/>
          <w:lang w:eastAsia="zh-CN"/>
        </w:rPr>
      </w:pPr>
      <w:r>
        <w:rPr>
          <w:rFonts w:hint="eastAsia" w:ascii="宋体" w:hAnsi="宋体"/>
          <w:szCs w:val="21"/>
          <w:lang w:eastAsia="zh-CN"/>
        </w:rPr>
        <w:t>42.2对公开招标失败的项目，评审委员会在出具该项目招标失败结论的同时，可以提出重新采购组织形式的建议，以及进一步完善招标文件的资格、技术、商务要求的修改建议。</w:t>
      </w:r>
    </w:p>
    <w:p w14:paraId="7ABF1216">
      <w:pPr>
        <w:ind w:firstLine="470" w:firstLineChars="196"/>
        <w:rPr>
          <w:rFonts w:ascii="宋体" w:hAnsi="宋体"/>
          <w:szCs w:val="21"/>
          <w:lang w:eastAsia="zh-CN"/>
        </w:rPr>
      </w:pPr>
      <w:r>
        <w:rPr>
          <w:rFonts w:hint="eastAsia" w:ascii="宋体" w:hAnsi="宋体"/>
          <w:szCs w:val="21"/>
          <w:lang w:eastAsia="zh-CN"/>
        </w:rPr>
        <w:t>42.3重新组织采购有以下两种组织形式：</w:t>
      </w:r>
    </w:p>
    <w:p w14:paraId="65F576F5">
      <w:pPr>
        <w:ind w:firstLine="470" w:firstLineChars="196"/>
        <w:rPr>
          <w:rFonts w:ascii="宋体" w:hAnsi="宋体"/>
          <w:lang w:eastAsia="zh-CN"/>
        </w:rPr>
      </w:pPr>
      <w:r>
        <w:rPr>
          <w:rFonts w:hint="eastAsia" w:ascii="宋体" w:hAnsi="宋体"/>
          <w:lang w:eastAsia="zh-CN"/>
        </w:rPr>
        <w:t>（1）由政府集中采购机构重新组织公开招标；</w:t>
      </w:r>
    </w:p>
    <w:p w14:paraId="379CAD16">
      <w:pPr>
        <w:ind w:firstLine="470" w:firstLineChars="196"/>
        <w:rPr>
          <w:rFonts w:ascii="宋体" w:hAnsi="宋体"/>
          <w:lang w:eastAsia="zh-CN"/>
        </w:rPr>
      </w:pPr>
      <w:r>
        <w:rPr>
          <w:rFonts w:hint="eastAsia" w:ascii="宋体" w:hAnsi="宋体"/>
          <w:lang w:eastAsia="zh-CN"/>
        </w:rPr>
        <w:t>（2）根据实际情况需要向同级财政部门提出非公开招标方式申请，经同级财政部门批准，公开招标失败采购项目可转为竞争性谈判或单一来源谈判方式采购。</w:t>
      </w:r>
    </w:p>
    <w:p w14:paraId="0E500E1A">
      <w:pPr>
        <w:ind w:firstLine="470" w:firstLineChars="196"/>
        <w:rPr>
          <w:rFonts w:ascii="宋体" w:hAnsi="宋体"/>
          <w:lang w:eastAsia="zh-CN"/>
        </w:rPr>
      </w:pPr>
      <w:r>
        <w:rPr>
          <w:rFonts w:hint="eastAsia" w:ascii="宋体" w:hAnsi="宋体"/>
          <w:lang w:eastAsia="zh-CN"/>
        </w:rPr>
        <w:t>42.4公开招标失败的采购项目重新组织公开招标，由政府集中采购机构重新按公开招标流程组织采购活动。</w:t>
      </w:r>
    </w:p>
    <w:p w14:paraId="6B809033">
      <w:pPr>
        <w:rPr>
          <w:rFonts w:ascii="宋体" w:hAnsi="宋体"/>
          <w:lang w:eastAsia="zh-CN"/>
        </w:rPr>
      </w:pPr>
      <w:r>
        <w:rPr>
          <w:rFonts w:hint="eastAsia" w:ascii="黑体" w:hAnsi="宋体" w:eastAsia="黑体"/>
          <w:lang w:eastAsia="zh-CN"/>
        </w:rPr>
        <w:t xml:space="preserve">    </w:t>
      </w:r>
      <w:r>
        <w:rPr>
          <w:rFonts w:hint="eastAsia" w:ascii="宋体" w:hAnsi="宋体"/>
          <w:lang w:eastAsia="zh-CN"/>
        </w:rPr>
        <w:t>42.5公开招标失败的采购项目经同级财政部门批准转为竞争性谈判或单一来源谈判方式采购的，按规定要求组织政府采购工作。</w:t>
      </w:r>
    </w:p>
    <w:p w14:paraId="4477BDB7">
      <w:pPr>
        <w:rPr>
          <w:rFonts w:hint="eastAsia" w:ascii="黑体" w:hAnsi="宋体" w:eastAsia="黑体"/>
          <w:lang w:eastAsia="zh-CN"/>
        </w:rPr>
      </w:pPr>
    </w:p>
    <w:p w14:paraId="07FA0CB8">
      <w:pPr>
        <w:pStyle w:val="7"/>
        <w:numPr>
          <w:ilvl w:val="0"/>
          <w:numId w:val="15"/>
        </w:numPr>
        <w:spacing w:before="120" w:beforeLines="50" w:after="120" w:afterLines="50"/>
        <w:ind w:left="562" w:hanging="562"/>
        <w:rPr>
          <w:rFonts w:hint="eastAsia"/>
          <w:sz w:val="28"/>
          <w:szCs w:val="28"/>
        </w:rPr>
      </w:pPr>
      <w:bookmarkStart w:id="121" w:name="_Hlk72439043"/>
      <w:r>
        <w:rPr>
          <w:rFonts w:hint="eastAsia"/>
          <w:sz w:val="28"/>
          <w:szCs w:val="28"/>
        </w:rPr>
        <w:t>合同的授予与备案</w:t>
      </w:r>
      <w:bookmarkEnd w:id="121"/>
    </w:p>
    <w:p w14:paraId="0FA7516A">
      <w:pPr>
        <w:rPr>
          <w:rFonts w:hint="eastAsia" w:ascii="黑体" w:hAnsi="宋体" w:eastAsia="黑体"/>
        </w:rPr>
      </w:pPr>
      <w:bookmarkStart w:id="122" w:name="_Toc100052408"/>
      <w:bookmarkStart w:id="123" w:name="_Toc73521674"/>
      <w:bookmarkStart w:id="124" w:name="_Toc73518157"/>
      <w:bookmarkStart w:id="125" w:name="_Toc73521586"/>
      <w:bookmarkStart w:id="126" w:name="_Toc73517679"/>
      <w:bookmarkStart w:id="127" w:name="_Hlk72439088"/>
      <w:r>
        <w:rPr>
          <w:rFonts w:hint="eastAsia" w:ascii="黑体" w:hAnsi="宋体" w:eastAsia="黑体"/>
        </w:rPr>
        <w:t>43．合同授予标准</w:t>
      </w:r>
      <w:bookmarkEnd w:id="122"/>
      <w:bookmarkEnd w:id="123"/>
      <w:bookmarkEnd w:id="124"/>
      <w:bookmarkEnd w:id="125"/>
      <w:bookmarkEnd w:id="126"/>
    </w:p>
    <w:p w14:paraId="687543DD">
      <w:pPr>
        <w:ind w:firstLine="470" w:firstLineChars="196"/>
        <w:rPr>
          <w:rFonts w:ascii="宋体" w:hAnsi="宋体"/>
          <w:szCs w:val="21"/>
          <w:lang w:eastAsia="zh-CN"/>
        </w:rPr>
      </w:pPr>
      <w:r>
        <w:rPr>
          <w:rFonts w:hint="eastAsia" w:ascii="宋体" w:hAnsi="宋体"/>
          <w:szCs w:val="21"/>
          <w:lang w:eastAsia="zh-CN"/>
        </w:rPr>
        <w:t>本项目的合同将授予经本招标文件规定评审确定的中标供应商。</w:t>
      </w:r>
    </w:p>
    <w:p w14:paraId="42298F08">
      <w:pPr>
        <w:rPr>
          <w:rFonts w:hint="eastAsia" w:ascii="黑体" w:hAnsi="宋体" w:eastAsia="黑体"/>
          <w:lang w:eastAsia="zh-CN"/>
        </w:rPr>
      </w:pPr>
      <w:bookmarkStart w:id="128" w:name="_Toc73518158"/>
      <w:bookmarkStart w:id="129" w:name="_Toc100052409"/>
      <w:bookmarkStart w:id="130" w:name="_Toc73521675"/>
      <w:bookmarkStart w:id="131" w:name="_Toc73521587"/>
      <w:bookmarkStart w:id="132" w:name="_Toc73517680"/>
      <w:r>
        <w:rPr>
          <w:rFonts w:hint="eastAsia" w:ascii="黑体" w:hAnsi="宋体" w:eastAsia="黑体"/>
          <w:lang w:eastAsia="zh-CN"/>
        </w:rPr>
        <w:t>44．</w:t>
      </w:r>
      <w:bookmarkEnd w:id="128"/>
      <w:bookmarkEnd w:id="129"/>
      <w:bookmarkEnd w:id="130"/>
      <w:bookmarkEnd w:id="131"/>
      <w:bookmarkEnd w:id="132"/>
      <w:r>
        <w:rPr>
          <w:rFonts w:hint="eastAsia" w:ascii="黑体" w:hAnsi="宋体" w:eastAsia="黑体"/>
          <w:lang w:eastAsia="zh-CN"/>
        </w:rPr>
        <w:t>接受和拒绝任何或所有投标的权力</w:t>
      </w:r>
    </w:p>
    <w:p w14:paraId="6779EE10">
      <w:pPr>
        <w:ind w:firstLine="470" w:firstLineChars="196"/>
        <w:rPr>
          <w:rFonts w:ascii="宋体" w:hAnsi="宋体"/>
          <w:szCs w:val="21"/>
          <w:lang w:eastAsia="zh-CN"/>
        </w:rPr>
      </w:pPr>
      <w:r>
        <w:rPr>
          <w:rFonts w:hint="eastAsia" w:ascii="宋体" w:hAnsi="宋体"/>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708BBCC">
      <w:pPr>
        <w:rPr>
          <w:rFonts w:hint="eastAsia" w:ascii="黑体" w:hAnsi="宋体" w:eastAsia="黑体"/>
          <w:lang w:eastAsia="zh-CN"/>
        </w:rPr>
      </w:pPr>
      <w:bookmarkStart w:id="133" w:name="_Toc100052410"/>
      <w:bookmarkStart w:id="134" w:name="_Toc73521589"/>
      <w:bookmarkStart w:id="135" w:name="_Toc73517682"/>
      <w:bookmarkStart w:id="136" w:name="_Toc73521677"/>
      <w:bookmarkStart w:id="137" w:name="_Toc73518160"/>
      <w:r>
        <w:rPr>
          <w:rFonts w:hint="eastAsia" w:ascii="黑体" w:hAnsi="宋体" w:eastAsia="黑体"/>
          <w:lang w:eastAsia="zh-CN"/>
        </w:rPr>
        <w:t>45．合同的签订</w:t>
      </w:r>
      <w:bookmarkEnd w:id="133"/>
      <w:bookmarkEnd w:id="134"/>
      <w:bookmarkEnd w:id="135"/>
      <w:bookmarkEnd w:id="136"/>
      <w:bookmarkEnd w:id="137"/>
    </w:p>
    <w:p w14:paraId="628A5068">
      <w:pPr>
        <w:ind w:firstLine="470" w:firstLineChars="196"/>
        <w:rPr>
          <w:rFonts w:ascii="宋体" w:hAnsi="宋体"/>
          <w:szCs w:val="21"/>
          <w:lang w:eastAsia="zh-CN"/>
        </w:rPr>
      </w:pPr>
      <w:r>
        <w:rPr>
          <w:rFonts w:hint="eastAsia" w:ascii="宋体" w:hAnsi="宋体"/>
          <w:szCs w:val="21"/>
          <w:lang w:eastAsia="zh-CN"/>
        </w:rPr>
        <w:t>45.1中标人将于中标通知书发出之日起十个工作日内，按照采购文件（招标文件和投标文件等）内容与采购人签订政府采购合同；合同的实质性内容应当符合招标文件的规定；</w:t>
      </w:r>
    </w:p>
    <w:p w14:paraId="12ECB222">
      <w:pPr>
        <w:ind w:firstLine="470" w:firstLineChars="196"/>
        <w:rPr>
          <w:rFonts w:ascii="宋体" w:hAnsi="宋体"/>
          <w:szCs w:val="21"/>
          <w:lang w:eastAsia="zh-CN"/>
        </w:rPr>
      </w:pPr>
      <w:r>
        <w:rPr>
          <w:rFonts w:hint="eastAsia" w:ascii="宋体" w:hAnsi="宋体"/>
          <w:szCs w:val="21"/>
          <w:lang w:eastAsia="zh-CN"/>
        </w:rPr>
        <w:t>45.2中标人如不按本通用条款第45</w:t>
      </w:r>
      <w:r>
        <w:rPr>
          <w:rFonts w:ascii="宋体" w:hAnsi="宋体"/>
          <w:szCs w:val="21"/>
          <w:lang w:eastAsia="zh-CN"/>
        </w:rPr>
        <w:t>.1</w:t>
      </w:r>
      <w:r>
        <w:rPr>
          <w:rFonts w:hint="eastAsia" w:ascii="宋体" w:hAnsi="宋体"/>
          <w:szCs w:val="21"/>
          <w:lang w:eastAsia="zh-CN"/>
        </w:rPr>
        <w:t>款的规定与采购人签订合同，</w:t>
      </w:r>
      <w:r>
        <w:rPr>
          <w:rFonts w:ascii="宋体" w:hAnsi="宋体" w:cs="宋体"/>
          <w:szCs w:val="21"/>
          <w:lang w:eastAsia="zh-CN"/>
        </w:rPr>
        <w:t>情节严重的，由</w:t>
      </w:r>
      <w:r>
        <w:rPr>
          <w:rFonts w:hint="eastAsia" w:ascii="宋体" w:hAnsi="宋体" w:cs="宋体"/>
          <w:szCs w:val="21"/>
          <w:lang w:eastAsia="zh-CN"/>
        </w:rPr>
        <w:t>同级财政</w:t>
      </w:r>
      <w:r>
        <w:rPr>
          <w:rFonts w:ascii="宋体" w:hAnsi="宋体" w:cs="宋体"/>
          <w:szCs w:val="21"/>
          <w:lang w:eastAsia="zh-CN"/>
        </w:rPr>
        <w:t>部门记入供应商诚信档案，予以通报</w:t>
      </w:r>
      <w:r>
        <w:rPr>
          <w:rFonts w:hint="eastAsia" w:ascii="宋体" w:hAnsi="宋体"/>
          <w:szCs w:val="21"/>
          <w:lang w:eastAsia="zh-CN"/>
        </w:rPr>
        <w:t>；</w:t>
      </w:r>
    </w:p>
    <w:p w14:paraId="23ACF9E5">
      <w:pPr>
        <w:ind w:firstLine="470" w:firstLineChars="196"/>
        <w:rPr>
          <w:rFonts w:ascii="宋体" w:hAnsi="宋体"/>
          <w:szCs w:val="21"/>
          <w:lang w:eastAsia="zh-CN"/>
        </w:rPr>
      </w:pPr>
      <w:r>
        <w:rPr>
          <w:rFonts w:hint="eastAsia" w:ascii="宋体" w:hAnsi="宋体"/>
          <w:szCs w:val="21"/>
          <w:lang w:eastAsia="zh-CN"/>
        </w:rPr>
        <w:t>45.3中标人应当按照合同约定履行义务，完成中标项目，不得将中标项目转让（转包）给他人。</w:t>
      </w:r>
    </w:p>
    <w:p w14:paraId="4818FF10">
      <w:pPr>
        <w:rPr>
          <w:rFonts w:hint="eastAsia" w:ascii="黑体" w:hAnsi="宋体" w:eastAsia="黑体"/>
          <w:lang w:eastAsia="zh-CN"/>
        </w:rPr>
      </w:pPr>
      <w:bookmarkStart w:id="138" w:name="_Toc73521590"/>
      <w:bookmarkStart w:id="139" w:name="_Toc100052411"/>
      <w:bookmarkStart w:id="140" w:name="_Toc73517683"/>
      <w:bookmarkStart w:id="141" w:name="_Toc73521678"/>
      <w:bookmarkStart w:id="142" w:name="_Toc73518161"/>
      <w:r>
        <w:rPr>
          <w:rFonts w:hint="eastAsia" w:ascii="黑体" w:hAnsi="宋体" w:eastAsia="黑体"/>
          <w:lang w:eastAsia="zh-CN"/>
        </w:rPr>
        <w:t>46．履约担保</w:t>
      </w:r>
      <w:bookmarkEnd w:id="138"/>
      <w:bookmarkEnd w:id="139"/>
      <w:bookmarkEnd w:id="140"/>
      <w:bookmarkEnd w:id="141"/>
      <w:bookmarkEnd w:id="142"/>
    </w:p>
    <w:p w14:paraId="4118BE78">
      <w:pPr>
        <w:ind w:firstLine="470" w:firstLineChars="196"/>
        <w:rPr>
          <w:rFonts w:ascii="宋体" w:hAnsi="宋体"/>
          <w:szCs w:val="21"/>
          <w:lang w:eastAsia="zh-CN"/>
        </w:rPr>
      </w:pPr>
      <w:r>
        <w:rPr>
          <w:rFonts w:hint="eastAsia" w:ascii="宋体" w:hAnsi="宋体"/>
          <w:szCs w:val="21"/>
          <w:lang w:eastAsia="zh-CN"/>
        </w:rPr>
        <w:t>46.1在签订项目合同的同时，中标人应按“对通用条款的补充内容”中规定的金额向采购人提交履约担保；</w:t>
      </w:r>
    </w:p>
    <w:p w14:paraId="638D4D35">
      <w:pPr>
        <w:ind w:firstLine="470" w:firstLineChars="196"/>
        <w:rPr>
          <w:rFonts w:ascii="宋体" w:hAnsi="宋体"/>
          <w:szCs w:val="21"/>
          <w:lang w:eastAsia="zh-CN"/>
        </w:rPr>
      </w:pPr>
      <w:r>
        <w:rPr>
          <w:rFonts w:hint="eastAsia" w:ascii="宋体" w:hAnsi="宋体"/>
          <w:szCs w:val="21"/>
          <w:lang w:eastAsia="zh-CN"/>
        </w:rPr>
        <w:t>46.2，允许供应商自主选择以支票、汇票、本票、保函等非现金方式提交履约担保；</w:t>
      </w:r>
      <w:r>
        <w:rPr>
          <w:lang w:eastAsia="zh-CN"/>
        </w:rPr>
        <w:t>中标</w:t>
      </w:r>
      <w:r>
        <w:rPr>
          <w:rFonts w:hint="eastAsia"/>
          <w:lang w:eastAsia="zh-CN"/>
        </w:rPr>
        <w:t>人</w:t>
      </w:r>
      <w:r>
        <w:rPr>
          <w:lang w:eastAsia="zh-CN"/>
        </w:rPr>
        <w:t>提交履约</w:t>
      </w:r>
      <w:r>
        <w:rPr>
          <w:rFonts w:hint="eastAsia"/>
          <w:lang w:eastAsia="zh-CN"/>
        </w:rPr>
        <w:t>担保不是</w:t>
      </w:r>
      <w:r>
        <w:rPr>
          <w:lang w:eastAsia="zh-CN"/>
        </w:rPr>
        <w:t>合同签订的</w:t>
      </w:r>
      <w:r>
        <w:rPr>
          <w:rFonts w:hint="eastAsia"/>
          <w:lang w:eastAsia="zh-CN"/>
        </w:rPr>
        <w:t>前提</w:t>
      </w:r>
      <w:r>
        <w:rPr>
          <w:lang w:eastAsia="zh-CN"/>
        </w:rPr>
        <w:t>条件，不要求中标</w:t>
      </w:r>
      <w:r>
        <w:rPr>
          <w:rFonts w:hint="eastAsia"/>
          <w:lang w:eastAsia="zh-CN"/>
        </w:rPr>
        <w:t>人</w:t>
      </w:r>
      <w:r>
        <w:rPr>
          <w:lang w:eastAsia="zh-CN"/>
        </w:rPr>
        <w:t>提供除法律、法规明确规定外的其他担保</w:t>
      </w:r>
      <w:r>
        <w:rPr>
          <w:rFonts w:hint="eastAsia"/>
          <w:lang w:eastAsia="zh-CN"/>
        </w:rPr>
        <w:t>。</w:t>
      </w:r>
    </w:p>
    <w:p w14:paraId="33B02E9B">
      <w:pPr>
        <w:rPr>
          <w:rFonts w:hint="eastAsia" w:ascii="黑体" w:hAnsi="宋体" w:eastAsia="黑体"/>
          <w:lang w:eastAsia="zh-CN"/>
        </w:rPr>
      </w:pPr>
      <w:r>
        <w:rPr>
          <w:rFonts w:hint="eastAsia" w:ascii="黑体" w:hAnsi="宋体" w:eastAsia="黑体"/>
          <w:lang w:eastAsia="zh-CN"/>
        </w:rPr>
        <w:t>47. 合同备案</w:t>
      </w:r>
    </w:p>
    <w:p w14:paraId="572A97AD">
      <w:pPr>
        <w:ind w:firstLine="420" w:firstLineChars="200"/>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p>
    <w:p w14:paraId="59165817">
      <w:pPr>
        <w:rPr>
          <w:rFonts w:hint="eastAsia" w:ascii="黑体" w:hAnsi="宋体" w:eastAsia="黑体"/>
          <w:lang w:eastAsia="zh-CN"/>
        </w:rPr>
      </w:pPr>
      <w:r>
        <w:rPr>
          <w:rFonts w:hint="eastAsia" w:ascii="黑体" w:hAnsi="宋体" w:eastAsia="黑体"/>
          <w:lang w:eastAsia="zh-CN"/>
        </w:rPr>
        <w:t>48. 合同变更</w:t>
      </w:r>
    </w:p>
    <w:p w14:paraId="34EFC44C">
      <w:pPr>
        <w:ind w:firstLine="470" w:firstLineChars="196"/>
        <w:rPr>
          <w:rFonts w:ascii="宋体" w:hAnsi="宋体"/>
          <w:szCs w:val="21"/>
          <w:lang w:eastAsia="zh-CN"/>
        </w:rPr>
      </w:pPr>
      <w:r>
        <w:rPr>
          <w:rFonts w:hint="eastAsia" w:ascii="宋体" w:hAnsi="宋体"/>
          <w:szCs w:val="21"/>
          <w:lang w:eastAsia="zh-CN"/>
        </w:rPr>
        <w:t>合同变更事宜按《深圳市财政局关于优化政府采购合同备案的通知》（深财发保〔2022〕2号）相关规定执行。</w:t>
      </w:r>
    </w:p>
    <w:p w14:paraId="750E4596">
      <w:pPr>
        <w:rPr>
          <w:rFonts w:hint="eastAsia" w:ascii="黑体" w:hAnsi="宋体" w:eastAsia="黑体"/>
          <w:lang w:eastAsia="zh-CN"/>
        </w:rPr>
      </w:pPr>
      <w:r>
        <w:rPr>
          <w:rFonts w:hint="eastAsia" w:ascii="黑体" w:hAnsi="宋体" w:eastAsia="黑体"/>
          <w:lang w:eastAsia="zh-CN"/>
        </w:rPr>
        <w:t>49. 项目验收</w:t>
      </w:r>
    </w:p>
    <w:p w14:paraId="7686ACD4">
      <w:pPr>
        <w:ind w:right="176" w:firstLine="420"/>
        <w:rPr>
          <w:rFonts w:ascii="宋体" w:hAnsi="宋体"/>
          <w:lang w:eastAsia="zh-CN"/>
        </w:rPr>
      </w:pPr>
      <w:r>
        <w:rPr>
          <w:rFonts w:hint="eastAsia" w:ascii="宋体" w:hAnsi="宋体"/>
          <w:lang w:eastAsia="zh-CN"/>
        </w:rPr>
        <w:t>49.1采购人应当按照招标文件和合同规定的标准和方法，及时组织验收。</w:t>
      </w:r>
      <w:r>
        <w:rPr>
          <w:rFonts w:ascii="宋体" w:hAnsi="宋体"/>
          <w:lang w:eastAsia="zh-CN"/>
        </w:rPr>
        <w:t xml:space="preserve"> </w:t>
      </w:r>
    </w:p>
    <w:p w14:paraId="752E90D1">
      <w:pPr>
        <w:rPr>
          <w:rFonts w:hint="eastAsia" w:ascii="黑体" w:hAnsi="宋体" w:eastAsia="黑体"/>
          <w:lang w:eastAsia="zh-CN"/>
        </w:rPr>
      </w:pPr>
      <w:r>
        <w:rPr>
          <w:rFonts w:hint="eastAsia" w:ascii="黑体" w:hAnsi="宋体" w:eastAsia="黑体"/>
          <w:lang w:eastAsia="zh-CN"/>
        </w:rPr>
        <w:t>50. 宣传</w:t>
      </w:r>
    </w:p>
    <w:p w14:paraId="3460D835">
      <w:pPr>
        <w:ind w:left="240" w:leftChars="100" w:firstLine="470" w:firstLineChars="196"/>
        <w:rPr>
          <w:rFonts w:ascii="宋体" w:hAnsi="宋体"/>
          <w:lang w:eastAsia="zh-CN"/>
        </w:rPr>
      </w:pPr>
      <w:r>
        <w:rPr>
          <w:rFonts w:hint="eastAsia" w:ascii="宋体" w:hAnsi="宋体"/>
          <w:lang w:eastAsia="zh-CN"/>
        </w:rPr>
        <w:t>凡与政府采购活动有关的宣传或广告，若当中提及政府采购，</w:t>
      </w:r>
      <w:r>
        <w:rPr>
          <w:rFonts w:ascii="宋体" w:hAnsi="宋体"/>
          <w:lang w:eastAsia="zh-CN"/>
        </w:rPr>
        <w:t>必须事先将具体对外宣传方案报</w:t>
      </w:r>
      <w:r>
        <w:rPr>
          <w:rFonts w:hint="eastAsia" w:ascii="宋体" w:hAnsi="宋体"/>
          <w:lang w:eastAsia="zh-CN"/>
        </w:rPr>
        <w:t>同级财政部门</w:t>
      </w:r>
      <w:r>
        <w:rPr>
          <w:rFonts w:ascii="宋体" w:hAnsi="宋体"/>
          <w:lang w:eastAsia="zh-CN"/>
        </w:rPr>
        <w:t>和</w:t>
      </w:r>
      <w:r>
        <w:rPr>
          <w:rFonts w:hint="eastAsia" w:ascii="宋体" w:hAnsi="宋体"/>
          <w:lang w:eastAsia="zh-CN"/>
        </w:rPr>
        <w:t>政府集中采购机构</w:t>
      </w:r>
      <w:r>
        <w:rPr>
          <w:rFonts w:ascii="宋体" w:hAnsi="宋体"/>
          <w:lang w:eastAsia="zh-CN"/>
        </w:rPr>
        <w:t>，并征得其同意。对外市场宣传包括但不限于以下形式：</w:t>
      </w:r>
    </w:p>
    <w:p w14:paraId="31BB0CCA">
      <w:pPr>
        <w:ind w:left="240" w:leftChars="100" w:firstLine="470" w:firstLineChars="196"/>
        <w:rPr>
          <w:rFonts w:ascii="宋体" w:hAnsi="宋体"/>
          <w:lang w:eastAsia="zh-CN"/>
        </w:rPr>
      </w:pPr>
      <w:r>
        <w:rPr>
          <w:rFonts w:ascii="宋体" w:hAnsi="宋体"/>
          <w:lang w:eastAsia="zh-CN"/>
        </w:rPr>
        <w:t>a.名片、宣传册、广告标语等；</w:t>
      </w:r>
    </w:p>
    <w:p w14:paraId="7869D8E0">
      <w:pPr>
        <w:ind w:left="240" w:leftChars="100" w:firstLine="470" w:firstLineChars="196"/>
        <w:rPr>
          <w:rFonts w:ascii="宋体" w:hAnsi="宋体"/>
          <w:lang w:eastAsia="zh-CN"/>
        </w:rPr>
      </w:pPr>
      <w:r>
        <w:rPr>
          <w:rFonts w:ascii="宋体" w:hAnsi="宋体"/>
          <w:lang w:eastAsia="zh-CN"/>
        </w:rPr>
        <w:t>b.案例介绍、推广等；</w:t>
      </w:r>
    </w:p>
    <w:p w14:paraId="40D3436B">
      <w:pPr>
        <w:ind w:left="240" w:leftChars="100" w:firstLine="470" w:firstLineChars="196"/>
        <w:rPr>
          <w:rFonts w:ascii="宋体" w:hAnsi="宋体"/>
          <w:lang w:eastAsia="zh-CN"/>
        </w:rPr>
      </w:pPr>
      <w:r>
        <w:rPr>
          <w:rFonts w:hint="eastAsia" w:ascii="宋体" w:hAnsi="宋体"/>
          <w:lang w:eastAsia="zh-CN"/>
        </w:rPr>
        <w:t>c.工作</w:t>
      </w:r>
      <w:r>
        <w:rPr>
          <w:rFonts w:ascii="宋体" w:hAnsi="宋体"/>
          <w:lang w:eastAsia="zh-CN"/>
        </w:rPr>
        <w:t>人员向其他消费群体宣传。</w:t>
      </w:r>
    </w:p>
    <w:p w14:paraId="68B59E15">
      <w:pPr>
        <w:rPr>
          <w:rFonts w:hint="eastAsia" w:ascii="黑体" w:hAnsi="宋体" w:eastAsia="黑体"/>
          <w:lang w:eastAsia="zh-CN"/>
        </w:rPr>
      </w:pPr>
      <w:r>
        <w:rPr>
          <w:rFonts w:hint="eastAsia" w:ascii="黑体" w:hAnsi="宋体" w:eastAsia="黑体"/>
          <w:lang w:eastAsia="zh-CN"/>
        </w:rPr>
        <w:t>51. 供应商违法责任</w:t>
      </w:r>
    </w:p>
    <w:p w14:paraId="589EDD5E">
      <w:pPr>
        <w:ind w:firstLine="470" w:firstLineChars="196"/>
        <w:rPr>
          <w:rFonts w:ascii="宋体" w:hAnsi="宋体"/>
          <w:szCs w:val="21"/>
          <w:lang w:eastAsia="zh-CN"/>
        </w:rPr>
      </w:pPr>
      <w:r>
        <w:rPr>
          <w:rFonts w:hint="eastAsia" w:ascii="宋体" w:hAnsi="宋体"/>
          <w:szCs w:val="21"/>
          <w:lang w:eastAsia="zh-CN"/>
        </w:rPr>
        <w:t>5</w:t>
      </w:r>
      <w:r>
        <w:rPr>
          <w:rFonts w:ascii="宋体" w:hAnsi="宋体"/>
          <w:szCs w:val="21"/>
          <w:lang w:eastAsia="zh-CN"/>
        </w:rPr>
        <w:t>1.1</w:t>
      </w:r>
      <w:r>
        <w:rPr>
          <w:rFonts w:hint="eastAsia" w:ascii="宋体" w:hAnsi="宋体"/>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A59759B">
      <w:pPr>
        <w:ind w:firstLine="470" w:firstLineChars="196"/>
        <w:rPr>
          <w:rFonts w:ascii="宋体" w:hAnsi="宋体"/>
          <w:szCs w:val="21"/>
          <w:lang w:eastAsia="zh-CN"/>
        </w:rPr>
      </w:pPr>
      <w:r>
        <w:rPr>
          <w:rFonts w:hint="eastAsia" w:ascii="宋体" w:hAnsi="宋体"/>
          <w:szCs w:val="21"/>
          <w:lang w:eastAsia="zh-CN"/>
        </w:rPr>
        <w:t>（1）在采购活动中应当回避而未回避的；</w:t>
      </w:r>
    </w:p>
    <w:p w14:paraId="03D8827C">
      <w:pPr>
        <w:ind w:firstLine="470" w:firstLineChars="196"/>
        <w:rPr>
          <w:rFonts w:ascii="宋体" w:hAnsi="宋体"/>
          <w:szCs w:val="21"/>
          <w:lang w:eastAsia="zh-CN"/>
        </w:rPr>
      </w:pPr>
      <w:r>
        <w:rPr>
          <w:rFonts w:hint="eastAsia" w:ascii="宋体" w:hAnsi="宋体"/>
          <w:szCs w:val="21"/>
          <w:lang w:eastAsia="zh-CN"/>
        </w:rPr>
        <w:t>（2）未按本条例规定签订、履行采购合同，造成严重后果的；</w:t>
      </w:r>
    </w:p>
    <w:p w14:paraId="07B7A695">
      <w:pPr>
        <w:ind w:firstLine="470" w:firstLineChars="196"/>
        <w:rPr>
          <w:rFonts w:ascii="宋体" w:hAnsi="宋体"/>
          <w:szCs w:val="21"/>
          <w:lang w:eastAsia="zh-CN"/>
        </w:rPr>
      </w:pPr>
      <w:r>
        <w:rPr>
          <w:rFonts w:hint="eastAsia" w:ascii="宋体" w:hAnsi="宋体"/>
          <w:szCs w:val="21"/>
          <w:lang w:eastAsia="zh-CN"/>
        </w:rPr>
        <w:t>（3）隐瞒真实情况，提供虚假资料的；</w:t>
      </w:r>
    </w:p>
    <w:p w14:paraId="13E2FEF2">
      <w:pPr>
        <w:ind w:firstLine="470" w:firstLineChars="196"/>
        <w:rPr>
          <w:rFonts w:ascii="宋体" w:hAnsi="宋体"/>
          <w:szCs w:val="21"/>
          <w:lang w:eastAsia="zh-CN"/>
        </w:rPr>
      </w:pPr>
      <w:r>
        <w:rPr>
          <w:rFonts w:hint="eastAsia" w:ascii="宋体" w:hAnsi="宋体"/>
          <w:szCs w:val="21"/>
          <w:lang w:eastAsia="zh-CN"/>
        </w:rPr>
        <w:t>（4）以非法手段排斥其他供应商参与竞争的；</w:t>
      </w:r>
    </w:p>
    <w:p w14:paraId="2B707B94">
      <w:pPr>
        <w:ind w:firstLine="470" w:firstLineChars="196"/>
        <w:rPr>
          <w:rFonts w:ascii="宋体" w:hAnsi="宋体"/>
          <w:szCs w:val="21"/>
          <w:lang w:eastAsia="zh-CN"/>
        </w:rPr>
      </w:pPr>
      <w:r>
        <w:rPr>
          <w:rFonts w:hint="eastAsia" w:ascii="宋体" w:hAnsi="宋体"/>
          <w:szCs w:val="21"/>
          <w:lang w:eastAsia="zh-CN"/>
        </w:rPr>
        <w:t>（5）与其他采购参加人串通投标的；</w:t>
      </w:r>
    </w:p>
    <w:p w14:paraId="0EF56393">
      <w:pPr>
        <w:ind w:firstLine="470" w:firstLineChars="196"/>
        <w:rPr>
          <w:rFonts w:ascii="宋体" w:hAnsi="宋体"/>
          <w:szCs w:val="21"/>
          <w:lang w:eastAsia="zh-CN"/>
        </w:rPr>
      </w:pPr>
      <w:r>
        <w:rPr>
          <w:rFonts w:hint="eastAsia" w:ascii="宋体" w:hAnsi="宋体"/>
          <w:szCs w:val="21"/>
          <w:lang w:eastAsia="zh-CN"/>
        </w:rPr>
        <w:t>（6）恶意投诉的；</w:t>
      </w:r>
    </w:p>
    <w:p w14:paraId="538CDA3C">
      <w:pPr>
        <w:ind w:firstLine="470" w:firstLineChars="196"/>
        <w:rPr>
          <w:rFonts w:ascii="宋体" w:hAnsi="宋体"/>
          <w:szCs w:val="21"/>
          <w:lang w:eastAsia="zh-CN"/>
        </w:rPr>
      </w:pPr>
      <w:r>
        <w:rPr>
          <w:rFonts w:hint="eastAsia" w:ascii="宋体" w:hAnsi="宋体"/>
          <w:szCs w:val="21"/>
          <w:lang w:eastAsia="zh-CN"/>
        </w:rPr>
        <w:t>（7）向采购项目相关人行贿或者提供其他不当利益的；</w:t>
      </w:r>
    </w:p>
    <w:p w14:paraId="472270C0">
      <w:pPr>
        <w:ind w:firstLine="470" w:firstLineChars="196"/>
        <w:rPr>
          <w:rFonts w:ascii="宋体" w:hAnsi="宋体"/>
          <w:szCs w:val="21"/>
          <w:lang w:eastAsia="zh-CN"/>
        </w:rPr>
      </w:pPr>
      <w:r>
        <w:rPr>
          <w:rFonts w:hint="eastAsia" w:ascii="宋体" w:hAnsi="宋体"/>
          <w:szCs w:val="21"/>
          <w:lang w:eastAsia="zh-CN"/>
        </w:rPr>
        <w:t>（8）阻碍、抗拒主管部门监督检查的；</w:t>
      </w:r>
    </w:p>
    <w:p w14:paraId="5AFDBF5A">
      <w:pPr>
        <w:ind w:firstLine="470" w:firstLineChars="196"/>
        <w:rPr>
          <w:rFonts w:ascii="宋体" w:hAnsi="宋体"/>
          <w:szCs w:val="21"/>
          <w:lang w:eastAsia="zh-CN"/>
        </w:rPr>
      </w:pPr>
      <w:r>
        <w:rPr>
          <w:rFonts w:hint="eastAsia" w:ascii="宋体" w:hAnsi="宋体"/>
          <w:szCs w:val="21"/>
          <w:lang w:eastAsia="zh-CN"/>
        </w:rPr>
        <w:t>（9）其他违反本条例规定的行为。</w:t>
      </w:r>
    </w:p>
    <w:p w14:paraId="3DE2A811">
      <w:pPr>
        <w:ind w:firstLine="470" w:firstLineChars="196"/>
        <w:rPr>
          <w:rFonts w:ascii="宋体" w:hAnsi="宋体"/>
          <w:szCs w:val="21"/>
          <w:lang w:eastAsia="zh-CN"/>
        </w:rPr>
      </w:pPr>
      <w:r>
        <w:rPr>
          <w:rFonts w:hint="eastAsia" w:ascii="宋体" w:hAnsi="宋体"/>
          <w:szCs w:val="21"/>
          <w:lang w:eastAsia="zh-CN"/>
        </w:rPr>
        <w:t>5</w:t>
      </w:r>
      <w:r>
        <w:rPr>
          <w:rFonts w:ascii="宋体" w:hAnsi="宋体"/>
          <w:szCs w:val="21"/>
          <w:lang w:eastAsia="zh-CN"/>
        </w:rPr>
        <w:t xml:space="preserve">1.2 </w:t>
      </w:r>
      <w:r>
        <w:rPr>
          <w:rFonts w:hint="eastAsia" w:ascii="宋体" w:hAnsi="宋体"/>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3" w:name="_Hlk72440769"/>
      <w:r>
        <w:rPr>
          <w:rFonts w:hint="eastAsia" w:ascii="宋体" w:hAnsi="宋体"/>
          <w:szCs w:val="21"/>
          <w:lang w:eastAsia="zh-CN"/>
        </w:rPr>
        <w:t>政府集中采购机构或采购人不予退还其交纳的谈判保证金，情节严重的，并由主管部门</w:t>
      </w:r>
      <w:bookmarkEnd w:id="143"/>
      <w:r>
        <w:rPr>
          <w:rFonts w:hint="eastAsia" w:ascii="宋体" w:hAnsi="宋体"/>
          <w:szCs w:val="21"/>
          <w:lang w:eastAsia="zh-CN"/>
        </w:rPr>
        <w:t>记入供应商诚信档案，予以通报：</w:t>
      </w:r>
    </w:p>
    <w:p w14:paraId="7A26EF0C">
      <w:pPr>
        <w:ind w:firstLine="470" w:firstLineChars="196"/>
        <w:rPr>
          <w:rFonts w:ascii="宋体" w:hAnsi="宋体"/>
          <w:szCs w:val="21"/>
          <w:lang w:eastAsia="zh-CN"/>
        </w:rPr>
      </w:pPr>
      <w:r>
        <w:rPr>
          <w:rFonts w:hint="eastAsia" w:ascii="宋体" w:hAnsi="宋体"/>
          <w:szCs w:val="21"/>
          <w:lang w:eastAsia="zh-CN"/>
        </w:rPr>
        <w:t>（1</w:t>
      </w:r>
      <w:r>
        <w:rPr>
          <w:rFonts w:ascii="宋体" w:hAnsi="宋体"/>
          <w:szCs w:val="21"/>
          <w:lang w:eastAsia="zh-CN"/>
        </w:rPr>
        <w:t>）投标截止后，撤销投标的；</w:t>
      </w:r>
    </w:p>
    <w:p w14:paraId="71157B0D">
      <w:pPr>
        <w:ind w:firstLine="470" w:firstLineChars="196"/>
        <w:rPr>
          <w:rFonts w:ascii="宋体" w:hAnsi="宋体"/>
          <w:szCs w:val="21"/>
          <w:lang w:eastAsia="zh-CN"/>
        </w:rPr>
      </w:pPr>
      <w:r>
        <w:rPr>
          <w:rFonts w:ascii="宋体" w:hAnsi="宋体"/>
          <w:szCs w:val="21"/>
          <w:lang w:eastAsia="zh-CN"/>
        </w:rPr>
        <w:t>（</w:t>
      </w:r>
      <w:r>
        <w:rPr>
          <w:rFonts w:hint="eastAsia" w:ascii="宋体" w:hAnsi="宋体"/>
          <w:szCs w:val="21"/>
          <w:lang w:eastAsia="zh-CN"/>
        </w:rPr>
        <w:t>2</w:t>
      </w:r>
      <w:r>
        <w:rPr>
          <w:rFonts w:ascii="宋体" w:hAnsi="宋体"/>
          <w:szCs w:val="21"/>
          <w:lang w:eastAsia="zh-CN"/>
        </w:rPr>
        <w:t>）中标后无正当理由未在规定期限内签订合同的；</w:t>
      </w:r>
    </w:p>
    <w:p w14:paraId="09AB4A6E">
      <w:pPr>
        <w:ind w:firstLine="470" w:firstLineChars="196"/>
        <w:rPr>
          <w:rFonts w:ascii="宋体" w:hAnsi="宋体"/>
          <w:szCs w:val="21"/>
          <w:lang w:eastAsia="zh-CN"/>
        </w:rPr>
      </w:pPr>
      <w:r>
        <w:rPr>
          <w:rFonts w:ascii="宋体" w:hAnsi="宋体"/>
          <w:szCs w:val="21"/>
          <w:lang w:eastAsia="zh-CN"/>
        </w:rPr>
        <w:t>（</w:t>
      </w:r>
      <w:r>
        <w:rPr>
          <w:rFonts w:hint="eastAsia" w:ascii="宋体" w:hAnsi="宋体"/>
          <w:szCs w:val="21"/>
          <w:lang w:eastAsia="zh-CN"/>
        </w:rPr>
        <w:t>3</w:t>
      </w:r>
      <w:r>
        <w:rPr>
          <w:rFonts w:ascii="宋体" w:hAnsi="宋体"/>
          <w:szCs w:val="21"/>
          <w:lang w:eastAsia="zh-CN"/>
        </w:rPr>
        <w:t>）将中标项目转让给他人、或者在投标文件中未说明且未经采购人、采购招标机构同意，将中标项目分包给他人的；</w:t>
      </w:r>
    </w:p>
    <w:p w14:paraId="03BB2FFB">
      <w:pPr>
        <w:ind w:firstLine="470" w:firstLineChars="196"/>
        <w:rPr>
          <w:rFonts w:ascii="宋体" w:hAnsi="宋体"/>
          <w:szCs w:val="21"/>
          <w:lang w:eastAsia="zh-CN"/>
        </w:rPr>
      </w:pPr>
      <w:r>
        <w:rPr>
          <w:rFonts w:ascii="宋体" w:hAnsi="宋体"/>
          <w:szCs w:val="21"/>
          <w:lang w:eastAsia="zh-CN"/>
        </w:rPr>
        <w:t>（</w:t>
      </w:r>
      <w:r>
        <w:rPr>
          <w:rFonts w:hint="eastAsia" w:ascii="宋体" w:hAnsi="宋体"/>
          <w:szCs w:val="21"/>
          <w:lang w:eastAsia="zh-CN"/>
        </w:rPr>
        <w:t>4</w:t>
      </w:r>
      <w:r>
        <w:rPr>
          <w:rFonts w:ascii="宋体" w:hAnsi="宋体"/>
          <w:szCs w:val="21"/>
          <w:lang w:eastAsia="zh-CN"/>
        </w:rPr>
        <w:t>）拒绝履行合同义务的</w:t>
      </w:r>
      <w:r>
        <w:rPr>
          <w:rFonts w:hint="eastAsia" w:ascii="宋体" w:hAnsi="宋体"/>
          <w:szCs w:val="21"/>
          <w:lang w:eastAsia="zh-CN"/>
        </w:rPr>
        <w:t>。</w:t>
      </w:r>
    </w:p>
    <w:bookmarkEnd w:id="127"/>
    <w:p w14:paraId="770D9740">
      <w:pPr>
        <w:pStyle w:val="7"/>
        <w:numPr>
          <w:ilvl w:val="0"/>
          <w:numId w:val="15"/>
        </w:numPr>
        <w:spacing w:before="120" w:beforeLines="50" w:after="120" w:afterLines="50"/>
        <w:ind w:left="562" w:hanging="562"/>
        <w:rPr>
          <w:rFonts w:hint="eastAsia"/>
          <w:sz w:val="28"/>
          <w:szCs w:val="28"/>
        </w:rPr>
      </w:pPr>
      <w:r>
        <w:rPr>
          <w:rFonts w:hint="eastAsia"/>
          <w:sz w:val="28"/>
          <w:szCs w:val="28"/>
        </w:rPr>
        <w:t>质疑处理</w:t>
      </w:r>
    </w:p>
    <w:p w14:paraId="19C7FA75">
      <w:pPr>
        <w:rPr>
          <w:rFonts w:hint="eastAsia" w:ascii="黑体" w:hAnsi="宋体" w:eastAsia="黑体"/>
        </w:rPr>
      </w:pPr>
      <w:bookmarkStart w:id="144" w:name="_Hlk72439706"/>
      <w:r>
        <w:rPr>
          <w:rFonts w:hint="eastAsia" w:ascii="黑体" w:hAnsi="宋体" w:eastAsia="黑体"/>
        </w:rPr>
        <w:t>52.质疑提出与答复</w:t>
      </w:r>
    </w:p>
    <w:p w14:paraId="10264BFE">
      <w:pPr>
        <w:rPr>
          <w:rFonts w:ascii="宋体" w:hAnsi="宋体"/>
          <w:szCs w:val="21"/>
        </w:rPr>
      </w:pPr>
      <w:r>
        <w:rPr>
          <w:rFonts w:hint="eastAsia" w:ascii="宋体" w:hAnsi="宋体"/>
          <w:szCs w:val="21"/>
        </w:rPr>
        <w:t xml:space="preserve">    52.1提出质疑</w:t>
      </w:r>
    </w:p>
    <w:p w14:paraId="78C45711">
      <w:pPr>
        <w:rPr>
          <w:rFonts w:ascii="宋体" w:hAnsi="宋体"/>
          <w:szCs w:val="21"/>
          <w:lang w:eastAsia="zh-CN"/>
        </w:rPr>
      </w:pPr>
      <w:r>
        <w:rPr>
          <w:rFonts w:hint="eastAsia" w:ascii="宋体" w:hAnsi="宋体"/>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D7B3330">
      <w:pPr>
        <w:rPr>
          <w:rFonts w:ascii="宋体" w:hAnsi="宋体"/>
          <w:szCs w:val="21"/>
          <w:lang w:eastAsia="zh-CN"/>
        </w:rPr>
      </w:pPr>
      <w:r>
        <w:rPr>
          <w:rFonts w:hint="eastAsia" w:ascii="宋体" w:hAnsi="宋体"/>
          <w:szCs w:val="21"/>
          <w:lang w:eastAsia="zh-CN"/>
        </w:rPr>
        <w:t xml:space="preserve">    52.2</w:t>
      </w:r>
      <w:r>
        <w:rPr>
          <w:rFonts w:ascii="宋体" w:hAnsi="宋体"/>
          <w:szCs w:val="21"/>
          <w:lang w:eastAsia="zh-CN"/>
        </w:rPr>
        <w:t>法律依据</w:t>
      </w:r>
    </w:p>
    <w:p w14:paraId="74A1D14C">
      <w:pPr>
        <w:rPr>
          <w:rFonts w:ascii="宋体" w:hAnsi="宋体"/>
          <w:szCs w:val="21"/>
          <w:lang w:eastAsia="zh-CN"/>
        </w:rPr>
      </w:pPr>
      <w:r>
        <w:rPr>
          <w:rFonts w:hint="eastAsia" w:ascii="宋体" w:hAnsi="宋体"/>
          <w:szCs w:val="21"/>
          <w:lang w:eastAsia="zh-CN"/>
        </w:rPr>
        <w:t xml:space="preserve">    《中华人民共和国政府采购法》、《中华人民共和国政府采购法实施条例》、</w:t>
      </w:r>
      <w:r>
        <w:rPr>
          <w:rFonts w:ascii="宋体" w:hAnsi="宋体"/>
          <w:szCs w:val="21"/>
          <w:lang w:eastAsia="zh-CN"/>
        </w:rPr>
        <w:t>《</w:t>
      </w:r>
      <w:r>
        <w:rPr>
          <w:rFonts w:hint="eastAsia" w:ascii="宋体" w:hAnsi="宋体"/>
          <w:szCs w:val="21"/>
          <w:lang w:eastAsia="zh-CN"/>
        </w:rPr>
        <w:t>深圳经济特区政府采购</w:t>
      </w:r>
      <w:r>
        <w:rPr>
          <w:rFonts w:ascii="宋体" w:hAnsi="宋体"/>
          <w:szCs w:val="21"/>
          <w:lang w:eastAsia="zh-CN"/>
        </w:rPr>
        <w:t>条例</w:t>
      </w:r>
      <w:r>
        <w:rPr>
          <w:rFonts w:hint="eastAsia" w:ascii="宋体" w:hAnsi="宋体"/>
          <w:szCs w:val="21"/>
          <w:lang w:eastAsia="zh-CN"/>
        </w:rPr>
        <w:t>》、《深圳经济特区政府采购条例实施细则》、《政府采购质疑和投诉办法》（财政部令第94号）和其他有关法律法规规定。</w:t>
      </w:r>
    </w:p>
    <w:p w14:paraId="56A9A67A">
      <w:pPr>
        <w:rPr>
          <w:rFonts w:ascii="宋体" w:hAnsi="宋体"/>
          <w:szCs w:val="21"/>
          <w:lang w:eastAsia="zh-CN"/>
        </w:rPr>
      </w:pPr>
      <w:r>
        <w:rPr>
          <w:rFonts w:hint="eastAsia" w:ascii="宋体" w:hAnsi="宋体"/>
          <w:szCs w:val="21"/>
          <w:lang w:eastAsia="zh-CN"/>
        </w:rPr>
        <w:t xml:space="preserve">  </w:t>
      </w:r>
      <w:r>
        <w:rPr>
          <w:rFonts w:hint="eastAsia" w:ascii="宋体" w:hAnsi="宋体"/>
          <w:color w:val="FF0000"/>
          <w:szCs w:val="21"/>
          <w:lang w:eastAsia="zh-CN"/>
        </w:rPr>
        <w:t xml:space="preserve">  </w:t>
      </w:r>
      <w:r>
        <w:rPr>
          <w:rFonts w:hint="eastAsia" w:ascii="宋体" w:hAnsi="宋体"/>
          <w:szCs w:val="21"/>
          <w:lang w:eastAsia="zh-CN"/>
        </w:rPr>
        <w:t>52.3质疑条件</w:t>
      </w:r>
    </w:p>
    <w:p w14:paraId="02EC5B6B">
      <w:pPr>
        <w:rPr>
          <w:rFonts w:ascii="宋体" w:hAnsi="宋体"/>
          <w:szCs w:val="21"/>
          <w:lang w:eastAsia="zh-CN"/>
        </w:rPr>
      </w:pPr>
      <w:r>
        <w:rPr>
          <w:rFonts w:hint="eastAsia" w:ascii="宋体" w:hAnsi="宋体"/>
          <w:szCs w:val="21"/>
          <w:lang w:eastAsia="zh-CN"/>
        </w:rPr>
        <w:t xml:space="preserve">    52.3.1提出质疑的供应商应当是参与所质疑项目采购活动的供应商；</w:t>
      </w:r>
      <w:bookmarkStart w:id="145" w:name="_Hlk75374941"/>
      <w:r>
        <w:rPr>
          <w:rFonts w:hint="eastAsia" w:ascii="宋体" w:hAnsi="宋体"/>
          <w:szCs w:val="21"/>
          <w:lang w:eastAsia="zh-CN"/>
        </w:rPr>
        <w:t>以联合体形式参与的，质疑应当由组成联合体的所有成员共同提出</w:t>
      </w:r>
      <w:bookmarkEnd w:id="145"/>
      <w:r>
        <w:rPr>
          <w:rFonts w:hint="eastAsia" w:ascii="宋体" w:hAnsi="宋体"/>
          <w:szCs w:val="21"/>
          <w:lang w:eastAsia="zh-CN"/>
        </w:rPr>
        <w:t>；</w:t>
      </w:r>
    </w:p>
    <w:p w14:paraId="400959EA">
      <w:pPr>
        <w:rPr>
          <w:rFonts w:ascii="宋体" w:hAnsi="宋体"/>
          <w:szCs w:val="21"/>
          <w:lang w:eastAsia="zh-CN"/>
        </w:rPr>
      </w:pPr>
      <w:r>
        <w:rPr>
          <w:rFonts w:hint="eastAsia" w:ascii="宋体" w:hAnsi="宋体"/>
          <w:szCs w:val="21"/>
          <w:lang w:eastAsia="zh-CN"/>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7E0267FC">
      <w:pPr>
        <w:ind w:firstLine="420"/>
        <w:rPr>
          <w:rFonts w:ascii="宋体" w:hAnsi="宋体"/>
          <w:szCs w:val="21"/>
          <w:lang w:eastAsia="zh-CN"/>
        </w:rPr>
      </w:pPr>
      <w:r>
        <w:rPr>
          <w:rFonts w:hint="eastAsia" w:ascii="宋体" w:hAnsi="宋体"/>
          <w:szCs w:val="21"/>
          <w:lang w:eastAsia="zh-CN"/>
        </w:rPr>
        <w:t>52.3.3应提交书面质疑函，质疑函应当包括以下内容：</w:t>
      </w:r>
      <w:r>
        <w:rPr>
          <w:rFonts w:ascii="宋体" w:hAnsi="宋体"/>
          <w:szCs w:val="21"/>
          <w:lang w:eastAsia="zh-CN"/>
        </w:rPr>
        <w:t xml:space="preserve"> </w:t>
      </w:r>
    </w:p>
    <w:p w14:paraId="053C8C33">
      <w:pPr>
        <w:ind w:firstLine="420"/>
        <w:rPr>
          <w:rFonts w:ascii="宋体" w:hAnsi="宋体"/>
          <w:szCs w:val="21"/>
          <w:lang w:eastAsia="zh-CN"/>
        </w:rPr>
      </w:pPr>
      <w:r>
        <w:rPr>
          <w:rFonts w:hint="eastAsia" w:ascii="宋体" w:hAnsi="宋体"/>
          <w:szCs w:val="21"/>
          <w:lang w:eastAsia="zh-CN"/>
        </w:rPr>
        <w:t>（1）供应商的名称（或者姓名）、地址、邮编、邮箱、联系人及联系电话；</w:t>
      </w:r>
    </w:p>
    <w:p w14:paraId="37F88A47">
      <w:pPr>
        <w:ind w:firstLine="480" w:firstLineChars="200"/>
        <w:rPr>
          <w:rFonts w:ascii="宋体" w:hAnsi="宋体"/>
          <w:szCs w:val="21"/>
          <w:lang w:eastAsia="zh-CN"/>
        </w:rPr>
      </w:pPr>
      <w:r>
        <w:rPr>
          <w:rFonts w:hint="eastAsia" w:ascii="宋体" w:hAnsi="宋体"/>
          <w:szCs w:val="21"/>
          <w:lang w:eastAsia="zh-CN"/>
        </w:rPr>
        <w:t>（2）质疑项目的名称、编号；</w:t>
      </w:r>
    </w:p>
    <w:p w14:paraId="1DBBD314">
      <w:pPr>
        <w:ind w:firstLine="480" w:firstLineChars="200"/>
        <w:rPr>
          <w:rFonts w:ascii="宋体" w:hAnsi="宋体"/>
          <w:szCs w:val="21"/>
          <w:lang w:eastAsia="zh-CN"/>
        </w:rPr>
      </w:pPr>
      <w:r>
        <w:rPr>
          <w:rFonts w:hint="eastAsia" w:ascii="宋体" w:hAnsi="宋体"/>
          <w:szCs w:val="21"/>
          <w:lang w:eastAsia="zh-CN"/>
        </w:rPr>
        <w:t>（3）具体、明确的质疑对象、质疑事项和质疑请求；</w:t>
      </w:r>
    </w:p>
    <w:p w14:paraId="02B8113A">
      <w:pPr>
        <w:ind w:firstLine="480" w:firstLineChars="200"/>
        <w:rPr>
          <w:rFonts w:ascii="宋体" w:hAnsi="宋体"/>
          <w:szCs w:val="21"/>
          <w:lang w:eastAsia="zh-CN"/>
        </w:rPr>
      </w:pPr>
      <w:r>
        <w:rPr>
          <w:rFonts w:hint="eastAsia" w:ascii="宋体" w:hAnsi="宋体"/>
          <w:szCs w:val="21"/>
          <w:lang w:eastAsia="zh-CN"/>
        </w:rPr>
        <w:t>（4）因质疑事项而受损害的权益；</w:t>
      </w:r>
    </w:p>
    <w:p w14:paraId="2D9631CF">
      <w:pPr>
        <w:ind w:firstLine="480" w:firstLineChars="200"/>
        <w:rPr>
          <w:rFonts w:ascii="宋体" w:hAnsi="宋体"/>
          <w:szCs w:val="21"/>
          <w:lang w:eastAsia="zh-CN"/>
        </w:rPr>
      </w:pPr>
      <w:r>
        <w:rPr>
          <w:rFonts w:hint="eastAsia" w:ascii="宋体" w:hAnsi="宋体"/>
          <w:szCs w:val="21"/>
          <w:lang w:eastAsia="zh-CN"/>
        </w:rPr>
        <w:t>（5）事实依据；</w:t>
      </w:r>
    </w:p>
    <w:p w14:paraId="3FA0F08C">
      <w:pPr>
        <w:ind w:firstLine="480" w:firstLineChars="200"/>
        <w:rPr>
          <w:rFonts w:ascii="宋体" w:hAnsi="宋体"/>
          <w:szCs w:val="21"/>
          <w:lang w:eastAsia="zh-CN"/>
        </w:rPr>
      </w:pPr>
      <w:r>
        <w:rPr>
          <w:rFonts w:hint="eastAsia" w:ascii="宋体" w:hAnsi="宋体"/>
          <w:szCs w:val="21"/>
          <w:lang w:eastAsia="zh-CN"/>
        </w:rPr>
        <w:t>（6）必要的法律依据；</w:t>
      </w:r>
    </w:p>
    <w:p w14:paraId="027713AF">
      <w:pPr>
        <w:ind w:firstLine="480" w:firstLineChars="200"/>
        <w:rPr>
          <w:rFonts w:ascii="宋体" w:hAnsi="宋体"/>
          <w:szCs w:val="21"/>
          <w:lang w:eastAsia="zh-CN"/>
        </w:rPr>
      </w:pPr>
      <w:r>
        <w:rPr>
          <w:rFonts w:hint="eastAsia" w:ascii="宋体" w:hAnsi="宋体"/>
          <w:szCs w:val="21"/>
          <w:lang w:eastAsia="zh-CN"/>
        </w:rPr>
        <w:t>（7）提出质疑的日期。</w:t>
      </w:r>
    </w:p>
    <w:p w14:paraId="1DAA804A">
      <w:pPr>
        <w:ind w:firstLine="480" w:firstLineChars="200"/>
        <w:rPr>
          <w:rFonts w:ascii="宋体" w:hAnsi="宋体"/>
          <w:szCs w:val="21"/>
          <w:lang w:eastAsia="zh-CN"/>
        </w:rPr>
      </w:pPr>
      <w:r>
        <w:rPr>
          <w:rFonts w:hint="eastAsia" w:ascii="宋体" w:hAnsi="宋体"/>
          <w:szCs w:val="21"/>
          <w:lang w:eastAsia="zh-CN"/>
        </w:rPr>
        <w:t>供应商为自然人的，应当由本人签字；供应商为法人或者其他组织的，应当由法定代表人（负责人），或者其授权代理人签字或者盖章，并加盖公章。</w:t>
      </w:r>
    </w:p>
    <w:p w14:paraId="0AE62C60">
      <w:pPr>
        <w:ind w:firstLine="480" w:firstLineChars="200"/>
        <w:rPr>
          <w:rFonts w:ascii="宋体" w:hAnsi="宋体"/>
          <w:szCs w:val="21"/>
          <w:lang w:eastAsia="zh-CN"/>
        </w:rPr>
      </w:pPr>
      <w:r>
        <w:rPr>
          <w:rFonts w:hint="eastAsia" w:ascii="宋体" w:hAnsi="宋体"/>
          <w:szCs w:val="21"/>
          <w:lang w:eastAsia="zh-CN"/>
        </w:rPr>
        <w:t>52.4提交</w:t>
      </w:r>
      <w:r>
        <w:rPr>
          <w:rFonts w:ascii="宋体" w:hAnsi="宋体"/>
          <w:szCs w:val="21"/>
          <w:lang w:eastAsia="zh-CN"/>
        </w:rPr>
        <w:t>材料</w:t>
      </w:r>
    </w:p>
    <w:p w14:paraId="4A057963">
      <w:pPr>
        <w:ind w:firstLine="480" w:firstLineChars="200"/>
        <w:rPr>
          <w:rFonts w:ascii="宋体" w:hAnsi="宋体"/>
          <w:szCs w:val="21"/>
          <w:lang w:eastAsia="zh-CN"/>
        </w:rPr>
      </w:pPr>
      <w:r>
        <w:rPr>
          <w:rFonts w:hint="eastAsia" w:ascii="宋体" w:hAnsi="宋体"/>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1401A907">
      <w:pPr>
        <w:ind w:firstLine="480" w:firstLineChars="200"/>
        <w:rPr>
          <w:rFonts w:ascii="宋体" w:hAnsi="宋体"/>
          <w:szCs w:val="21"/>
          <w:lang w:eastAsia="zh-CN"/>
        </w:rPr>
      </w:pPr>
      <w:r>
        <w:rPr>
          <w:rFonts w:hint="eastAsia" w:ascii="宋体" w:hAnsi="宋体"/>
          <w:szCs w:val="21"/>
          <w:lang w:eastAsia="zh-CN"/>
        </w:rPr>
        <w:t>供应商可以委托代理人进行质疑。</w:t>
      </w:r>
      <w:r>
        <w:rPr>
          <w:rFonts w:ascii="宋体" w:hAnsi="宋体"/>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F71E6">
      <w:pPr>
        <w:ind w:firstLine="480" w:firstLineChars="200"/>
        <w:rPr>
          <w:rFonts w:ascii="宋体" w:hAnsi="宋体"/>
          <w:szCs w:val="21"/>
          <w:lang w:eastAsia="zh-CN"/>
        </w:rPr>
      </w:pPr>
      <w:r>
        <w:rPr>
          <w:rFonts w:hint="eastAsia" w:ascii="宋体" w:hAnsi="宋体"/>
          <w:szCs w:val="21"/>
          <w:lang w:eastAsia="zh-CN"/>
        </w:rPr>
        <w:t>52.5收文地点</w:t>
      </w:r>
    </w:p>
    <w:p w14:paraId="7CEF633F">
      <w:pPr>
        <w:ind w:firstLine="480" w:firstLineChars="200"/>
        <w:rPr>
          <w:rFonts w:ascii="宋体" w:hAnsi="宋体"/>
          <w:b/>
          <w:bCs/>
          <w:szCs w:val="21"/>
          <w:lang w:eastAsia="zh-CN"/>
        </w:rPr>
      </w:pPr>
      <w:r>
        <w:rPr>
          <w:rFonts w:hint="eastAsia" w:ascii="宋体" w:hAnsi="宋体"/>
          <w:b/>
          <w:bCs/>
          <w:szCs w:val="21"/>
          <w:lang w:eastAsia="zh-CN"/>
        </w:rPr>
        <w:t>地址：深圳公共资源交易中心（深圳交易集团有限公司政府采购业务分公司）深圳市南山区沙河西路3185号南山智谷A座（深圳交易集团总部大楼）27楼，质疑咨询电话：0755-86500050。</w:t>
      </w:r>
    </w:p>
    <w:p w14:paraId="10F20186">
      <w:pPr>
        <w:ind w:firstLine="480" w:firstLineChars="200"/>
        <w:rPr>
          <w:rFonts w:ascii="宋体" w:hAnsi="宋体"/>
          <w:szCs w:val="21"/>
          <w:lang w:eastAsia="zh-CN"/>
        </w:rPr>
      </w:pPr>
      <w:r>
        <w:rPr>
          <w:rFonts w:hint="eastAsia" w:ascii="宋体" w:hAnsi="宋体"/>
          <w:szCs w:val="21"/>
          <w:lang w:eastAsia="zh-CN"/>
        </w:rPr>
        <w:t>52.6收文办理</w:t>
      </w:r>
      <w:r>
        <w:rPr>
          <w:rFonts w:ascii="宋体" w:hAnsi="宋体"/>
          <w:szCs w:val="21"/>
          <w:lang w:eastAsia="zh-CN"/>
        </w:rPr>
        <w:t>程序</w:t>
      </w:r>
    </w:p>
    <w:p w14:paraId="64E3CF42">
      <w:pPr>
        <w:ind w:firstLine="480" w:firstLineChars="200"/>
        <w:rPr>
          <w:rFonts w:ascii="宋体" w:hAnsi="宋体"/>
          <w:szCs w:val="21"/>
          <w:lang w:eastAsia="zh-CN"/>
        </w:rPr>
      </w:pPr>
      <w:r>
        <w:rPr>
          <w:rFonts w:hint="eastAsia" w:ascii="宋体" w:hAnsi="宋体"/>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1744AA">
      <w:pPr>
        <w:ind w:firstLine="480" w:firstLineChars="200"/>
        <w:rPr>
          <w:rFonts w:hint="eastAsia" w:ascii="仿宋" w:hAnsi="仿宋" w:eastAsia="仿宋"/>
          <w:sz w:val="28"/>
          <w:szCs w:val="28"/>
          <w:lang w:eastAsia="zh-CN"/>
        </w:rPr>
      </w:pPr>
      <w:r>
        <w:rPr>
          <w:rFonts w:hint="eastAsia" w:ascii="宋体" w:hAnsi="宋体"/>
          <w:szCs w:val="21"/>
          <w:lang w:eastAsia="zh-CN"/>
        </w:rPr>
        <w:t>52.6.2供应商提交的质疑材料不符合质疑条件的，视情况处理：</w:t>
      </w:r>
    </w:p>
    <w:p w14:paraId="6F00FEE8">
      <w:pPr>
        <w:ind w:firstLine="480" w:firstLineChars="200"/>
        <w:rPr>
          <w:rFonts w:ascii="宋体" w:hAnsi="宋体"/>
          <w:szCs w:val="21"/>
          <w:lang w:eastAsia="zh-CN"/>
        </w:rPr>
      </w:pPr>
      <w:r>
        <w:rPr>
          <w:rFonts w:hint="eastAsia" w:ascii="宋体" w:hAnsi="宋体"/>
          <w:szCs w:val="21"/>
          <w:lang w:eastAsia="zh-CN"/>
        </w:rPr>
        <w:t>供应商提交的质疑材料不全或者未按要求签字或者盖章的，政府集中采购机构应当一次性告知供应商需补正的内容和补正期限。</w:t>
      </w:r>
    </w:p>
    <w:p w14:paraId="697DDBBB">
      <w:pPr>
        <w:ind w:firstLine="480" w:firstLineChars="200"/>
        <w:rPr>
          <w:rFonts w:ascii="宋体" w:hAnsi="宋体"/>
          <w:szCs w:val="21"/>
          <w:lang w:eastAsia="zh-CN"/>
        </w:rPr>
      </w:pPr>
      <w:r>
        <w:rPr>
          <w:rFonts w:hint="eastAsia" w:ascii="宋体" w:hAnsi="宋体"/>
          <w:szCs w:val="21"/>
          <w:lang w:eastAsia="zh-CN"/>
        </w:rPr>
        <w:t>供应商提交的质疑存在下列情形之一的，不予受理：</w:t>
      </w:r>
    </w:p>
    <w:p w14:paraId="4F98E12F">
      <w:pPr>
        <w:ind w:firstLine="480" w:firstLineChars="200"/>
        <w:rPr>
          <w:rFonts w:ascii="宋体" w:hAnsi="宋体"/>
          <w:szCs w:val="21"/>
          <w:lang w:eastAsia="zh-CN"/>
        </w:rPr>
      </w:pPr>
      <w:r>
        <w:rPr>
          <w:rFonts w:hint="eastAsia" w:ascii="宋体" w:hAnsi="宋体"/>
          <w:szCs w:val="21"/>
          <w:lang w:eastAsia="zh-CN"/>
        </w:rPr>
        <w:t>（1）质疑主体不满足要求的；</w:t>
      </w:r>
    </w:p>
    <w:p w14:paraId="2F884C72">
      <w:pPr>
        <w:ind w:firstLine="480" w:firstLineChars="200"/>
        <w:rPr>
          <w:rFonts w:ascii="宋体" w:hAnsi="宋体"/>
          <w:szCs w:val="21"/>
          <w:lang w:eastAsia="zh-CN"/>
        </w:rPr>
      </w:pPr>
      <w:r>
        <w:rPr>
          <w:rFonts w:hint="eastAsia" w:ascii="宋体" w:hAnsi="宋体"/>
          <w:szCs w:val="21"/>
          <w:lang w:eastAsia="zh-CN"/>
        </w:rPr>
        <w:t>（2）供应商自身权益未受到损害的；</w:t>
      </w:r>
    </w:p>
    <w:p w14:paraId="6DE6993E">
      <w:pPr>
        <w:ind w:firstLine="480" w:firstLineChars="200"/>
        <w:rPr>
          <w:rFonts w:ascii="宋体" w:hAnsi="宋体"/>
          <w:szCs w:val="21"/>
          <w:lang w:eastAsia="zh-CN"/>
        </w:rPr>
      </w:pPr>
      <w:r>
        <w:rPr>
          <w:rFonts w:hint="eastAsia" w:ascii="宋体" w:hAnsi="宋体"/>
          <w:szCs w:val="21"/>
          <w:lang w:eastAsia="zh-CN"/>
        </w:rPr>
        <w:t>（3）供应商未在法定质疑期限内提出质疑的；</w:t>
      </w:r>
    </w:p>
    <w:p w14:paraId="16783CC8">
      <w:pPr>
        <w:ind w:firstLine="480" w:firstLineChars="200"/>
        <w:rPr>
          <w:rFonts w:ascii="宋体" w:hAnsi="宋体"/>
          <w:szCs w:val="21"/>
          <w:lang w:eastAsia="zh-CN"/>
        </w:rPr>
      </w:pPr>
      <w:r>
        <w:rPr>
          <w:rFonts w:hint="eastAsia" w:ascii="宋体" w:hAnsi="宋体"/>
          <w:szCs w:val="21"/>
          <w:lang w:eastAsia="zh-CN"/>
        </w:rPr>
        <w:t>（4）质疑材料不全或者未按要求签字或者盖章的情况下，要求补正后，逾期未补正或者补正后仍不符合规定的；</w:t>
      </w:r>
    </w:p>
    <w:p w14:paraId="18AC1459">
      <w:pPr>
        <w:ind w:firstLine="480" w:firstLineChars="200"/>
        <w:rPr>
          <w:rFonts w:ascii="宋体" w:hAnsi="宋体"/>
          <w:szCs w:val="21"/>
          <w:lang w:eastAsia="zh-CN"/>
        </w:rPr>
      </w:pPr>
      <w:r>
        <w:rPr>
          <w:rFonts w:hint="eastAsia" w:ascii="宋体" w:hAnsi="宋体"/>
          <w:szCs w:val="21"/>
          <w:lang w:eastAsia="zh-CN"/>
        </w:rPr>
        <w:t>（5）其他不符合受理条件情形的。</w:t>
      </w:r>
    </w:p>
    <w:p w14:paraId="004E163E">
      <w:pPr>
        <w:ind w:firstLine="480" w:firstLineChars="200"/>
        <w:rPr>
          <w:rFonts w:ascii="宋体" w:hAnsi="宋体"/>
          <w:szCs w:val="21"/>
          <w:lang w:eastAsia="zh-CN"/>
        </w:rPr>
      </w:pPr>
      <w:r>
        <w:rPr>
          <w:rFonts w:hint="eastAsia" w:ascii="宋体" w:hAnsi="宋体"/>
          <w:szCs w:val="21"/>
          <w:lang w:eastAsia="zh-CN"/>
        </w:rPr>
        <w:t>质疑事项不予受理的，政府集中采购机构应当向供应商出具不符合质疑条件告知书。</w:t>
      </w:r>
    </w:p>
    <w:p w14:paraId="698AFF7D">
      <w:pPr>
        <w:rPr>
          <w:rFonts w:ascii="宋体" w:hAnsi="宋体"/>
          <w:szCs w:val="21"/>
          <w:lang w:eastAsia="zh-CN"/>
        </w:rPr>
      </w:pPr>
      <w:r>
        <w:rPr>
          <w:rFonts w:hint="eastAsia" w:ascii="宋体" w:hAnsi="宋体"/>
          <w:color w:val="FF0000"/>
          <w:szCs w:val="21"/>
          <w:lang w:eastAsia="zh-CN"/>
        </w:rPr>
        <w:t xml:space="preserve">  </w:t>
      </w:r>
      <w:r>
        <w:rPr>
          <w:rFonts w:hint="eastAsia" w:ascii="宋体" w:hAnsi="宋体"/>
          <w:szCs w:val="21"/>
          <w:lang w:eastAsia="zh-CN"/>
        </w:rPr>
        <w:t xml:space="preserve">  52.7质疑答复时限</w:t>
      </w:r>
    </w:p>
    <w:p w14:paraId="15A0C1E5">
      <w:pPr>
        <w:rPr>
          <w:rFonts w:ascii="宋体" w:hAnsi="宋体"/>
          <w:szCs w:val="21"/>
          <w:lang w:eastAsia="zh-CN"/>
        </w:rPr>
      </w:pPr>
      <w:r>
        <w:rPr>
          <w:rFonts w:hint="eastAsia" w:ascii="宋体" w:hAnsi="宋体"/>
          <w:szCs w:val="21"/>
          <w:lang w:eastAsia="zh-CN"/>
        </w:rPr>
        <w:t xml:space="preserve">    自收文之日起七个工作日内。</w:t>
      </w:r>
    </w:p>
    <w:p w14:paraId="48693E04">
      <w:pPr>
        <w:rPr>
          <w:rFonts w:ascii="宋体" w:hAnsi="宋体"/>
          <w:szCs w:val="21"/>
          <w:lang w:eastAsia="zh-CN"/>
        </w:rPr>
      </w:pPr>
      <w:r>
        <w:rPr>
          <w:rFonts w:hint="eastAsia" w:ascii="宋体" w:hAnsi="宋体"/>
          <w:szCs w:val="21"/>
          <w:lang w:eastAsia="zh-CN"/>
        </w:rPr>
        <w:t xml:space="preserve">    52.8投诉</w:t>
      </w:r>
    </w:p>
    <w:p w14:paraId="50E56137">
      <w:pPr>
        <w:rPr>
          <w:rFonts w:ascii="宋体" w:hAnsi="宋体"/>
          <w:szCs w:val="21"/>
          <w:lang w:eastAsia="zh-CN"/>
        </w:rPr>
      </w:pPr>
      <w:r>
        <w:rPr>
          <w:rFonts w:hint="eastAsia" w:ascii="宋体" w:hAnsi="宋体"/>
          <w:szCs w:val="21"/>
          <w:lang w:eastAsia="zh-CN"/>
        </w:rPr>
        <w:t xml:space="preserve">    对质疑答复不满意或者未在规定时间内答复的，提出质疑的供应商可以在答复期满后15个工作日内向采购人或采购人主管部门投诉。</w:t>
      </w:r>
    </w:p>
    <w:p w14:paraId="5B447562">
      <w:pPr>
        <w:rPr>
          <w:rFonts w:hint="eastAsia" w:ascii="黑体" w:hAnsi="宋体" w:eastAsia="黑体"/>
          <w:lang w:eastAsia="zh-CN"/>
        </w:rPr>
      </w:pPr>
      <w:r>
        <w:rPr>
          <w:rFonts w:hint="eastAsia" w:ascii="黑体" w:hAnsi="宋体" w:eastAsia="黑体"/>
          <w:lang w:eastAsia="zh-CN"/>
        </w:rPr>
        <w:t>53. 质疑后续处理</w:t>
      </w:r>
    </w:p>
    <w:p w14:paraId="260306AC">
      <w:pPr>
        <w:jc w:val="both"/>
        <w:rPr>
          <w:rFonts w:ascii="宋体" w:hAnsi="宋体"/>
          <w:szCs w:val="21"/>
          <w:lang w:eastAsia="zh-CN"/>
        </w:rPr>
      </w:pPr>
      <w:r>
        <w:rPr>
          <w:rFonts w:hint="eastAsia" w:ascii="宋体" w:hAnsi="宋体"/>
          <w:szCs w:val="21"/>
          <w:lang w:eastAsia="zh-CN"/>
        </w:rPr>
        <w:t xml:space="preserve">    53.1供应商质疑不成立，或者成立但未对中标、成交结果构成影响的，继续开展采购活动。</w:t>
      </w:r>
    </w:p>
    <w:p w14:paraId="5A396506">
      <w:pPr>
        <w:ind w:firstLine="420"/>
        <w:jc w:val="both"/>
        <w:rPr>
          <w:rFonts w:ascii="宋体" w:hAnsi="宋体"/>
          <w:szCs w:val="21"/>
          <w:lang w:eastAsia="zh-CN"/>
        </w:rPr>
      </w:pPr>
      <w:r>
        <w:rPr>
          <w:rFonts w:hint="eastAsia" w:ascii="宋体" w:hAnsi="宋体"/>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ACDCB81">
      <w:pPr>
        <w:ind w:firstLine="420"/>
        <w:rPr>
          <w:rFonts w:hint="eastAsia" w:ascii="宋体" w:hAnsi="宋体" w:eastAsia="宋体"/>
          <w:szCs w:val="21"/>
          <w:lang w:eastAsia="zh-CN"/>
        </w:rPr>
      </w:pPr>
      <w:r>
        <w:rPr>
          <w:rFonts w:hint="eastAsia" w:ascii="宋体" w:hAnsi="宋体" w:eastAsia="宋体"/>
          <w:szCs w:val="21"/>
          <w:lang w:eastAsia="zh-CN"/>
        </w:rPr>
        <w:t>53.3被质疑供应商应配合提供质疑答辩意见,并提供相关证据材料,逾期不作书面答辩的,视同放弃答辩权利,依法承担由此可能产生的不利法律后果。</w:t>
      </w:r>
    </w:p>
    <w:p w14:paraId="58BBB731">
      <w:pPr>
        <w:jc w:val="center"/>
      </w:pPr>
      <w:r>
        <w:t>---- END ----</w:t>
      </w:r>
      <w:bookmarkEnd w:id="144"/>
    </w:p>
    <w:p w14:paraId="79C64B5B">
      <w:pPr>
        <w:keepLines/>
        <w:spacing w:line="432" w:lineRule="atLeast"/>
        <w:ind w:right="15"/>
        <w:rPr>
          <w:rFonts w:hint="eastAsia" w:ascii="微软雅黑" w:hAnsi="微软雅黑" w:eastAsia="微软雅黑" w:cs="微软雅黑"/>
          <w:color w:val="333333"/>
          <w:lang w:val="en" w:eastAsia="en"/>
        </w:rPr>
      </w:pPr>
    </w:p>
    <w:p w14:paraId="3BE16B35">
      <w:pPr>
        <w:keepLines/>
        <w:spacing w:line="432" w:lineRule="atLeast"/>
        <w:ind w:right="15"/>
        <w:rPr>
          <w:rFonts w:ascii="微软雅黑" w:hAnsi="微软雅黑" w:eastAsia="微软雅黑" w:cs="微软雅黑"/>
          <w:color w:val="333333"/>
          <w:lang w:val="en" w:eastAsia="en"/>
        </w:rPr>
      </w:pPr>
    </w:p>
    <w:sectPr>
      <w:headerReference r:id="rId8" w:type="default"/>
      <w:footerReference r:id="rId9" w:type="default"/>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41C6">
    <w:pPr>
      <w:pStyle w:val="13"/>
      <w:framePr w:wrap="around" w:vAnchor="text" w:hAnchor="margin" w:xAlign="center" w:y="1"/>
      <w:rPr>
        <w:rStyle w:val="22"/>
      </w:rPr>
    </w:pPr>
    <w:r>
      <w:t xml:space="preserve">- </w:t>
    </w:r>
    <w:r>
      <w:fldChar w:fldCharType="begin"/>
    </w:r>
    <w:r>
      <w:instrText xml:space="preserve"> PAGE </w:instrText>
    </w:r>
    <w:r>
      <w:fldChar w:fldCharType="separate"/>
    </w:r>
    <w:r>
      <w:t>17</w:t>
    </w:r>
    <w:r>
      <w:fldChar w:fldCharType="end"/>
    </w:r>
    <w:r>
      <w:t xml:space="preserve"> -</w:t>
    </w:r>
  </w:p>
  <w:p w14:paraId="756D169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E3BC">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7886ECA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CE5E">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B88B">
    <w:pPr>
      <w:widowControl w:val="0"/>
      <w:tabs>
        <w:tab w:val="center" w:pos="4153"/>
        <w:tab w:val="right" w:pos="8306"/>
      </w:tabs>
      <w:snapToGrid w:val="0"/>
      <w:rPr>
        <w:rFonts w:eastAsia="宋体"/>
        <w:kern w:val="2"/>
        <w:sz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56B31">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7581">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4083">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eastAsia="宋体"/>
        <w:kern w:val="2"/>
        <w:sz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E29639"/>
    <w:multiLevelType w:val="singleLevel"/>
    <w:tmpl w:val="EAE29639"/>
    <w:lvl w:ilvl="0" w:tentative="0">
      <w:start w:val="1"/>
      <w:numFmt w:val="chineseCounting"/>
      <w:suff w:val="nothing"/>
      <w:lvlText w:val="（%1）"/>
      <w:lvlJc w:val="left"/>
      <w:rPr>
        <w:rFonts w:hint="eastAsia"/>
      </w:rPr>
    </w:lvl>
  </w:abstractNum>
  <w:abstractNum w:abstractNumId="8">
    <w:nsid w:val="F659FD8E"/>
    <w:multiLevelType w:val="singleLevel"/>
    <w:tmpl w:val="F659FD8E"/>
    <w:lvl w:ilvl="0" w:tentative="0">
      <w:start w:val="3"/>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59334DD"/>
    <w:multiLevelType w:val="singleLevel"/>
    <w:tmpl w:val="059334DD"/>
    <w:lvl w:ilvl="0" w:tentative="0">
      <w:start w:val="2"/>
      <w:numFmt w:val="chineseCounting"/>
      <w:suff w:val="nothing"/>
      <w:lvlText w:val="%1、"/>
      <w:lvlJc w:val="left"/>
      <w:rPr>
        <w:rFonts w:hint="eastAsia"/>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FC63616"/>
    <w:multiLevelType w:val="singleLevel"/>
    <w:tmpl w:val="4FC63616"/>
    <w:lvl w:ilvl="0" w:tentative="0">
      <w:start w:val="1"/>
      <w:numFmt w:val="chineseCounting"/>
      <w:suff w:val="nothing"/>
      <w:lvlText w:val="（%1）"/>
      <w:lvlJc w:val="left"/>
      <w:rPr>
        <w:rFonts w:hint="eastAsia"/>
      </w:rPr>
    </w:lvl>
  </w:abstractNum>
  <w:abstractNum w:abstractNumId="13">
    <w:nsid w:val="74161E0B"/>
    <w:multiLevelType w:val="singleLevel"/>
    <w:tmpl w:val="74161E0B"/>
    <w:lvl w:ilvl="0" w:tentative="0">
      <w:start w:val="1"/>
      <w:numFmt w:val="chineseCounting"/>
      <w:suff w:val="nothing"/>
      <w:lvlText w:val="（%1）"/>
      <w:lvlJc w:val="left"/>
      <w:rPr>
        <w:rFonts w:hint="eastAsia"/>
      </w:rPr>
    </w:lvl>
  </w:abstractNum>
  <w:abstractNum w:abstractNumId="14">
    <w:nsid w:val="7A0F6431"/>
    <w:multiLevelType w:val="singleLevel"/>
    <w:tmpl w:val="7A0F6431"/>
    <w:lvl w:ilvl="0" w:tentative="0">
      <w:start w:val="1"/>
      <w:numFmt w:val="decimal"/>
      <w:suff w:val="space"/>
      <w:lvlText w:val="%1."/>
      <w:lvlJc w:val="left"/>
    </w:lvl>
  </w:abstractNum>
  <w:num w:numId="1">
    <w:abstractNumId w:val="12"/>
  </w:num>
  <w:num w:numId="2">
    <w:abstractNumId w:val="13"/>
  </w:num>
  <w:num w:numId="3">
    <w:abstractNumId w:val="7"/>
  </w:num>
  <w:num w:numId="4">
    <w:abstractNumId w:val="8"/>
  </w:num>
  <w:num w:numId="5">
    <w:abstractNumId w:val="10"/>
  </w:num>
  <w:num w:numId="6">
    <w:abstractNumId w:val="0"/>
  </w:num>
  <w:num w:numId="7">
    <w:abstractNumId w:val="1"/>
  </w:num>
  <w:num w:numId="8">
    <w:abstractNumId w:val="14"/>
  </w:num>
  <w:num w:numId="9">
    <w:abstractNumId w:val="3"/>
  </w:num>
  <w:num w:numId="10">
    <w:abstractNumId w:val="9"/>
  </w:num>
  <w:num w:numId="11">
    <w:abstractNumId w:val="5"/>
  </w:num>
  <w:num w:numId="12">
    <w:abstractNumId w:val="4"/>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3850EE"/>
    <w:rsid w:val="004D712B"/>
    <w:rsid w:val="00506475"/>
    <w:rsid w:val="008004BE"/>
    <w:rsid w:val="00965567"/>
    <w:rsid w:val="00A17106"/>
    <w:rsid w:val="00A77B3E"/>
    <w:rsid w:val="00BE0631"/>
    <w:rsid w:val="00CA2A55"/>
    <w:rsid w:val="00CD227F"/>
    <w:rsid w:val="00CF535D"/>
    <w:rsid w:val="00DC068F"/>
    <w:rsid w:val="01232C1D"/>
    <w:rsid w:val="01536744"/>
    <w:rsid w:val="0162049E"/>
    <w:rsid w:val="01683FEA"/>
    <w:rsid w:val="016B6D67"/>
    <w:rsid w:val="018B6894"/>
    <w:rsid w:val="01FE3350"/>
    <w:rsid w:val="021B0C30"/>
    <w:rsid w:val="022934D3"/>
    <w:rsid w:val="02CB7C9C"/>
    <w:rsid w:val="0346615E"/>
    <w:rsid w:val="034F73C7"/>
    <w:rsid w:val="03903543"/>
    <w:rsid w:val="03EB1BC2"/>
    <w:rsid w:val="03EB61A7"/>
    <w:rsid w:val="047800D0"/>
    <w:rsid w:val="0488701B"/>
    <w:rsid w:val="048F7B35"/>
    <w:rsid w:val="04C90604"/>
    <w:rsid w:val="04EF0EBA"/>
    <w:rsid w:val="05061B1A"/>
    <w:rsid w:val="05177476"/>
    <w:rsid w:val="05274F4F"/>
    <w:rsid w:val="05766F80"/>
    <w:rsid w:val="058F4E88"/>
    <w:rsid w:val="05A47BA6"/>
    <w:rsid w:val="05ED01D7"/>
    <w:rsid w:val="06155868"/>
    <w:rsid w:val="061E2933"/>
    <w:rsid w:val="06374A49"/>
    <w:rsid w:val="063C45E7"/>
    <w:rsid w:val="064F0664"/>
    <w:rsid w:val="06690476"/>
    <w:rsid w:val="06BE5F71"/>
    <w:rsid w:val="06C66001"/>
    <w:rsid w:val="06E70362"/>
    <w:rsid w:val="07006E74"/>
    <w:rsid w:val="08077635"/>
    <w:rsid w:val="08154250"/>
    <w:rsid w:val="08520D03"/>
    <w:rsid w:val="08D21156"/>
    <w:rsid w:val="08DD1031"/>
    <w:rsid w:val="08F8523B"/>
    <w:rsid w:val="09884756"/>
    <w:rsid w:val="09945EAD"/>
    <w:rsid w:val="09BC354A"/>
    <w:rsid w:val="09C12C50"/>
    <w:rsid w:val="0A04110F"/>
    <w:rsid w:val="0A4C1F77"/>
    <w:rsid w:val="0A6309E1"/>
    <w:rsid w:val="0A904A7D"/>
    <w:rsid w:val="0A9A581C"/>
    <w:rsid w:val="0B212BCE"/>
    <w:rsid w:val="0B27702A"/>
    <w:rsid w:val="0B522AC4"/>
    <w:rsid w:val="0BD64C7B"/>
    <w:rsid w:val="0CDC1196"/>
    <w:rsid w:val="0D846E16"/>
    <w:rsid w:val="0DD40EBD"/>
    <w:rsid w:val="0DE062B0"/>
    <w:rsid w:val="0DEA0E63"/>
    <w:rsid w:val="0DF729A1"/>
    <w:rsid w:val="0E4039AE"/>
    <w:rsid w:val="0EAA4D3B"/>
    <w:rsid w:val="0EAC47D9"/>
    <w:rsid w:val="0EE83C31"/>
    <w:rsid w:val="0F1E3975"/>
    <w:rsid w:val="0F213035"/>
    <w:rsid w:val="0F216785"/>
    <w:rsid w:val="0F4174E9"/>
    <w:rsid w:val="0F595774"/>
    <w:rsid w:val="10451240"/>
    <w:rsid w:val="1203536E"/>
    <w:rsid w:val="12485112"/>
    <w:rsid w:val="12584CB9"/>
    <w:rsid w:val="127D7927"/>
    <w:rsid w:val="12A37D39"/>
    <w:rsid w:val="12BB2FBD"/>
    <w:rsid w:val="130D4D98"/>
    <w:rsid w:val="13926A39"/>
    <w:rsid w:val="13C05E66"/>
    <w:rsid w:val="13C9088F"/>
    <w:rsid w:val="141523D4"/>
    <w:rsid w:val="14F60C44"/>
    <w:rsid w:val="14F95269"/>
    <w:rsid w:val="15170B31"/>
    <w:rsid w:val="15311E8E"/>
    <w:rsid w:val="15AD1411"/>
    <w:rsid w:val="15E21FAA"/>
    <w:rsid w:val="169408BC"/>
    <w:rsid w:val="16A95608"/>
    <w:rsid w:val="16B86E31"/>
    <w:rsid w:val="17296BE3"/>
    <w:rsid w:val="1731143B"/>
    <w:rsid w:val="17462D1B"/>
    <w:rsid w:val="178340FD"/>
    <w:rsid w:val="179504FD"/>
    <w:rsid w:val="17AD456C"/>
    <w:rsid w:val="17C104F9"/>
    <w:rsid w:val="17D62977"/>
    <w:rsid w:val="18433257"/>
    <w:rsid w:val="18D27471"/>
    <w:rsid w:val="19632661"/>
    <w:rsid w:val="1AEE713B"/>
    <w:rsid w:val="1B4C5476"/>
    <w:rsid w:val="1B816BC0"/>
    <w:rsid w:val="1B8204B6"/>
    <w:rsid w:val="1BC82E20"/>
    <w:rsid w:val="1BEB24F5"/>
    <w:rsid w:val="1C393D1E"/>
    <w:rsid w:val="1C746388"/>
    <w:rsid w:val="1CED33FB"/>
    <w:rsid w:val="1CF70C95"/>
    <w:rsid w:val="1D3D1123"/>
    <w:rsid w:val="1D547061"/>
    <w:rsid w:val="1D5907B5"/>
    <w:rsid w:val="1D7404EF"/>
    <w:rsid w:val="1D8334A3"/>
    <w:rsid w:val="1DF94514"/>
    <w:rsid w:val="1E5E1574"/>
    <w:rsid w:val="1E870283"/>
    <w:rsid w:val="1F2F70B6"/>
    <w:rsid w:val="1F487FE2"/>
    <w:rsid w:val="202B38F2"/>
    <w:rsid w:val="202C6073"/>
    <w:rsid w:val="2048742B"/>
    <w:rsid w:val="2107572E"/>
    <w:rsid w:val="213D3949"/>
    <w:rsid w:val="215238B8"/>
    <w:rsid w:val="22105FB5"/>
    <w:rsid w:val="22657547"/>
    <w:rsid w:val="229D5007"/>
    <w:rsid w:val="22A02FB0"/>
    <w:rsid w:val="22D66F38"/>
    <w:rsid w:val="22EE16CD"/>
    <w:rsid w:val="22F519DD"/>
    <w:rsid w:val="23250C83"/>
    <w:rsid w:val="23743DB9"/>
    <w:rsid w:val="23F944BF"/>
    <w:rsid w:val="23FB1B00"/>
    <w:rsid w:val="24165A27"/>
    <w:rsid w:val="241A6D87"/>
    <w:rsid w:val="24AE5C72"/>
    <w:rsid w:val="24B27742"/>
    <w:rsid w:val="255A625C"/>
    <w:rsid w:val="26147904"/>
    <w:rsid w:val="262140CD"/>
    <w:rsid w:val="264A5A53"/>
    <w:rsid w:val="26624241"/>
    <w:rsid w:val="269221D6"/>
    <w:rsid w:val="269E15EA"/>
    <w:rsid w:val="26C21EC2"/>
    <w:rsid w:val="26D97034"/>
    <w:rsid w:val="26DA1722"/>
    <w:rsid w:val="27277502"/>
    <w:rsid w:val="27F25E17"/>
    <w:rsid w:val="289933AC"/>
    <w:rsid w:val="291B0B5F"/>
    <w:rsid w:val="2947597A"/>
    <w:rsid w:val="294A57BC"/>
    <w:rsid w:val="297901DE"/>
    <w:rsid w:val="299A404E"/>
    <w:rsid w:val="29C92C9E"/>
    <w:rsid w:val="29E01264"/>
    <w:rsid w:val="2A134397"/>
    <w:rsid w:val="2A367B52"/>
    <w:rsid w:val="2A495A95"/>
    <w:rsid w:val="2A9203F3"/>
    <w:rsid w:val="2A9F5705"/>
    <w:rsid w:val="2B385260"/>
    <w:rsid w:val="2B4B5B6E"/>
    <w:rsid w:val="2B9F51CC"/>
    <w:rsid w:val="2BB469D4"/>
    <w:rsid w:val="2BC308DD"/>
    <w:rsid w:val="2C056D35"/>
    <w:rsid w:val="2C334EC0"/>
    <w:rsid w:val="2C4E2213"/>
    <w:rsid w:val="2C666902"/>
    <w:rsid w:val="2C7538F6"/>
    <w:rsid w:val="2CAF71DE"/>
    <w:rsid w:val="2D503DFC"/>
    <w:rsid w:val="2DFA1B22"/>
    <w:rsid w:val="2E643B68"/>
    <w:rsid w:val="2F3D352E"/>
    <w:rsid w:val="2F5C6564"/>
    <w:rsid w:val="2F6C6370"/>
    <w:rsid w:val="2F9D65AC"/>
    <w:rsid w:val="2FED7630"/>
    <w:rsid w:val="300C4CCC"/>
    <w:rsid w:val="300F7F5D"/>
    <w:rsid w:val="302B08A4"/>
    <w:rsid w:val="30556326"/>
    <w:rsid w:val="30BE75B8"/>
    <w:rsid w:val="30F2370B"/>
    <w:rsid w:val="314011DB"/>
    <w:rsid w:val="3162740E"/>
    <w:rsid w:val="31685C89"/>
    <w:rsid w:val="31826436"/>
    <w:rsid w:val="31A66981"/>
    <w:rsid w:val="32734AB3"/>
    <w:rsid w:val="32DF17E8"/>
    <w:rsid w:val="33076767"/>
    <w:rsid w:val="33615BDC"/>
    <w:rsid w:val="33703E5C"/>
    <w:rsid w:val="3458152F"/>
    <w:rsid w:val="35595597"/>
    <w:rsid w:val="358636D8"/>
    <w:rsid w:val="36303ED6"/>
    <w:rsid w:val="37212E71"/>
    <w:rsid w:val="37454906"/>
    <w:rsid w:val="37B41B04"/>
    <w:rsid w:val="3804629B"/>
    <w:rsid w:val="38080CB8"/>
    <w:rsid w:val="3824791C"/>
    <w:rsid w:val="38423A9F"/>
    <w:rsid w:val="38644C80"/>
    <w:rsid w:val="39111E53"/>
    <w:rsid w:val="39502BD9"/>
    <w:rsid w:val="397C31B9"/>
    <w:rsid w:val="39A213E0"/>
    <w:rsid w:val="39D22F86"/>
    <w:rsid w:val="39EF6835"/>
    <w:rsid w:val="3A3413F0"/>
    <w:rsid w:val="3A536533"/>
    <w:rsid w:val="3A824586"/>
    <w:rsid w:val="3A8D5551"/>
    <w:rsid w:val="3AE4110E"/>
    <w:rsid w:val="3AF43CF1"/>
    <w:rsid w:val="3B0F723C"/>
    <w:rsid w:val="3B34332F"/>
    <w:rsid w:val="3BA45475"/>
    <w:rsid w:val="3C3F4AE6"/>
    <w:rsid w:val="3CD91462"/>
    <w:rsid w:val="3D4D301F"/>
    <w:rsid w:val="3F0C1468"/>
    <w:rsid w:val="3F334C2D"/>
    <w:rsid w:val="3FC33D97"/>
    <w:rsid w:val="409C5331"/>
    <w:rsid w:val="40EE1FD9"/>
    <w:rsid w:val="41974DE0"/>
    <w:rsid w:val="41D30EB3"/>
    <w:rsid w:val="41E400C8"/>
    <w:rsid w:val="42024A2E"/>
    <w:rsid w:val="423329E8"/>
    <w:rsid w:val="426339F7"/>
    <w:rsid w:val="42CA2778"/>
    <w:rsid w:val="42D9578F"/>
    <w:rsid w:val="42EF4FB3"/>
    <w:rsid w:val="43140575"/>
    <w:rsid w:val="434E2725"/>
    <w:rsid w:val="43F60E32"/>
    <w:rsid w:val="444A79CA"/>
    <w:rsid w:val="44927479"/>
    <w:rsid w:val="44CE79D5"/>
    <w:rsid w:val="451D5C47"/>
    <w:rsid w:val="454E59FB"/>
    <w:rsid w:val="455E073B"/>
    <w:rsid w:val="45A32BCF"/>
    <w:rsid w:val="46205A1C"/>
    <w:rsid w:val="46392CE0"/>
    <w:rsid w:val="466F101E"/>
    <w:rsid w:val="46F12431"/>
    <w:rsid w:val="474D1675"/>
    <w:rsid w:val="477B06CC"/>
    <w:rsid w:val="47B76BBE"/>
    <w:rsid w:val="484D353F"/>
    <w:rsid w:val="48697937"/>
    <w:rsid w:val="48712F45"/>
    <w:rsid w:val="48B63E7D"/>
    <w:rsid w:val="48D13D3C"/>
    <w:rsid w:val="49080B7C"/>
    <w:rsid w:val="49926E00"/>
    <w:rsid w:val="499D00AB"/>
    <w:rsid w:val="49B640F1"/>
    <w:rsid w:val="49D24043"/>
    <w:rsid w:val="49EF5898"/>
    <w:rsid w:val="4A4259F7"/>
    <w:rsid w:val="4A4731EC"/>
    <w:rsid w:val="4AA13829"/>
    <w:rsid w:val="4AA76173"/>
    <w:rsid w:val="4B3B6F60"/>
    <w:rsid w:val="4B6C05E9"/>
    <w:rsid w:val="4B7324F9"/>
    <w:rsid w:val="4BDD683C"/>
    <w:rsid w:val="4C0702FC"/>
    <w:rsid w:val="4C5249C5"/>
    <w:rsid w:val="4CF70504"/>
    <w:rsid w:val="4D782049"/>
    <w:rsid w:val="4DD45DD3"/>
    <w:rsid w:val="4E3423DF"/>
    <w:rsid w:val="4E920CDB"/>
    <w:rsid w:val="4F92071C"/>
    <w:rsid w:val="4FC04863"/>
    <w:rsid w:val="4FD06649"/>
    <w:rsid w:val="50863682"/>
    <w:rsid w:val="50DF7F0F"/>
    <w:rsid w:val="51181620"/>
    <w:rsid w:val="51385D77"/>
    <w:rsid w:val="513C6F20"/>
    <w:rsid w:val="515C1C52"/>
    <w:rsid w:val="52E236E7"/>
    <w:rsid w:val="52F23D6A"/>
    <w:rsid w:val="53132A5C"/>
    <w:rsid w:val="53B139D4"/>
    <w:rsid w:val="53B501F6"/>
    <w:rsid w:val="54A90A11"/>
    <w:rsid w:val="54DF4ED3"/>
    <w:rsid w:val="54EB4EAE"/>
    <w:rsid w:val="553F4053"/>
    <w:rsid w:val="554D24EB"/>
    <w:rsid w:val="55826059"/>
    <w:rsid w:val="565428BF"/>
    <w:rsid w:val="57000C8D"/>
    <w:rsid w:val="5713508F"/>
    <w:rsid w:val="574F3DA9"/>
    <w:rsid w:val="578058D6"/>
    <w:rsid w:val="57AC6425"/>
    <w:rsid w:val="58023F7F"/>
    <w:rsid w:val="58242C3F"/>
    <w:rsid w:val="584A3FFC"/>
    <w:rsid w:val="5885496B"/>
    <w:rsid w:val="5978263A"/>
    <w:rsid w:val="59D522A3"/>
    <w:rsid w:val="5A161F52"/>
    <w:rsid w:val="5ABE1D47"/>
    <w:rsid w:val="5B3B4FB1"/>
    <w:rsid w:val="5BB90387"/>
    <w:rsid w:val="5BF84119"/>
    <w:rsid w:val="5C4D6167"/>
    <w:rsid w:val="5D6674A3"/>
    <w:rsid w:val="5E624B26"/>
    <w:rsid w:val="5EC47B18"/>
    <w:rsid w:val="5EE5391F"/>
    <w:rsid w:val="5EF82676"/>
    <w:rsid w:val="5F0158CC"/>
    <w:rsid w:val="5F7D25D7"/>
    <w:rsid w:val="5FA92D02"/>
    <w:rsid w:val="60BD4D9B"/>
    <w:rsid w:val="60F11E42"/>
    <w:rsid w:val="615B0273"/>
    <w:rsid w:val="619F774C"/>
    <w:rsid w:val="61D95952"/>
    <w:rsid w:val="61E55E44"/>
    <w:rsid w:val="61F50C58"/>
    <w:rsid w:val="61F71306"/>
    <w:rsid w:val="624F4CCE"/>
    <w:rsid w:val="62777EF6"/>
    <w:rsid w:val="62F11019"/>
    <w:rsid w:val="63095B0B"/>
    <w:rsid w:val="6372336A"/>
    <w:rsid w:val="639015DE"/>
    <w:rsid w:val="63A363CE"/>
    <w:rsid w:val="641E7449"/>
    <w:rsid w:val="64D1577C"/>
    <w:rsid w:val="64DC3510"/>
    <w:rsid w:val="65000632"/>
    <w:rsid w:val="654354AD"/>
    <w:rsid w:val="65451AEB"/>
    <w:rsid w:val="65623185"/>
    <w:rsid w:val="65654809"/>
    <w:rsid w:val="656646D3"/>
    <w:rsid w:val="65907AD8"/>
    <w:rsid w:val="65A55A08"/>
    <w:rsid w:val="66347425"/>
    <w:rsid w:val="665E35E0"/>
    <w:rsid w:val="66E612A0"/>
    <w:rsid w:val="67045135"/>
    <w:rsid w:val="67D828EF"/>
    <w:rsid w:val="67E357E8"/>
    <w:rsid w:val="67E67E83"/>
    <w:rsid w:val="681F3395"/>
    <w:rsid w:val="68550B65"/>
    <w:rsid w:val="68A500FF"/>
    <w:rsid w:val="68C54CEF"/>
    <w:rsid w:val="68CD08D6"/>
    <w:rsid w:val="69F045DA"/>
    <w:rsid w:val="6A413E64"/>
    <w:rsid w:val="6A7F6FE6"/>
    <w:rsid w:val="6B8A265A"/>
    <w:rsid w:val="6B9273C1"/>
    <w:rsid w:val="6BAE38EA"/>
    <w:rsid w:val="6BBF24AE"/>
    <w:rsid w:val="6BD46EF8"/>
    <w:rsid w:val="6CAE15F8"/>
    <w:rsid w:val="6D39706F"/>
    <w:rsid w:val="6D6105B3"/>
    <w:rsid w:val="6D635721"/>
    <w:rsid w:val="6DD25565"/>
    <w:rsid w:val="6DE425FA"/>
    <w:rsid w:val="6EBA2D38"/>
    <w:rsid w:val="6F241C50"/>
    <w:rsid w:val="6F360463"/>
    <w:rsid w:val="6F5F1CAC"/>
    <w:rsid w:val="700729B8"/>
    <w:rsid w:val="70361D3F"/>
    <w:rsid w:val="70447D43"/>
    <w:rsid w:val="70A94E62"/>
    <w:rsid w:val="710E3FA6"/>
    <w:rsid w:val="71266A50"/>
    <w:rsid w:val="718316E0"/>
    <w:rsid w:val="71C132A7"/>
    <w:rsid w:val="71F2564F"/>
    <w:rsid w:val="72282E5A"/>
    <w:rsid w:val="7261070A"/>
    <w:rsid w:val="72730B83"/>
    <w:rsid w:val="727D6452"/>
    <w:rsid w:val="728F6E10"/>
    <w:rsid w:val="72AE0DC0"/>
    <w:rsid w:val="72FF3793"/>
    <w:rsid w:val="73B12613"/>
    <w:rsid w:val="73BD4CEF"/>
    <w:rsid w:val="73FD3E64"/>
    <w:rsid w:val="740D7688"/>
    <w:rsid w:val="74AA5A49"/>
    <w:rsid w:val="74DF7F92"/>
    <w:rsid w:val="74EA78CB"/>
    <w:rsid w:val="74FC737A"/>
    <w:rsid w:val="75184A87"/>
    <w:rsid w:val="753B3C84"/>
    <w:rsid w:val="75647ACC"/>
    <w:rsid w:val="7571185E"/>
    <w:rsid w:val="75846620"/>
    <w:rsid w:val="75CA4DDD"/>
    <w:rsid w:val="75DA1661"/>
    <w:rsid w:val="75FA311C"/>
    <w:rsid w:val="763252D8"/>
    <w:rsid w:val="76685F07"/>
    <w:rsid w:val="767B3EE5"/>
    <w:rsid w:val="76E142AE"/>
    <w:rsid w:val="773A7DA2"/>
    <w:rsid w:val="773D6EBB"/>
    <w:rsid w:val="77644B59"/>
    <w:rsid w:val="78913452"/>
    <w:rsid w:val="78C2186D"/>
    <w:rsid w:val="791529B3"/>
    <w:rsid w:val="791B233D"/>
    <w:rsid w:val="794146B4"/>
    <w:rsid w:val="79604D22"/>
    <w:rsid w:val="7A8B765D"/>
    <w:rsid w:val="7AA6235C"/>
    <w:rsid w:val="7AD83036"/>
    <w:rsid w:val="7B8B5094"/>
    <w:rsid w:val="7BD53F8C"/>
    <w:rsid w:val="7BDF46BF"/>
    <w:rsid w:val="7CC752E0"/>
    <w:rsid w:val="7D1F7055"/>
    <w:rsid w:val="7D2B6D8D"/>
    <w:rsid w:val="7E6A714A"/>
    <w:rsid w:val="7EC209B0"/>
    <w:rsid w:val="7EDA28F6"/>
    <w:rsid w:val="7F3138EF"/>
    <w:rsid w:val="7F552AEC"/>
    <w:rsid w:val="7F685C9A"/>
    <w:rsid w:val="7FDC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1"/>
    <w:basedOn w:val="5"/>
    <w:next w:val="1"/>
    <w:link w:val="3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33"/>
    <w:qFormat/>
    <w:uiPriority w:val="0"/>
    <w:pPr>
      <w:adjustRightInd w:val="0"/>
      <w:jc w:val="center"/>
      <w:textAlignment w:val="baseline"/>
      <w:outlineLvl w:val="1"/>
    </w:pPr>
    <w:rPr>
      <w:kern w:val="0"/>
      <w:sz w:val="24"/>
      <w:szCs w:val="20"/>
    </w:rPr>
  </w:style>
  <w:style w:type="paragraph" w:styleId="5">
    <w:name w:val="heading 3"/>
    <w:basedOn w:val="6"/>
    <w:next w:val="1"/>
    <w:link w:val="31"/>
    <w:qFormat/>
    <w:uiPriority w:val="9"/>
    <w:pPr>
      <w:spacing w:before="260" w:after="260" w:line="240" w:lineRule="auto"/>
      <w:outlineLvl w:val="2"/>
    </w:pPr>
    <w:rPr>
      <w:rFonts w:ascii="宋体" w:hAnsi="宋体" w:eastAsia="宋体"/>
      <w:szCs w:val="32"/>
    </w:rPr>
  </w:style>
  <w:style w:type="paragraph" w:styleId="6">
    <w:name w:val="heading 4"/>
    <w:basedOn w:val="1"/>
    <w:next w:val="1"/>
    <w:link w:val="30"/>
    <w:qFormat/>
    <w:uiPriority w:val="0"/>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widowControl w:val="0"/>
      <w:spacing w:after="160" w:line="360" w:lineRule="auto"/>
      <w:jc w:val="both"/>
    </w:pPr>
    <w:rPr>
      <w:rFonts w:eastAsia="宋体"/>
      <w:b/>
      <w:bCs/>
      <w:kern w:val="2"/>
      <w:lang w:eastAsia="zh-CN"/>
    </w:rPr>
  </w:style>
  <w:style w:type="paragraph" w:styleId="3">
    <w:name w:val="Body Text 2"/>
    <w:basedOn w:val="1"/>
    <w:next w:val="2"/>
    <w:link w:val="28"/>
    <w:qFormat/>
    <w:uiPriority w:val="0"/>
    <w:pPr>
      <w:widowControl w:val="0"/>
      <w:spacing w:after="160" w:line="360" w:lineRule="auto"/>
      <w:jc w:val="both"/>
    </w:pPr>
    <w:rPr>
      <w:rFonts w:eastAsia="宋体"/>
      <w:kern w:val="2"/>
      <w:lang w:eastAsia="zh-CN"/>
    </w:rPr>
  </w:style>
  <w:style w:type="paragraph" w:styleId="8">
    <w:name w:val="Normal Indent"/>
    <w:basedOn w:val="1"/>
    <w:link w:val="34"/>
    <w:qFormat/>
    <w:uiPriority w:val="0"/>
    <w:pPr>
      <w:widowControl w:val="0"/>
      <w:spacing w:after="160" w:line="278" w:lineRule="auto"/>
      <w:ind w:firstLine="420"/>
      <w:jc w:val="both"/>
    </w:pPr>
    <w:rPr>
      <w:rFonts w:eastAsia="宋体"/>
      <w:kern w:val="2"/>
      <w:sz w:val="21"/>
      <w:szCs w:val="20"/>
      <w:lang w:eastAsia="zh-CN"/>
    </w:rPr>
  </w:style>
  <w:style w:type="paragraph" w:styleId="9">
    <w:name w:val="annotation text"/>
    <w:basedOn w:val="1"/>
    <w:qFormat/>
    <w:uiPriority w:val="0"/>
  </w:style>
  <w:style w:type="paragraph" w:styleId="10">
    <w:name w:val="Body Text Indent"/>
    <w:basedOn w:val="1"/>
    <w:next w:val="11"/>
    <w:qFormat/>
    <w:uiPriority w:val="0"/>
    <w:pPr>
      <w:spacing w:line="360" w:lineRule="auto"/>
      <w:ind w:firstLine="420" w:firstLineChars="200"/>
    </w:pPr>
  </w:style>
  <w:style w:type="paragraph" w:styleId="11">
    <w:name w:val="envelope return"/>
    <w:basedOn w:val="1"/>
    <w:qFormat/>
    <w:uiPriority w:val="0"/>
    <w:pPr>
      <w:snapToGrid w:val="0"/>
    </w:pPr>
    <w:rPr>
      <w:rFonts w:ascii="Arial" w:hAnsi="Arial" w:cs="Arial"/>
      <w:szCs w:val="20"/>
    </w:rPr>
  </w:style>
  <w:style w:type="paragraph" w:styleId="12">
    <w:name w:val="Balloon Text"/>
    <w:basedOn w:val="1"/>
    <w:link w:val="51"/>
    <w:qFormat/>
    <w:uiPriority w:val="0"/>
    <w:rPr>
      <w:sz w:val="18"/>
      <w:szCs w:val="18"/>
    </w:rPr>
  </w:style>
  <w:style w:type="paragraph" w:styleId="13">
    <w:name w:val="footer"/>
    <w:basedOn w:val="1"/>
    <w:link w:val="27"/>
    <w:qFormat/>
    <w:uiPriority w:val="0"/>
    <w:pPr>
      <w:widowControl w:val="0"/>
      <w:tabs>
        <w:tab w:val="center" w:pos="4153"/>
        <w:tab w:val="right" w:pos="8306"/>
      </w:tabs>
      <w:snapToGrid w:val="0"/>
      <w:spacing w:after="160" w:line="278" w:lineRule="auto"/>
    </w:pPr>
    <w:rPr>
      <w:rFonts w:eastAsia="宋体"/>
      <w:kern w:val="2"/>
      <w:sz w:val="18"/>
      <w:szCs w:val="18"/>
      <w:lang w:eastAsia="zh-CN"/>
    </w:rPr>
  </w:style>
  <w:style w:type="paragraph" w:styleId="14">
    <w:name w:val="header"/>
    <w:basedOn w:val="1"/>
    <w:link w:val="26"/>
    <w:qFormat/>
    <w:uiPriority w:val="99"/>
    <w:pPr>
      <w:widowControl w:val="0"/>
      <w:pBdr>
        <w:bottom w:val="single" w:color="auto" w:sz="6" w:space="1"/>
      </w:pBdr>
      <w:tabs>
        <w:tab w:val="center" w:pos="4153"/>
        <w:tab w:val="right" w:pos="8306"/>
      </w:tabs>
      <w:snapToGrid w:val="0"/>
      <w:spacing w:after="160" w:line="278" w:lineRule="auto"/>
      <w:jc w:val="center"/>
    </w:pPr>
    <w:rPr>
      <w:rFonts w:eastAsia="宋体"/>
      <w:kern w:val="2"/>
      <w:sz w:val="18"/>
      <w:szCs w:val="18"/>
      <w:lang w:eastAsia="zh-CN"/>
    </w:rPr>
  </w:style>
  <w:style w:type="paragraph" w:styleId="15">
    <w:name w:val="Normal (Web)"/>
    <w:basedOn w:val="1"/>
    <w:qFormat/>
    <w:uiPriority w:val="99"/>
    <w:pPr>
      <w:widowControl w:val="0"/>
      <w:spacing w:beforeAutospacing="1" w:after="160" w:afterAutospacing="1" w:line="278" w:lineRule="auto"/>
    </w:pPr>
    <w:rPr>
      <w:rFonts w:eastAsia="宋体"/>
      <w:lang w:eastAsia="zh-CN"/>
    </w:rPr>
  </w:style>
  <w:style w:type="paragraph" w:styleId="1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7">
    <w:name w:val="Body Text First Indent 2"/>
    <w:basedOn w:val="10"/>
    <w:qFormat/>
    <w:uiPriority w:val="99"/>
    <w:pPr>
      <w:spacing w:after="120" w:line="240" w:lineRule="auto"/>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0"/>
    <w:rPr>
      <w:color w:val="0000FF"/>
      <w:u w:val="single"/>
    </w:rPr>
  </w:style>
  <w:style w:type="character" w:styleId="24">
    <w:name w:val="annotation reference"/>
    <w:basedOn w:val="20"/>
    <w:qFormat/>
    <w:uiPriority w:val="0"/>
    <w:rPr>
      <w:sz w:val="21"/>
      <w:szCs w:val="21"/>
    </w:rPr>
  </w:style>
  <w:style w:type="paragraph" w:styleId="2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6">
    <w:name w:val="页眉 Char"/>
    <w:link w:val="14"/>
    <w:qFormat/>
    <w:uiPriority w:val="99"/>
    <w:rPr>
      <w:rFonts w:eastAsia="宋体"/>
      <w:kern w:val="2"/>
      <w:sz w:val="18"/>
      <w:szCs w:val="18"/>
      <w:lang w:eastAsia="zh-CN"/>
    </w:rPr>
  </w:style>
  <w:style w:type="character" w:customStyle="1" w:styleId="27">
    <w:name w:val="页脚 Char"/>
    <w:link w:val="13"/>
    <w:qFormat/>
    <w:uiPriority w:val="0"/>
    <w:rPr>
      <w:rFonts w:eastAsia="宋体"/>
      <w:kern w:val="2"/>
      <w:sz w:val="18"/>
      <w:szCs w:val="18"/>
      <w:lang w:eastAsia="zh-CN"/>
    </w:rPr>
  </w:style>
  <w:style w:type="character" w:customStyle="1" w:styleId="28">
    <w:name w:val="正文文本 2 Char"/>
    <w:link w:val="3"/>
    <w:qFormat/>
    <w:uiPriority w:val="0"/>
    <w:rPr>
      <w:rFonts w:eastAsia="宋体"/>
      <w:kern w:val="2"/>
      <w:sz w:val="24"/>
      <w:szCs w:val="24"/>
      <w:lang w:eastAsia="zh-CN"/>
    </w:rPr>
  </w:style>
  <w:style w:type="character" w:customStyle="1" w:styleId="29">
    <w:name w:val="正文文本 Char"/>
    <w:link w:val="2"/>
    <w:qFormat/>
    <w:uiPriority w:val="0"/>
    <w:rPr>
      <w:rFonts w:eastAsia="宋体"/>
      <w:b/>
      <w:bCs/>
      <w:kern w:val="2"/>
      <w:sz w:val="24"/>
      <w:szCs w:val="24"/>
      <w:lang w:eastAsia="zh-CN"/>
    </w:rPr>
  </w:style>
  <w:style w:type="character" w:customStyle="1" w:styleId="30">
    <w:name w:val="标题 4 Char"/>
    <w:link w:val="6"/>
    <w:qFormat/>
    <w:uiPriority w:val="0"/>
    <w:rPr>
      <w:rFonts w:ascii="Arial" w:hAnsi="Arial" w:eastAsia="黑体"/>
      <w:b/>
      <w:bCs/>
      <w:kern w:val="2"/>
      <w:sz w:val="28"/>
      <w:szCs w:val="28"/>
      <w:lang w:eastAsia="zh-CN"/>
    </w:rPr>
  </w:style>
  <w:style w:type="character" w:customStyle="1" w:styleId="31">
    <w:name w:val="标题 3 Char1"/>
    <w:link w:val="5"/>
    <w:qFormat/>
    <w:uiPriority w:val="9"/>
    <w:rPr>
      <w:rFonts w:ascii="宋体" w:hAnsi="宋体" w:eastAsia="宋体"/>
      <w:b/>
      <w:bCs/>
      <w:kern w:val="2"/>
      <w:sz w:val="28"/>
      <w:szCs w:val="32"/>
      <w:lang w:eastAsia="zh-CN"/>
    </w:rPr>
  </w:style>
  <w:style w:type="character" w:customStyle="1" w:styleId="32">
    <w:name w:val="标题 1 Char"/>
    <w:link w:val="4"/>
    <w:qFormat/>
    <w:uiPriority w:val="0"/>
    <w:rPr>
      <w:rFonts w:ascii="宋体" w:hAnsi="宋体" w:eastAsia="黑体"/>
      <w:b/>
      <w:bCs/>
      <w:kern w:val="44"/>
      <w:sz w:val="28"/>
      <w:szCs w:val="44"/>
      <w:lang w:eastAsia="zh-CN"/>
    </w:rPr>
  </w:style>
  <w:style w:type="character" w:customStyle="1" w:styleId="33">
    <w:name w:val="标题 2 Char"/>
    <w:link w:val="7"/>
    <w:qFormat/>
    <w:uiPriority w:val="0"/>
    <w:rPr>
      <w:rFonts w:ascii="宋体" w:hAnsi="宋体" w:eastAsia="宋体"/>
      <w:b/>
      <w:bCs/>
      <w:sz w:val="24"/>
      <w:lang w:eastAsia="zh-CN"/>
    </w:rPr>
  </w:style>
  <w:style w:type="character" w:customStyle="1" w:styleId="34">
    <w:name w:val="正文缩进 Char"/>
    <w:link w:val="8"/>
    <w:qFormat/>
    <w:uiPriority w:val="0"/>
    <w:rPr>
      <w:rFonts w:eastAsia="宋体"/>
      <w:kern w:val="2"/>
      <w:sz w:val="21"/>
      <w:lang w:eastAsia="zh-CN"/>
    </w:rPr>
  </w:style>
  <w:style w:type="character" w:customStyle="1" w:styleId="35">
    <w:name w:val="标题 3 Char"/>
    <w:qFormat/>
    <w:uiPriority w:val="0"/>
    <w:rPr>
      <w:rFonts w:ascii="黑体" w:eastAsia="黑体"/>
      <w:bCs/>
      <w:sz w:val="30"/>
    </w:rPr>
  </w:style>
  <w:style w:type="table" w:customStyle="1" w:styleId="36">
    <w:name w:val="网格型1"/>
    <w:basedOn w:val="18"/>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typo_table"/>
    <w:basedOn w:val="18"/>
    <w:qFormat/>
    <w:uiPriority w:val="0"/>
    <w:tblPr>
      <w:tblCellMar>
        <w:top w:w="0" w:type="dxa"/>
        <w:left w:w="108" w:type="dxa"/>
        <w:bottom w:w="0" w:type="dxa"/>
        <w:right w:w="108" w:type="dxa"/>
      </w:tblCellMar>
    </w:tblPr>
  </w:style>
  <w:style w:type="paragraph" w:customStyle="1" w:styleId="38">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9">
    <w:name w:val="base"/>
    <w:basedOn w:val="20"/>
    <w:qFormat/>
    <w:uiPriority w:val="0"/>
    <w:rPr>
      <w:rFonts w:ascii="仿宋" w:hAnsi="仿宋" w:eastAsia="仿宋" w:cs="仿宋"/>
      <w:b/>
      <w:bCs/>
      <w:sz w:val="28"/>
      <w:szCs w:val="28"/>
    </w:rPr>
  </w:style>
  <w:style w:type="paragraph" w:customStyle="1" w:styleId="40">
    <w:name w:val="typo_p"/>
    <w:basedOn w:val="1"/>
    <w:qFormat/>
    <w:uiPriority w:val="0"/>
    <w:pPr>
      <w:spacing w:line="432" w:lineRule="atLeast"/>
    </w:pPr>
    <w:rPr>
      <w:rFonts w:ascii="微软雅黑" w:hAnsi="微软雅黑" w:eastAsia="微软雅黑" w:cs="微软雅黑"/>
      <w:color w:val="333333"/>
    </w:rPr>
  </w:style>
  <w:style w:type="character" w:customStyle="1" w:styleId="41">
    <w:name w:val="span"/>
    <w:basedOn w:val="20"/>
    <w:qFormat/>
    <w:uiPriority w:val="0"/>
    <w:rPr>
      <w:rFonts w:ascii="仿宋" w:hAnsi="仿宋" w:eastAsia="仿宋" w:cs="仿宋"/>
    </w:rPr>
  </w:style>
  <w:style w:type="character" w:customStyle="1" w:styleId="42">
    <w:name w:val="underline"/>
    <w:basedOn w:val="20"/>
    <w:qFormat/>
    <w:uiPriority w:val="0"/>
  </w:style>
  <w:style w:type="paragraph" w:customStyle="1" w:styleId="43">
    <w:name w:val="div"/>
    <w:basedOn w:val="1"/>
    <w:qFormat/>
    <w:uiPriority w:val="0"/>
    <w:pPr>
      <w:keepLines/>
      <w:spacing w:line="432" w:lineRule="atLeast"/>
    </w:pPr>
    <w:rPr>
      <w:rFonts w:ascii="微软雅黑" w:hAnsi="微软雅黑" w:eastAsia="微软雅黑" w:cs="微软雅黑"/>
      <w:color w:val="333333"/>
    </w:rPr>
  </w:style>
  <w:style w:type="character" w:customStyle="1" w:styleId="44">
    <w:name w:val="step-methods_step-item_label"/>
    <w:basedOn w:val="20"/>
    <w:qFormat/>
    <w:uiPriority w:val="0"/>
  </w:style>
  <w:style w:type="table" w:customStyle="1" w:styleId="45">
    <w:name w:val="typo_table_0"/>
    <w:basedOn w:val="18"/>
    <w:qFormat/>
    <w:uiPriority w:val="0"/>
    <w:tblPr>
      <w:tblCellMar>
        <w:top w:w="0" w:type="dxa"/>
        <w:left w:w="108" w:type="dxa"/>
        <w:bottom w:w="0" w:type="dxa"/>
        <w:right w:w="108" w:type="dxa"/>
      </w:tblCellMar>
    </w:tblPr>
  </w:style>
  <w:style w:type="character" w:customStyle="1" w:styleId="46">
    <w:name w:val="要点1"/>
    <w:basedOn w:val="20"/>
    <w:qFormat/>
    <w:uiPriority w:val="0"/>
    <w:rPr>
      <w:b/>
      <w:bCs/>
      <w:color w:val="000000"/>
    </w:rPr>
  </w:style>
  <w:style w:type="paragraph" w:customStyle="1" w:styleId="47">
    <w:name w:val="表格文字"/>
    <w:basedOn w:val="1"/>
    <w:next w:val="1"/>
    <w:qFormat/>
    <w:uiPriority w:val="99"/>
    <w:pPr>
      <w:spacing w:before="25" w:after="25"/>
    </w:pPr>
    <w:rPr>
      <w:spacing w:val="10"/>
      <w:szCs w:val="20"/>
    </w:rPr>
  </w:style>
  <w:style w:type="character" w:customStyle="1" w:styleId="48">
    <w:name w:val="font31"/>
    <w:basedOn w:val="20"/>
    <w:qFormat/>
    <w:uiPriority w:val="0"/>
    <w:rPr>
      <w:rFonts w:hint="eastAsia" w:ascii="宋体" w:hAnsi="宋体" w:eastAsia="宋体" w:cs="宋体"/>
      <w:color w:val="000000"/>
      <w:sz w:val="22"/>
      <w:szCs w:val="22"/>
      <w:u w:val="none"/>
    </w:rPr>
  </w:style>
  <w:style w:type="character" w:customStyle="1" w:styleId="49">
    <w:name w:val="toolbarlabel"/>
    <w:basedOn w:val="20"/>
    <w:qFormat/>
    <w:uiPriority w:val="0"/>
    <w:rPr>
      <w:color w:val="333333"/>
      <w:sz w:val="18"/>
      <w:szCs w:val="18"/>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51">
    <w:name w:val="批注框文本 Char"/>
    <w:basedOn w:val="20"/>
    <w:link w:val="12"/>
    <w:qFormat/>
    <w:uiPriority w:val="0"/>
    <w:rPr>
      <w:rFonts w:eastAsia="Times New Roman"/>
      <w:sz w:val="18"/>
      <w:szCs w:val="18"/>
      <w:lang w:eastAsia="en-US"/>
    </w:rPr>
  </w:style>
  <w:style w:type="paragraph" w:styleId="52">
    <w:name w:val="List Paragraph"/>
    <w:basedOn w:val="1"/>
    <w:qFormat/>
    <w:uiPriority w:val="34"/>
    <w:pPr>
      <w:ind w:firstLine="420" w:firstLineChars="200"/>
    </w:pPr>
    <w:rPr>
      <w:rFonts w:ascii="Calibri" w:hAnsi="Calibri"/>
      <w:szCs w:val="22"/>
    </w:rPr>
  </w:style>
  <w:style w:type="character" w:customStyle="1" w:styleId="53">
    <w:name w:val="font51"/>
    <w:basedOn w:val="20"/>
    <w:qFormat/>
    <w:uiPriority w:val="0"/>
    <w:rPr>
      <w:rFonts w:hint="eastAsia" w:ascii="宋体" w:hAnsi="宋体" w:eastAsia="宋体" w:cs="宋体"/>
      <w:color w:val="000000"/>
      <w:sz w:val="20"/>
      <w:szCs w:val="20"/>
      <w:u w:val="none"/>
    </w:rPr>
  </w:style>
  <w:style w:type="character" w:customStyle="1" w:styleId="54">
    <w:name w:val="font101"/>
    <w:basedOn w:val="20"/>
    <w:qFormat/>
    <w:uiPriority w:val="0"/>
    <w:rPr>
      <w:rFonts w:hint="eastAsia" w:ascii="宋体" w:hAnsi="宋体" w:eastAsia="宋体" w:cs="宋体"/>
      <w:color w:val="FF0000"/>
      <w:sz w:val="20"/>
      <w:szCs w:val="20"/>
      <w:u w:val="none"/>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14:ligatures w14:val="standardContextual"/>
    </w:rPr>
  </w:style>
  <w:style w:type="character" w:customStyle="1" w:styleId="56">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95</Pages>
  <Words>6114</Words>
  <Characters>6414</Characters>
  <Lines>397</Lines>
  <Paragraphs>112</Paragraphs>
  <TotalTime>23</TotalTime>
  <ScaleCrop>false</ScaleCrop>
  <LinksUpToDate>false</LinksUpToDate>
  <CharactersWithSpaces>6497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2025-04-15T07:19:00Z</dcterms:created>
  <dc:creator>CAOQM</dc:creator>
  <cp:lastModifiedBy>YGD</cp:lastModifiedBy>
  <cp:lastPrinted>2025-06-02T07:11:00Z</cp:lastPrinted>
  <dcterms:modified xsi:type="dcterms:W3CDTF">2025-11-07T10:58:32Z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F5BFD81BD62D44B98BF034335F36DAA6_13</vt:lpwstr>
  </property>
  <property fmtid="{D5CDD505-2E9C-101B-9397-08002B2CF9AE}" pid="4" name="KSOTemplateDocerSaveRecord">
    <vt:lpwstr>eyJoZGlkIjoiMTU0MmNkZGE2MGEwNWNiNjA4ZTFkMTI2N2Y4MzJjZTciLCJ1c2VySWQiOiIzMTc1NjE4NDQifQ==</vt:lpwstr>
  </property>
</Properties>
</file>